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3A5C"/>
          <w:sz w:val="28"/>
          <w:szCs w:val="28"/>
        </w:rPr>
        <w:t xml:space="preserve">PETRONUSA</w:t>
      </w:r>
    </w:p>
    <w:p>
      <w:pPr>
        <w:spacing w:after="20"/>
      </w:pPr>
      <w:r>
        <w:rPr>
          <w:rFonts w:ascii="Arial" w:cs="Arial" w:eastAsia="Arial" w:hAnsi="Arial"/>
          <w:i/>
          <w:iCs/>
          <w:color w:val="888888"/>
          <w:sz w:val="18"/>
          <w:szCs w:val="18"/>
        </w:rPr>
        <w:t xml:space="preserve">Internal Document — Not for External Distribution</w:t>
      </w:r>
    </w:p>
    <w:p>
      <w:pPr>
        <w:pBdr>
          <w:bottom w:val="single" w:color="CCCCCC" w:sz="4" w:space="1"/>
        </w:pBdr>
        <w:spacing w:after="200"/>
      </w:pPr>
    </w:p>
    <w:p>
      <w:pPr>
        <w:spacing w:after="60"/>
      </w:pPr>
      <w:r>
        <w:rPr>
          <w:rFonts w:ascii="Arial" w:cs="Arial" w:eastAsia="Arial" w:hAnsi="Arial"/>
          <w:b/>
          <w:bCs/>
          <w:color w:val="1A3A5C"/>
          <w:sz w:val="26"/>
          <w:szCs w:val="26"/>
        </w:rPr>
        <w:t xml:space="preserve">PetroPoin Programme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555555"/>
                <w:sz w:val="19"/>
                <w:szCs w:val="19"/>
              </w:rPr>
              <w:t xml:space="preserve">Department: </w:t>
            </w:r>
            <w:r>
              <w:rPr>
                <w:rFonts w:ascii="Arial" w:cs="Arial" w:eastAsia="Arial" w:hAnsi="Arial"/>
                <w:color w:val="555555"/>
                <w:sz w:val="19"/>
                <w:szCs w:val="19"/>
              </w:rPr>
              <w:t xml:space="preserve">Loyalty &amp; Partnerships</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b/>
                <w:bCs/>
                <w:color w:val="555555"/>
                <w:sz w:val="19"/>
                <w:szCs w:val="19"/>
              </w:rPr>
              <w:t xml:space="preserve">Prepared for: </w:t>
            </w:r>
            <w:r>
              <w:rPr>
                <w:rFonts w:ascii="Arial" w:cs="Arial" w:eastAsia="Arial" w:hAnsi="Arial"/>
                <w:color w:val="555555"/>
                <w:sz w:val="19"/>
                <w:szCs w:val="19"/>
              </w:rPr>
              <w:t xml:space="preserve">Aurelian &amp; Co. engagement</w:t>
            </w:r>
          </w:p>
        </w:tc>
      </w:tr>
      <w:tr>
        <w:tc>
          <w:tcPr>
            <w:tcW w:type="dxa" w:w="4680"/>
            <w:tcBorders>
              <w:top w:val="none" w:color="FFFFFF" w:sz="0"/>
              <w:left w:val="none" w:color="FFFFFF" w:sz="0"/>
              <w:bottom w:val="none" w:color="FFFFFF" w:sz="0"/>
              <w:right w:val="none" w:color="FFFFFF" w:sz="0"/>
            </w:tcBorders>
            <w:tcMar>
              <w:top w:type="dxa" w:w="20"/>
              <w:left w:type="dxa" w:w="0"/>
              <w:bottom w:type="dxa" w:w="60"/>
              <w:right w:type="dxa" w:w="0"/>
            </w:tcMar>
          </w:tcPr>
          <w:p>
            <w:r>
              <w:rPr>
                <w:rFonts w:ascii="Arial" w:cs="Arial" w:eastAsia="Arial" w:hAnsi="Arial"/>
                <w:b/>
                <w:bCs/>
                <w:color w:val="555555"/>
                <w:sz w:val="19"/>
                <w:szCs w:val="19"/>
              </w:rPr>
              <w:t xml:space="preserve">Document status: </w:t>
            </w:r>
            <w:r>
              <w:rPr>
                <w:rFonts w:ascii="Arial" w:cs="Arial" w:eastAsia="Arial" w:hAnsi="Arial"/>
                <w:color w:val="555555"/>
                <w:sz w:val="19"/>
                <w:szCs w:val="19"/>
              </w:rPr>
              <w:t xml:space="preserve">Internal use only</w:t>
            </w:r>
          </w:p>
        </w:tc>
        <w:tc>
          <w:tcPr>
            <w:tcW w:type="dxa" w:w="4680"/>
            <w:tcBorders>
              <w:top w:val="none" w:color="FFFFFF" w:sz="0"/>
              <w:left w:val="none" w:color="FFFFFF" w:sz="0"/>
              <w:bottom w:val="none" w:color="FFFFFF" w:sz="0"/>
              <w:right w:val="none" w:color="FFFFFF" w:sz="0"/>
            </w:tcBorders>
            <w:tcMar>
              <w:top w:type="dxa" w:w="20"/>
              <w:left w:type="dxa" w:w="0"/>
              <w:bottom w:type="dxa" w:w="60"/>
              <w:right w:type="dxa" w:w="0"/>
            </w:tcMar>
          </w:tcPr>
          <w:p>
            <w:pPr>
              <w:jc w:val="right"/>
            </w:pPr>
            <w:r>
              <w:rPr>
                <w:rFonts w:ascii="Arial" w:cs="Arial" w:eastAsia="Arial" w:hAnsi="Arial"/>
                <w:color w:val="555555"/>
                <w:sz w:val="19"/>
                <w:szCs w:val="19"/>
              </w:rPr>
              <w:t xml:space="preserve">March 2025</w:t>
            </w:r>
          </w:p>
        </w:tc>
      </w:tr>
    </w:tbl>
    <w:p>
      <w:pPr>
        <w:pBdr>
          <w:bottom w:val="single" w:color="CCCCCC" w:sz="4" w:space="1"/>
        </w:pBdr>
        <w:spacing w:after="200"/>
      </w:pPr>
    </w:p>
    <w:p>
      <w:pPr>
        <w:spacing w:after="120" w:before="240"/>
      </w:pPr>
      <w:r>
        <w:rPr>
          <w:rFonts w:ascii="Arial" w:cs="Arial" w:eastAsia="Arial" w:hAnsi="Arial"/>
          <w:b/>
          <w:bCs/>
          <w:color w:val="1A3A5C"/>
          <w:sz w:val="22"/>
          <w:szCs w:val="22"/>
        </w:rPr>
        <w:t xml:space="preserve">1.  Programme Background</w:t>
      </w:r>
    </w:p>
    <w:p>
      <w:pPr>
        <w:spacing w:after="160"/>
      </w:pPr>
      <w:r>
        <w:rPr>
          <w:rFonts w:ascii="Arial" w:cs="Arial" w:eastAsia="Arial" w:hAnsi="Arial"/>
          <w:color w:val="222222"/>
          <w:sz w:val="21"/>
          <w:szCs w:val="21"/>
        </w:rPr>
        <w:t xml:space="preserve">PetroPoin was launched in 2016 as PetroNusa's national customer loyalty programme. The programme was designed to reward fuel purchasing behaviour and build a registered customer base across PetroNusa's station network. Members earn points on every litre of fuel purchased at participating stations and redeem them against a set of defined rewards.</w:t>
      </w:r>
    </w:p>
    <w:p>
      <w:pPr>
        <w:spacing w:after="160"/>
      </w:pPr>
      <w:r>
        <w:rPr>
          <w:rFonts w:ascii="Arial" w:cs="Arial" w:eastAsia="Arial" w:hAnsi="Arial"/>
          <w:color w:val="222222"/>
          <w:sz w:val="21"/>
          <w:szCs w:val="21"/>
        </w:rPr>
        <w:t xml:space="preserve">PetroPoin operates as a standalone loyalty programme; registration and points management are handled independently of any payment product. The programme is available at 620 stations nationwide.</w:t>
      </w:r>
    </w:p>
    <w:p>
      <w:pPr>
        <w:spacing w:after="80"/>
      </w:pPr>
    </w:p>
    <w:p>
      <w:pPr>
        <w:spacing w:after="120" w:before="240"/>
      </w:pPr>
      <w:r>
        <w:rPr>
          <w:rFonts w:ascii="Arial" w:cs="Arial" w:eastAsia="Arial" w:hAnsi="Arial"/>
          <w:b/>
          <w:bCs/>
          <w:color w:val="1A3A5C"/>
          <w:sz w:val="22"/>
          <w:szCs w:val="22"/>
        </w:rPr>
        <w:t xml:space="preserve">2.  Membership</w:t>
      </w:r>
    </w:p>
    <w:p>
      <w:pPr>
        <w:spacing w:after="140"/>
      </w:pPr>
      <w:r>
        <w:rPr>
          <w:rFonts w:ascii="Arial" w:cs="Arial" w:eastAsia="Arial" w:hAnsi="Arial"/>
          <w:color w:val="222222"/>
          <w:sz w:val="21"/>
          <w:szCs w:val="21"/>
        </w:rPr>
        <w:t xml:space="preserve">The following figures reflect the position as at end of February 2025.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444444"/>
                <w:sz w:val="21"/>
                <w:szCs w:val="21"/>
              </w:rPr>
              <w:t xml:space="preserve">Total registered members</w:t>
            </w:r>
          </w:p>
        </w:tc>
        <w:tc>
          <w:tcPr>
            <w:tcW w:type="dxa" w:w="496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b w:val="false"/>
                <w:bCs w:val="false"/>
                <w:color w:val="222222"/>
                <w:sz w:val="21"/>
                <w:szCs w:val="21"/>
              </w:rPr>
              <w:t xml:space="preserve">2,100,000</w:t>
            </w:r>
          </w:p>
        </w:tc>
      </w:tr>
      <w:tr>
        <w:tc>
          <w:tcPr>
            <w:tcW w:type="dxa" w:w="4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1"/>
                <w:szCs w:val="21"/>
              </w:rPr>
              <w:t xml:space="preserve">Active members (min. one transaction, last 12 months)</w:t>
            </w:r>
          </w:p>
        </w:tc>
        <w:tc>
          <w:tcPr>
            <w:tcW w:type="dxa" w:w="4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600,000</w:t>
            </w:r>
          </w:p>
        </w:tc>
      </w:tr>
      <w:tr>
        <w:tc>
          <w:tcPr>
            <w:tcW w:type="dxa" w:w="440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444444"/>
                <w:sz w:val="21"/>
                <w:szCs w:val="21"/>
              </w:rPr>
              <w:t xml:space="preserve">New registrations (last 12 months)</w:t>
            </w:r>
          </w:p>
        </w:tc>
        <w:tc>
          <w:tcPr>
            <w:tcW w:type="dxa" w:w="496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b w:val="false"/>
                <w:bCs w:val="false"/>
                <w:color w:val="222222"/>
                <w:sz w:val="21"/>
                <w:szCs w:val="21"/>
              </w:rPr>
              <w:t xml:space="preserve">85,000</w:t>
            </w:r>
          </w:p>
        </w:tc>
      </w:tr>
    </w:tbl>
    <w:p>
      <w:pPr>
        <w:spacing w:after="140"/>
      </w:pPr>
    </w:p>
    <w:p>
      <w:pPr>
        <w:spacing w:after="160"/>
      </w:pPr>
      <w:r>
        <w:rPr>
          <w:rFonts w:ascii="Arial" w:cs="Arial" w:eastAsia="Arial" w:hAnsi="Arial"/>
          <w:color w:val="222222"/>
          <w:sz w:val="21"/>
          <w:szCs w:val="21"/>
        </w:rPr>
        <w:t xml:space="preserve">Members register using either a PetroPoin plastic card (issued at station) or a phone number. There is no mobile application. Both registration methods provide full access to programme benefits. Card-based members account for approximately 65% of the registered base; phone-registered members account for the remaining 35%.</w:t>
      </w:r>
    </w:p>
    <w:p>
      <w:pPr>
        <w:spacing w:after="80"/>
      </w:pPr>
    </w:p>
    <w:p>
      <w:pPr>
        <w:spacing w:after="120" w:before="240"/>
      </w:pPr>
      <w:r>
        <w:rPr>
          <w:rFonts w:ascii="Arial" w:cs="Arial" w:eastAsia="Arial" w:hAnsi="Arial"/>
          <w:b/>
          <w:bCs/>
          <w:color w:val="1A3A5C"/>
          <w:sz w:val="22"/>
          <w:szCs w:val="22"/>
        </w:rPr>
        <w:t xml:space="preserve">3.  How Members Earn</w:t>
      </w:r>
    </w:p>
    <w:p>
      <w:pPr>
        <w:spacing w:after="160"/>
      </w:pPr>
      <w:r>
        <w:rPr>
          <w:rFonts w:ascii="Arial" w:cs="Arial" w:eastAsia="Arial" w:hAnsi="Arial"/>
          <w:color w:val="222222"/>
          <w:sz w:val="21"/>
          <w:szCs w:val="21"/>
        </w:rPr>
        <w:t xml:space="preserve">Members earn 1 PetroPoin point for every litre of fuel purchased at a participating station. Points are recorded at point of sale and credited to the member account at the time of transaction. There are no bonus earn categories, tier multipliers, or partner earn arrangements currently in place.</w:t>
      </w:r>
    </w:p>
    <w:p>
      <w:r>
        <w:br w:type="page"/>
      </w:r>
    </w:p>
    <w:p>
      <w:pPr>
        <w:spacing w:after="120" w:before="240"/>
      </w:pPr>
      <w:r>
        <w:rPr>
          <w:rFonts w:ascii="Arial" w:cs="Arial" w:eastAsia="Arial" w:hAnsi="Arial"/>
          <w:b/>
          <w:bCs/>
          <w:color w:val="1A3A5C"/>
          <w:sz w:val="22"/>
          <w:szCs w:val="22"/>
        </w:rPr>
        <w:t xml:space="preserve">4.  Redemption Options</w:t>
      </w:r>
    </w:p>
    <w:p>
      <w:pPr>
        <w:spacing w:after="160"/>
      </w:pPr>
      <w:r>
        <w:rPr>
          <w:rFonts w:ascii="Arial" w:cs="Arial" w:eastAsia="Arial" w:hAnsi="Arial"/>
          <w:color w:val="222222"/>
          <w:sz w:val="21"/>
          <w:szCs w:val="21"/>
        </w:rPr>
        <w:t xml:space="preserve">PetroPoin members may redeem accumulated points through two channels:</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444444"/>
                <w:sz w:val="21"/>
                <w:szCs w:val="21"/>
              </w:rPr>
              <w:t xml:space="preserve">Free fuel</w:t>
            </w:r>
          </w:p>
        </w:tc>
        <w:tc>
          <w:tcPr>
            <w:tcW w:type="dxa" w:w="496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b w:val="false"/>
                <w:bCs w:val="false"/>
                <w:color w:val="222222"/>
                <w:sz w:val="21"/>
                <w:szCs w:val="21"/>
              </w:rPr>
              <w:t xml:space="preserve">500 points redeemed at any participating station in exchange for 5 litres of fuel. Redemption is processed at point of sale against the member account.</w:t>
            </w:r>
          </w:p>
        </w:tc>
      </w:tr>
      <w:tr>
        <w:tc>
          <w:tcPr>
            <w:tcW w:type="dxa" w:w="4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1"/>
                <w:szCs w:val="21"/>
              </w:rPr>
              <w:t xml:space="preserve">Kertapura Air</w:t>
            </w:r>
          </w:p>
        </w:tc>
        <w:tc>
          <w:tcPr>
            <w:tcW w:type="dxa" w:w="4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Points may be converted to Kertapura Air partner coupons for use on domestic routes. Coupon values and conversion rates are set under the terms of the partnership agreement.</w:t>
            </w:r>
          </w:p>
        </w:tc>
      </w:tr>
    </w:tbl>
    <w:p>
      <w:pPr>
        <w:spacing w:after="140"/>
      </w:pPr>
    </w:p>
    <w:p>
      <w:pPr>
        <w:spacing w:after="160"/>
      </w:pPr>
      <w:r>
        <w:rPr>
          <w:rFonts w:ascii="Arial" w:cs="Arial" w:eastAsia="Arial" w:hAnsi="Arial"/>
          <w:color w:val="222222"/>
          <w:sz w:val="21"/>
          <w:szCs w:val="21"/>
        </w:rPr>
        <w:t xml:space="preserve">No additional redemption partners or channels are currently available under the programme.</w:t>
      </w:r>
    </w:p>
    <w:p>
      <w:pPr>
        <w:spacing w:after="80"/>
      </w:pPr>
    </w:p>
    <w:p>
      <w:pPr>
        <w:spacing w:after="120" w:before="240"/>
      </w:pPr>
      <w:r>
        <w:rPr>
          <w:rFonts w:ascii="Arial" w:cs="Arial" w:eastAsia="Arial" w:hAnsi="Arial"/>
          <w:b/>
          <w:bCs/>
          <w:color w:val="1A3A5C"/>
          <w:sz w:val="22"/>
          <w:szCs w:val="22"/>
        </w:rPr>
        <w:t xml:space="preserve">5.  Systems &amp; Infrastructure</w:t>
      </w:r>
    </w:p>
    <w:p>
      <w:pPr>
        <w:spacing w:after="160"/>
      </w:pPr>
      <w:r>
        <w:rPr>
          <w:rFonts w:ascii="Arial" w:cs="Arial" w:eastAsia="Arial" w:hAnsi="Arial"/>
          <w:color w:val="222222"/>
          <w:sz w:val="21"/>
          <w:szCs w:val="21"/>
        </w:rPr>
        <w:t xml:space="preserve">PetroPoin member records, transaction history, and points balances are managed through LoyaltyTrack 4.2, a dedicated loyalty CRM platform. The system was last upgraded in 2019. LoyaltyTrack 4.2 handles member registration, points accrual and redemption processing, and basic account management functions.</w:t>
      </w:r>
    </w:p>
    <w:p>
      <w:pPr>
        <w:spacing w:after="80"/>
      </w:pPr>
    </w:p>
    <w:p>
      <w:pPr>
        <w:spacing w:after="120" w:before="240"/>
      </w:pPr>
      <w:r>
        <w:rPr>
          <w:rFonts w:ascii="Arial" w:cs="Arial" w:eastAsia="Arial" w:hAnsi="Arial"/>
          <w:b/>
          <w:bCs/>
          <w:color w:val="1A3A5C"/>
          <w:sz w:val="22"/>
          <w:szCs w:val="22"/>
        </w:rPr>
        <w:t xml:space="preserve">6.  Programme Snapshot</w:t>
      </w:r>
    </w:p>
    <w:p>
      <w:pPr>
        <w:spacing w:after="140"/>
      </w:pPr>
      <w:r>
        <w:rPr>
          <w:rFonts w:ascii="Arial" w:cs="Arial" w:eastAsia="Arial" w:hAnsi="Arial"/>
          <w:color w:val="222222"/>
          <w:sz w:val="21"/>
          <w:szCs w:val="21"/>
        </w:rPr>
        <w:t xml:space="preserve">The following metrics are drawn from programme records as at end of February 2025.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444444"/>
                <w:sz w:val="21"/>
                <w:szCs w:val="21"/>
              </w:rPr>
              <w:t xml:space="preserve">Total points outstanding (all member accounts)</w:t>
            </w:r>
          </w:p>
        </w:tc>
        <w:tc>
          <w:tcPr>
            <w:tcW w:type="dxa" w:w="496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b w:val="false"/>
                <w:bCs w:val="false"/>
                <w:color w:val="222222"/>
                <w:sz w:val="21"/>
                <w:szCs w:val="21"/>
              </w:rPr>
              <w:t xml:space="preserve">~195,000,000 points</w:t>
            </w:r>
          </w:p>
        </w:tc>
      </w:tr>
      <w:tr>
        <w:tc>
          <w:tcPr>
            <w:tcW w:type="dxa" w:w="4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1"/>
                <w:szCs w:val="21"/>
              </w:rPr>
              <w:t xml:space="preserve">Estimated share of issued points never redeemed (breakage)</w:t>
            </w:r>
          </w:p>
        </w:tc>
        <w:tc>
          <w:tcPr>
            <w:tcW w:type="dxa" w:w="4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~45%</w:t>
            </w:r>
          </w:p>
        </w:tc>
      </w:tr>
      <w:tr>
        <w:tc>
          <w:tcPr>
            <w:tcW w:type="dxa" w:w="440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444444"/>
                <w:sz w:val="21"/>
                <w:szCs w:val="21"/>
              </w:rPr>
              <w:t xml:space="preserve">Average transactions per active member (last 12 months)</w:t>
            </w:r>
          </w:p>
        </w:tc>
        <w:tc>
          <w:tcPr>
            <w:tcW w:type="dxa" w:w="496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b w:val="false"/>
                <w:bCs w:val="false"/>
                <w:color w:val="222222"/>
                <w:sz w:val="21"/>
                <w:szCs w:val="21"/>
              </w:rPr>
              <w:t xml:space="preserve">10–11 per year</w:t>
            </w:r>
          </w:p>
        </w:tc>
      </w:tr>
      <w:tr>
        <w:tc>
          <w:tcPr>
            <w:tcW w:type="dxa" w:w="4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1"/>
                <w:szCs w:val="21"/>
              </w:rPr>
              <w:t xml:space="preserve">Active members with at least one lifetime redemption</w:t>
            </w:r>
          </w:p>
        </w:tc>
        <w:tc>
          <w:tcPr>
            <w:tcW w:type="dxa" w:w="4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~28%</w:t>
            </w:r>
          </w:p>
        </w:tc>
      </w:tr>
    </w:tbl>
    <w:p>
      <w:pPr>
        <w:spacing w:after="200"/>
      </w:pPr>
    </w:p>
    <w:p>
      <w:pPr>
        <w:pBdr>
          <w:top w:val="single" w:color="CCCCCC" w:sz="4" w:space="4"/>
        </w:pBdr>
        <w:spacing w:after="60" w:before="160"/>
      </w:pPr>
    </w:p>
    <w:p>
      <w:r>
        <w:rPr>
          <w:rFonts w:ascii="Arial" w:cs="Arial" w:eastAsia="Arial" w:hAnsi="Arial"/>
          <w:i/>
          <w:iCs/>
          <w:color w:val="888888"/>
          <w:sz w:val="17"/>
          <w:szCs w:val="17"/>
        </w:rPr>
        <w:t xml:space="preserve">This document has been prepared by the Loyalty &amp; Partnerships Department for the purposes of the Aurelian &amp; Co. engagement. Figures are based on internal programme records and are subject to the data limitations of current systems.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