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Calibri" w:hAnsi="Calibri"/>
          <w:b w:val="0"/>
          <w:i w:val="0"/>
          <w:color w:val="1A1A1A"/>
          <w:sz w:val="17"/>
        </w:rPr>
        <w:t xml:space="preserve">Extract from: </w:t>
      </w:r>
      <w:r>
        <w:rPr>
          <w:rFonts w:ascii="Calibri" w:hAnsi="Calibri"/>
          <w:b w:val="0"/>
          <w:i/>
          <w:color w:val="1A1A1A"/>
          <w:sz w:val="17"/>
        </w:rPr>
        <w:t>Regional Downstream Intelligence — Southeast Asia Fuel Retail Monitor, Loyalty and Payments, Q4 2024 (Vol. 8, Issue 4), pp. 14–15.</w:t>
      </w:r>
    </w:p>
    <w:p>
      <w:pPr>
        <w:spacing w:after="40"/>
      </w:pPr>
      <w:r>
        <w:rPr>
          <w:rFonts w:ascii="Calibri" w:hAnsi="Calibri"/>
          <w:b/>
          <w:i w:val="0"/>
          <w:color w:val="0B3C5D"/>
          <w:sz w:val="30"/>
        </w:rPr>
        <w:t>Loyalty Programme Models in Sariwon Fuel Retail: A Structural Assessment</w:t>
      </w:r>
    </w:p>
    <w:p>
      <w:pPr>
        <w:spacing w:after="160"/>
      </w:pPr>
      <w:r>
        <w:rPr>
          <w:rFonts w:ascii="Calibri" w:hAnsi="Calibri"/>
          <w:b w:val="0"/>
          <w:i w:val="0"/>
          <w:color w:val="666666"/>
          <w:sz w:val="18"/>
        </w:rPr>
        <w:t>Regional Downstream Intelligence  |  Southeast Asian Markets Team</w:t>
      </w:r>
    </w:p>
    <w:p>
      <w:pPr>
        <w:spacing w:before="180" w:after="60"/>
      </w:pPr>
      <w:r>
        <w:rPr>
          <w:rFonts w:ascii="Calibri" w:hAnsi="Calibri"/>
          <w:b/>
          <w:i w:val="0"/>
          <w:color w:val="0B3C5D"/>
          <w:sz w:val="22"/>
        </w:rPr>
        <w:t>Regional Context</w:t>
      </w:r>
    </w:p>
    <w:p>
      <w:pPr>
        <w:spacing w:after="100"/>
      </w:pPr>
      <w:r>
        <w:rPr>
          <w:rFonts w:ascii="Calibri" w:hAnsi="Calibri"/>
          <w:b w:val="0"/>
          <w:i w:val="0"/>
          <w:color w:val="1A1A1A"/>
          <w:sz w:val="20"/>
        </w:rPr>
        <w:t>Southeast Asian fuel retail loyalty has undergone a pronounced structural shift over the past three to four years. In five of the seven major markets covered in this Monitor's annual survey, the leading loyalty proposition at fuel retail is now embedded within an integrated mobile wallet — linking fuel payment, convenience spend, partner earn, and reward redemption within a single customer account. Operators running standalone points programmes, where loyalty operates independently of the payment transaction, have seen their propositions increasingly characterised as a prior generation of loyalty architecture.</w:t>
      </w:r>
    </w:p>
    <w:p>
      <w:pPr>
        <w:spacing w:after="100"/>
      </w:pPr>
      <w:r>
        <w:rPr>
          <w:rFonts w:ascii="Calibri" w:hAnsi="Calibri"/>
          <w:b w:val="0"/>
          <w:i w:val="0"/>
          <w:color w:val="1A1A1A"/>
          <w:sz w:val="20"/>
        </w:rPr>
        <w:t>Sariwon's fuel retail market reflects this regional pattern, with a structural divergence now visible between the market's two largest challengers and its incumbent leader, PetroNusa. Both challengers have built wallet-integrated loyalty propositions; PetroNusa has not. The gap is architectural rather than merely technological — it reflects a different theory of how loyalty creates customer value.</w:t>
      </w:r>
    </w:p>
    <w:p>
      <w:pPr>
        <w:spacing w:before="180" w:after="60"/>
      </w:pPr>
      <w:r>
        <w:rPr>
          <w:rFonts w:ascii="Calibri" w:hAnsi="Calibri"/>
          <w:b/>
          <w:i w:val="0"/>
          <w:color w:val="0B3C5D"/>
          <w:sz w:val="22"/>
        </w:rPr>
        <w:t>The Wallet Model in Sariwon</w:t>
      </w:r>
    </w:p>
    <w:p>
      <w:pPr>
        <w:spacing w:after="100"/>
      </w:pPr>
      <w:r>
        <w:rPr>
          <w:rFonts w:ascii="Calibri" w:hAnsi="Calibri"/>
          <w:b w:val="0"/>
          <w:i w:val="0"/>
          <w:color w:val="1A1A1A"/>
          <w:sz w:val="20"/>
        </w:rPr>
        <w:t xml:space="preserve">ArthaFuel and KhatuFuel, which together hold an estimated 39% of the Sariwon retail fuel market by volume, have both built their customer loyalty propositions around integrated mobile wallet platforms. In both cases the loyalty mechanic is not a programme layered on top of a payment product — it is embedded in the payment act itself. Members earn on every eligible transaction through a single account; redemption is available at the point of sale without a separate card or enrolment step. </w:t>
      </w:r>
      <w:r>
        <w:rPr>
          <w:rFonts w:ascii="Calibri" w:hAnsi="Calibri"/>
          <w:b/>
          <w:i w:val="0"/>
          <w:color w:val="1A1A1A"/>
          <w:sz w:val="20"/>
        </w:rPr>
        <w:t>Customer acquisition into the loyalty programme occurs through wallet sign-up: the loyalty membership and the payment credential are the same registration event.</w:t>
      </w:r>
    </w:p>
    <w:p>
      <w:pPr>
        <w:spacing w:after="100"/>
      </w:pPr>
      <w:r>
        <w:rPr>
          <w:rFonts w:ascii="Calibri" w:hAnsi="Calibri"/>
          <w:b w:val="0"/>
          <w:i w:val="0"/>
          <w:color w:val="1A1A1A"/>
          <w:sz w:val="20"/>
        </w:rPr>
        <w:t>ArthaFuel, with approximately 410 stations and an estimated 21% market share, has built its wallet proposition alongside a proprietary convenience retail format. Members earn across both fuel and in-station convenience spend in a single customer interaction, with the wallet serving as the unified account for both categories.</w:t>
      </w:r>
    </w:p>
    <w:p>
      <w:pPr>
        <w:spacing w:after="100"/>
      </w:pPr>
      <w:r>
        <w:rPr>
          <w:rFonts w:ascii="Calibri" w:hAnsi="Calibri"/>
          <w:b w:val="0"/>
          <w:i w:val="0"/>
          <w:color w:val="1A1A1A"/>
          <w:sz w:val="20"/>
        </w:rPr>
        <w:t>KhatuFuel, operating approximately 295 stations at an estimated 18% market share, has taken a partnership-led approach, linking its wallet proposition to a national convenience chain. Earn is enabled across the combined estate, extending the programme's daily relevance beyond the fuel occasion.</w:t>
      </w:r>
    </w:p>
    <w:p>
      <w:pPr>
        <w:spacing w:after="100"/>
      </w:pPr>
      <w:r>
        <w:rPr>
          <w:rFonts w:ascii="Calibri" w:hAnsi="Calibri"/>
          <w:b w:val="0"/>
          <w:i w:val="0"/>
          <w:color w:val="1A1A1A"/>
          <w:sz w:val="20"/>
        </w:rPr>
        <w:t>In both wallet-integrated models every fuel payment is a loyalty interaction: the member does not present a separate credential, and no distinct act of programme participation occurs. Neither operator publishes a membership figure that is separable from its wallet user base.</w:t>
      </w:r>
    </w:p>
    <w:p>
      <w:pPr>
        <w:spacing w:before="180" w:after="60"/>
      </w:pPr>
      <w:r>
        <w:rPr>
          <w:rFonts w:ascii="Calibri" w:hAnsi="Calibri"/>
          <w:b/>
          <w:i w:val="0"/>
          <w:color w:val="0B3C5D"/>
          <w:sz w:val="22"/>
        </w:rPr>
        <w:t>PetroNusa's Standalone Programme</w:t>
      </w:r>
    </w:p>
    <w:p>
      <w:pPr>
        <w:spacing w:after="100"/>
      </w:pPr>
      <w:r>
        <w:rPr>
          <w:rFonts w:ascii="Calibri" w:hAnsi="Calibri"/>
          <w:b w:val="0"/>
          <w:i w:val="0"/>
          <w:color w:val="1A1A1A"/>
          <w:sz w:val="20"/>
        </w:rPr>
        <w:t>PetroNusa operates its loyalty programme — PetroPoin, launched in 2016 — as a standalone points-on-litres proposition, independent of any payment product. Registration is through a plastic card or a phone number; points are earned on fuel volume and redeemable for free litres or partner coupons. The programme carries no mobile application and no payment integration. Participation requires the member to present a credential at the point of sale on each occasion.</w:t>
      </w:r>
    </w:p>
    <w:p>
      <w:pPr>
        <w:spacing w:after="100"/>
      </w:pPr>
      <w:r>
        <w:rPr>
          <w:rFonts w:ascii="Calibri" w:hAnsi="Calibri"/>
          <w:b w:val="0"/>
          <w:i w:val="0"/>
          <w:color w:val="1A1A1A"/>
          <w:sz w:val="20"/>
        </w:rPr>
        <w:t>PetroPoin's registered base of over two million members, of whom an estimated 600,000 transacted in the most recent twelve-month period, represents a material accumulated customer relationship that a wallet-first proposition would need years to replicate at equivalent scale. Whether that relationship is commercially usable depends on the state of the data attached to it, which this Monitor does not assess.</w:t>
      </w:r>
    </w:p>
    <w:p>
      <w:pPr>
        <w:spacing w:before="180" w:after="60"/>
      </w:pPr>
      <w:r>
        <w:rPr>
          <w:rFonts w:ascii="Calibri" w:hAnsi="Calibri"/>
          <w:b/>
          <w:i w:val="0"/>
          <w:color w:val="0B3C5D"/>
          <w:sz w:val="22"/>
        </w:rPr>
        <w:t>Benchmark Availability</w:t>
      </w:r>
    </w:p>
    <w:p>
      <w:pPr>
        <w:spacing w:after="100"/>
      </w:pPr>
      <w:r>
        <w:rPr>
          <w:rFonts w:ascii="Calibri" w:hAnsi="Calibri"/>
          <w:b w:val="0"/>
          <w:i w:val="0"/>
          <w:color w:val="1A1A1A"/>
          <w:sz w:val="20"/>
        </w:rPr>
        <w:t>This Monitor does not publish comparable active-rate or engagement-frequency series for standalone fuel loyalty programmes in the region. Coverage of standalone propositions has narrowed as the category has consolidated around wallet models: of the fourteen fuel retail loyalty propositions tracked in the Q4 2024 survey, three remain standalone, and none of the three publishes membership or activity data at a granularity permitting cross-operator comparison. Practitioners requiring standalone comparators are directed to primary sourcing.</w:t>
      </w:r>
    </w:p>
    <w:p>
      <w:pPr>
        <w:spacing w:before="180" w:after="60"/>
      </w:pPr>
      <w:r>
        <w:rPr>
          <w:rFonts w:ascii="Calibri" w:hAnsi="Calibri"/>
          <w:b/>
          <w:i w:val="0"/>
          <w:color w:val="0B3C5D"/>
          <w:sz w:val="22"/>
        </w:rPr>
        <w:t>Market Trajectory</w:t>
      </w:r>
    </w:p>
    <w:p>
      <w:pPr>
        <w:spacing w:after="100"/>
      </w:pPr>
      <w:r>
        <w:rPr>
          <w:rFonts w:ascii="Calibri" w:hAnsi="Calibri"/>
          <w:b w:val="0"/>
          <w:i w:val="0"/>
          <w:color w:val="1A1A1A"/>
          <w:sz w:val="20"/>
        </w:rPr>
        <w:t>The regional direction is clear: wallet-integrated loyalty is the model toward which the Southeast Asian fuel retail sector is converging. The question for operators still running standalone programmes is whether the standalone architecture represents a transitional state or a strategic endpoint, and what the path to integration looks like given the programme's existing member base, data infrastructure, and commercial relationships. That question is strategic in nature and sits beyond the scope of a current-state programme assessment.</w:t>
      </w:r>
    </w:p>
    <w:p>
      <w:pPr>
        <w:spacing w:before="200"/>
      </w:pPr>
      <w:r>
        <w:rPr>
          <w:i/>
          <w:color w:val="666666"/>
          <w:sz w:val="15"/>
        </w:rPr>
        <w:t>Reproduced from the Regional Downstream Intelligence Southeast Asia Fuel Retail Monitor, Q4 2024 (Volume 8, Issue 4), pages 14–15. All market share and network estimates are RDI figures derived from public operator disclosures, regulatory filings, and proprietary survey data and are subject to revision. Provided for informational purposes only. Reproduction requires prior written permission. © Regional Downstream Intelligence 2024.</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