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3B2E5A"/>
          </w:tcPr>
          <w:p>
            <w:pPr>
              <w:spacing w:before="40" w:after="40"/>
            </w:pPr>
            <w:r>
              <w:rPr>
                <w:rFonts w:ascii="Calibri" w:hAnsi="Calibri"/>
                <w:b/>
                <w:i w:val="0"/>
                <w:color w:val="FFFFFF"/>
                <w:sz w:val="18"/>
              </w:rPr>
              <w:t>VANTAGE STRATEGY   —   LOYALTY &amp; CUSTOMER PRACTICE   |   Point of View</w:t>
            </w:r>
          </w:p>
        </w:tc>
      </w:tr>
    </w:tbl>
    <w:p/>
    <w:p>
      <w:pPr>
        <w:spacing w:after="40"/>
      </w:pPr>
      <w:r>
        <w:rPr>
          <w:rFonts w:ascii="Calibri" w:hAnsi="Calibri"/>
          <w:b/>
          <w:i w:val="0"/>
          <w:color w:val="0B3C5D"/>
          <w:sz w:val="30"/>
        </w:rPr>
        <w:t>Comparing Across Loyalty Architectures</w:t>
      </w:r>
    </w:p>
    <w:p>
      <w:pPr>
        <w:spacing w:after="160"/>
      </w:pPr>
      <w:r>
        <w:rPr>
          <w:rFonts w:ascii="Calibri" w:hAnsi="Calibri"/>
          <w:b w:val="0"/>
          <w:i w:val="0"/>
          <w:color w:val="666666"/>
          <w:sz w:val="18"/>
        </w:rPr>
        <w:t>A practitioner method for benchmarking standalone programmes against wallet-integrated competitors  |  POV series, v3 — published February 2025</w:t>
      </w:r>
    </w:p>
    <w:p>
      <w:pPr>
        <w:spacing w:before="180" w:after="60"/>
      </w:pPr>
      <w:r>
        <w:rPr>
          <w:rFonts w:ascii="Calibri" w:hAnsi="Calibri"/>
          <w:b/>
          <w:i w:val="0"/>
          <w:color w:val="0B3C5D"/>
          <w:sz w:val="22"/>
        </w:rPr>
        <w:t>1. The problem practitioners keep hitting</w:t>
      </w:r>
    </w:p>
    <w:p>
      <w:pPr>
        <w:spacing w:after="100"/>
      </w:pPr>
      <w:r>
        <w:rPr>
          <w:rFonts w:ascii="Calibri" w:hAnsi="Calibri"/>
          <w:b w:val="0"/>
          <w:i w:val="0"/>
          <w:color w:val="1A1A1A"/>
          <w:sz w:val="20"/>
        </w:rPr>
        <w:t>Across Southeast Asia and increasingly in Latin America, loyalty benchmarking has become unreliable. The reason is architectural. Where a competitor's loyalty membership is created by the act of adopting a payment wallet, enrolment carries almost no friction: the member does not choose to join a loyalty programme, they choose to pay with a wallet and acquire the membership as a by-product. A standalone programme, by contrast, requires a deliberate enrolment and a credential presented at the point of sale.</w:t>
      </w:r>
    </w:p>
    <w:p>
      <w:pPr>
        <w:spacing w:after="100"/>
      </w:pPr>
      <w:r>
        <w:rPr>
          <w:rFonts w:ascii="Calibri" w:hAnsi="Calibri"/>
          <w:b w:val="0"/>
          <w:i w:val="0"/>
          <w:color w:val="1A1A1A"/>
          <w:sz w:val="20"/>
        </w:rPr>
        <w:t>The consequence is well known to anyone who has run the numbers. Raw active-member rates for wallet-integrated operators routinely run two to four times those of standalone programmes in the same market. Clients read that gap as a performance gap. It is not, or at least not entirely. Benchmarking the two on unadjusted active rate tells you about the architecture, not about the programme.</w:t>
      </w:r>
    </w:p>
    <w:p>
      <w:pPr>
        <w:spacing w:after="100"/>
      </w:pPr>
      <w:r>
        <w:rPr>
          <w:rFonts w:ascii="Calibri" w:hAnsi="Calibri"/>
          <w:b w:val="0"/>
          <w:i w:val="0"/>
          <w:color w:val="1A1A1A"/>
          <w:sz w:val="20"/>
        </w:rPr>
        <w:t>Most practitioners respond by abandoning cross-architecture comparison altogether and restricting themselves to standalone-versus-standalone benchmarks. In our view that is an over-correction that leaves the client without the comparison they actually asked for.</w:t>
      </w:r>
    </w:p>
    <w:p>
      <w:pPr>
        <w:spacing w:before="180" w:after="60"/>
      </w:pPr>
      <w:r>
        <w:rPr>
          <w:rFonts w:ascii="Calibri" w:hAnsi="Calibri"/>
          <w:b/>
          <w:i w:val="0"/>
          <w:color w:val="0B3C5D"/>
          <w:sz w:val="22"/>
        </w:rPr>
        <w:t>2. The normalisation method</w:t>
      </w:r>
    </w:p>
    <w:p>
      <w:pPr>
        <w:spacing w:after="100"/>
      </w:pPr>
      <w:r>
        <w:rPr>
          <w:rFonts w:ascii="Calibri" w:hAnsi="Calibri"/>
          <w:b w:val="0"/>
          <w:i w:val="0"/>
          <w:color w:val="1A1A1A"/>
          <w:sz w:val="20"/>
        </w:rPr>
        <w:t xml:space="preserve">Vantage applies an </w:t>
      </w:r>
      <w:r>
        <w:rPr>
          <w:rFonts w:ascii="Calibri" w:hAnsi="Calibri"/>
          <w:b/>
          <w:i w:val="0"/>
          <w:color w:val="1A1A1A"/>
          <w:sz w:val="20"/>
        </w:rPr>
        <w:t>architecture normalisation factor</w:t>
      </w:r>
      <w:r>
        <w:rPr>
          <w:rFonts w:ascii="Calibri" w:hAnsi="Calibri"/>
          <w:b w:val="0"/>
          <w:i w:val="0"/>
          <w:color w:val="1A1A1A"/>
          <w:sz w:val="20"/>
        </w:rPr>
        <w:t xml:space="preserve"> to make the two comparable. The method isolates the portion of the observed activity gap attributable to enrolment friction and removes it, leaving a residual that can be read as a genuine engagement difference.</w:t>
      </w:r>
    </w:p>
    <w:tbl>
      <w:tblPr>
        <w:tblStyle w:val="TableGrid"/>
        <w:tblW w:type="auto" w:w="0"/>
        <w:jc w:val="left"/>
        <w:tblLook w:firstColumn="1" w:firstRow="1" w:lastColumn="0" w:lastRow="0" w:noHBand="0" w:noVBand="1" w:val="04A0"/>
      </w:tblPr>
      <w:tblGrid>
        <w:gridCol w:w="4968"/>
        <w:gridCol w:w="4968"/>
      </w:tblGrid>
      <w:tr>
        <w:tc>
          <w:tcPr>
            <w:tcW w:type="dxa" w:w="2736"/>
            <w:shd w:val="clear" w:fill="0B3C5D"/>
          </w:tcPr>
          <w:p>
            <w:pPr>
              <w:spacing w:after="20" w:before="20"/>
            </w:pPr>
            <w:r>
              <w:rPr>
                <w:rFonts w:ascii="Calibri" w:hAnsi="Calibri"/>
                <w:b/>
                <w:i w:val="0"/>
                <w:color w:val="FFFFFF"/>
                <w:sz w:val="17"/>
              </w:rPr>
              <w:t>Step</w:t>
            </w:r>
          </w:p>
        </w:tc>
        <w:tc>
          <w:tcPr>
            <w:tcW w:type="dxa" w:w="7200"/>
            <w:shd w:val="clear" w:fill="0B3C5D"/>
          </w:tcPr>
          <w:p>
            <w:pPr>
              <w:spacing w:after="20" w:before="20"/>
            </w:pPr>
            <w:r>
              <w:rPr>
                <w:rFonts w:ascii="Calibri" w:hAnsi="Calibri"/>
                <w:b/>
                <w:i w:val="0"/>
                <w:color w:val="FFFFFF"/>
                <w:sz w:val="17"/>
              </w:rPr>
              <w:t>Method</w:t>
            </w:r>
          </w:p>
        </w:tc>
      </w:tr>
      <w:tr>
        <w:tc>
          <w:tcPr>
            <w:tcW w:type="dxa" w:w="2736"/>
          </w:tcPr>
          <w:p>
            <w:pPr>
              <w:spacing w:after="20" w:before="20"/>
            </w:pPr>
            <w:r>
              <w:rPr>
                <w:rFonts w:ascii="Calibri" w:hAnsi="Calibri"/>
                <w:b w:val="0"/>
                <w:i w:val="0"/>
                <w:color w:val="1A1A1A"/>
                <w:sz w:val="17"/>
              </w:rPr>
              <w:t>1  Establish market wallet penetration</w:t>
            </w:r>
          </w:p>
        </w:tc>
        <w:tc>
          <w:tcPr>
            <w:tcW w:type="dxa" w:w="7200"/>
          </w:tcPr>
          <w:p>
            <w:pPr>
              <w:spacing w:after="20" w:before="20"/>
            </w:pPr>
            <w:r>
              <w:rPr>
                <w:rFonts w:ascii="Calibri" w:hAnsi="Calibri"/>
                <w:b w:val="0"/>
                <w:i w:val="0"/>
                <w:color w:val="1A1A1A"/>
                <w:sz w:val="17"/>
              </w:rPr>
              <w:t>Share of the addressable customer population holding an active payment wallet from any provider in the market.</w:t>
            </w:r>
          </w:p>
        </w:tc>
      </w:tr>
      <w:tr>
        <w:tc>
          <w:tcPr>
            <w:tcW w:type="dxa" w:w="2736"/>
            <w:shd w:val="clear" w:fill="F2F5F7"/>
          </w:tcPr>
          <w:p>
            <w:pPr>
              <w:spacing w:after="20" w:before="20"/>
            </w:pPr>
            <w:r>
              <w:rPr>
                <w:rFonts w:ascii="Calibri" w:hAnsi="Calibri"/>
                <w:b w:val="0"/>
                <w:i w:val="0"/>
                <w:color w:val="1A1A1A"/>
                <w:sz w:val="17"/>
              </w:rPr>
              <w:t>2  Establish standalone enrolment penetration</w:t>
            </w:r>
          </w:p>
        </w:tc>
        <w:tc>
          <w:tcPr>
            <w:tcW w:type="dxa" w:w="7200"/>
            <w:shd w:val="clear" w:fill="F2F5F7"/>
          </w:tcPr>
          <w:p>
            <w:pPr>
              <w:spacing w:after="20" w:before="20"/>
            </w:pPr>
            <w:r>
              <w:rPr>
                <w:rFonts w:ascii="Calibri" w:hAnsi="Calibri"/>
                <w:b w:val="0"/>
                <w:i w:val="0"/>
                <w:color w:val="1A1A1A"/>
                <w:sz w:val="17"/>
              </w:rPr>
              <w:t>Share of the same population enrolled in at least one standalone loyalty programme in the category.</w:t>
            </w:r>
          </w:p>
        </w:tc>
      </w:tr>
      <w:tr>
        <w:tc>
          <w:tcPr>
            <w:tcW w:type="dxa" w:w="2736"/>
          </w:tcPr>
          <w:p>
            <w:pPr>
              <w:spacing w:after="20" w:before="20"/>
            </w:pPr>
            <w:r>
              <w:rPr>
                <w:rFonts w:ascii="Calibri" w:hAnsi="Calibri"/>
                <w:b w:val="0"/>
                <w:i w:val="0"/>
                <w:color w:val="1A1A1A"/>
                <w:sz w:val="17"/>
              </w:rPr>
              <w:t>3  Derive the friction coefficient</w:t>
            </w:r>
          </w:p>
        </w:tc>
        <w:tc>
          <w:tcPr>
            <w:tcW w:type="dxa" w:w="7200"/>
          </w:tcPr>
          <w:p>
            <w:pPr>
              <w:spacing w:after="20" w:before="20"/>
            </w:pPr>
            <w:r>
              <w:rPr>
                <w:rFonts w:ascii="Calibri" w:hAnsi="Calibri"/>
                <w:b w:val="0"/>
                <w:i w:val="0"/>
                <w:color w:val="1A1A1A"/>
                <w:sz w:val="17"/>
              </w:rPr>
              <w:t>Ratio of (1) to (2). This is the enrolment-friction multiple: how much easier the wallet architecture makes acquisition.</w:t>
            </w:r>
          </w:p>
        </w:tc>
      </w:tr>
      <w:tr>
        <w:tc>
          <w:tcPr>
            <w:tcW w:type="dxa" w:w="2736"/>
            <w:shd w:val="clear" w:fill="F2F5F7"/>
          </w:tcPr>
          <w:p>
            <w:pPr>
              <w:spacing w:after="20" w:before="20"/>
            </w:pPr>
            <w:r>
              <w:rPr>
                <w:rFonts w:ascii="Calibri" w:hAnsi="Calibri"/>
                <w:b w:val="0"/>
                <w:i w:val="0"/>
                <w:color w:val="1A1A1A"/>
                <w:sz w:val="17"/>
              </w:rPr>
              <w:t>4  Apply to the competitor</w:t>
            </w:r>
          </w:p>
        </w:tc>
        <w:tc>
          <w:tcPr>
            <w:tcW w:type="dxa" w:w="7200"/>
            <w:shd w:val="clear" w:fill="F2F5F7"/>
          </w:tcPr>
          <w:p>
            <w:pPr>
              <w:spacing w:after="20" w:before="20"/>
            </w:pPr>
            <w:r>
              <w:rPr>
                <w:rFonts w:ascii="Calibri" w:hAnsi="Calibri"/>
                <w:b w:val="0"/>
                <w:i w:val="0"/>
                <w:color w:val="1A1A1A"/>
                <w:sz w:val="17"/>
              </w:rPr>
              <w:t>Divide the wallet operator’s observed active rate by the friction coefficient to yield a friction-adjusted active rate.</w:t>
            </w:r>
          </w:p>
        </w:tc>
      </w:tr>
      <w:tr>
        <w:tc>
          <w:tcPr>
            <w:tcW w:type="dxa" w:w="2736"/>
          </w:tcPr>
          <w:p>
            <w:pPr>
              <w:spacing w:after="20" w:before="20"/>
            </w:pPr>
            <w:r>
              <w:rPr>
                <w:rFonts w:ascii="Calibri" w:hAnsi="Calibri"/>
                <w:b w:val="0"/>
                <w:i w:val="0"/>
                <w:color w:val="1A1A1A"/>
                <w:sz w:val="17"/>
              </w:rPr>
              <w:t>5  Compare</w:t>
            </w:r>
          </w:p>
        </w:tc>
        <w:tc>
          <w:tcPr>
            <w:tcW w:type="dxa" w:w="7200"/>
          </w:tcPr>
          <w:p>
            <w:pPr>
              <w:spacing w:after="20" w:before="20"/>
            </w:pPr>
            <w:r>
              <w:rPr>
                <w:rFonts w:ascii="Calibri" w:hAnsi="Calibri"/>
                <w:b w:val="0"/>
                <w:i w:val="0"/>
                <w:color w:val="1A1A1A"/>
                <w:sz w:val="17"/>
              </w:rPr>
              <w:t>The friction-adjusted rate and the standalone operator’s observed rate may then be placed side by side.</w:t>
            </w:r>
          </w:p>
        </w:tc>
      </w:tr>
    </w:tbl>
    <w:p>
      <w:pPr>
        <w:spacing w:after="40"/>
      </w:pPr>
    </w:p>
    <w:p>
      <w:pPr>
        <w:spacing w:before="180" w:after="60"/>
      </w:pPr>
      <w:r>
        <w:rPr>
          <w:rFonts w:ascii="Calibri" w:hAnsi="Calibri"/>
          <w:b/>
          <w:i w:val="0"/>
          <w:color w:val="0B3C5D"/>
          <w:sz w:val="22"/>
        </w:rPr>
        <w:t>3. Worked example — a Southeast Asian fuel retail market</w:t>
      </w:r>
    </w:p>
    <w:p>
      <w:pPr>
        <w:spacing w:after="100"/>
      </w:pPr>
      <w:r>
        <w:rPr>
          <w:rFonts w:ascii="Calibri" w:hAnsi="Calibri"/>
          <w:b w:val="0"/>
          <w:i w:val="0"/>
          <w:color w:val="1A1A1A"/>
          <w:sz w:val="20"/>
        </w:rPr>
        <w:t>In one recent engagement the wallet-integrated challenger reported an active rate of 61% against the incumbent's standalone 24%. Market wallet penetration stood at 54% against standalone category enrolment of 21%, giving a friction coefficient of 2.57. The challenger's friction-adjusted active rate was therefore 23.7% — effectively level with the incumbent. The headline three-fold gap resolved almost entirely to architecture. The incumbent's board, which had been briefed that the programme was failing, took a materially different decision on the back of that single adjustment.</w:t>
      </w:r>
    </w:p>
    <w:p>
      <w:pPr>
        <w:spacing w:before="180" w:after="60"/>
      </w:pPr>
      <w:r>
        <w:rPr>
          <w:rFonts w:ascii="Calibri" w:hAnsi="Calibri"/>
          <w:b/>
          <w:i w:val="0"/>
          <w:color w:val="0B3C5D"/>
          <w:sz w:val="22"/>
        </w:rPr>
        <w:t>4. Where the method applies</w:t>
      </w:r>
    </w:p>
    <w:p>
      <w:pPr>
        <w:spacing w:after="100"/>
      </w:pPr>
      <w:r>
        <w:rPr>
          <w:rFonts w:ascii="Calibri" w:hAnsi="Calibri"/>
          <w:b w:val="0"/>
          <w:i w:val="0"/>
          <w:color w:val="1A1A1A"/>
          <w:sz w:val="20"/>
        </w:rPr>
        <w:t>The normalisation requires market-level wallet and category-enrolment penetration data, typically from a syndicated consumer panel. Where those two inputs are available, we recommend the adjusted comparison be presented alongside the raw figures rather than in place of them, so the client can see both the observed and the architecture-corrected position.</w:t>
      </w:r>
    </w:p>
    <w:p>
      <w:pPr>
        <w:spacing w:after="100"/>
      </w:pPr>
      <w:r>
        <w:rPr>
          <w:rFonts w:ascii="Calibri" w:hAnsi="Calibri"/>
          <w:b w:val="0"/>
          <w:i w:val="0"/>
          <w:color w:val="1A1A1A"/>
          <w:sz w:val="20"/>
        </w:rPr>
        <w:t>Vantage has applied this method in eleven engagements since 2022 across fuel retail, grocery and pharmacy.</w:t>
      </w:r>
    </w:p>
    <w:p>
      <w:pPr>
        <w:spacing w:before="200"/>
      </w:pPr>
      <w:r>
        <w:rPr>
          <w:i/>
          <w:color w:val="666666"/>
          <w:sz w:val="15"/>
        </w:rPr>
        <w:t>Vantage Strategy — Loyalty &amp; Customer Practice  |  Point of View series v3, February 2025  |  Published. Distribution unrestricted.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