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val="0"/>
          <w:i w:val="0"/>
          <w:color w:val="595959"/>
          <w:sz w:val="15"/>
        </w:rPr>
        <w:t xml:space="preserve">AURELIAN &amp; CO   |   CONFIDENTIAL   |   DRAFT – pending Marcus Whelan review</w:t>
      </w:r>
    </w:p>
    <w:p>
      <w:pPr>
        <w:spacing w:after="20"/>
      </w:pPr>
      <w:r>
        <w:rPr>
          <w:b/>
          <w:color w:val="1F3864"/>
          <w:sz w:val="30"/>
        </w:rPr>
        <w:t>Sourcing Recommendation — P13 Digital Wallet</w:t>
      </w:r>
    </w:p>
    <w:p>
      <w:pPr>
        <w:spacing w:before="0" w:after="80"/>
      </w:pPr>
      <w:r>
        <w:rPr>
          <w:b w:val="0"/>
          <w:i w:val="0"/>
          <w:color w:val="595959"/>
          <w:sz w:val="17"/>
        </w:rPr>
        <w:t xml:space="preserve">PetroNusa — Objective D, Payments and Loyalty  |  Build vs. Partner vs. Hybrid  |  All figures SRP bn unless stated</w:t>
      </w:r>
    </w:p>
    <w:p>
      <w:pPr>
        <w:spacing w:before="0" w:after="40"/>
      </w:pPr>
      <w:r>
        <w:rPr>
          <w:b w:val="0"/>
          <w:i w:val="0"/>
          <w:sz w:val="17"/>
        </w:rPr>
        <w:t xml:space="preserve">To: Hendra Wijaya, CFO — PetroNusa      From: Citra Widyastuti, Aurelian &amp; Co      Date: 10 June 2025</w:t>
      </w:r>
    </w:p>
    <w:p>
      <w:pPr>
        <w:spacing w:before="0" w:after="120"/>
      </w:pPr>
      <w:r>
        <w:rPr>
          <w:b w:val="0"/>
          <w:i w:val="0"/>
          <w:sz w:val="17"/>
        </w:rPr>
        <w:t>Re: Sourcing economics for the wallet platform — recommendation, and a correction to the revenue case</w:t>
      </w:r>
    </w:p>
    <w:tbl>
      <w:tblPr>
        <w:tblStyle w:val="TableGrid"/>
        <w:tblW w:type="auto" w:w="0"/>
        <w:jc w:val="center"/>
        <w:tblLook w:firstColumn="1" w:firstRow="1" w:lastColumn="0" w:lastRow="0" w:noHBand="0" w:noVBand="1" w:val="04A0"/>
      </w:tblPr>
      <w:tblGrid>
        <w:gridCol w:w="9858"/>
      </w:tblGrid>
      <w:tr>
        <w:tc>
          <w:tcPr>
            <w:tcW w:type="dxa" w:w="9858"/>
            <w:shd w:val="clear" w:fill="EAF0F8"/>
          </w:tcPr>
          <w:p>
            <w:pPr>
              <w:spacing w:after="60" w:before="40"/>
            </w:pPr>
            <w:r/>
            <w:r>
              <w:rPr>
                <w:b/>
                <w:sz w:val="17"/>
              </w:rPr>
              <w:t>RECOMMENDATION</w:t>
            </w:r>
          </w:p>
          <w:p>
            <w:pPr>
              <w:spacing w:after="60" w:before="40"/>
            </w:pPr>
            <w:r>
              <w:rPr>
                <w:b/>
                <w:sz w:val="19"/>
              </w:rPr>
              <w:t>Build in house — but as a gated commitment, not the unconditional programme the SRP 180–200bn framing implies. The gates are the adopter mix, a delivery capability PetroNusa does not yet have, and an end-of-Year-1 adoption test with the FinTechPartnerA term sheet kept live as the fallback.</w:t>
            </w:r>
          </w:p>
          <w:p>
            <w:pPr>
              <w:spacing w:after="60" w:before="40"/>
            </w:pPr>
            <w:r>
              <w:rPr>
                <w:b w:val="0"/>
                <w:sz w:val="19"/>
              </w:rPr>
              <w:t xml:space="preserve">The recommendation matters less than the number behind it. The revenue case in the working model is overstated roughly 2.7x, because it credits every wallet transaction with the margin earned on a customer converting from cash. Corrected, the wallet is a </w:t>
            </w:r>
            <w:r>
              <w:rPr>
                <w:b/>
                <w:sz w:val="19"/>
              </w:rPr>
              <w:t>marginal</w:t>
            </w:r>
            <w:r>
              <w:rPr>
                <w:b w:val="0"/>
                <w:sz w:val="19"/>
              </w:rPr>
              <w:t xml:space="preserve"> bet at base adoption — 55 / 25 / 23 for build / partner / hybrid, not 436 / 469 / 467 — and the whole ranking inverts: the working model put build worst on value and the two fast-to-market paths ahead of it, and that was an artefact of the overstated benefit. Build now leads, but by less than the swing from a single input nobody has validated. The case is therefore made on execution risk rather than on the gap, and gated accordingly.</w:t>
            </w:r>
          </w:p>
        </w:tc>
      </w:tr>
    </w:tbl>
    <w:p>
      <w:pPr>
        <w:keepNext/>
        <w:spacing w:before="180" w:after="60"/>
      </w:pPr>
      <w:r>
        <w:rPr>
          <w:b/>
          <w:color w:val="1F3864"/>
          <w:sz w:val="21"/>
        </w:rPr>
        <w:t>1.  The benefit is mis-based, and then mis-weighted</w:t>
      </w:r>
    </w:p>
    <w:p>
      <w:pPr>
        <w:spacing w:before="0" w:after="100"/>
      </w:pPr>
      <w:r>
        <w:rPr>
          <w:b w:val="0"/>
          <w:i w:val="0"/>
          <w:sz w:val="19"/>
        </w:rPr>
        <w:t xml:space="preserve">The revenue model credits </w:t>
      </w:r>
      <w:r>
        <w:rPr>
          <w:b/>
          <w:i w:val="0"/>
          <w:sz w:val="19"/>
        </w:rPr>
        <w:t>SRP 950 of incremental fuel margin on every wallet transaction</w:t>
      </w:r>
      <w:r>
        <w:rPr>
          <w:b w:val="0"/>
          <w:i w:val="0"/>
          <w:sz w:val="19"/>
        </w:rPr>
        <w:t>. That produces NPVs of 436 / 469 / 467 for build / partner / hybrid and the tidy story that build is cheapest on cost but worst on value. Every figure in it reconciles. The basis is wrong twice over.</w:t>
      </w:r>
    </w:p>
    <w:p>
      <w:pPr>
        <w:spacing w:before="0" w:after="100"/>
      </w:pPr>
      <w:r>
        <w:rPr>
          <w:b/>
          <w:i w:val="0"/>
          <w:sz w:val="19"/>
        </w:rPr>
        <w:t>First, the margin is a cash-conversion figure.</w:t>
      </w:r>
      <w:r>
        <w:rPr>
          <w:b w:val="0"/>
          <w:i w:val="0"/>
          <w:sz w:val="19"/>
        </w:rPr>
        <w:t xml:space="preserve"> SRP 950 is the Aurelian benchmark median measured against customers switching </w:t>
      </w:r>
      <w:r>
        <w:rPr>
          <w:b w:val="0"/>
          <w:i/>
          <w:sz w:val="19"/>
        </w:rPr>
        <w:t>from cash</w:t>
      </w:r>
      <w:r>
        <w:rPr>
          <w:b w:val="0"/>
          <w:i w:val="0"/>
          <w:sz w:val="19"/>
        </w:rPr>
        <w:t xml:space="preserve"> — it is a basket, churn and cross-sell step-change that only a cash payer can deliver. A customer already paying by SariQR or card who moves to the wallet is worth </w:t>
      </w:r>
      <w:r>
        <w:rPr>
          <w:b/>
          <w:i w:val="0"/>
          <w:sz w:val="19"/>
        </w:rPr>
        <w:t>SRP 180</w:t>
      </w:r>
      <w:r>
        <w:rPr>
          <w:b w:val="0"/>
          <w:i w:val="0"/>
          <w:sz w:val="19"/>
        </w:rPr>
        <w:t>. The adopter source-mix says most adopters are the second kind: on the management projection, 70% of them already transact digitally.</w:t>
      </w:r>
    </w:p>
    <w:p>
      <w:pPr>
        <w:spacing w:before="0" w:after="100"/>
      </w:pPr>
      <w:r>
        <w:rPr>
          <w:b/>
          <w:i w:val="0"/>
          <w:sz w:val="19"/>
        </w:rPr>
        <w:t>Second, the mix is a mix of customers, and the benefit accrues per transaction.</w:t>
      </w:r>
      <w:r>
        <w:rPr>
          <w:b w:val="0"/>
          <w:i w:val="0"/>
          <w:sz w:val="19"/>
        </w:rPr>
        <w:t xml:space="preserve"> Weighting the two margins by adopter share gives SRP 411. But cash customers transact 8.4 times a year and existing-digital customers 12.6 to 13.1 (P10 customer panel), so 30% of adopters are only </w:t>
      </w:r>
      <w:r>
        <w:rPr>
          <w:b/>
          <w:i w:val="0"/>
          <w:sz w:val="19"/>
        </w:rPr>
        <w:t>21.6% of transactions</w:t>
      </w:r>
      <w:r>
        <w:rPr>
          <w:b w:val="0"/>
          <w:i w:val="0"/>
          <w:sz w:val="19"/>
        </w:rPr>
        <w:t xml:space="preserve">. Transaction-weighted, the blended margin is </w:t>
      </w:r>
      <w:r>
        <w:rPr>
          <w:b/>
          <w:i w:val="0"/>
          <w:sz w:val="19"/>
        </w:rPr>
        <w:t>SRP 347/txn</w:t>
      </w:r>
      <w:r>
        <w:rPr>
          <w:b w:val="0"/>
          <w:i w:val="0"/>
          <w:sz w:val="19"/>
        </w:rPr>
        <w:t xml:space="preserve"> — the model basis — and the working method overstates the benefit by 2.7x, not 2.3x.</w:t>
      </w:r>
    </w:p>
    <w:p>
      <w:pPr>
        <w:spacing w:before="0" w:after="100"/>
      </w:pPr>
      <w:r>
        <w:rPr>
          <w:b w:val="0"/>
          <w:i w:val="0"/>
          <w:sz w:val="18"/>
        </w:rPr>
        <w:t>We have not used the SRP 650 placeholder in the working file. It points the right way but is a round-number haircut taken for the DODO readiness drag — and that drag is already inside the adoption ramp, so the haircut double-counts it. At 650 they land at 246 / 248 / 246 — four to ten times the corrected answer, depending on the path.</w:t>
      </w:r>
    </w:p>
    <w:p>
      <w:pPr>
        <w:keepNext/>
        <w:spacing w:before="180" w:after="60"/>
      </w:pPr>
      <w:r>
        <w:rPr>
          <w:b/>
          <w:color w:val="1F3864"/>
          <w:sz w:val="21"/>
        </w:rPr>
        <w:t>2.  What the correction changes</w:t>
      </w:r>
    </w:p>
    <w:p>
      <w:pPr>
        <w:spacing w:before="0" w:after="100"/>
      </w:pPr>
      <w:r>
        <w:rPr>
          <w:b/>
          <w:i w:val="0"/>
          <w:sz w:val="19"/>
        </w:rPr>
        <w:t>The case is marginal, not merely thin.</w:t>
      </w:r>
      <w:r>
        <w:rPr>
          <w:b w:val="0"/>
          <w:i w:val="0"/>
          <w:sz w:val="19"/>
        </w:rPr>
        <w:t xml:space="preserve"> Right-sized on the management mix, base-case NPVs are 55 (build), 25 (partner) and 23 (hybrid) — all small against a five-year benefit stream worth about 220 in present value. The wallet does not pay for itself out of fuel margin at base adoption; it earns its place on adoption upside and on strategic positioning against ArthaFuel, and it should be put to the board on that basis rather than on a headline NPV.</w:t>
      </w:r>
    </w:p>
    <w:p>
      <w:pPr>
        <w:spacing w:before="0" w:after="100"/>
      </w:pPr>
      <w:r>
        <w:rPr>
          <w:b/>
          <w:i w:val="0"/>
          <w:sz w:val="19"/>
        </w:rPr>
        <w:t>Build is not the worst path on value — it is the best of the three, and hybrid is not the cheap hedge the working model made it look.</w:t>
      </w:r>
      <w:r>
        <w:rPr>
          <w:b w:val="0"/>
          <w:i w:val="0"/>
          <w:sz w:val="19"/>
        </w:rPr>
        <w:t xml:space="preserve"> Build's worst-on-NPV appearance was an artefact of the overstated benefit: a fatter benefit makes the 18-month delay cost more, and the foregone benefit over that delay falls from 103 to </w:t>
      </w:r>
      <w:r>
        <w:rPr>
          <w:b/>
          <w:i w:val="0"/>
          <w:sz w:val="19"/>
        </w:rPr>
        <w:t>37</w:t>
      </w:r>
      <w:r>
        <w:rPr>
          <w:b w:val="0"/>
          <w:i w:val="0"/>
          <w:sz w:val="19"/>
        </w:rPr>
        <w:t xml:space="preserve"> once the margin is corrected. Hybrid moves the other way: phased against the same 18–24 month build assumption it pays partner fees and build costs together for three years, which puts it at </w:t>
      </w:r>
      <w:r>
        <w:rPr>
          <w:b/>
          <w:i w:val="0"/>
          <w:sz w:val="19"/>
        </w:rPr>
        <w:t>320.3</w:t>
      </w:r>
      <w:r>
        <w:rPr>
          <w:b w:val="0"/>
          <w:i w:val="0"/>
          <w:sz w:val="19"/>
        </w:rPr>
        <w:t xml:space="preserve"> undiscounted — the most expensive path in the pack — for an NPV of 23, last of the three. On cost the build itself lands at 224.2 against the SRP 180–200bn range in your note, 12% to 25% above it, before the 40% Year-1 PCI overrun one comparable in the benchmark set recorded.</w:t>
      </w:r>
    </w:p>
    <w:p>
      <w:pPr>
        <w:spacing w:before="0" w:after="100"/>
      </w:pPr>
      <w:r>
        <w:rPr>
          <w:b/>
          <w:i w:val="0"/>
          <w:sz w:val="19"/>
        </w:rPr>
        <w:t>The breakeven statement reverses.</w:t>
      </w:r>
      <w:r>
        <w:rPr>
          <w:b w:val="0"/>
          <w:i w:val="0"/>
          <w:sz w:val="19"/>
        </w:rPr>
        <w:t xml:space="preserve"> On the working method, build overtakes partner only above 21.8% Year-3 penetration — above the base case. On the corrected basis it overtakes at </w:t>
      </w:r>
      <w:r>
        <w:rPr>
          <w:b/>
          <w:i w:val="0"/>
          <w:sz w:val="19"/>
        </w:rPr>
        <w:t>13.9%</w:t>
      </w:r>
      <w:r>
        <w:rPr>
          <w:b w:val="0"/>
          <w:i w:val="0"/>
          <w:sz w:val="19"/>
        </w:rPr>
        <w:t>, below base and close to the low scenario. The same model says build trails everywhere and build leads almost everywhere, depending only on which margin you feed it.</w:t>
      </w:r>
    </w:p>
    <w:tbl>
      <w:tblPr>
        <w:tblStyle w:val="TableGrid"/>
        <w:tblW w:type="auto" w:w="0"/>
        <w:tblLayout w:type="fixed"/>
        <w:tblLook w:firstColumn="1" w:firstRow="1" w:lastColumn="0" w:lastRow="0" w:noHBand="0" w:noVBand="1" w:val="04A0"/>
        <w:tblLayout w:type="fixed"/>
      </w:tblPr>
      <w:tblGrid>
        <w:gridCol w:w="2464"/>
        <w:gridCol w:w="2464"/>
        <w:gridCol w:w="2464"/>
        <w:gridCol w:w="2464"/>
      </w:tblGrid>
      <w:tr>
        <w:tc>
          <w:tcPr>
            <w:tcW w:type="dxa" w:w="3742"/>
            <w:shd w:val="clear" w:fill="1F3864"/>
          </w:tcPr>
          <w:p>
            <w:pPr>
              <w:spacing w:after="20" w:before="20"/>
            </w:pPr>
            <w:r/>
            <w:r>
              <w:rPr>
                <w:b/>
                <w:color w:val="FFFFFF"/>
                <w:sz w:val="17"/>
              </w:rPr>
              <w:t>SRP bn</w:t>
            </w:r>
          </w:p>
        </w:tc>
        <w:tc>
          <w:tcPr>
            <w:tcW w:type="dxa" w:w="1871"/>
            <w:shd w:val="clear" w:fill="1F3864"/>
          </w:tcPr>
          <w:p>
            <w:pPr>
              <w:spacing w:after="20" w:before="20"/>
              <w:jc w:val="right"/>
            </w:pPr>
            <w:r/>
            <w:r>
              <w:rPr>
                <w:b/>
                <w:color w:val="FFFFFF"/>
                <w:sz w:val="17"/>
              </w:rPr>
              <w:t>Build</w:t>
            </w:r>
          </w:p>
        </w:tc>
        <w:tc>
          <w:tcPr>
            <w:tcW w:type="dxa" w:w="1871"/>
            <w:shd w:val="clear" w:fill="1F3864"/>
          </w:tcPr>
          <w:p>
            <w:pPr>
              <w:spacing w:after="20" w:before="20"/>
              <w:jc w:val="right"/>
            </w:pPr>
            <w:r/>
            <w:r>
              <w:rPr>
                <w:b/>
                <w:color w:val="FFFFFF"/>
                <w:sz w:val="17"/>
              </w:rPr>
              <w:t>Partner</w:t>
            </w:r>
          </w:p>
        </w:tc>
        <w:tc>
          <w:tcPr>
            <w:tcW w:type="dxa" w:w="1871"/>
            <w:shd w:val="clear" w:fill="1F3864"/>
          </w:tcPr>
          <w:p>
            <w:pPr>
              <w:spacing w:after="20" w:before="20"/>
              <w:jc w:val="right"/>
            </w:pPr>
            <w:r/>
            <w:r>
              <w:rPr>
                <w:b/>
                <w:color w:val="FFFFFF"/>
                <w:sz w:val="17"/>
              </w:rPr>
              <w:t>Hybrid</w:t>
            </w:r>
          </w:p>
        </w:tc>
      </w:tr>
      <w:tr>
        <w:tc>
          <w:tcPr>
            <w:tcW w:type="dxa" w:w="3742"/>
          </w:tcPr>
          <w:p>
            <w:pPr>
              <w:spacing w:after="20" w:before="20"/>
            </w:pPr>
            <w:r/>
            <w:r>
              <w:rPr>
                <w:b w:val="0"/>
                <w:sz w:val="17"/>
              </w:rPr>
              <w:t>5yr TCO (undiscounted)</w:t>
            </w:r>
          </w:p>
        </w:tc>
        <w:tc>
          <w:tcPr>
            <w:tcW w:type="dxa" w:w="1871"/>
          </w:tcPr>
          <w:p>
            <w:pPr>
              <w:spacing w:after="20" w:before="20"/>
              <w:jc w:val="right"/>
            </w:pPr>
            <w:r/>
            <w:r>
              <w:rPr>
                <w:b w:val="0"/>
                <w:sz w:val="17"/>
              </w:rPr>
              <w:t>224.2</w:t>
            </w:r>
          </w:p>
        </w:tc>
        <w:tc>
          <w:tcPr>
            <w:tcW w:type="dxa" w:w="1871"/>
          </w:tcPr>
          <w:p>
            <w:pPr>
              <w:spacing w:after="20" w:before="20"/>
              <w:jc w:val="right"/>
            </w:pPr>
            <w:r/>
            <w:r>
              <w:rPr>
                <w:b w:val="0"/>
                <w:sz w:val="17"/>
              </w:rPr>
              <w:t>349.0</w:t>
            </w:r>
          </w:p>
        </w:tc>
        <w:tc>
          <w:tcPr>
            <w:tcW w:type="dxa" w:w="1871"/>
          </w:tcPr>
          <w:p>
            <w:pPr>
              <w:spacing w:after="20" w:before="20"/>
              <w:jc w:val="right"/>
            </w:pPr>
            <w:r/>
            <w:r>
              <w:rPr>
                <w:b w:val="0"/>
                <w:sz w:val="17"/>
              </w:rPr>
              <w:t>320.3</w:t>
            </w:r>
          </w:p>
        </w:tc>
      </w:tr>
      <w:tr>
        <w:tc>
          <w:tcPr>
            <w:tcW w:type="dxa" w:w="3742"/>
          </w:tcPr>
          <w:p>
            <w:pPr>
              <w:spacing w:after="20" w:before="20"/>
            </w:pPr>
            <w:r/>
            <w:r>
              <w:rPr>
                <w:b w:val="0"/>
                <w:sz w:val="17"/>
              </w:rPr>
              <w:t>5yr TCO (PV @ 12.5%)</w:t>
            </w:r>
          </w:p>
        </w:tc>
        <w:tc>
          <w:tcPr>
            <w:tcW w:type="dxa" w:w="1871"/>
          </w:tcPr>
          <w:p>
            <w:pPr>
              <w:spacing w:after="20" w:before="20"/>
              <w:jc w:val="right"/>
            </w:pPr>
            <w:r/>
            <w:r>
              <w:rPr>
                <w:b w:val="0"/>
                <w:sz w:val="17"/>
              </w:rPr>
              <w:t>164.6</w:t>
            </w:r>
          </w:p>
        </w:tc>
        <w:tc>
          <w:tcPr>
            <w:tcW w:type="dxa" w:w="1871"/>
          </w:tcPr>
          <w:p>
            <w:pPr>
              <w:spacing w:after="20" w:before="20"/>
              <w:jc w:val="right"/>
            </w:pPr>
            <w:r/>
            <w:r>
              <w:rPr>
                <w:b w:val="0"/>
                <w:sz w:val="17"/>
              </w:rPr>
              <w:t>230.4</w:t>
            </w:r>
          </w:p>
        </w:tc>
        <w:tc>
          <w:tcPr>
            <w:tcW w:type="dxa" w:w="1871"/>
          </w:tcPr>
          <w:p>
            <w:pPr>
              <w:spacing w:after="20" w:before="20"/>
              <w:jc w:val="right"/>
            </w:pPr>
            <w:r/>
            <w:r>
              <w:rPr>
                <w:b w:val="0"/>
                <w:sz w:val="17"/>
              </w:rPr>
              <w:t>231.7</w:t>
            </w:r>
          </w:p>
        </w:tc>
      </w:tr>
      <w:tr>
        <w:tc>
          <w:tcPr>
            <w:tcW w:type="dxa" w:w="3742"/>
          </w:tcPr>
          <w:p>
            <w:pPr>
              <w:spacing w:after="20" w:before="20"/>
            </w:pPr>
            <w:r/>
            <w:r>
              <w:rPr>
                <w:b w:val="0"/>
                <w:sz w:val="17"/>
              </w:rPr>
              <w:t>NPV — working method (950)</w:t>
            </w:r>
          </w:p>
        </w:tc>
        <w:tc>
          <w:tcPr>
            <w:tcW w:type="dxa" w:w="1871"/>
          </w:tcPr>
          <w:p>
            <w:pPr>
              <w:spacing w:after="20" w:before="20"/>
              <w:jc w:val="right"/>
            </w:pPr>
            <w:r/>
            <w:r>
              <w:rPr>
                <w:b w:val="0"/>
                <w:sz w:val="17"/>
              </w:rPr>
              <w:t>436.2</w:t>
            </w:r>
          </w:p>
        </w:tc>
        <w:tc>
          <w:tcPr>
            <w:tcW w:type="dxa" w:w="1871"/>
          </w:tcPr>
          <w:p>
            <w:pPr>
              <w:spacing w:after="20" w:before="20"/>
              <w:jc w:val="right"/>
            </w:pPr>
            <w:r/>
            <w:r>
              <w:rPr>
                <w:b w:val="0"/>
                <w:sz w:val="17"/>
              </w:rPr>
              <w:t>468.5</w:t>
            </w:r>
          </w:p>
        </w:tc>
        <w:tc>
          <w:tcPr>
            <w:tcW w:type="dxa" w:w="1871"/>
          </w:tcPr>
          <w:p>
            <w:pPr>
              <w:spacing w:after="20" w:before="20"/>
              <w:jc w:val="right"/>
            </w:pPr>
            <w:r/>
            <w:r>
              <w:rPr>
                <w:b w:val="0"/>
                <w:sz w:val="17"/>
              </w:rPr>
              <w:t>467.3</w:t>
            </w:r>
          </w:p>
        </w:tc>
      </w:tr>
      <w:tr>
        <w:tc>
          <w:tcPr>
            <w:tcW w:type="dxa" w:w="3742"/>
            <w:shd w:val="clear" w:fill="E2EFDA"/>
          </w:tcPr>
          <w:p>
            <w:pPr>
              <w:spacing w:after="20" w:before="20"/>
            </w:pPr>
            <w:r/>
            <w:r>
              <w:rPr>
                <w:b/>
                <w:sz w:val="17"/>
              </w:rPr>
              <w:t>NPV — corrected basis (347)</w:t>
            </w:r>
          </w:p>
        </w:tc>
        <w:tc>
          <w:tcPr>
            <w:tcW w:type="dxa" w:w="1871"/>
            <w:shd w:val="clear" w:fill="E2EFDA"/>
          </w:tcPr>
          <w:p>
            <w:pPr>
              <w:spacing w:after="20" w:before="20"/>
              <w:jc w:val="right"/>
            </w:pPr>
            <w:r/>
            <w:r>
              <w:rPr>
                <w:b/>
                <w:sz w:val="17"/>
              </w:rPr>
              <w:t>54.7</w:t>
            </w:r>
          </w:p>
        </w:tc>
        <w:tc>
          <w:tcPr>
            <w:tcW w:type="dxa" w:w="1871"/>
            <w:shd w:val="clear" w:fill="E2EFDA"/>
          </w:tcPr>
          <w:p>
            <w:pPr>
              <w:spacing w:after="20" w:before="20"/>
              <w:jc w:val="right"/>
            </w:pPr>
            <w:r/>
            <w:r>
              <w:rPr>
                <w:b/>
                <w:sz w:val="17"/>
              </w:rPr>
              <w:t>24.6</w:t>
            </w:r>
          </w:p>
        </w:tc>
        <w:tc>
          <w:tcPr>
            <w:tcW w:type="dxa" w:w="1871"/>
            <w:shd w:val="clear" w:fill="E2EFDA"/>
          </w:tcPr>
          <w:p>
            <w:pPr>
              <w:spacing w:after="20" w:before="20"/>
              <w:jc w:val="right"/>
            </w:pPr>
            <w:r/>
            <w:r>
              <w:rPr>
                <w:b/>
                <w:sz w:val="17"/>
              </w:rPr>
              <w:t>23.4</w:t>
            </w:r>
          </w:p>
        </w:tc>
      </w:tr>
    </w:tbl>
    <w:p>
      <w:pPr>
        <w:spacing w:before="40" w:after="100"/>
      </w:pPr>
      <w:r>
        <w:rPr>
          <w:b w:val="0"/>
          <w:i w:val="0"/>
          <w:color w:val="595959"/>
          <w:sz w:val="15"/>
        </w:rPr>
        <w:t>Partner shown at base adoption, where its cost is comparable to the build case. Cost model v3; the superseded v1 estimate (5yr ~270) is not used.</w:t>
      </w:r>
    </w:p>
    <w:p>
      <w:pPr>
        <w:keepNext/>
        <w:spacing w:before="180" w:after="60"/>
      </w:pPr>
      <w:r>
        <w:rPr>
          <w:b/>
          <w:color w:val="1F3864"/>
          <w:sz w:val="21"/>
        </w:rPr>
        <w:t>3.  Report the benefit as a range — the mix is the one input with nothing behind it</w:t>
      </w:r>
    </w:p>
    <w:p>
      <w:pPr>
        <w:spacing w:before="0" w:after="100"/>
      </w:pPr>
      <w:r>
        <w:rPr>
          <w:b w:val="0"/>
          <w:i w:val="0"/>
          <w:sz w:val="19"/>
        </w:rPr>
        <w:t xml:space="preserve">The blended margin depends entirely on where adopters come from, and the room gives two answers that nobody has reconciled: the management projection (30% of adopters from cash) and the Meridian benchmark for comparable SEA launches (45%). Transaction-weighted these are </w:t>
      </w:r>
      <w:r>
        <w:rPr>
          <w:b/>
          <w:i w:val="0"/>
          <w:sz w:val="19"/>
        </w:rPr>
        <w:t>SRP 347 and SRP 446</w:t>
      </w:r>
      <w:r>
        <w:rPr>
          <w:b w:val="0"/>
          <w:i w:val="0"/>
          <w:sz w:val="19"/>
        </w:rPr>
        <w:t xml:space="preserve">, and the recommended path's NPV moves from </w:t>
      </w:r>
      <w:r>
        <w:rPr>
          <w:b/>
          <w:i w:val="0"/>
          <w:sz w:val="19"/>
        </w:rPr>
        <w:t>55 to 117</w:t>
      </w:r>
      <w:r>
        <w:rPr>
          <w:b w:val="0"/>
          <w:i w:val="0"/>
          <w:sz w:val="19"/>
        </w:rPr>
        <w:t xml:space="preserve"> between them.</w:t>
      </w:r>
    </w:p>
    <w:p>
      <w:pPr>
        <w:spacing w:before="0" w:after="100"/>
      </w:pPr>
      <w:r>
        <w:rPr>
          <w:b w:val="0"/>
          <w:i w:val="0"/>
          <w:sz w:val="19"/>
        </w:rPr>
        <w:t xml:space="preserve">Wallet adoption swings it further and a build-cost overrun almost as far, but both have scenario ranges behind them. The mix has two unreconciled sources and no validation, and it is one-sided — the management projection is the </w:t>
      </w:r>
      <w:r>
        <w:rPr>
          <w:b w:val="0"/>
          <w:i/>
          <w:sz w:val="19"/>
        </w:rPr>
        <w:t>low</w:t>
      </w:r>
      <w:r>
        <w:rPr>
          <w:b w:val="0"/>
          <w:i w:val="0"/>
          <w:sz w:val="19"/>
        </w:rPr>
        <w:t xml:space="preserve"> end. It should be confirmed with Mei-Ling Tan before any number in this memo is presented to the board as settled.</w:t>
      </w:r>
    </w:p>
    <w:p>
      <w:pPr>
        <w:keepNext/>
        <w:spacing w:before="180" w:after="60"/>
      </w:pPr>
      <w:r>
        <w:rPr>
          <w:b/>
          <w:color w:val="1F3864"/>
          <w:sz w:val="21"/>
        </w:rPr>
        <w:t>4.  What the call turns on</w:t>
      </w:r>
    </w:p>
    <w:p>
      <w:pPr>
        <w:spacing w:before="0" w:after="100"/>
      </w:pPr>
      <w:r>
        <w:rPr>
          <w:b w:val="0"/>
          <w:i w:val="0"/>
          <w:sz w:val="19"/>
        </w:rPr>
        <w:t>Because the corrected spreads sit inside the swing of that one input, the sourcing decision is not an economics decision. It rests on three things:</w:t>
      </w:r>
    </w:p>
    <w:p>
      <w:pPr>
        <w:spacing w:before="0" w:after="100"/>
      </w:pPr>
      <w:r>
        <w:rPr>
          <w:b/>
          <w:i w:val="0"/>
          <w:sz w:val="18"/>
        </w:rPr>
        <w:t>Time to market.</w:t>
      </w:r>
      <w:r>
        <w:rPr>
          <w:b w:val="0"/>
          <w:i w:val="0"/>
          <w:sz w:val="18"/>
        </w:rPr>
        <w:t xml:space="preserve"> Build is 18–24 months to a minimum viable product against roughly six months for a white-label. Against ArthaFuel at 38.4% digital share and PetroNusa at 15.6%, that gap is the expensive part of a build, not the capex.</w:t>
      </w:r>
    </w:p>
    <w:p>
      <w:pPr>
        <w:spacing w:before="0" w:after="100"/>
      </w:pPr>
      <w:r>
        <w:rPr>
          <w:b/>
          <w:i w:val="0"/>
          <w:sz w:val="18"/>
        </w:rPr>
        <w:t>Execution.</w:t>
      </w:r>
      <w:r>
        <w:rPr>
          <w:b w:val="0"/>
          <w:i w:val="0"/>
          <w:sz w:val="18"/>
        </w:rPr>
        <w:t xml:space="preserve"> P10 found no in-house payments engineering capability and unresolved PCI-DSS scope — two of the four Tier-1 gaps it identified across five capability dimensions. The IT estimate has already moved from v1 to v3, roughly 20%, before a line of code. A 20% overrun very nearly erases the corrected build advantage.</w:t>
      </w:r>
    </w:p>
    <w:p>
      <w:pPr>
        <w:spacing w:before="0" w:after="100"/>
      </w:pPr>
      <w:r>
        <w:rPr>
          <w:b/>
          <w:i w:val="0"/>
          <w:sz w:val="18"/>
        </w:rPr>
        <w:t>Contract exposure, which is the largest single item we can act on.</w:t>
      </w:r>
      <w:r>
        <w:rPr>
          <w:b w:val="0"/>
          <w:i w:val="0"/>
          <w:sz w:val="18"/>
        </w:rPr>
        <w:t xml:space="preserve"> The FinTechPartnerA v2 term sheet carries a </w:t>
      </w:r>
      <w:r>
        <w:rPr>
          <w:b/>
          <w:i w:val="0"/>
          <w:sz w:val="18"/>
        </w:rPr>
        <w:t>Year-1 minimum of 100M transactions, billed whether or not it is delivered</w:t>
      </w:r>
      <w:r>
        <w:rPr>
          <w:b w:val="0"/>
          <w:i w:val="0"/>
          <w:sz w:val="18"/>
        </w:rPr>
        <w:t xml:space="preserve">. Base-case Year-1 wallet volume is 75.2M and the low case is 38.9M — a billed shortfall of </w:t>
      </w:r>
      <w:r>
        <w:rPr>
          <w:b/>
          <w:i w:val="0"/>
          <w:sz w:val="18"/>
        </w:rPr>
        <w:t>4.6</w:t>
      </w:r>
      <w:r>
        <w:rPr>
          <w:b w:val="0"/>
          <w:i w:val="0"/>
          <w:sz w:val="18"/>
        </w:rPr>
        <w:t xml:space="preserve"> at base and </w:t>
      </w:r>
      <w:r>
        <w:rPr>
          <w:b/>
          <w:i w:val="0"/>
          <w:sz w:val="18"/>
        </w:rPr>
        <w:t>11.3</w:t>
      </w:r>
      <w:r>
        <w:rPr>
          <w:b w:val="0"/>
          <w:i w:val="0"/>
          <w:sz w:val="18"/>
        </w:rPr>
        <w:t xml:space="preserve"> at low, against a total case worth 25 to 55. It sits on the pure partner path and across the whole of the hybrid, so it has to be renegotiated to a ramped floor before that term sheet is signed for any purpose — including as the fallback under gate three below. Data portability (Article 7.3 — 60 days plus manual extraction against the board’s 30-day structured-export requirement) and the gross-versus-net rev-share base go in the same negotiation.</w:t>
      </w:r>
    </w:p>
    <w:p>
      <w:pPr>
        <w:spacing w:before="60" w:after="100"/>
      </w:pPr>
      <w:r>
        <w:rPr>
          <w:b/>
          <w:i w:val="0"/>
          <w:sz w:val="19"/>
        </w:rPr>
        <w:t xml:space="preserve">The call. Build — gated, and not on the strength of the 30-point NPV lead, which is smaller than what the adopter mix alone moves. Build wins because the alternatives are worse for specific reasons: hybrid buys six months of time to market with three years of double-running and comes last at 23, and partner sits at 25 while carrying the volume floor in its own paper. Three gates, and they are conditions rather than caveats. One, the adopter mix confirmed with Mei-Ling Tan before any figure reaches the board. Two, delivery capability secured before capex is committed — a PCI QSA at programme initiation and an external partner for the rails, because P10 says we have neither, and a 20% overrun swings the build-versus-partner differential by 32.9, which erases the 30-point lead outright. Three, an end-of-Year-1 adoption test: below roughly 14% Year-3 penetration partner overtakes build, so the programme converts to a white-label rather than continuing. Keep the FinTechPartnerA term sheet live for exactly that, renegotiated first. If the mix comes back at the management projection and the capability gates cannot be closed before SC-5, the honest answer is to defer the platform commitment and run a bounded SariQR-based pilot.</w:t>
      </w:r>
      <w:r>
        <w:rPr>
          <w:b w:val="0"/>
          <w:i w:val="0"/>
          <w:sz w:val="19"/>
        </w:rPr>
        <w:t xml:space="preserve"/>
      </w:r>
    </w:p>
    <w:p>
      <w:pPr>
        <w:spacing w:before="120" w:after="100"/>
      </w:pPr>
      <w:r>
        <w:rPr>
          <w:b w:val="0"/>
          <w:i w:val="0"/>
          <w:color w:val="595959"/>
          <w:sz w:val="15"/>
        </w:rPr>
        <w:t>Scope: sourcing economics only. Wallet feature set, loyalty mechanics and customer proposition are P40 and are not addressed here.</w:t>
      </w:r>
    </w:p>
    <w:p>
      <w:pPr>
        <w:spacing w:before="0" w:after="0"/>
      </w:pPr>
      <w:r>
        <w:rPr>
          <w:b w:val="0"/>
          <w:i w:val="0"/>
          <w:color w:val="595959"/>
          <w:sz w:val="15"/>
        </w:rPr>
        <w:t xml:space="preserve">Citra Widyastuti, Analyst  |  Aurelian &amp; Co  |  10 June 2025</w:t>
      </w:r>
    </w:p>
    <w:sectPr w:rsidR="00FC693F" w:rsidRPr="0006063C" w:rsidSect="00034616">
      <w:pgSz w:w="12240" w:h="15840"/>
      <w:pgMar w:top="1077"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4"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