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A3557"/>
      </w:pPr>
      <w:r>
        <w:rPr>
          <w:rFonts w:ascii="Calibri" w:hAnsi="Calibri"/>
          <w:b/>
          <w:color w:val="FFFFFF"/>
          <w:sz w:val="18"/>
        </w:rPr>
        <w:t>Aurelian &amp; Co  |  PetroNusa Digital Strategy</w:t>
      </w:r>
    </w:p>
    <w:p/>
    <w:p>
      <w:pPr>
        <w:jc w:val="left"/>
      </w:pPr>
      <w:r>
        <w:rPr>
          <w:rFonts w:ascii="Calibri" w:hAnsi="Calibri"/>
          <w:b/>
          <w:color w:val="1A3557"/>
          <w:sz w:val="34"/>
        </w:rPr>
        <w:t>PetroNusa Wallet-Readiness Station Criteria - Working Definition</w:t>
      </w:r>
    </w:p>
    <w:p>
      <w:pPr>
        <w:spacing w:before="60" w:after="80"/>
      </w:pPr>
      <w:r>
        <w:rPr>
          <w:rFonts w:ascii="Calibri" w:hAnsi="Calibri"/>
          <w:i/>
          <w:color w:val="505050"/>
          <w:sz w:val="20"/>
        </w:rPr>
        <w:t xml:space="preserve">Prepared by: Priya Nair, Engagement Manager  |  Aurelian &amp; Co  |  10 February 2025</w:t>
      </w:r>
    </w:p>
    <w:p>
      <w:pPr>
        <w:spacing w:before="40" w:after="200"/>
        <w:shd w:val="clear" w:color="auto" w:fill="FFF3E0"/>
      </w:pPr>
      <w:r>
        <w:rPr>
          <w:rFonts w:ascii="Calibri" w:hAnsi="Calibri"/>
          <w:b/>
          <w:color w:val="E8872A"/>
          <w:sz w:val="20"/>
        </w:rPr>
        <w:t xml:space="preserve">WORKING DRAFT - Pending Marcus Whelan review</w:t>
      </w:r>
    </w:p>
    <w:p>
      <w:pPr>
        <w:spacing w:after="160"/>
        <w:pBdr>
          <w:bottom w:val="single" w:sz="12" w:space="1" w:color="1A3557"/>
        </w:pBdr>
      </w:pPr>
    </w:p>
    <w:p>
      <w:pPr>
        <w:spacing w:before="280" w:after="80"/>
        <w:pBdr>
          <w:bottom w:val="single" w:sz="6" w:space="1" w:color="E8872A"/>
        </w:pBdr>
      </w:pPr>
      <w:r>
        <w:rPr>
          <w:rFonts w:ascii="Calibri" w:hAnsi="Calibri"/>
          <w:b/>
          <w:color w:val="1A3557"/>
          <w:sz w:val="26"/>
        </w:rPr>
        <w:t>1.  PURPOSE</w:t>
      </w:r>
    </w:p>
    <w:p>
      <w:pPr>
        <w:spacing w:before="40" w:after="120"/>
      </w:pPr>
      <w:r>
        <w:rPr>
          <w:rFonts w:ascii="Calibri" w:hAnsi="Calibri"/>
          <w:sz w:val="21"/>
        </w:rPr>
        <w:t>This document defines the minimum technical and commercial criteria for a PetroNusa station to be classified as 'wallet-ready' for the purposes of the P10 payments current-state assessment. The definition aligns with Bank Sariwon digital payment mandates and PetroNusa's planned unified wallet product requirements.</w:t>
      </w:r>
    </w:p>
    <w:p>
      <w:pPr>
        <w:spacing w:before="40" w:after="160"/>
      </w:pPr>
      <w:r>
        <w:rPr>
          <w:rFonts w:ascii="Calibri" w:hAnsi="Calibri"/>
          <w:sz w:val="21"/>
        </w:rPr>
        <w:t>This is an internal working definition for use by the Aurelian &amp; Co team. It has not been signed off by the client as of the date above. Revisions may follow once PCI-DSS scope is confirmed (see Section 5 open items).</w:t>
      </w:r>
    </w:p>
    <w:p>
      <w:pPr>
        <w:spacing w:before="280" w:after="80"/>
        <w:pBdr>
          <w:bottom w:val="single" w:sz="6" w:space="1" w:color="E8872A"/>
        </w:pBdr>
      </w:pPr>
      <w:r>
        <w:rPr>
          <w:rFonts w:ascii="Calibri" w:hAnsi="Calibri"/>
          <w:b/>
          <w:color w:val="1A3557"/>
          <w:sz w:val="26"/>
        </w:rPr>
        <w:t>2.  WALLET-READY STATION DEFINITION</w:t>
      </w:r>
    </w:p>
    <w:p>
      <w:pPr>
        <w:spacing w:before="40" w:after="120"/>
      </w:pPr>
      <w:r>
        <w:rPr>
          <w:rFonts w:ascii="Calibri" w:hAnsi="Calibri"/>
          <w:sz w:val="21"/>
        </w:rPr>
        <w:t>A station is classified as wallet-ready if it meets ALL THREE of the following criteria:</w:t>
      </w:r>
    </w:p>
    <w:p>
      <w:pPr>
        <w:spacing w:before="60" w:after="80"/>
        <w:ind w:left="680"/>
      </w:pPr>
      <w:r>
        <w:rPr>
          <w:rFonts w:ascii="Calibri" w:hAnsi="Calibri"/>
          <w:b/>
          <w:color w:val="1A3557"/>
          <w:sz w:val="21"/>
        </w:rPr>
        <w:t xml:space="preserve">(a)  NFC Terminal:  </w:t>
      </w:r>
      <w:r>
        <w:rPr>
          <w:rFonts w:ascii="Calibri" w:hAnsi="Calibri"/>
          <w:sz w:val="21"/>
        </w:rPr>
        <w:t>At least one NFC-capable (contactless) point-of-sale terminal deployed and operational at the forecourt or kiosk.</w:t>
      </w:r>
    </w:p>
    <w:p>
      <w:pPr>
        <w:spacing w:before="60" w:after="80"/>
        <w:ind w:left="680"/>
      </w:pPr>
      <w:r>
        <w:rPr>
          <w:rFonts w:ascii="Calibri" w:hAnsi="Calibri"/>
          <w:b/>
          <w:color w:val="1A3557"/>
          <w:sz w:val="21"/>
        </w:rPr>
        <w:t xml:space="preserve">(b)  QR Acceptance:  </w:t>
      </w:r>
      <w:r>
        <w:rPr>
          <w:rFonts w:ascii="Calibri" w:hAnsi="Calibri"/>
          <w:sz w:val="21"/>
        </w:rPr>
        <w:t>QR code scan capability operational at point of acceptance (either integrated terminal or standalone QR display + EDC link).</w:t>
      </w:r>
    </w:p>
    <w:p>
      <w:pPr>
        <w:spacing w:before="60" w:after="80"/>
        <w:ind w:left="680"/>
      </w:pPr>
      <w:r>
        <w:rPr>
          <w:rFonts w:ascii="Calibri" w:hAnsi="Calibri"/>
          <w:b/>
          <w:color w:val="1A3557"/>
          <w:sz w:val="21"/>
        </w:rPr>
        <w:t>(c)  SariQR Merchant Onboarding:  Station is registered as a SariQR merchant with Bank Sariwon and at least one acquiring bank.</w:t>
      </w:r>
      <w:r>
        <w:rPr>
          <w:rFonts w:ascii="Calibri" w:hAnsi="Calibri"/>
          <w:sz w:val="21"/>
        </w:rPr>
      </w:r>
    </w:p>
    <w:p>
      <w:pPr>
        <w:spacing w:before="280" w:after="80"/>
        <w:pBdr>
          <w:bottom w:val="single" w:sz="6" w:space="1" w:color="E8872A"/>
        </w:pBdr>
      </w:pPr>
      <w:r>
        <w:rPr>
          <w:rFonts w:ascii="Calibri" w:hAnsi="Calibri"/>
          <w:b/>
          <w:color w:val="1A3557"/>
          <w:sz w:val="26"/>
        </w:rPr>
        <w:t>3.  CAPABILITY GAP TAXONOMY</w:t>
      </w:r>
    </w:p>
    <w:p>
      <w:pPr>
        <w:spacing w:before="40" w:after="120"/>
      </w:pPr>
      <w:r>
        <w:rPr>
          <w:rFonts w:ascii="Calibri" w:hAnsi="Calibri"/>
          <w:sz w:val="21"/>
        </w:rPr>
        <w:t>For the gap assessment, use the following five dimensions. Each dimension is assessed independently; scores are not aggregated into a single index.</w:t>
      </w:r>
    </w:p>
    <w:p>
      <w:pPr>
        <w:spacing w:before="120" w:after="40"/>
        <w:ind w:left="283"/>
      </w:pPr>
      <w:r>
        <w:rPr>
          <w:rFonts w:ascii="Calibri" w:hAnsi="Calibri"/>
          <w:b/>
          <w:color w:val="2E7D5E"/>
          <w:sz w:val="22"/>
        </w:rPr>
        <w:t>3.1  Payments Engineering</w:t>
      </w:r>
    </w:p>
    <w:p>
      <w:pPr>
        <w:spacing w:before="20" w:after="100"/>
        <w:ind w:left="680"/>
      </w:pPr>
      <w:r>
        <w:rPr>
          <w:rFonts w:ascii="Calibri" w:hAnsi="Calibri"/>
          <w:sz w:val="21"/>
        </w:rPr>
        <w:t>In-house software capability to build or maintain payment flows, SDK integrations, and settlement. Includes API connectivity with acquiring banks and e-wallet providers.</w:t>
      </w:r>
    </w:p>
    <w:p>
      <w:pPr>
        <w:spacing w:before="120" w:after="40"/>
        <w:ind w:left="283"/>
      </w:pPr>
      <w:r>
        <w:rPr>
          <w:rFonts w:ascii="Calibri" w:hAnsi="Calibri"/>
          <w:b/>
          <w:color w:val="2E7D5E"/>
          <w:sz w:val="22"/>
        </w:rPr>
        <w:t>3.2  Customer Identity</w:t>
      </w:r>
    </w:p>
    <w:p>
      <w:pPr>
        <w:spacing w:before="20" w:after="100"/>
        <w:ind w:left="680"/>
      </w:pPr>
      <w:r>
        <w:rPr>
          <w:rFonts w:ascii="Calibri" w:hAnsi="Calibri"/>
          <w:sz w:val="21"/>
        </w:rPr>
        <w:t>Existence of a unified customer ID layer linking transactions, loyalty points, and digital touchpoints across COCO and DODO sites.</w:t>
      </w:r>
    </w:p>
    <w:p>
      <w:pPr>
        <w:spacing w:before="120" w:after="40"/>
        <w:ind w:left="283"/>
      </w:pPr>
      <w:r>
        <w:rPr>
          <w:rFonts w:ascii="Calibri" w:hAnsi="Calibri"/>
          <w:b/>
          <w:color w:val="2E7D5E"/>
          <w:sz w:val="22"/>
        </w:rPr>
        <w:t>3.3  Analytics</w:t>
      </w:r>
    </w:p>
    <w:p>
      <w:pPr>
        <w:spacing w:before="20" w:after="100"/>
        <w:ind w:left="680"/>
      </w:pPr>
      <w:r>
        <w:rPr>
          <w:rFonts w:ascii="Calibri" w:hAnsi="Calibri"/>
          <w:sz w:val="21"/>
        </w:rPr>
        <w:t>Real-time or near-real-time transaction data pipeline enabling personalisation, offer targeting, and fraud detection at acceptable latency.</w:t>
      </w:r>
    </w:p>
    <w:p>
      <w:pPr>
        <w:spacing w:before="120" w:after="40"/>
        <w:ind w:left="283"/>
      </w:pPr>
      <w:r>
        <w:rPr>
          <w:rFonts w:ascii="Calibri" w:hAnsi="Calibri"/>
          <w:b/>
          <w:color w:val="2E7D5E"/>
          <w:sz w:val="22"/>
        </w:rPr>
        <w:t>3.4  Compliance</w:t>
      </w:r>
    </w:p>
    <w:p>
      <w:pPr>
        <w:spacing w:before="20" w:after="100"/>
        <w:ind w:left="680"/>
      </w:pPr>
      <w:r>
        <w:rPr>
          <w:rFonts w:ascii="Calibri" w:hAnsi="Calibri"/>
          <w:sz w:val="21"/>
        </w:rPr>
        <w:t>PCI-DSS certification status across the estate; cardholder data environment (CDE) scope definition and ongoing audit cadence.</w:t>
      </w:r>
    </w:p>
    <w:p>
      <w:pPr>
        <w:spacing w:before="120" w:after="40"/>
        <w:ind w:left="283"/>
      </w:pPr>
      <w:r>
        <w:rPr>
          <w:rFonts w:ascii="Calibri" w:hAnsi="Calibri"/>
          <w:b/>
          <w:color w:val="2E7D5E"/>
          <w:sz w:val="22"/>
        </w:rPr>
        <w:t>3.5  Acceptance Breadth</w:t>
      </w:r>
    </w:p>
    <w:p>
      <w:pPr>
        <w:spacing w:before="20" w:after="100"/>
        <w:ind w:left="680"/>
      </w:pPr>
      <w:r>
        <w:rPr>
          <w:rFonts w:ascii="Calibri" w:hAnsi="Calibri"/>
          <w:sz w:val="21"/>
        </w:rPr>
        <w:t>Range of digital payment methods supported beyond SariQR (proprietary wallet integration, NFC tap-and-go, fleet card digital, bank-transfer rails).</w:t>
      </w:r>
    </w:p>
    <w:p>
      <w:pPr>
        <w:spacing w:before="280" w:after="80"/>
        <w:pBdr>
          <w:bottom w:val="single" w:sz="6" w:space="1" w:color="E8872A"/>
        </w:pBdr>
      </w:pPr>
      <w:r>
        <w:rPr>
          <w:rFonts w:ascii="Calibri" w:hAnsi="Calibri"/>
          <w:b/>
          <w:color w:val="1A3557"/>
          <w:sz w:val="26"/>
        </w:rPr>
        <w:t>4.  SCORING GUIDANCE</w:t>
      </w:r>
    </w:p>
    <w:p>
      <w:pPr>
        <w:spacing w:before="40" w:after="120"/>
      </w:pPr>
      <w:r>
        <w:rPr>
          <w:rFonts w:ascii="Calibri" w:hAnsi="Calibri"/>
          <w:sz w:val="21"/>
        </w:rPr>
        <w:t>For each capability dimension (Section 3), assess the current state against three tiers. Assessment is based on team observations, management interviews, and IT documentation provided during the diagnostic phase.</w:t>
      </w:r>
    </w:p>
    <w:p>
      <w:pPr>
        <w:spacing w:before="80" w:after="60"/>
        <w:ind w:left="567"/>
      </w:pPr>
      <w:r>
        <w:rPr>
          <w:rFonts w:ascii="Calibri" w:hAnsi="Calibri"/>
          <w:b/>
          <w:color w:val="BE1E2D"/>
          <w:sz w:val="21"/>
        </w:rPr>
        <w:t xml:space="preserve">Tier 1 - Not Present:  </w:t>
      </w:r>
      <w:r>
        <w:rPr>
          <w:rFonts w:ascii="Calibri" w:hAnsi="Calibri"/>
          <w:sz w:val="21"/>
        </w:rPr>
        <w:t>No capability exists; full build from scratch or complete external sourcing would be required. No internal team or tooling in place.</w:t>
      </w:r>
    </w:p>
    <w:p>
      <w:pPr>
        <w:spacing w:before="80" w:after="60"/>
        <w:ind w:left="567"/>
      </w:pPr>
      <w:r>
        <w:rPr>
          <w:rFonts w:ascii="Calibri" w:hAnsi="Calibri"/>
          <w:b/>
          <w:color w:val="C8781E"/>
          <w:sz w:val="21"/>
        </w:rPr>
        <w:t xml:space="preserve">Tier 2 - Partial:  </w:t>
      </w:r>
      <w:r>
        <w:rPr>
          <w:rFonts w:ascii="Calibri" w:hAnsi="Calibri"/>
          <w:sz w:val="21"/>
        </w:rPr>
        <w:t>Some capability exists but significant gaps remain. May have legacy tooling, a small internal team, or a partially scoped external arrangement -- but material investment or remediation is still needed.</w:t>
      </w:r>
    </w:p>
    <w:p>
      <w:pPr>
        <w:spacing w:before="80" w:after="60"/>
        <w:ind w:left="567"/>
      </w:pPr>
      <w:r>
        <w:rPr>
          <w:rFonts w:ascii="Calibri" w:hAnsi="Calibri"/>
          <w:b/>
          <w:color w:val="2E7D5E"/>
          <w:sz w:val="21"/>
        </w:rPr>
        <w:t xml:space="preserve">Tier 3 - Adequate:  </w:t>
      </w:r>
      <w:r>
        <w:rPr>
          <w:rFonts w:ascii="Calibri" w:hAnsi="Calibri"/>
          <w:sz w:val="21"/>
        </w:rPr>
        <w:t>Capability meets the minimum requirements for a wallet programme launch. May not be best-in-class but is sufficient to proceed without a fundamental redesign.</w:t>
      </w:r>
    </w:p>
    <w:p>
      <w:pPr>
        <w:spacing w:before="280" w:after="80"/>
        <w:pBdr>
          <w:bottom w:val="single" w:sz="6" w:space="1" w:color="E8872A"/>
        </w:pBdr>
      </w:pPr>
      <w:r>
        <w:rPr>
          <w:rFonts w:ascii="Calibri" w:hAnsi="Calibri"/>
          <w:b/>
          <w:color w:val="1A3557"/>
          <w:sz w:val="26"/>
        </w:rPr>
        <w:t>5.  NOTES AND OPEN ITEMS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Working assumptions and unresolved items as of 10 February 2025:</w:t>
      </w:r>
    </w:p>
    <w:p>
      <w:pPr>
        <w:spacing w:before="80" w:after="60"/>
        <w:ind w:left="454"/>
      </w:pPr>
      <w:r>
        <w:rPr>
          <w:rFonts w:ascii="Calibri" w:hAnsi="Calibri"/>
          <w:b/>
          <w:color w:val="1A3557"/>
          <w:sz w:val="21"/>
        </w:rPr>
        <w:t>Challenger comparison methodology:  Use transaction share (% of total transactions processed via digital method) as the primary comparable metric.</w:t>
      </w:r>
      <w:r>
        <w:rPr>
          <w:rFonts w:ascii="Calibri" w:hAnsi="Calibri"/>
          <w:sz w:val="21"/>
        </w:rPr>
      </w:r>
    </w:p>
    <w:p>
      <w:pPr>
        <w:spacing w:before="80" w:after="60"/>
        <w:ind w:left="454"/>
      </w:pPr>
      <w:r>
        <w:rPr>
          <w:rFonts w:ascii="Calibri" w:hAnsi="Calibri"/>
          <w:b/>
          <w:color w:val="1A3557"/>
          <w:sz w:val="21"/>
        </w:rPr>
        <w:t xml:space="preserve">Regional cut:  </w:t>
      </w:r>
      <w:r>
        <w:rPr>
          <w:rFonts w:ascii="Calibri" w:hAnsi="Calibri"/>
          <w:sz w:val="21"/>
        </w:rPr>
        <w:t>A COCO vs. DODO split is required for the acceptance infrastructure analysis. No further regional cut (by province or island group) is needed for the capability gap dimensions.</w:t>
      </w:r>
    </w:p>
    <w:p>
      <w:pPr>
        <w:spacing w:before="80" w:after="60"/>
        <w:ind w:left="454"/>
      </w:pPr>
      <w:r>
        <w:rPr>
          <w:rFonts w:ascii="Calibri" w:hAnsi="Calibri"/>
          <w:b/>
          <w:color w:val="1A3557"/>
          <w:sz w:val="21"/>
        </w:rPr>
        <w:t>Avg. transaction value:  SRP 14,250 per transaction, used as a modelling input to convert %-of-value fees to an SRP/txn basis (see payment_method_fee_schedule.xlsx). This is a business assumption, not a currency FX rate; not to be used for revenue projections without further validation.</w:t>
      </w:r>
      <w:r>
        <w:rPr>
          <w:rFonts w:ascii="Calibri" w:hAnsi="Calibri"/>
          <w:sz w:val="21"/>
        </w:rPr>
      </w:r>
    </w:p>
    <w:p>
      <w:pPr>
        <w:spacing w:before="80" w:after="60"/>
        <w:ind w:left="454"/>
      </w:pPr>
      <w:r>
        <w:rPr>
          <w:rFonts w:ascii="Calibri" w:hAnsi="Calibri"/>
          <w:b/>
          <w:color w:val="1A3557"/>
          <w:sz w:val="21"/>
        </w:rPr>
        <w:t xml:space="preserve">Fleet card cost allocation:  </w:t>
      </w:r>
      <w:r>
        <w:rPr>
          <w:rFonts w:ascii="Calibri" w:hAnsi="Calibri"/>
          <w:sz w:val="21"/>
        </w:rPr>
        <w:t>OPEN: confirm whether fleet card processing costs are borne by PetroNusa or passed through to corporate accounts. Currently assumed PetroNusa-borne for blended cost modelling. If fleet accounts absorb costs, blended digital acceptance cost will be lower.</w:t>
      </w:r>
    </w:p>
    <w:p>
      <w:pPr>
        <w:spacing w:before="80" w:after="60"/>
        <w:ind w:left="454"/>
      </w:pPr>
      <w:r>
        <w:rPr>
          <w:rFonts w:ascii="Calibri" w:hAnsi="Calibri"/>
          <w:b/>
          <w:color w:val="1A3557"/>
          <w:sz w:val="21"/>
        </w:rPr>
        <w:t>Scope reminder:  This document covers current-state assessment only (P10 scope). The build-vs-partner economic modelling is handled separately in P13.</w:t>
      </w:r>
      <w:r>
        <w:rPr>
          <w:rFonts w:ascii="Calibri" w:hAnsi="Calibri"/>
          <w:sz w:val="21"/>
        </w:rPr>
      </w:r>
    </w:p>
    <w:p/>
    <w:p>
      <w:pPr>
        <w:spacing w:before="160"/>
        <w:shd w:val="clear" w:color="auto" w:fill="F0F4F8"/>
      </w:pPr>
      <w:r>
        <w:rPr>
          <w:rFonts w:ascii="Calibri" w:hAnsi="Calibri"/>
          <w:i/>
          <w:color w:val="646464"/>
          <w:sz w:val="19"/>
        </w:rPr>
        <w:t xml:space="preserve">Pending [Marcus Whelan] review and sign-off before this definition is shared with the PetroNusa IT and Retail Operations teams. Do not circulate externally in current form.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Aurelian &amp; Co  |  PetroNusa Digital Strategy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DCDCDC"/>
        <w:sz w:val="144"/>
      </w:rPr>
      <w:t>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