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3A5C"/>
          <w:sz w:val="26"/>
        </w:rPr>
        <w:t>PetroNusa Engagement -- Team Contact List and SteerCo Schedule</w:t>
      </w:r>
    </w:p>
    <w:p/>
    <w:p>
      <w:r>
        <w:rPr>
          <w:color w:val="555555"/>
          <w:sz w:val="18"/>
        </w:rPr>
        <w:t>Project code: AUR-2025-PN-01   |   Last updated: 4 August 2025   |   Owner: Priya Nair</w:t>
      </w:r>
    </w:p>
    <w:p/>
    <w:p>
      <w:r>
        <w:rPr>
          <w:b/>
          <w:color w:val="1A3A5C"/>
          <w:sz w:val="22"/>
        </w:rPr>
        <w:t>Aurelian &amp; Co -- Engagement Team</w:t>
      </w:r>
    </w:p>
    <w:tbl>
      <w:tblPr>
        <w:tblStyle w:val="TableGrid"/>
        <w:tblW w:type="auto" w:w="0"/>
        <w:tblLook w:firstColumn="1" w:firstRow="1" w:lastColumn="0" w:lastRow="0" w:noHBand="0" w:noVBand="1" w:val="04A0"/>
      </w:tblPr>
      <w:tblGrid>
        <w:gridCol w:w="1464"/>
        <w:gridCol w:w="1464"/>
        <w:gridCol w:w="1464"/>
        <w:gridCol w:w="1464"/>
        <w:gridCol w:w="1464"/>
        <w:gridCol w:w="1464"/>
      </w:tblGrid>
      <w:tr>
        <w:tc>
          <w:tcPr>
            <w:tcW w:type="dxa" w:w="1464"/>
            <w:shd w:fill="1A3A5C" w:color="auto" w:val="clear"/>
          </w:tcPr>
          <w:p>
            <w:r>
              <w:rPr>
                <w:b/>
                <w:color w:val="FFFFFF"/>
                <w:sz w:val="18"/>
              </w:rPr>
              <w:t>Name</w:t>
            </w:r>
          </w:p>
        </w:tc>
        <w:tc>
          <w:tcPr>
            <w:tcW w:type="dxa" w:w="1464"/>
            <w:shd w:fill="1A3A5C" w:color="auto" w:val="clear"/>
          </w:tcPr>
          <w:p>
            <w:r>
              <w:rPr>
                <w:b/>
                <w:color w:val="FFFFFF"/>
                <w:sz w:val="18"/>
              </w:rPr>
              <w:t>Role</w:t>
            </w:r>
          </w:p>
        </w:tc>
        <w:tc>
          <w:tcPr>
            <w:tcW w:type="dxa" w:w="1464"/>
            <w:shd w:fill="1A3A5C" w:color="auto" w:val="clear"/>
          </w:tcPr>
          <w:p>
            <w:r>
              <w:rPr>
                <w:b/>
                <w:color w:val="FFFFFF"/>
                <w:sz w:val="18"/>
              </w:rPr>
              <w:t>Email</w:t>
            </w:r>
          </w:p>
        </w:tc>
        <w:tc>
          <w:tcPr>
            <w:tcW w:type="dxa" w:w="1464"/>
            <w:shd w:fill="1A3A5C" w:color="auto" w:val="clear"/>
          </w:tcPr>
          <w:p>
            <w:r>
              <w:rPr>
                <w:b/>
                <w:color w:val="FFFFFF"/>
                <w:sz w:val="18"/>
              </w:rPr>
              <w:t>Mobile</w:t>
            </w:r>
          </w:p>
        </w:tc>
        <w:tc>
          <w:tcPr>
            <w:tcW w:type="dxa" w:w="1464"/>
            <w:shd w:fill="1A3A5C" w:color="auto" w:val="clear"/>
          </w:tcPr>
          <w:p>
            <w:r>
              <w:rPr>
                <w:b/>
                <w:color w:val="FFFFFF"/>
                <w:sz w:val="18"/>
              </w:rPr>
              <w:t>Location</w:t>
            </w:r>
          </w:p>
        </w:tc>
        <w:tc>
          <w:tcPr>
            <w:tcW w:type="dxa" w:w="1464"/>
            <w:shd w:fill="1A3A5C" w:color="auto" w:val="clear"/>
          </w:tcPr>
          <w:p>
            <w:r>
              <w:rPr>
                <w:b/>
                <w:color w:val="FFFFFF"/>
                <w:sz w:val="18"/>
              </w:rPr>
              <w:t>Notes</w:t>
            </w:r>
          </w:p>
        </w:tc>
      </w:tr>
      <w:tr>
        <w:tc>
          <w:tcPr>
            <w:tcW w:type="dxa" w:w="1464"/>
          </w:tcPr>
          <w:p>
            <w:r>
              <w:rPr>
                <w:sz w:val="18"/>
              </w:rPr>
              <w:t>Marcus Whelan</w:t>
            </w:r>
          </w:p>
        </w:tc>
        <w:tc>
          <w:tcPr>
            <w:tcW w:type="dxa" w:w="1464"/>
          </w:tcPr>
          <w:p>
            <w:r>
              <w:rPr>
                <w:sz w:val="18"/>
              </w:rPr>
              <w:t>Partner (Engagement Lead)</w:t>
            </w:r>
          </w:p>
        </w:tc>
        <w:tc>
          <w:tcPr>
            <w:tcW w:type="dxa" w:w="1464"/>
          </w:tcPr>
          <w:p>
            <w:r>
              <w:rPr>
                <w:sz w:val="18"/>
              </w:rPr>
              <w:t>m.whelan@aurelian.com</w:t>
            </w:r>
          </w:p>
        </w:tc>
        <w:tc>
          <w:tcPr>
            <w:tcW w:type="dxa" w:w="1464"/>
          </w:tcPr>
          <w:p>
            <w:r>
              <w:rPr>
                <w:sz w:val="18"/>
              </w:rPr>
              <w:t>+65 9100 2201</w:t>
            </w:r>
          </w:p>
        </w:tc>
        <w:tc>
          <w:tcPr>
            <w:tcW w:type="dxa" w:w="1464"/>
          </w:tcPr>
          <w:p>
            <w:r>
              <w:rPr>
                <w:sz w:val="18"/>
              </w:rPr>
              <w:t>Singapore / Kertapura</w:t>
            </w:r>
          </w:p>
        </w:tc>
        <w:tc>
          <w:tcPr>
            <w:tcW w:type="dxa" w:w="1464"/>
          </w:tcPr>
          <w:p>
            <w:r>
              <w:rPr>
                <w:sz w:val="18"/>
              </w:rPr>
              <w:t>Primary client interface; leads SteerCos</w:t>
            </w:r>
          </w:p>
        </w:tc>
      </w:tr>
      <w:tr>
        <w:tc>
          <w:tcPr>
            <w:tcW w:type="dxa" w:w="1464"/>
          </w:tcPr>
          <w:p>
            <w:r>
              <w:rPr>
                <w:sz w:val="18"/>
              </w:rPr>
              <w:t>A. Lim</w:t>
            </w:r>
          </w:p>
        </w:tc>
        <w:tc>
          <w:tcPr>
            <w:tcW w:type="dxa" w:w="1464"/>
          </w:tcPr>
          <w:p>
            <w:r>
              <w:rPr>
                <w:sz w:val="18"/>
              </w:rPr>
              <w:t>Principal</w:t>
            </w:r>
          </w:p>
        </w:tc>
        <w:tc>
          <w:tcPr>
            <w:tcW w:type="dxa" w:w="1464"/>
          </w:tcPr>
          <w:p>
            <w:r>
              <w:rPr>
                <w:sz w:val="18"/>
              </w:rPr>
              <w:t>a.lim@aurelian.com</w:t>
            </w:r>
          </w:p>
        </w:tc>
        <w:tc>
          <w:tcPr>
            <w:tcW w:type="dxa" w:w="1464"/>
          </w:tcPr>
          <w:p>
            <w:r>
              <w:rPr>
                <w:sz w:val="18"/>
              </w:rPr>
              <w:t>+65 9100 2208</w:t>
            </w:r>
          </w:p>
        </w:tc>
        <w:tc>
          <w:tcPr>
            <w:tcW w:type="dxa" w:w="1464"/>
          </w:tcPr>
          <w:p>
            <w:r>
              <w:rPr>
                <w:sz w:val="18"/>
              </w:rPr>
              <w:t>Singapore</w:t>
            </w:r>
          </w:p>
        </w:tc>
        <w:tc>
          <w:tcPr>
            <w:tcW w:type="dxa" w:w="1464"/>
          </w:tcPr>
          <w:p>
            <w:r>
              <w:rPr>
                <w:sz w:val="18"/>
              </w:rPr>
              <w:t>Quality review across all four objectives</w:t>
            </w:r>
          </w:p>
        </w:tc>
      </w:tr>
      <w:tr>
        <w:tc>
          <w:tcPr>
            <w:tcW w:type="dxa" w:w="1464"/>
          </w:tcPr>
          <w:p>
            <w:r>
              <w:rPr>
                <w:sz w:val="18"/>
              </w:rPr>
              <w:t>Priya Nair</w:t>
            </w:r>
          </w:p>
        </w:tc>
        <w:tc>
          <w:tcPr>
            <w:tcW w:type="dxa" w:w="1464"/>
          </w:tcPr>
          <w:p>
            <w:r>
              <w:rPr>
                <w:sz w:val="18"/>
              </w:rPr>
              <w:t>Engagement Manager</w:t>
            </w:r>
          </w:p>
        </w:tc>
        <w:tc>
          <w:tcPr>
            <w:tcW w:type="dxa" w:w="1464"/>
          </w:tcPr>
          <w:p>
            <w:r>
              <w:rPr>
                <w:sz w:val="18"/>
              </w:rPr>
              <w:t>p.nair@aurelian.com</w:t>
            </w:r>
          </w:p>
        </w:tc>
        <w:tc>
          <w:tcPr>
            <w:tcW w:type="dxa" w:w="1464"/>
          </w:tcPr>
          <w:p>
            <w:r>
              <w:rPr>
                <w:sz w:val="18"/>
              </w:rPr>
              <w:t>+65 9100 2215</w:t>
            </w:r>
          </w:p>
        </w:tc>
        <w:tc>
          <w:tcPr>
            <w:tcW w:type="dxa" w:w="1464"/>
          </w:tcPr>
          <w:p>
            <w:r>
              <w:rPr>
                <w:sz w:val="18"/>
              </w:rPr>
              <w:t>Singapore</w:t>
            </w:r>
          </w:p>
        </w:tc>
        <w:tc>
          <w:tcPr>
            <w:tcW w:type="dxa" w:w="1464"/>
          </w:tcPr>
          <w:p>
            <w:r>
              <w:rPr>
                <w:sz w:val="18"/>
              </w:rPr>
              <w:t>Objectives A and D -- payments and loyalty chain</w:t>
            </w:r>
          </w:p>
        </w:tc>
      </w:tr>
      <w:tr>
        <w:tc>
          <w:tcPr>
            <w:tcW w:type="dxa" w:w="1464"/>
          </w:tcPr>
          <w:p>
            <w:r>
              <w:rPr>
                <w:sz w:val="18"/>
              </w:rPr>
              <w:t>Tariq Malik</w:t>
            </w:r>
          </w:p>
        </w:tc>
        <w:tc>
          <w:tcPr>
            <w:tcW w:type="dxa" w:w="1464"/>
          </w:tcPr>
          <w:p>
            <w:r>
              <w:rPr>
                <w:sz w:val="18"/>
              </w:rPr>
              <w:t>Engagement Manager</w:t>
            </w:r>
          </w:p>
        </w:tc>
        <w:tc>
          <w:tcPr>
            <w:tcW w:type="dxa" w:w="1464"/>
          </w:tcPr>
          <w:p>
            <w:r>
              <w:rPr>
                <w:sz w:val="18"/>
              </w:rPr>
              <w:t>t.malik@aurelian.com</w:t>
            </w:r>
          </w:p>
        </w:tc>
        <w:tc>
          <w:tcPr>
            <w:tcW w:type="dxa" w:w="1464"/>
          </w:tcPr>
          <w:p>
            <w:r>
              <w:rPr>
                <w:sz w:val="18"/>
              </w:rPr>
              <w:t>+65 9100 2219</w:t>
            </w:r>
          </w:p>
        </w:tc>
        <w:tc>
          <w:tcPr>
            <w:tcW w:type="dxa" w:w="1464"/>
          </w:tcPr>
          <w:p>
            <w:r>
              <w:rPr>
                <w:sz w:val="18"/>
              </w:rPr>
              <w:t>Singapore</w:t>
            </w:r>
          </w:p>
        </w:tc>
        <w:tc>
          <w:tcPr>
            <w:tcW w:type="dxa" w:w="1464"/>
          </w:tcPr>
          <w:p>
            <w:r>
              <w:rPr>
                <w:sz w:val="18"/>
              </w:rPr>
              <w:t>Objectives B and C</w:t>
            </w:r>
          </w:p>
        </w:tc>
      </w:tr>
      <w:tr>
        <w:tc>
          <w:tcPr>
            <w:tcW w:type="dxa" w:w="1464"/>
          </w:tcPr>
          <w:p>
            <w:r>
              <w:rPr>
                <w:sz w:val="18"/>
              </w:rPr>
              <w:t>Citra Widyastuti</w:t>
            </w:r>
          </w:p>
        </w:tc>
        <w:tc>
          <w:tcPr>
            <w:tcW w:type="dxa" w:w="1464"/>
          </w:tcPr>
          <w:p>
            <w:r>
              <w:rPr>
                <w:sz w:val="18"/>
              </w:rPr>
              <w:t>Analyst</w:t>
            </w:r>
          </w:p>
        </w:tc>
        <w:tc>
          <w:tcPr>
            <w:tcW w:type="dxa" w:w="1464"/>
          </w:tcPr>
          <w:p>
            <w:r>
              <w:rPr>
                <w:sz w:val="18"/>
              </w:rPr>
              <w:t>c.widyastuti@aurelian.com</w:t>
            </w:r>
          </w:p>
        </w:tc>
        <w:tc>
          <w:tcPr>
            <w:tcW w:type="dxa" w:w="1464"/>
          </w:tcPr>
          <w:p>
            <w:r>
              <w:rPr>
                <w:sz w:val="18"/>
              </w:rPr>
              <w:t>+65 9100 2231</w:t>
            </w:r>
          </w:p>
        </w:tc>
        <w:tc>
          <w:tcPr>
            <w:tcW w:type="dxa" w:w="1464"/>
          </w:tcPr>
          <w:p>
            <w:r>
              <w:rPr>
                <w:sz w:val="18"/>
              </w:rPr>
              <w:t>Kertapura</w:t>
            </w:r>
          </w:p>
        </w:tc>
        <w:tc>
          <w:tcPr>
            <w:tcW w:type="dxa" w:w="1464"/>
          </w:tcPr>
          <w:p>
            <w:r>
              <w:rPr>
                <w:sz w:val="18"/>
              </w:rPr>
              <w:t>Objective D lead analyst; loyalty and payments workstreams</w:t>
            </w:r>
          </w:p>
        </w:tc>
      </w:tr>
      <w:tr>
        <w:tc>
          <w:tcPr>
            <w:tcW w:type="dxa" w:w="1464"/>
          </w:tcPr>
          <w:p>
            <w:r>
              <w:rPr>
                <w:sz w:val="18"/>
              </w:rPr>
              <w:t>Dani Setiawan</w:t>
            </w:r>
          </w:p>
        </w:tc>
        <w:tc>
          <w:tcPr>
            <w:tcW w:type="dxa" w:w="1464"/>
          </w:tcPr>
          <w:p>
            <w:r>
              <w:rPr>
                <w:sz w:val="18"/>
              </w:rPr>
              <w:t>Analyst</w:t>
            </w:r>
          </w:p>
        </w:tc>
        <w:tc>
          <w:tcPr>
            <w:tcW w:type="dxa" w:w="1464"/>
          </w:tcPr>
          <w:p>
            <w:r>
              <w:rPr>
                <w:sz w:val="18"/>
              </w:rPr>
              <w:t>d.setiawan@aurelian.com</w:t>
            </w:r>
          </w:p>
        </w:tc>
        <w:tc>
          <w:tcPr>
            <w:tcW w:type="dxa" w:w="1464"/>
          </w:tcPr>
          <w:p>
            <w:r>
              <w:rPr>
                <w:sz w:val="18"/>
              </w:rPr>
              <w:t>+65 9100 2234</w:t>
            </w:r>
          </w:p>
        </w:tc>
        <w:tc>
          <w:tcPr>
            <w:tcW w:type="dxa" w:w="1464"/>
          </w:tcPr>
          <w:p>
            <w:r>
              <w:rPr>
                <w:sz w:val="18"/>
              </w:rPr>
              <w:t>Kertapura</w:t>
            </w:r>
          </w:p>
        </w:tc>
        <w:tc>
          <w:tcPr>
            <w:tcW w:type="dxa" w:w="1464"/>
          </w:tcPr>
          <w:p>
            <w:r>
              <w:rPr>
                <w:sz w:val="18"/>
              </w:rPr>
              <w:t>Model support; on-site Kertapura 3 days/week</w:t>
            </w:r>
          </w:p>
        </w:tc>
      </w:tr>
      <w:tr>
        <w:tc>
          <w:tcPr>
            <w:tcW w:type="dxa" w:w="1464"/>
          </w:tcPr>
          <w:p>
            <w:r>
              <w:rPr>
                <w:sz w:val="18"/>
              </w:rPr>
              <w:t>Rina Kusuma</w:t>
            </w:r>
          </w:p>
        </w:tc>
        <w:tc>
          <w:tcPr>
            <w:tcW w:type="dxa" w:w="1464"/>
          </w:tcPr>
          <w:p>
            <w:r>
              <w:rPr>
                <w:sz w:val="18"/>
              </w:rPr>
              <w:t>Analyst</w:t>
            </w:r>
          </w:p>
        </w:tc>
        <w:tc>
          <w:tcPr>
            <w:tcW w:type="dxa" w:w="1464"/>
          </w:tcPr>
          <w:p>
            <w:r>
              <w:rPr>
                <w:sz w:val="18"/>
              </w:rPr>
              <w:t>r.kusuma@aurelian.com</w:t>
            </w:r>
          </w:p>
        </w:tc>
        <w:tc>
          <w:tcPr>
            <w:tcW w:type="dxa" w:w="1464"/>
          </w:tcPr>
          <w:p>
            <w:r>
              <w:rPr>
                <w:sz w:val="18"/>
              </w:rPr>
              <w:t>+65 9100 2237</w:t>
            </w:r>
          </w:p>
        </w:tc>
        <w:tc>
          <w:tcPr>
            <w:tcW w:type="dxa" w:w="1464"/>
          </w:tcPr>
          <w:p>
            <w:r>
              <w:rPr>
                <w:sz w:val="18"/>
              </w:rPr>
              <w:t>Singapore</w:t>
            </w:r>
          </w:p>
        </w:tc>
        <w:tc>
          <w:tcPr>
            <w:tcW w:type="dxa" w:w="1464"/>
          </w:tcPr>
          <w:p>
            <w:r>
              <w:rPr>
                <w:sz w:val="18"/>
              </w:rPr>
              <w:t>Competitor research and comparator packs</w:t>
            </w:r>
          </w:p>
        </w:tc>
      </w:tr>
    </w:tbl>
    <w:p/>
    <w:p>
      <w:r>
        <w:rPr>
          <w:b/>
          <w:color w:val="1A3A5C"/>
          <w:sz w:val="22"/>
        </w:rPr>
        <w:t>PetroNusa Tbk -- Key Client Contacts</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shd w:fill="1A3A5C" w:color="auto" w:val="clear"/>
          </w:tcPr>
          <w:p>
            <w:r>
              <w:rPr>
                <w:b/>
                <w:color w:val="FFFFFF"/>
                <w:sz w:val="18"/>
              </w:rPr>
              <w:t>Name</w:t>
            </w:r>
          </w:p>
        </w:tc>
        <w:tc>
          <w:tcPr>
            <w:tcW w:type="dxa" w:w="1757"/>
            <w:shd w:fill="1A3A5C" w:color="auto" w:val="clear"/>
          </w:tcPr>
          <w:p>
            <w:r>
              <w:rPr>
                <w:b/>
                <w:color w:val="FFFFFF"/>
                <w:sz w:val="18"/>
              </w:rPr>
              <w:t>Title</w:t>
            </w:r>
          </w:p>
        </w:tc>
        <w:tc>
          <w:tcPr>
            <w:tcW w:type="dxa" w:w="1757"/>
            <w:shd w:fill="1A3A5C" w:color="auto" w:val="clear"/>
          </w:tcPr>
          <w:p>
            <w:r>
              <w:rPr>
                <w:b/>
                <w:color w:val="FFFFFF"/>
                <w:sz w:val="18"/>
              </w:rPr>
              <w:t>Email</w:t>
            </w:r>
          </w:p>
        </w:tc>
        <w:tc>
          <w:tcPr>
            <w:tcW w:type="dxa" w:w="1757"/>
            <w:shd w:fill="1A3A5C" w:color="auto" w:val="clear"/>
          </w:tcPr>
          <w:p>
            <w:r>
              <w:rPr>
                <w:b/>
                <w:color w:val="FFFFFF"/>
                <w:sz w:val="18"/>
              </w:rPr>
              <w:t>Mobile</w:t>
            </w:r>
          </w:p>
        </w:tc>
        <w:tc>
          <w:tcPr>
            <w:tcW w:type="dxa" w:w="1757"/>
            <w:shd w:fill="1A3A5C" w:color="auto" w:val="clear"/>
          </w:tcPr>
          <w:p>
            <w:r>
              <w:rPr>
                <w:b/>
                <w:color w:val="FFFFFF"/>
                <w:sz w:val="18"/>
              </w:rPr>
              <w:t>Involvement</w:t>
            </w:r>
          </w:p>
        </w:tc>
      </w:tr>
      <w:tr>
        <w:tc>
          <w:tcPr>
            <w:tcW w:type="dxa" w:w="1757"/>
          </w:tcPr>
          <w:p>
            <w:r>
              <w:rPr>
                <w:sz w:val="18"/>
              </w:rPr>
              <w:t>Bambang Sutrisno</w:t>
            </w:r>
          </w:p>
        </w:tc>
        <w:tc>
          <w:tcPr>
            <w:tcW w:type="dxa" w:w="1757"/>
          </w:tcPr>
          <w:p>
            <w:r>
              <w:rPr>
                <w:sz w:val="18"/>
              </w:rPr>
              <w:t>Chief Executive Officer</w:t>
            </w:r>
          </w:p>
        </w:tc>
        <w:tc>
          <w:tcPr>
            <w:tcW w:type="dxa" w:w="1757"/>
          </w:tcPr>
          <w:p>
            <w:r>
              <w:rPr>
                <w:sz w:val="18"/>
              </w:rPr>
              <w:t>b.sutrisno@petronusa.co.sr</w:t>
            </w:r>
          </w:p>
        </w:tc>
        <w:tc>
          <w:tcPr>
            <w:tcW w:type="dxa" w:w="1757"/>
          </w:tcPr>
          <w:p>
            <w:r>
              <w:rPr>
                <w:sz w:val="18"/>
              </w:rPr>
              <w:t>+695 21 8877 4451</w:t>
            </w:r>
          </w:p>
        </w:tc>
        <w:tc>
          <w:tcPr>
            <w:tcW w:type="dxa" w:w="1757"/>
          </w:tcPr>
          <w:p>
            <w:r>
              <w:rPr>
                <w:sz w:val="18"/>
              </w:rPr>
              <w:t>Ultimate decision-maker; attends all SteerCos</w:t>
            </w:r>
          </w:p>
        </w:tc>
      </w:tr>
      <w:tr>
        <w:tc>
          <w:tcPr>
            <w:tcW w:type="dxa" w:w="1757"/>
          </w:tcPr>
          <w:p>
            <w:r>
              <w:rPr>
                <w:sz w:val="18"/>
              </w:rPr>
              <w:t>Hendra Wijaya</w:t>
            </w:r>
          </w:p>
        </w:tc>
        <w:tc>
          <w:tcPr>
            <w:tcW w:type="dxa" w:w="1757"/>
          </w:tcPr>
          <w:p>
            <w:r>
              <w:rPr>
                <w:sz w:val="18"/>
              </w:rPr>
              <w:t>Chief Financial Officer</w:t>
            </w:r>
          </w:p>
        </w:tc>
        <w:tc>
          <w:tcPr>
            <w:tcW w:type="dxa" w:w="1757"/>
          </w:tcPr>
          <w:p>
            <w:r>
              <w:rPr>
                <w:sz w:val="18"/>
              </w:rPr>
              <w:t>h.wijaya@petronusa.co.sr</w:t>
            </w:r>
          </w:p>
        </w:tc>
        <w:tc>
          <w:tcPr>
            <w:tcW w:type="dxa" w:w="1757"/>
          </w:tcPr>
          <w:p>
            <w:r>
              <w:rPr>
                <w:sz w:val="18"/>
              </w:rPr>
              <w:t>+695 21 8877 4478</w:t>
            </w:r>
          </w:p>
        </w:tc>
        <w:tc>
          <w:tcPr>
            <w:tcW w:type="dxa" w:w="1757"/>
          </w:tcPr>
          <w:p>
            <w:r>
              <w:rPr>
                <w:sz w:val="18"/>
              </w:rPr>
              <w:t>Engagement sponsor; budget holder; owns the wallet sourcing chain</w:t>
            </w:r>
          </w:p>
        </w:tc>
      </w:tr>
      <w:tr>
        <w:tc>
          <w:tcPr>
            <w:tcW w:type="dxa" w:w="1757"/>
          </w:tcPr>
          <w:p>
            <w:r>
              <w:rPr>
                <w:sz w:val="18"/>
              </w:rPr>
              <w:t>Mei-Ling Tan</w:t>
            </w:r>
          </w:p>
        </w:tc>
        <w:tc>
          <w:tcPr>
            <w:tcW w:type="dxa" w:w="1757"/>
          </w:tcPr>
          <w:p>
            <w:r>
              <w:rPr>
                <w:sz w:val="18"/>
              </w:rPr>
              <w:t>Head of Retail Operations</w:t>
            </w:r>
          </w:p>
        </w:tc>
        <w:tc>
          <w:tcPr>
            <w:tcW w:type="dxa" w:w="1757"/>
          </w:tcPr>
          <w:p>
            <w:r>
              <w:rPr>
                <w:sz w:val="18"/>
              </w:rPr>
              <w:t>ml.tan@petronusa.co.sr</w:t>
            </w:r>
          </w:p>
        </w:tc>
        <w:tc>
          <w:tcPr>
            <w:tcW w:type="dxa" w:w="1757"/>
          </w:tcPr>
          <w:p>
            <w:r>
              <w:rPr>
                <w:sz w:val="18"/>
              </w:rPr>
              <w:t>+695 21 8877 4502</w:t>
            </w:r>
          </w:p>
        </w:tc>
        <w:tc>
          <w:tcPr>
            <w:tcW w:type="dxa" w:w="1757"/>
          </w:tcPr>
          <w:p>
            <w:r>
              <w:rPr>
                <w:sz w:val="18"/>
              </w:rPr>
              <w:t>Operational owner of PetroPoin; loyalty workstream primary counterpart</w:t>
            </w:r>
          </w:p>
        </w:tc>
      </w:tr>
      <w:tr>
        <w:tc>
          <w:tcPr>
            <w:tcW w:type="dxa" w:w="1757"/>
          </w:tcPr>
          <w:p>
            <w:r>
              <w:rPr>
                <w:sz w:val="18"/>
              </w:rPr>
              <w:t>Pak Yusuf Hadi</w:t>
            </w:r>
          </w:p>
        </w:tc>
        <w:tc>
          <w:tcPr>
            <w:tcW w:type="dxa" w:w="1757"/>
          </w:tcPr>
          <w:p>
            <w:r>
              <w:rPr>
                <w:sz w:val="18"/>
              </w:rPr>
              <w:t>Head of Dealer Relations</w:t>
            </w:r>
          </w:p>
        </w:tc>
        <w:tc>
          <w:tcPr>
            <w:tcW w:type="dxa" w:w="1757"/>
          </w:tcPr>
          <w:p>
            <w:r>
              <w:rPr>
                <w:sz w:val="18"/>
              </w:rPr>
              <w:t>y.hadi@petronusa.co.sr</w:t>
            </w:r>
          </w:p>
        </w:tc>
        <w:tc>
          <w:tcPr>
            <w:tcW w:type="dxa" w:w="1757"/>
          </w:tcPr>
          <w:p>
            <w:r>
              <w:rPr>
                <w:sz w:val="18"/>
              </w:rPr>
              <w:t>+695 21 8877 4533</w:t>
            </w:r>
          </w:p>
        </w:tc>
        <w:tc>
          <w:tcPr>
            <w:tcW w:type="dxa" w:w="1757"/>
          </w:tcPr>
          <w:p>
            <w:r>
              <w:rPr>
                <w:sz w:val="18"/>
              </w:rPr>
              <w:t>DODO dealer network (136 stations); important for mechanics roll-out</w:t>
            </w:r>
          </w:p>
        </w:tc>
      </w:tr>
      <w:tr>
        <w:tc>
          <w:tcPr>
            <w:tcW w:type="dxa" w:w="1757"/>
          </w:tcPr>
          <w:p>
            <w:r>
              <w:rPr>
                <w:sz w:val="18"/>
              </w:rPr>
              <w:t>Rashidi Othman</w:t>
            </w:r>
          </w:p>
        </w:tc>
        <w:tc>
          <w:tcPr>
            <w:tcW w:type="dxa" w:w="1757"/>
          </w:tcPr>
          <w:p>
            <w:r>
              <w:rPr>
                <w:sz w:val="18"/>
              </w:rPr>
              <w:t>Non-Executive Chairman</w:t>
            </w:r>
          </w:p>
        </w:tc>
        <w:tc>
          <w:tcPr>
            <w:tcW w:type="dxa" w:w="1757"/>
          </w:tcPr>
          <w:p>
            <w:r>
              <w:rPr>
                <w:sz w:val="18"/>
              </w:rPr>
              <w:t>r.othman@petronusa.co.sr</w:t>
            </w:r>
          </w:p>
        </w:tc>
        <w:tc>
          <w:tcPr>
            <w:tcW w:type="dxa" w:w="1757"/>
          </w:tcPr>
          <w:p>
            <w:r>
              <w:rPr>
                <w:sz w:val="18"/>
              </w:rPr>
              <w:t>(via EA)</w:t>
            </w:r>
          </w:p>
        </w:tc>
        <w:tc>
          <w:tcPr>
            <w:tcW w:type="dxa" w:w="1757"/>
          </w:tcPr>
          <w:p>
            <w:r>
              <w:rPr>
                <w:sz w:val="18"/>
              </w:rPr>
              <w:t>Attends SteerCos; governance and strategic direction focus</w:t>
            </w:r>
          </w:p>
        </w:tc>
      </w:tr>
    </w:tbl>
    <w:p/>
    <w:p>
      <w:r>
        <w:rPr>
          <w:b/>
          <w:color w:val="1A3A5C"/>
          <w:sz w:val="22"/>
        </w:rPr>
        <w:t>SteerCo Schedule -- FY2025</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shd w:fill="2C7BB6" w:color="auto" w:val="clear"/>
          </w:tcPr>
          <w:p>
            <w:r>
              <w:rPr>
                <w:b/>
                <w:color w:val="FFFFFF"/>
                <w:sz w:val="18"/>
              </w:rPr>
              <w:t>SteerCo</w:t>
            </w:r>
          </w:p>
        </w:tc>
        <w:tc>
          <w:tcPr>
            <w:tcW w:type="dxa" w:w="1757"/>
            <w:shd w:fill="2C7BB6" w:color="auto" w:val="clear"/>
          </w:tcPr>
          <w:p>
            <w:r>
              <w:rPr>
                <w:b/>
                <w:color w:val="FFFFFF"/>
                <w:sz w:val="18"/>
              </w:rPr>
              <w:t>Date</w:t>
            </w:r>
          </w:p>
        </w:tc>
        <w:tc>
          <w:tcPr>
            <w:tcW w:type="dxa" w:w="1757"/>
            <w:shd w:fill="2C7BB6" w:color="auto" w:val="clear"/>
          </w:tcPr>
          <w:p>
            <w:r>
              <w:rPr>
                <w:b/>
                <w:color w:val="FFFFFF"/>
                <w:sz w:val="18"/>
              </w:rPr>
              <w:t>Location</w:t>
            </w:r>
          </w:p>
        </w:tc>
        <w:tc>
          <w:tcPr>
            <w:tcW w:type="dxa" w:w="1757"/>
            <w:shd w:fill="2C7BB6" w:color="auto" w:val="clear"/>
          </w:tcPr>
          <w:p>
            <w:r>
              <w:rPr>
                <w:b/>
                <w:color w:val="FFFFFF"/>
                <w:sz w:val="18"/>
              </w:rPr>
              <w:t>Key Agenda Items</w:t>
            </w:r>
          </w:p>
        </w:tc>
        <w:tc>
          <w:tcPr>
            <w:tcW w:type="dxa" w:w="1757"/>
            <w:shd w:fill="2C7BB6" w:color="auto" w:val="clear"/>
          </w:tcPr>
          <w:p>
            <w:r>
              <w:rPr>
                <w:b/>
                <w:color w:val="FFFFFF"/>
                <w:sz w:val="18"/>
              </w:rPr>
              <w:t>Status</w:t>
            </w:r>
          </w:p>
        </w:tc>
      </w:tr>
      <w:tr>
        <w:tc>
          <w:tcPr>
            <w:tcW w:type="dxa" w:w="1757"/>
          </w:tcPr>
          <w:p>
            <w:r>
              <w:rPr>
                <w:sz w:val="18"/>
              </w:rPr>
              <w:t>SteerCo 1</w:t>
            </w:r>
          </w:p>
        </w:tc>
        <w:tc>
          <w:tcPr>
            <w:tcW w:type="dxa" w:w="1757"/>
          </w:tcPr>
          <w:p>
            <w:r>
              <w:rPr>
                <w:sz w:val="18"/>
              </w:rPr>
              <w:t>13 February 2025</w:t>
            </w:r>
          </w:p>
        </w:tc>
        <w:tc>
          <w:tcPr>
            <w:tcW w:type="dxa" w:w="1757"/>
          </w:tcPr>
          <w:p>
            <w:r>
              <w:rPr>
                <w:sz w:val="18"/>
              </w:rPr>
              <w:t>Kertapura (PetroNusa HQ)</w:t>
            </w:r>
          </w:p>
        </w:tc>
        <w:tc>
          <w:tcPr>
            <w:tcW w:type="dxa" w:w="1757"/>
          </w:tcPr>
          <w:p>
            <w:r>
              <w:rPr>
                <w:sz w:val="18"/>
              </w:rPr>
              <w:t>Engagement kick-off; scope confirmation; data access plan</w:t>
            </w:r>
          </w:p>
        </w:tc>
        <w:tc>
          <w:tcPr>
            <w:tcW w:type="dxa" w:w="1757"/>
          </w:tcPr>
          <w:p>
            <w:r>
              <w:rPr>
                <w:sz w:val="18"/>
              </w:rPr>
              <w:t>COMPLETE</w:t>
            </w:r>
          </w:p>
        </w:tc>
      </w:tr>
      <w:tr>
        <w:tc>
          <w:tcPr>
            <w:tcW w:type="dxa" w:w="1757"/>
          </w:tcPr>
          <w:p>
            <w:r>
              <w:rPr>
                <w:sz w:val="18"/>
              </w:rPr>
              <w:t>SteerCo 2</w:t>
            </w:r>
          </w:p>
        </w:tc>
        <w:tc>
          <w:tcPr>
            <w:tcW w:type="dxa" w:w="1757"/>
          </w:tcPr>
          <w:p>
            <w:r>
              <w:rPr>
                <w:sz w:val="18"/>
              </w:rPr>
              <w:t>13 March 2025</w:t>
            </w:r>
          </w:p>
        </w:tc>
        <w:tc>
          <w:tcPr>
            <w:tcW w:type="dxa" w:w="1757"/>
          </w:tcPr>
          <w:p>
            <w:r>
              <w:rPr>
                <w:sz w:val="18"/>
              </w:rPr>
              <w:t>Kertapura (PetroNusa HQ)</w:t>
            </w:r>
          </w:p>
        </w:tc>
        <w:tc>
          <w:tcPr>
            <w:tcW w:type="dxa" w:w="1757"/>
          </w:tcPr>
          <w:p>
            <w:r>
              <w:rPr>
                <w:sz w:val="18"/>
              </w:rPr>
              <w:t>Assessment frames and teardown methodology signed off</w:t>
            </w:r>
          </w:p>
        </w:tc>
        <w:tc>
          <w:tcPr>
            <w:tcW w:type="dxa" w:w="1757"/>
          </w:tcPr>
          <w:p>
            <w:r>
              <w:rPr>
                <w:sz w:val="18"/>
              </w:rPr>
              <w:t>COMPLETE</w:t>
            </w:r>
          </w:p>
        </w:tc>
      </w:tr>
      <w:tr>
        <w:tc>
          <w:tcPr>
            <w:tcW w:type="dxa" w:w="1757"/>
          </w:tcPr>
          <w:p>
            <w:r>
              <w:rPr>
                <w:sz w:val="18"/>
              </w:rPr>
              <w:t>SteerCo 3</w:t>
            </w:r>
          </w:p>
        </w:tc>
        <w:tc>
          <w:tcPr>
            <w:tcW w:type="dxa" w:w="1757"/>
          </w:tcPr>
          <w:p>
            <w:r>
              <w:rPr>
                <w:sz w:val="18"/>
              </w:rPr>
              <w:t>3 April 2025</w:t>
            </w:r>
          </w:p>
        </w:tc>
        <w:tc>
          <w:tcPr>
            <w:tcW w:type="dxa" w:w="1757"/>
          </w:tcPr>
          <w:p>
            <w:r>
              <w:rPr>
                <w:sz w:val="18"/>
              </w:rPr>
              <w:t>Virtual</w:t>
            </w:r>
          </w:p>
        </w:tc>
        <w:tc>
          <w:tcPr>
            <w:tcW w:type="dxa" w:w="1757"/>
          </w:tcPr>
          <w:p>
            <w:r>
              <w:rPr>
                <w:sz w:val="18"/>
              </w:rPr>
              <w:t>Payments and acceptance current state accepted; comparator pack noted</w:t>
            </w:r>
          </w:p>
        </w:tc>
        <w:tc>
          <w:tcPr>
            <w:tcW w:type="dxa" w:w="1757"/>
          </w:tcPr>
          <w:p>
            <w:r>
              <w:rPr>
                <w:sz w:val="18"/>
              </w:rPr>
              <w:t>COMPLETE</w:t>
            </w:r>
          </w:p>
        </w:tc>
      </w:tr>
      <w:tr>
        <w:tc>
          <w:tcPr>
            <w:tcW w:type="dxa" w:w="1757"/>
          </w:tcPr>
          <w:p>
            <w:r>
              <w:rPr>
                <w:sz w:val="18"/>
              </w:rPr>
              <w:t>SteerCo 4</w:t>
            </w:r>
          </w:p>
        </w:tc>
        <w:tc>
          <w:tcPr>
            <w:tcW w:type="dxa" w:w="1757"/>
          </w:tcPr>
          <w:p>
            <w:r>
              <w:rPr>
                <w:sz w:val="18"/>
              </w:rPr>
              <w:t>12 June 2025</w:t>
            </w:r>
          </w:p>
        </w:tc>
        <w:tc>
          <w:tcPr>
            <w:tcW w:type="dxa" w:w="1757"/>
          </w:tcPr>
          <w:p>
            <w:r>
              <w:rPr>
                <w:sz w:val="18"/>
              </w:rPr>
              <w:t>Kertapura (PetroNusa HQ)</w:t>
            </w:r>
          </w:p>
        </w:tc>
        <w:tc>
          <w:tcPr>
            <w:tcW w:type="dxa" w:w="1757"/>
          </w:tcPr>
          <w:p>
            <w:r>
              <w:rPr>
                <w:sz w:val="18"/>
              </w:rPr>
              <w:t>Loyalty current-state assessment accepted; wallet build-versus-partner decision taken</w:t>
            </w:r>
          </w:p>
        </w:tc>
        <w:tc>
          <w:tcPr>
            <w:tcW w:type="dxa" w:w="1757"/>
          </w:tcPr>
          <w:p>
            <w:r>
              <w:rPr>
                <w:sz w:val="18"/>
              </w:rPr>
              <w:t>COMPLETE</w:t>
            </w:r>
          </w:p>
        </w:tc>
      </w:tr>
      <w:tr>
        <w:tc>
          <w:tcPr>
            <w:tcW w:type="dxa" w:w="1757"/>
          </w:tcPr>
          <w:p>
            <w:r>
              <w:rPr>
                <w:sz w:val="18"/>
              </w:rPr>
              <w:t>SteerCo 5</w:t>
            </w:r>
          </w:p>
        </w:tc>
        <w:tc>
          <w:tcPr>
            <w:tcW w:type="dxa" w:w="1757"/>
          </w:tcPr>
          <w:p>
            <w:r>
              <w:rPr>
                <w:sz w:val="18"/>
              </w:rPr>
              <w:t>21 August 2025</w:t>
            </w:r>
          </w:p>
        </w:tc>
        <w:tc>
          <w:tcPr>
            <w:tcW w:type="dxa" w:w="1757"/>
          </w:tcPr>
          <w:p>
            <w:r>
              <w:rPr>
                <w:sz w:val="18"/>
              </w:rPr>
              <w:t>Kertapura (PetroNusa HQ)</w:t>
            </w:r>
          </w:p>
        </w:tc>
        <w:tc>
          <w:tcPr>
            <w:tcW w:type="dxa" w:w="1757"/>
          </w:tcPr>
          <w:p>
            <w:r>
              <w:rPr>
                <w:sz w:val="18"/>
              </w:rPr>
              <w:t>Loyalty redesign recommendation; unified wallet proposition design</w:t>
            </w:r>
          </w:p>
        </w:tc>
        <w:tc>
          <w:tcPr>
            <w:tcW w:type="dxa" w:w="1757"/>
          </w:tcPr>
          <w:p>
            <w:r>
              <w:rPr>
                <w:sz w:val="18"/>
              </w:rPr>
              <w:t>PLANNED</w:t>
            </w:r>
          </w:p>
        </w:tc>
      </w:tr>
    </w:tbl>
    <w:p/>
    <w:p>
      <w:r>
        <w:rPr>
          <w:b/>
          <w:color w:val="1A3A5C"/>
          <w:sz w:val="22"/>
        </w:rPr>
        <w:t>Kertapura Office Days and Travel Logistics</w:t>
      </w:r>
    </w:p>
    <w:p>
      <w:r>
        <w:rPr>
          <w:sz w:val="18"/>
        </w:rPr>
        <w:t>Citra is based at the Kertapura office (Menara Cempaka, Jalan Tirtanusa Kav. 1, Kertapura) full time; Dani is on-site there Mondays, Tuesdays and Wednesdays. Marcus and Priya travel to Kertapura for SteerCo weeks and client sessions only. Flights to be booked via the Aurelian travel desk at least 10 days in advance.</w:t>
      </w:r>
    </w:p>
    <w:p/>
    <w:p>
      <w:r>
        <w:rPr>
          <w:color w:val="888888"/>
          <w:sz w:val="16"/>
        </w:rPr>
        <w:t>Aurelian &amp; Co | PetroNusa -- Engagement Admin | Project code: AUR-2025-PN-01</w:t>
        <w:br/>
        <w:t>For internal use only. Do not share with client contacts without partner approval.</w:t>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