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5B4EF2BD" w:rsidR="00F23B73" w:rsidRDefault="00497FCF" w:rsidP="00F23B73">
      <w:pPr>
        <w:pStyle w:val="bltitelblattklein"/>
      </w:pPr>
      <w:r w:rsidRPr="0006066E">
        <w:t>Matrikelnummer</w:t>
      </w:r>
      <w:r w:rsidR="005C349B">
        <w:t>:</w:t>
      </w:r>
      <w:r w:rsidR="005C349B">
        <w:tab/>
        <w:t>11-111-111</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03235262" w14:textId="468DDD07" w:rsidR="008E2BB2" w:rsidRPr="00DB4898" w:rsidRDefault="008E2BB2" w:rsidP="00F23B73">
      <w:pPr>
        <w:pStyle w:val="bltitelblattklein"/>
        <w:rPr>
          <w:color w:val="000000" w:themeColor="text1"/>
        </w:rPr>
      </w:pPr>
      <w:r>
        <w:tab/>
      </w:r>
      <w:hyperlink r:id="rId9" w:history="1">
        <w:r w:rsidR="00DB4898" w:rsidRPr="00DB4898">
          <w:rPr>
            <w:rStyle w:val="Hyperlink"/>
            <w:color w:val="000000" w:themeColor="text1"/>
            <w:u w:val="none"/>
          </w:rPr>
          <w:t>lynn.grau@students.unibe.ch</w:t>
        </w:r>
      </w:hyperlink>
    </w:p>
    <w:p w14:paraId="21791C6C" w14:textId="77777777" w:rsidR="008E2BB2" w:rsidRDefault="008E2BB2" w:rsidP="00F23B73">
      <w:pPr>
        <w:pStyle w:val="bltitelblattklein"/>
      </w:pPr>
    </w:p>
    <w:p w14:paraId="6FC29F29" w14:textId="77777777" w:rsidR="008E2BB2" w:rsidRPr="0006066E" w:rsidRDefault="008E2BB2" w:rsidP="00F23B73">
      <w:pPr>
        <w:pStyle w:val="bltitelblattklein"/>
      </w:pPr>
    </w:p>
    <w:p w14:paraId="17EF2E32" w14:textId="77777777" w:rsidR="00852887" w:rsidRDefault="00852887" w:rsidP="0006066E">
      <w:pPr>
        <w:pStyle w:val="blstandard"/>
      </w:pPr>
    </w:p>
    <w:p w14:paraId="2470BA02" w14:textId="77777777" w:rsidR="00BF0E72" w:rsidRPr="00BF0E72" w:rsidRDefault="00BF0E72" w:rsidP="0006066E">
      <w:pPr>
        <w:pStyle w:val="blstandard"/>
        <w:rPr>
          <w:color w:val="FF0000"/>
        </w:rPr>
      </w:pPr>
      <w:r w:rsidRPr="00BF0E72">
        <w:rPr>
          <w:color w:val="FF0000"/>
        </w:rPr>
        <w:t xml:space="preserve">{Beachten Sie bitte allfällige abweichende Anforderungen der einzelnen Institute oder Departemente. Die hier verwendete Schriftart ist </w:t>
      </w:r>
      <w:proofErr w:type="spellStart"/>
      <w:r w:rsidRPr="00BF0E72">
        <w:rPr>
          <w:color w:val="FF0000"/>
        </w:rPr>
        <w:t>Univers</w:t>
      </w:r>
      <w:proofErr w:type="spellEnd"/>
      <w:r w:rsidRPr="00BF0E72">
        <w:rPr>
          <w:color w:val="FF0000"/>
        </w:rPr>
        <w:t>, teilweise wird Arial oder Times verlangt}</w:t>
      </w:r>
    </w:p>
    <w:p w14:paraId="139CA5D6" w14:textId="77777777" w:rsidR="00760C5A" w:rsidRDefault="00760C5A" w:rsidP="0006066E">
      <w:pPr>
        <w:pStyle w:val="blstandard"/>
        <w:sectPr w:rsidR="00760C5A" w:rsidSect="00C3498F">
          <w:pgSz w:w="11906" w:h="16838"/>
          <w:pgMar w:top="1418" w:right="2268" w:bottom="1418" w:left="1418" w:header="709" w:footer="709" w:gutter="0"/>
          <w:cols w:space="708"/>
          <w:docGrid w:linePitch="360"/>
        </w:sectPr>
      </w:pPr>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EC6D7E">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EC6D7E">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EC6D7E">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EC6D7E">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EC6D7E">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EC6D7E">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EC6D7E">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EC6D7E">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EC6D7E">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EC6D7E">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EC6D7E">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EC6D7E">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EC6D7E">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EC6D7E">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EC6D7E">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EC6D7E">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EC6D7E">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EC6D7E">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w:t>
      </w:r>
      <w:proofErr w:type="gramStart"/>
      <w:r>
        <w:t>zur Verfolg</w:t>
      </w:r>
      <w:proofErr w:type="gramEnd"/>
      <w:r>
        <w:t xml:space="preserve">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 xml:space="preserve">Bundesamt für Justiz, Zutrittskontrollen in Stadien: Durchsuchungen im Intimbereich, Gutachten vom 3. Februar 2011, VPB </w:t>
      </w:r>
      <w:proofErr w:type="gramStart"/>
      <w:r>
        <w:t>2012.2</w:t>
      </w:r>
      <w:proofErr w:type="gramEnd"/>
      <w:r>
        <w:t xml:space="preserve">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w:t>
      </w:r>
      <w:proofErr w:type="gramStart"/>
      <w:r>
        <w:t>Bernische ]</w:t>
      </w:r>
      <w:proofErr w:type="gramEnd"/>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3163A394"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 the most is</w:t>
      </w:r>
      <w:r w:rsidR="005D47EE">
        <w:rPr>
          <w:lang w:val="en-US"/>
        </w:rPr>
        <w:t xml:space="preserve"> personal data. </w:t>
      </w:r>
      <w:r w:rsidR="004A4CF9">
        <w:rPr>
          <w:lang w:val="en-US"/>
        </w:rPr>
        <w:t xml:space="preserve">Personal data is data, which </w:t>
      </w:r>
      <w:r w:rsidR="00BA57FB">
        <w:rPr>
          <w:lang w:val="en-US"/>
        </w:rPr>
        <w:t xml:space="preserve">can be directly linked to a natural person </w:t>
      </w:r>
      <w:r w:rsidR="004A4CF9">
        <w:rPr>
          <w:lang w:val="en-US"/>
        </w:rPr>
        <w:t xml:space="preserve">through direct means. An example of this would be a person’s medical record or anything containing </w:t>
      </w:r>
      <w:r w:rsidR="00BA57FB">
        <w:rPr>
          <w:lang w:val="en-US"/>
        </w:rPr>
        <w:t>name</w:t>
      </w:r>
      <w:r w:rsidR="004A4CF9">
        <w:rPr>
          <w:lang w:val="en-US"/>
        </w:rPr>
        <w:t>s</w:t>
      </w:r>
      <w:r w:rsidR="00BA57FB">
        <w:rPr>
          <w:lang w:val="en-US"/>
        </w:rPr>
        <w:t>, address</w:t>
      </w:r>
      <w:r w:rsidR="004A4CF9">
        <w:rPr>
          <w:lang w:val="en-US"/>
        </w:rPr>
        <w:t>es</w:t>
      </w:r>
      <w:r w:rsidR="00BA57FB">
        <w:rPr>
          <w:lang w:val="en-US"/>
        </w:rPr>
        <w:t>, birthday</w:t>
      </w:r>
      <w:r w:rsidR="004A4CF9">
        <w:rPr>
          <w:lang w:val="en-US"/>
        </w:rPr>
        <w:t>s</w:t>
      </w:r>
      <w:r w:rsidR="00BA57FB">
        <w:rPr>
          <w:lang w:val="en-US"/>
        </w:rPr>
        <w:t xml:space="preserve"> and so on.</w:t>
      </w:r>
    </w:p>
    <w:p w14:paraId="03098D95" w14:textId="270AE40A" w:rsidR="00BA57FB" w:rsidRDefault="00BA57FB" w:rsidP="004314A1">
      <w:pPr>
        <w:pStyle w:val="blstandard"/>
        <w:jc w:val="left"/>
        <w:rPr>
          <w:lang w:val="en-US"/>
        </w:rPr>
      </w:pPr>
      <w:r>
        <w:rPr>
          <w:lang w:val="en-US"/>
        </w:rPr>
        <w:t xml:space="preserve">After personal data there is pseudonymized data. This is information, that can be linked through indirect means to a </w:t>
      </w:r>
      <w:r w:rsidR="004A4CF9">
        <w:rPr>
          <w:lang w:val="en-US"/>
        </w:rPr>
        <w:t xml:space="preserve">natural </w:t>
      </w:r>
      <w:r>
        <w:rPr>
          <w:lang w:val="en-US"/>
        </w:rPr>
        <w:t>person</w:t>
      </w:r>
      <w:r w:rsidR="005D47EE">
        <w:rPr>
          <w:lang w:val="en-US"/>
        </w:rPr>
        <w:t xml:space="preserve">, such as </w:t>
      </w:r>
      <w:r>
        <w:rPr>
          <w:lang w:val="en-US"/>
        </w:rPr>
        <w:t xml:space="preserve">knowing a person’s wallet address. </w:t>
      </w:r>
      <w:r w:rsidR="005D47EE">
        <w:rPr>
          <w:lang w:val="en-US"/>
        </w:rPr>
        <w:t xml:space="preserve">If data cannot be </w:t>
      </w:r>
      <w:r>
        <w:rPr>
          <w:lang w:val="en-US"/>
        </w:rPr>
        <w:t>linked</w:t>
      </w:r>
      <w:r w:rsidR="005D47EE">
        <w:rPr>
          <w:lang w:val="en-US"/>
        </w:rPr>
        <w:t xml:space="preserve"> to a person through any means it is a</w:t>
      </w:r>
      <w:r w:rsidR="00604FA8">
        <w:rPr>
          <w:lang w:val="en-US"/>
        </w:rPr>
        <w:t>nonymous data</w:t>
      </w:r>
      <w:r>
        <w:rPr>
          <w:lang w:val="en-US"/>
        </w:rPr>
        <w:t xml:space="preserve"> and is outside of most laws</w:t>
      </w:r>
      <w:r w:rsidR="00604FA8">
        <w:rPr>
          <w:lang w:val="en-US"/>
        </w:rPr>
        <w:t>.</w:t>
      </w:r>
    </w:p>
    <w:p w14:paraId="1961B43C" w14:textId="1A695D29" w:rsidR="00BA57FB" w:rsidRDefault="00BA57FB" w:rsidP="004314A1">
      <w:pPr>
        <w:pStyle w:val="blstandard"/>
        <w:jc w:val="left"/>
        <w:rPr>
          <w:lang w:val="en-US"/>
        </w:rPr>
      </w:pPr>
      <w:r>
        <w:rPr>
          <w:lang w:val="en-US"/>
        </w:rPr>
        <w:t xml:space="preserve">This scale is continuous, and data can find itself anywhere </w:t>
      </w:r>
      <w:r w:rsidR="004A4CF9">
        <w:rPr>
          <w:lang w:val="en-US"/>
        </w:rPr>
        <w:t>in between the three data types</w:t>
      </w:r>
      <w:r>
        <w:rPr>
          <w:lang w:val="en-US"/>
        </w:rPr>
        <w:t>.</w:t>
      </w:r>
      <w:r w:rsidR="00D34996">
        <w:rPr>
          <w:rStyle w:val="FootnoteReference"/>
          <w:lang w:val="en-US"/>
        </w:rPr>
        <w:footnoteReference w:id="1"/>
      </w:r>
    </w:p>
    <w:p w14:paraId="522565EF" w14:textId="478DE5A0" w:rsidR="00604FA8" w:rsidRDefault="00604FA8" w:rsidP="004314A1">
      <w:pPr>
        <w:pStyle w:val="blstandard"/>
        <w:jc w:val="left"/>
        <w:rPr>
          <w:lang w:val="en-US"/>
        </w:rPr>
      </w:pPr>
      <w:r>
        <w:rPr>
          <w:lang w:val="en-US"/>
        </w:rPr>
        <w:t>In the case of cryptocurrencies, we are dealing with something in between Anonymous and Pseudonymized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184EFB57"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D34996">
        <w:rPr>
          <w:lang w:val="en-US"/>
        </w:rPr>
        <w:t xml:space="preserve"> and it refers to </w:t>
      </w:r>
    </w:p>
    <w:p w14:paraId="1DEF18F2" w14:textId="0DB61C46" w:rsidR="00D34996" w:rsidRPr="00604FA8" w:rsidRDefault="002E3FCF" w:rsidP="00604FA8">
      <w:pPr>
        <w:pStyle w:val="blstandard"/>
        <w:rPr>
          <w:lang w:val="en-US"/>
        </w:rPr>
      </w:pPr>
      <w:r>
        <w:rPr>
          <w:lang w:val="en-US"/>
        </w:rPr>
        <w:t xml:space="preserve">UTXO based cryptocurrencies do not use wallets at a protocol level, as a user you must keep track of all your </w:t>
      </w:r>
      <w:proofErr w:type="spellStart"/>
      <w:r>
        <w:rPr>
          <w:lang w:val="en-US"/>
        </w:rPr>
        <w:t>utxos</w:t>
      </w:r>
      <w:proofErr w:type="spellEnd"/>
      <w:r>
        <w:rPr>
          <w:lang w:val="en-US"/>
        </w:rPr>
        <w:t xml:space="preserve"> to be in control of your assets.</w:t>
      </w:r>
    </w:p>
    <w:p w14:paraId="467B5A8A" w14:textId="31080AE2" w:rsidR="003449DB" w:rsidRPr="003449DB" w:rsidRDefault="00DA19CA" w:rsidP="003449DB">
      <w:pPr>
        <w:pStyle w:val="bltitel1"/>
      </w:pPr>
      <w:r>
        <w:t xml:space="preserve">Privacy in </w:t>
      </w:r>
      <w:r w:rsidR="006F5054">
        <w:t>Distributed Ledgers</w:t>
      </w:r>
    </w:p>
    <w:p w14:paraId="5002322F" w14:textId="4E6E35F8" w:rsidR="00F31C30" w:rsidRDefault="00F31C30" w:rsidP="00F31C30">
      <w:pPr>
        <w:pStyle w:val="bltitel2"/>
        <w:rPr>
          <w:lang w:val="en-US"/>
        </w:rPr>
      </w:pPr>
      <w:bookmarkStart w:id="6" w:name="_Toc98843530"/>
      <w:r w:rsidRPr="00F31C30">
        <w:rPr>
          <w:lang w:val="en-US"/>
        </w:rPr>
        <w:t>UTXO vs Account Based Bloc</w:t>
      </w:r>
      <w:r>
        <w:rPr>
          <w:lang w:val="en-US"/>
        </w:rPr>
        <w:t>kchains</w:t>
      </w:r>
      <w:bookmarkEnd w:id="6"/>
      <w:r>
        <w:rPr>
          <w:lang w:val="en-US"/>
        </w:rPr>
        <w:t xml:space="preserve"> </w:t>
      </w:r>
    </w:p>
    <w:p w14:paraId="75195869" w14:textId="77777777" w:rsidR="00983089" w:rsidRPr="00983089" w:rsidRDefault="00983089" w:rsidP="00983089">
      <w:pPr>
        <w:pStyle w:val="blstandard"/>
        <w:rPr>
          <w:lang w:val="en-US"/>
        </w:rPr>
      </w:pPr>
    </w:p>
    <w:p w14:paraId="0BBF9B5F" w14:textId="5B225263" w:rsidR="002024D7" w:rsidRDefault="00F31C30" w:rsidP="002024D7">
      <w:pPr>
        <w:pStyle w:val="bltitel2"/>
        <w:rPr>
          <w:lang w:val="en-US"/>
        </w:rPr>
      </w:pPr>
      <w:bookmarkStart w:id="7" w:name="_Toc98843531"/>
      <w:r>
        <w:rPr>
          <w:lang w:val="en-US"/>
        </w:rPr>
        <w:lastRenderedPageBreak/>
        <w:t>Different Cryptocurrencies</w:t>
      </w:r>
      <w:bookmarkEnd w:id="7"/>
    </w:p>
    <w:p w14:paraId="119546DC" w14:textId="7347A4DE" w:rsidR="002024D7" w:rsidRPr="002024D7" w:rsidRDefault="002024D7" w:rsidP="002024D7">
      <w:pPr>
        <w:pStyle w:val="blstandard"/>
        <w:rPr>
          <w:lang w:val="en-US"/>
        </w:rPr>
      </w:pPr>
      <w:r>
        <w:rPr>
          <w:lang w:val="en-US"/>
        </w:rPr>
        <w:t>While banks protect privacy by releasing as little information as possible to the public, distributed public ledgers do not have that luxury. As the name implies, they must be accessible to everyone, and no information can be hidden. This makes privacy only possible through the means of cryptographic methods. Some notable ones include the usage of public and private keys, zero knowledge proofs, optimistic proofs, and many more.</w:t>
      </w:r>
    </w:p>
    <w:p w14:paraId="3B505DE6" w14:textId="1D091F68" w:rsidR="00F31C30" w:rsidRDefault="00F31C30" w:rsidP="00F31C30">
      <w:pPr>
        <w:pStyle w:val="bltitel3"/>
        <w:rPr>
          <w:lang w:val="en-US"/>
        </w:rPr>
      </w:pPr>
      <w:bookmarkStart w:id="8" w:name="_Toc98843532"/>
      <w:r>
        <w:rPr>
          <w:lang w:val="en-US"/>
        </w:rPr>
        <w:t>Bitcoin</w:t>
      </w:r>
      <w:bookmarkEnd w:id="8"/>
    </w:p>
    <w:p w14:paraId="14333413" w14:textId="25ADE5A0" w:rsidR="00F31C30"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as a distributed online ledger. </w:t>
      </w:r>
      <w:r w:rsidR="004A4CF9">
        <w:rPr>
          <w:lang w:val="en-US"/>
        </w:rPr>
        <w:t xml:space="preserve">Already in 2008 </w:t>
      </w:r>
      <w:r w:rsidR="00144067">
        <w:rPr>
          <w:lang w:val="en-US"/>
        </w:rPr>
        <w:t>privacy was a big concern.</w:t>
      </w:r>
    </w:p>
    <w:p w14:paraId="3FEEBB61" w14:textId="755AC54C" w:rsidR="004A4CF9" w:rsidRDefault="007E09FD" w:rsidP="002024D7">
      <w:pPr>
        <w:pStyle w:val="blstandard"/>
        <w:rPr>
          <w:lang w:val="en-US"/>
        </w:rPr>
      </w:pPr>
      <w:r>
        <w:rPr>
          <w:lang w:val="en-US"/>
        </w:rPr>
        <w:t xml:space="preserve">Bitcoin is not fully anonymous, since if you can link a private key to a </w:t>
      </w:r>
      <w:r w:rsidR="008A3785">
        <w:rPr>
          <w:lang w:val="en-US"/>
        </w:rPr>
        <w:t>person</w:t>
      </w:r>
      <w:r w:rsidR="00150860">
        <w:rPr>
          <w:lang w:val="en-US"/>
        </w:rPr>
        <w:t>. If a transaction had multiple UTXO inputs, then you can link these and their history to a person</w:t>
      </w:r>
      <w:r>
        <w:rPr>
          <w:lang w:val="en-US"/>
        </w:rPr>
        <w:t>.</w:t>
      </w:r>
    </w:p>
    <w:p w14:paraId="592C619B" w14:textId="6798635C" w:rsidR="00144067" w:rsidRDefault="004A4CF9" w:rsidP="002024D7">
      <w:pPr>
        <w:pStyle w:val="blstandard"/>
        <w:rPr>
          <w:lang w:val="en-US"/>
        </w:rPr>
      </w:pPr>
      <w:r>
        <w:rPr>
          <w:lang w:val="en-US"/>
        </w:rPr>
        <w:t>The main privacy problem appears when you have multiple inputs for a payment. Then you can link other transactions to the person.</w:t>
      </w:r>
      <w:r w:rsidR="007E09FD">
        <w:rPr>
          <w:lang w:val="en-US"/>
        </w:rPr>
        <w:t xml:space="preserve"> </w:t>
      </w:r>
    </w:p>
    <w:p w14:paraId="5C28A4D3" w14:textId="142AF10D" w:rsidR="00DB7ADC" w:rsidRDefault="00DB7ADC" w:rsidP="002024D7">
      <w:pPr>
        <w:pStyle w:val="blstandard"/>
        <w:rPr>
          <w:lang w:val="en-US"/>
        </w:rPr>
      </w:pPr>
      <w:r>
        <w:rPr>
          <w:lang w:val="en-US"/>
        </w:rPr>
        <w:t>The safety of a user also depends on the user themselves such as in banks. If someone leaks their own public key</w:t>
      </w:r>
      <w:r w:rsidR="00983089">
        <w:rPr>
          <w:lang w:val="en-US"/>
        </w:rPr>
        <w:t xml:space="preserve"> and always use the same key, then all their transactions become non private.</w:t>
      </w:r>
    </w:p>
    <w:p w14:paraId="5634A738" w14:textId="2F4506D7" w:rsidR="00FA3879" w:rsidRDefault="00FA3879" w:rsidP="002024D7">
      <w:pPr>
        <w:pStyle w:val="blstandard"/>
        <w:rPr>
          <w:lang w:val="en-US"/>
        </w:rPr>
      </w:pPr>
      <w:r w:rsidRPr="00FA3879">
        <w:rPr>
          <w:lang w:val="en-US"/>
        </w:rPr>
        <w:drawing>
          <wp:inline distT="0" distB="0" distL="0" distR="0" wp14:anchorId="6FE8F9F1" wp14:editId="142BE52E">
            <wp:extent cx="5219700" cy="17183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219700" cy="1718310"/>
                    </a:xfrm>
                    <a:prstGeom prst="rect">
                      <a:avLst/>
                    </a:prstGeom>
                  </pic:spPr>
                </pic:pic>
              </a:graphicData>
            </a:graphic>
          </wp:inline>
        </w:drawing>
      </w:r>
      <w:r w:rsidR="0084063E">
        <w:rPr>
          <w:rStyle w:val="FootnoteReference"/>
          <w:lang w:val="en-US"/>
        </w:rPr>
        <w:footnoteReference w:id="2"/>
      </w:r>
    </w:p>
    <w:p w14:paraId="68E94C09" w14:textId="65F84A50" w:rsidR="00F31C30" w:rsidRDefault="00F31C30" w:rsidP="00F31C30">
      <w:pPr>
        <w:pStyle w:val="bltitel3"/>
        <w:rPr>
          <w:lang w:val="en-US"/>
        </w:rPr>
      </w:pPr>
      <w:bookmarkStart w:id="9" w:name="_Toc98843534"/>
      <w:r>
        <w:rPr>
          <w:lang w:val="en-US"/>
        </w:rPr>
        <w:t>Privacy Coins</w:t>
      </w:r>
      <w:bookmarkEnd w:id="9"/>
      <w:r>
        <w:rPr>
          <w:lang w:val="en-US"/>
        </w:rPr>
        <w:t xml:space="preserve"> </w:t>
      </w:r>
    </w:p>
    <w:p w14:paraId="0E47724A" w14:textId="21A18171" w:rsidR="00F31C30" w:rsidRDefault="00F31C30" w:rsidP="00F31C30">
      <w:pPr>
        <w:pStyle w:val="bltitel4"/>
        <w:rPr>
          <w:lang w:val="en-US"/>
        </w:rPr>
      </w:pPr>
      <w:bookmarkStart w:id="10" w:name="_Toc98843535"/>
      <w:proofErr w:type="spellStart"/>
      <w:r>
        <w:rPr>
          <w:lang w:val="en-US"/>
        </w:rPr>
        <w:lastRenderedPageBreak/>
        <w:t>Monero</w:t>
      </w:r>
      <w:bookmarkEnd w:id="10"/>
      <w:proofErr w:type="spellEnd"/>
      <w:r>
        <w:rPr>
          <w:lang w:val="en-US"/>
        </w:rPr>
        <w:t xml:space="preserve"> </w:t>
      </w:r>
    </w:p>
    <w:p w14:paraId="4BEF9AE0" w14:textId="77777777" w:rsidR="00002514" w:rsidRPr="00002514" w:rsidRDefault="00002514" w:rsidP="00002514">
      <w:pPr>
        <w:pStyle w:val="blstandard"/>
        <w:rPr>
          <w:lang w:val="en-US"/>
        </w:rPr>
      </w:pPr>
    </w:p>
    <w:p w14:paraId="27C1D368" w14:textId="42156083" w:rsidR="00F31C30" w:rsidRDefault="00F31C30" w:rsidP="00F31C30">
      <w:pPr>
        <w:pStyle w:val="bltitel4"/>
        <w:rPr>
          <w:lang w:val="en-US"/>
        </w:rPr>
      </w:pPr>
      <w:bookmarkStart w:id="11" w:name="_Toc98843536"/>
      <w:r>
        <w:rPr>
          <w:lang w:val="en-US"/>
        </w:rPr>
        <w:t>Dash</w:t>
      </w:r>
      <w:bookmarkEnd w:id="11"/>
      <w:r>
        <w:rPr>
          <w:lang w:val="en-US"/>
        </w:rPr>
        <w:t xml:space="preserve"> </w:t>
      </w:r>
    </w:p>
    <w:p w14:paraId="492452F6" w14:textId="7F9CB7FD" w:rsidR="00002514" w:rsidRPr="00002514" w:rsidRDefault="00002514" w:rsidP="00002514">
      <w:pPr>
        <w:pStyle w:val="blstandard"/>
        <w:rPr>
          <w:lang w:val="en-US"/>
        </w:rPr>
      </w:pPr>
      <w:r>
        <w:rPr>
          <w:lang w:val="en-US"/>
        </w:rPr>
        <w:t xml:space="preserve">Dash uses a technique known as zero knowledge proofs to </w:t>
      </w:r>
    </w:p>
    <w:p w14:paraId="15AAFF34" w14:textId="2BDFAE31" w:rsidR="00F31C30" w:rsidRDefault="00F31C30" w:rsidP="00F31C30">
      <w:pPr>
        <w:pStyle w:val="bltitel3"/>
        <w:rPr>
          <w:lang w:val="en-US"/>
        </w:rPr>
      </w:pPr>
      <w:bookmarkStart w:id="12" w:name="_Toc98843537"/>
      <w:proofErr w:type="spellStart"/>
      <w:r>
        <w:rPr>
          <w:lang w:val="en-US"/>
        </w:rPr>
        <w:t>Metamask</w:t>
      </w:r>
      <w:bookmarkEnd w:id="12"/>
      <w:proofErr w:type="spellEnd"/>
      <w:r>
        <w:rPr>
          <w:lang w:val="en-US"/>
        </w:rPr>
        <w:t xml:space="preserve"> </w:t>
      </w:r>
    </w:p>
    <w:p w14:paraId="4CCA2A48" w14:textId="07A74CA5" w:rsidR="0095085F" w:rsidRDefault="00F31C30" w:rsidP="0095085F">
      <w:pPr>
        <w:pStyle w:val="bltitel1"/>
        <w:rPr>
          <w:lang w:val="en-US"/>
        </w:rPr>
      </w:pPr>
      <w:bookmarkStart w:id="13" w:name="_Toc98843538"/>
      <w:r>
        <w:rPr>
          <w:lang w:val="en-US"/>
        </w:rPr>
        <w:t>Legal Ramifications</w:t>
      </w:r>
      <w:bookmarkEnd w:id="13"/>
    </w:p>
    <w:p w14:paraId="38341C99" w14:textId="77777777" w:rsidR="0095085F" w:rsidRPr="0095085F" w:rsidRDefault="0095085F" w:rsidP="0095085F">
      <w:pPr>
        <w:pStyle w:val="blstandard"/>
        <w:rPr>
          <w:lang w:val="en-US"/>
        </w:rPr>
      </w:pPr>
    </w:p>
    <w:p w14:paraId="50D4223B" w14:textId="6E913243" w:rsidR="00F31C30" w:rsidRDefault="00F31C30" w:rsidP="00F31C30">
      <w:pPr>
        <w:pStyle w:val="bltitel1"/>
        <w:rPr>
          <w:lang w:val="en-US"/>
        </w:rPr>
      </w:pPr>
      <w:bookmarkStart w:id="14" w:name="_Toc98843539"/>
      <w:r>
        <w:rPr>
          <w:lang w:val="en-US"/>
        </w:rPr>
        <w:t>Conclusion</w:t>
      </w:r>
      <w:bookmarkEnd w:id="14"/>
      <w:r>
        <w:rPr>
          <w:lang w:val="en-US"/>
        </w:rPr>
        <w:t xml:space="preserve"> </w:t>
      </w:r>
    </w:p>
    <w:p w14:paraId="001F5605" w14:textId="77777777" w:rsidR="008F78F4" w:rsidRDefault="008F78F4" w:rsidP="0006066E">
      <w:pPr>
        <w:pStyle w:val="blstandard"/>
      </w:pPr>
    </w:p>
    <w:p w14:paraId="4D339FFC" w14:textId="77777777" w:rsidR="0025052F" w:rsidRDefault="0025052F" w:rsidP="00751C40">
      <w:pPr>
        <w:pStyle w:val="blstandard"/>
      </w:pPr>
      <w:r>
        <w:br w:type="page"/>
      </w:r>
    </w:p>
    <w:p w14:paraId="508D59CB" w14:textId="77777777" w:rsidR="0025052F" w:rsidRDefault="0025052F" w:rsidP="0025052F">
      <w:pPr>
        <w:pStyle w:val="bltitelohnenum"/>
      </w:pPr>
      <w:bookmarkStart w:id="15" w:name="_Toc98843540"/>
      <w:r>
        <w:lastRenderedPageBreak/>
        <w:t>Selbständigkeitserklärung</w:t>
      </w:r>
      <w:bookmarkEnd w:id="15"/>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gemäss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9D3EC" w14:textId="77777777" w:rsidR="00EC6D7E" w:rsidRDefault="00EC6D7E" w:rsidP="009D2E15">
      <w:r>
        <w:separator/>
      </w:r>
    </w:p>
  </w:endnote>
  <w:endnote w:type="continuationSeparator" w:id="0">
    <w:p w14:paraId="402CF522" w14:textId="77777777" w:rsidR="00EC6D7E" w:rsidRDefault="00EC6D7E"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E3EB" w14:textId="77777777" w:rsidR="00EC6D7E" w:rsidRDefault="00EC6D7E" w:rsidP="009D2E15">
      <w:r>
        <w:separator/>
      </w:r>
    </w:p>
  </w:footnote>
  <w:footnote w:type="continuationSeparator" w:id="0">
    <w:p w14:paraId="78A1D1CE" w14:textId="77777777" w:rsidR="00EC6D7E" w:rsidRDefault="00EC6D7E" w:rsidP="009D2E15">
      <w:r>
        <w:continuationSeparator/>
      </w:r>
    </w:p>
  </w:footnote>
  <w:footnote w:id="1">
    <w:p w14:paraId="5727BBA2" w14:textId="2A9F7459" w:rsidR="00D34996" w:rsidRPr="00D34996" w:rsidRDefault="00D34996">
      <w:pPr>
        <w:pStyle w:val="FootnoteText"/>
        <w:rPr>
          <w:lang w:val="de-CH"/>
        </w:rPr>
      </w:pPr>
      <w:r>
        <w:rPr>
          <w:rStyle w:val="FootnoteReference"/>
        </w:rPr>
        <w:footnoteRef/>
      </w:r>
      <w:r>
        <w:t xml:space="preserve"> Art. 4 </w:t>
      </w:r>
      <w:r>
        <w:rPr>
          <w:lang w:val="de-CH"/>
        </w:rPr>
        <w:t xml:space="preserve">GDPR, </w:t>
      </w:r>
      <w:r w:rsidR="00FE0F23">
        <w:rPr>
          <w:lang w:val="de-CH"/>
        </w:rPr>
        <w:t>Definition</w:t>
      </w:r>
      <w:r>
        <w:rPr>
          <w:lang w:val="de-CH"/>
        </w:rPr>
        <w:t xml:space="preserve">: </w:t>
      </w:r>
      <w:r w:rsidRPr="00D34996">
        <w:rPr>
          <w:lang w:val="de-CH"/>
        </w:rPr>
        <w:t>https://gdpr-info.eu/art-4-gdpr/</w:t>
      </w:r>
    </w:p>
  </w:footnote>
  <w:footnote w:id="2">
    <w:p w14:paraId="06242294" w14:textId="266714BD" w:rsidR="0084063E" w:rsidRPr="0084063E" w:rsidRDefault="0084063E">
      <w:pPr>
        <w:pStyle w:val="FootnoteText"/>
        <w:rPr>
          <w:lang w:val="de-CH"/>
        </w:rPr>
      </w:pPr>
      <w:r>
        <w:rPr>
          <w:rStyle w:val="FootnoteReference"/>
        </w:rPr>
        <w:footnoteRef/>
      </w:r>
      <w:r>
        <w:t xml:space="preserve"> Bitcoin: A Peer-to-Peer Electronic </w:t>
      </w:r>
      <w:r w:rsidR="00150860">
        <w:t>C</w:t>
      </w:r>
      <w:r>
        <w:t xml:space="preserve">ash </w:t>
      </w:r>
      <w:r w:rsidR="00150860">
        <w:t>S</w:t>
      </w:r>
      <w:r>
        <w:t>ystem</w:t>
      </w:r>
      <w:r w:rsidR="00150860">
        <w:t>, Chapter 10: Privacy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42EE5"/>
    <w:rsid w:val="0006066E"/>
    <w:rsid w:val="000B430B"/>
    <w:rsid w:val="001107D5"/>
    <w:rsid w:val="00144067"/>
    <w:rsid w:val="0014732B"/>
    <w:rsid w:val="00150860"/>
    <w:rsid w:val="0015382E"/>
    <w:rsid w:val="00197745"/>
    <w:rsid w:val="001E4115"/>
    <w:rsid w:val="002024D7"/>
    <w:rsid w:val="00202671"/>
    <w:rsid w:val="0025052F"/>
    <w:rsid w:val="00254FFF"/>
    <w:rsid w:val="00255F46"/>
    <w:rsid w:val="002D1FB5"/>
    <w:rsid w:val="002E3884"/>
    <w:rsid w:val="002E3FCF"/>
    <w:rsid w:val="0031156A"/>
    <w:rsid w:val="003178B7"/>
    <w:rsid w:val="003407D1"/>
    <w:rsid w:val="003449DB"/>
    <w:rsid w:val="003475E6"/>
    <w:rsid w:val="003F3989"/>
    <w:rsid w:val="003F3AB7"/>
    <w:rsid w:val="004314A1"/>
    <w:rsid w:val="00447D20"/>
    <w:rsid w:val="00461B6A"/>
    <w:rsid w:val="00497FCF"/>
    <w:rsid w:val="004A4CF9"/>
    <w:rsid w:val="004D3875"/>
    <w:rsid w:val="004D4914"/>
    <w:rsid w:val="004D5631"/>
    <w:rsid w:val="004E04B1"/>
    <w:rsid w:val="004F4218"/>
    <w:rsid w:val="005115F5"/>
    <w:rsid w:val="00543636"/>
    <w:rsid w:val="0058301B"/>
    <w:rsid w:val="005A4ADC"/>
    <w:rsid w:val="005B6C04"/>
    <w:rsid w:val="005C349B"/>
    <w:rsid w:val="005D47EE"/>
    <w:rsid w:val="00603B3A"/>
    <w:rsid w:val="00604FA8"/>
    <w:rsid w:val="006231FB"/>
    <w:rsid w:val="00656004"/>
    <w:rsid w:val="00656A16"/>
    <w:rsid w:val="00657330"/>
    <w:rsid w:val="0067300E"/>
    <w:rsid w:val="006B003E"/>
    <w:rsid w:val="006F5054"/>
    <w:rsid w:val="00700FD9"/>
    <w:rsid w:val="00705BE7"/>
    <w:rsid w:val="00751C40"/>
    <w:rsid w:val="00760C5A"/>
    <w:rsid w:val="00790570"/>
    <w:rsid w:val="007E09FD"/>
    <w:rsid w:val="00810661"/>
    <w:rsid w:val="00827FAB"/>
    <w:rsid w:val="008331D1"/>
    <w:rsid w:val="0084063E"/>
    <w:rsid w:val="008418DB"/>
    <w:rsid w:val="00852887"/>
    <w:rsid w:val="00855A21"/>
    <w:rsid w:val="0086099F"/>
    <w:rsid w:val="008626EB"/>
    <w:rsid w:val="00892874"/>
    <w:rsid w:val="008A3785"/>
    <w:rsid w:val="008E2BB2"/>
    <w:rsid w:val="008E4CB6"/>
    <w:rsid w:val="008F78F4"/>
    <w:rsid w:val="0095085F"/>
    <w:rsid w:val="00953D67"/>
    <w:rsid w:val="00983089"/>
    <w:rsid w:val="009D2E15"/>
    <w:rsid w:val="009D427B"/>
    <w:rsid w:val="009E27FF"/>
    <w:rsid w:val="00A13B8E"/>
    <w:rsid w:val="00A1701B"/>
    <w:rsid w:val="00A40828"/>
    <w:rsid w:val="00A53B69"/>
    <w:rsid w:val="00A704CC"/>
    <w:rsid w:val="00A8175B"/>
    <w:rsid w:val="00AD3CF8"/>
    <w:rsid w:val="00AE6F97"/>
    <w:rsid w:val="00B30FAE"/>
    <w:rsid w:val="00B31606"/>
    <w:rsid w:val="00B849E6"/>
    <w:rsid w:val="00B9767F"/>
    <w:rsid w:val="00BA57FB"/>
    <w:rsid w:val="00BD7876"/>
    <w:rsid w:val="00BF0E72"/>
    <w:rsid w:val="00BF4BC9"/>
    <w:rsid w:val="00C3498F"/>
    <w:rsid w:val="00C71F0A"/>
    <w:rsid w:val="00CA63BC"/>
    <w:rsid w:val="00CA71C1"/>
    <w:rsid w:val="00CF1982"/>
    <w:rsid w:val="00D341F0"/>
    <w:rsid w:val="00D34996"/>
    <w:rsid w:val="00D931ED"/>
    <w:rsid w:val="00DA19CA"/>
    <w:rsid w:val="00DB37E8"/>
    <w:rsid w:val="00DB4898"/>
    <w:rsid w:val="00DB7ADC"/>
    <w:rsid w:val="00E47489"/>
    <w:rsid w:val="00E54074"/>
    <w:rsid w:val="00E90D7B"/>
    <w:rsid w:val="00EA318D"/>
    <w:rsid w:val="00EA56E7"/>
    <w:rsid w:val="00EC6D7E"/>
    <w:rsid w:val="00F23B73"/>
    <w:rsid w:val="00F31C30"/>
    <w:rsid w:val="00F43D52"/>
    <w:rsid w:val="00F62148"/>
    <w:rsid w:val="00FA3879"/>
    <w:rsid w:val="00FB098D"/>
    <w:rsid w:val="00FE0F2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1136</Words>
  <Characters>6476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6</cp:revision>
  <dcterms:created xsi:type="dcterms:W3CDTF">2022-03-22T14:32:00Z</dcterms:created>
  <dcterms:modified xsi:type="dcterms:W3CDTF">2022-03-29T12:16:00Z</dcterms:modified>
</cp:coreProperties>
</file>