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footer16.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6.xml" ContentType="application/vnd.openxmlformats-officedocument.wordprocessingml.header+xml"/>
  <Override PartName="/word/footer1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footer22.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3.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08A42" w14:textId="27F9F2F2" w:rsidR="00F76857" w:rsidRPr="00346ED4" w:rsidRDefault="00911727" w:rsidP="00F76857">
      <w:pPr>
        <w:jc w:val="center"/>
        <w:rPr>
          <w:b/>
          <w:sz w:val="30"/>
          <w:szCs w:val="30"/>
          <w:lang w:val="en-US"/>
        </w:rPr>
      </w:pPr>
      <w:r w:rsidRPr="00346ED4">
        <w:rPr>
          <w:b/>
          <w:sz w:val="30"/>
          <w:szCs w:val="30"/>
          <w:lang w:val="en-US"/>
        </w:rPr>
        <w:t>Essays on Strategic Management</w:t>
      </w:r>
      <w:r w:rsidR="00F76857" w:rsidRPr="00346ED4">
        <w:rPr>
          <w:b/>
          <w:sz w:val="30"/>
          <w:szCs w:val="30"/>
          <w:lang w:val="en-US"/>
        </w:rPr>
        <w:t xml:space="preserve">: </w:t>
      </w:r>
    </w:p>
    <w:p w14:paraId="5D6B3029" w14:textId="4FF78759" w:rsidR="00036A72" w:rsidRPr="00346ED4" w:rsidRDefault="0031341F" w:rsidP="00036A72">
      <w:pPr>
        <w:jc w:val="center"/>
        <w:rPr>
          <w:b/>
          <w:sz w:val="30"/>
          <w:szCs w:val="30"/>
          <w:lang w:val="en-US"/>
        </w:rPr>
      </w:pPr>
      <w:r w:rsidRPr="0031341F">
        <w:rPr>
          <w:b/>
          <w:sz w:val="30"/>
          <w:szCs w:val="30"/>
          <w:lang w:val="en-US"/>
        </w:rPr>
        <w:t xml:space="preserve">Exploring the Effects of </w:t>
      </w:r>
      <w:r>
        <w:rPr>
          <w:b/>
          <w:sz w:val="30"/>
          <w:szCs w:val="30"/>
          <w:lang w:val="en-US"/>
        </w:rPr>
        <w:t>Cooperative</w:t>
      </w:r>
      <w:r w:rsidRPr="0031341F">
        <w:rPr>
          <w:b/>
          <w:sz w:val="30"/>
          <w:szCs w:val="30"/>
          <w:lang w:val="en-US"/>
        </w:rPr>
        <w:t xml:space="preserve"> and </w:t>
      </w:r>
      <w:r>
        <w:rPr>
          <w:b/>
          <w:sz w:val="30"/>
          <w:szCs w:val="30"/>
          <w:lang w:val="en-US"/>
        </w:rPr>
        <w:t>Competitive</w:t>
      </w:r>
      <w:r w:rsidRPr="0031341F">
        <w:rPr>
          <w:b/>
          <w:sz w:val="30"/>
          <w:szCs w:val="30"/>
          <w:lang w:val="en-US"/>
        </w:rPr>
        <w:t xml:space="preserve"> Firm Strategies on Firm Performance</w:t>
      </w:r>
    </w:p>
    <w:p w14:paraId="5A8F7336" w14:textId="77777777" w:rsidR="00036A72" w:rsidRPr="00167BC6" w:rsidRDefault="00036A72" w:rsidP="00E670F5">
      <w:pPr>
        <w:jc w:val="center"/>
        <w:rPr>
          <w:lang w:val="en-US"/>
        </w:rPr>
      </w:pPr>
    </w:p>
    <w:p w14:paraId="49C469AC" w14:textId="11C8AC87" w:rsidR="00E670F5" w:rsidRPr="00167BC6" w:rsidRDefault="00E670F5" w:rsidP="00E670F5">
      <w:pPr>
        <w:jc w:val="center"/>
        <w:rPr>
          <w:lang w:val="en-US"/>
        </w:rPr>
      </w:pPr>
      <w:r w:rsidRPr="00167BC6">
        <w:rPr>
          <w:lang w:val="en-US"/>
        </w:rPr>
        <w:t>Doctoral Thesis</w:t>
      </w:r>
    </w:p>
    <w:p w14:paraId="0833B327" w14:textId="77777777" w:rsidR="00036A72" w:rsidRPr="00167BC6" w:rsidRDefault="00036A72" w:rsidP="00E670F5">
      <w:pPr>
        <w:jc w:val="center"/>
        <w:rPr>
          <w:lang w:val="en-US"/>
        </w:rPr>
      </w:pPr>
    </w:p>
    <w:p w14:paraId="0F16C254" w14:textId="77777777" w:rsidR="00E670F5" w:rsidRPr="00167BC6" w:rsidRDefault="00E670F5" w:rsidP="00167BC6">
      <w:pPr>
        <w:spacing w:line="360" w:lineRule="auto"/>
        <w:jc w:val="center"/>
        <w:rPr>
          <w:lang w:val="en-US"/>
        </w:rPr>
      </w:pPr>
      <w:r w:rsidRPr="00167BC6">
        <w:rPr>
          <w:lang w:val="en-US"/>
        </w:rPr>
        <w:t>submitted to</w:t>
      </w:r>
    </w:p>
    <w:p w14:paraId="1D0C6DDD" w14:textId="15350B1C" w:rsidR="00167BC6" w:rsidRPr="00167BC6" w:rsidRDefault="00E670F5" w:rsidP="00167BC6">
      <w:pPr>
        <w:spacing w:line="360" w:lineRule="auto"/>
        <w:jc w:val="center"/>
        <w:rPr>
          <w:lang w:val="en-US"/>
        </w:rPr>
      </w:pPr>
      <w:r w:rsidRPr="00167BC6">
        <w:rPr>
          <w:lang w:val="en-US"/>
        </w:rPr>
        <w:t>Department of Business Administration and Economics</w:t>
      </w:r>
      <w:r w:rsidR="00036A72" w:rsidRPr="00167BC6">
        <w:rPr>
          <w:lang w:val="en-US"/>
        </w:rPr>
        <w:br/>
      </w:r>
      <w:r w:rsidR="00167BC6" w:rsidRPr="00167BC6">
        <w:rPr>
          <w:lang w:val="en-US"/>
        </w:rPr>
        <w:t>Justus-Liebig-University Gie</w:t>
      </w:r>
      <w:r w:rsidR="00167BC6">
        <w:rPr>
          <w:lang w:val="en-US"/>
        </w:rPr>
        <w:t>ss</w:t>
      </w:r>
      <w:r w:rsidR="00167BC6" w:rsidRPr="00167BC6">
        <w:rPr>
          <w:lang w:val="en-US"/>
        </w:rPr>
        <w:t>en</w:t>
      </w:r>
    </w:p>
    <w:p w14:paraId="0852BC7E" w14:textId="77777777" w:rsidR="00346ED4" w:rsidRDefault="00346ED4" w:rsidP="00E670F5">
      <w:pPr>
        <w:jc w:val="center"/>
        <w:rPr>
          <w:lang w:val="en-US"/>
        </w:rPr>
      </w:pPr>
    </w:p>
    <w:p w14:paraId="42A85E78" w14:textId="4F0ADD0C" w:rsidR="00167BC6" w:rsidRDefault="00167BC6" w:rsidP="00167BC6">
      <w:pPr>
        <w:spacing w:line="360" w:lineRule="auto"/>
        <w:jc w:val="center"/>
        <w:rPr>
          <w:lang w:val="en-US"/>
        </w:rPr>
      </w:pPr>
      <w:r>
        <w:rPr>
          <w:lang w:val="en-US"/>
        </w:rPr>
        <w:t>by</w:t>
      </w:r>
    </w:p>
    <w:p w14:paraId="14004619" w14:textId="6F884C47" w:rsidR="00167BC6" w:rsidRDefault="00167BC6" w:rsidP="00167BC6">
      <w:pPr>
        <w:spacing w:line="360" w:lineRule="auto"/>
        <w:jc w:val="center"/>
        <w:rPr>
          <w:lang w:val="en-US"/>
        </w:rPr>
      </w:pPr>
      <w:r>
        <w:rPr>
          <w:lang w:val="en-US"/>
        </w:rPr>
        <w:t>Marius Brede</w:t>
      </w:r>
    </w:p>
    <w:p w14:paraId="5897085A" w14:textId="77777777" w:rsidR="00167BC6" w:rsidRDefault="00167BC6" w:rsidP="00167BC6">
      <w:pPr>
        <w:jc w:val="center"/>
        <w:rPr>
          <w:lang w:val="en-US"/>
        </w:rPr>
      </w:pPr>
    </w:p>
    <w:p w14:paraId="144FE2E6" w14:textId="77777777" w:rsidR="00346ED4" w:rsidRDefault="00346ED4" w:rsidP="00167BC6">
      <w:pPr>
        <w:jc w:val="center"/>
        <w:rPr>
          <w:lang w:val="en-US"/>
        </w:rPr>
      </w:pPr>
    </w:p>
    <w:p w14:paraId="57DEE0B7" w14:textId="77777777" w:rsidR="00346ED4" w:rsidRDefault="00346ED4" w:rsidP="00167BC6">
      <w:pPr>
        <w:jc w:val="center"/>
        <w:rPr>
          <w:lang w:val="en-US"/>
        </w:rPr>
      </w:pPr>
    </w:p>
    <w:p w14:paraId="2E110592" w14:textId="77777777" w:rsidR="00E670F5" w:rsidRDefault="00E670F5" w:rsidP="00167BC6">
      <w:pPr>
        <w:spacing w:line="360" w:lineRule="auto"/>
        <w:jc w:val="center"/>
        <w:rPr>
          <w:lang w:val="en-US"/>
        </w:rPr>
      </w:pPr>
      <w:r w:rsidRPr="00E670F5">
        <w:rPr>
          <w:lang w:val="en-US"/>
        </w:rPr>
        <w:t>Supervisors:</w:t>
      </w:r>
    </w:p>
    <w:p w14:paraId="5E0F8C7A" w14:textId="77777777" w:rsidR="00E670F5" w:rsidRPr="00D03577" w:rsidRDefault="00E670F5" w:rsidP="00167BC6">
      <w:pPr>
        <w:spacing w:line="360" w:lineRule="auto"/>
        <w:jc w:val="center"/>
        <w:rPr>
          <w:lang w:val="en-US"/>
        </w:rPr>
      </w:pPr>
      <w:r w:rsidRPr="00D03577">
        <w:rPr>
          <w:lang w:val="en-US"/>
        </w:rPr>
        <w:t xml:space="preserve">Prof. Dr. Andreas Bausch </w:t>
      </w:r>
    </w:p>
    <w:p w14:paraId="5C365B9D" w14:textId="279554F2" w:rsidR="00036A72" w:rsidRDefault="00036A72" w:rsidP="00167BC6">
      <w:pPr>
        <w:spacing w:line="360" w:lineRule="auto"/>
        <w:jc w:val="center"/>
        <w:rPr>
          <w:lang w:val="en-US"/>
        </w:rPr>
      </w:pPr>
      <w:r w:rsidRPr="00036A72">
        <w:rPr>
          <w:lang w:val="en-US"/>
        </w:rPr>
        <w:t>Chair of</w:t>
      </w:r>
      <w:r>
        <w:rPr>
          <w:lang w:val="en-US"/>
        </w:rPr>
        <w:t xml:space="preserve"> Strategic and International Management</w:t>
      </w:r>
    </w:p>
    <w:p w14:paraId="77A0FF40" w14:textId="77777777" w:rsidR="00167BC6" w:rsidRPr="00D03577" w:rsidRDefault="00167BC6" w:rsidP="00167BC6">
      <w:pPr>
        <w:spacing w:line="360" w:lineRule="auto"/>
        <w:jc w:val="center"/>
      </w:pPr>
      <w:r w:rsidRPr="00D03577">
        <w:t>Justus-Liebig-University Giessen</w:t>
      </w:r>
    </w:p>
    <w:p w14:paraId="4C90505E" w14:textId="77777777" w:rsidR="00036A72" w:rsidRPr="00036A72" w:rsidRDefault="00036A72" w:rsidP="00E670F5">
      <w:pPr>
        <w:jc w:val="center"/>
      </w:pPr>
    </w:p>
    <w:p w14:paraId="158D0761" w14:textId="51244832" w:rsidR="00E670F5" w:rsidRPr="00036A72" w:rsidRDefault="00DD66E8" w:rsidP="00167BC6">
      <w:pPr>
        <w:spacing w:line="360" w:lineRule="auto"/>
        <w:jc w:val="center"/>
      </w:pPr>
      <w:r w:rsidRPr="00036A72">
        <w:t>Prof. Dr. Monika Schu</w:t>
      </w:r>
      <w:r w:rsidR="006C2955" w:rsidRPr="00036A72">
        <w:t>h</w:t>
      </w:r>
      <w:r w:rsidRPr="00036A72">
        <w:t>macher</w:t>
      </w:r>
    </w:p>
    <w:p w14:paraId="4665E056" w14:textId="77777777" w:rsidR="00167BC6" w:rsidRPr="00167BC6" w:rsidRDefault="00167BC6" w:rsidP="00167BC6">
      <w:pPr>
        <w:spacing w:line="360" w:lineRule="auto"/>
        <w:jc w:val="center"/>
        <w:rPr>
          <w:lang w:val="en-US"/>
        </w:rPr>
      </w:pPr>
      <w:r w:rsidRPr="00167BC6">
        <w:rPr>
          <w:lang w:val="en-US"/>
        </w:rPr>
        <w:t>Chair of Technology, Innovation and Start-up Management</w:t>
      </w:r>
      <w:r>
        <w:rPr>
          <w:lang w:val="en-US"/>
        </w:rPr>
        <w:br/>
      </w:r>
      <w:r w:rsidRPr="00167BC6">
        <w:rPr>
          <w:lang w:val="en-US"/>
        </w:rPr>
        <w:t>Justus-Liebig-University Gie</w:t>
      </w:r>
      <w:r>
        <w:rPr>
          <w:lang w:val="en-US"/>
        </w:rPr>
        <w:t>ss</w:t>
      </w:r>
      <w:r w:rsidRPr="00167BC6">
        <w:rPr>
          <w:lang w:val="en-US"/>
        </w:rPr>
        <w:t>en</w:t>
      </w:r>
    </w:p>
    <w:p w14:paraId="19392DF8" w14:textId="4D5C1178" w:rsidR="00F71395" w:rsidRDefault="00F71395" w:rsidP="00E670F5">
      <w:pPr>
        <w:jc w:val="center"/>
        <w:rPr>
          <w:lang w:val="en-US"/>
        </w:rPr>
      </w:pPr>
    </w:p>
    <w:p w14:paraId="1EFA8CC1" w14:textId="77777777" w:rsidR="00346ED4" w:rsidRPr="00167BC6" w:rsidRDefault="00346ED4" w:rsidP="00E670F5">
      <w:pPr>
        <w:jc w:val="center"/>
        <w:rPr>
          <w:lang w:val="en-US"/>
        </w:rPr>
      </w:pPr>
    </w:p>
    <w:p w14:paraId="6549F00D" w14:textId="77777777" w:rsidR="00167BC6" w:rsidRDefault="00167BC6" w:rsidP="00E670F5">
      <w:pPr>
        <w:jc w:val="center"/>
        <w:rPr>
          <w:lang w:val="en-US"/>
        </w:rPr>
      </w:pPr>
    </w:p>
    <w:p w14:paraId="5035C468" w14:textId="689D826A" w:rsidR="00167BC6" w:rsidRDefault="00167BC6" w:rsidP="00167BC6">
      <w:pPr>
        <w:spacing w:line="360" w:lineRule="auto"/>
        <w:jc w:val="center"/>
        <w:rPr>
          <w:lang w:val="en-US"/>
        </w:rPr>
      </w:pPr>
      <w:r>
        <w:rPr>
          <w:lang w:val="en-US"/>
        </w:rPr>
        <w:t>Date of submission:</w:t>
      </w:r>
    </w:p>
    <w:p w14:paraId="5E60CCA8" w14:textId="65CD79B2" w:rsidR="00E670F5" w:rsidRPr="00403DA7" w:rsidRDefault="00227788" w:rsidP="00167BC6">
      <w:pPr>
        <w:spacing w:line="360" w:lineRule="auto"/>
        <w:jc w:val="center"/>
        <w:rPr>
          <w:lang w:val="en-US"/>
        </w:rPr>
      </w:pPr>
      <w:r w:rsidRPr="00403DA7">
        <w:rPr>
          <w:lang w:val="en-US"/>
        </w:rPr>
        <w:t>October</w:t>
      </w:r>
      <w:r w:rsidR="00F71395" w:rsidRPr="00403DA7">
        <w:rPr>
          <w:lang w:val="en-US"/>
        </w:rPr>
        <w:t xml:space="preserve"> </w:t>
      </w:r>
      <w:r w:rsidR="00630329">
        <w:rPr>
          <w:lang w:val="en-US"/>
        </w:rPr>
        <w:t>28</w:t>
      </w:r>
      <w:r w:rsidR="00B27BA2" w:rsidRPr="002E57E8">
        <w:rPr>
          <w:vertAlign w:val="superscript"/>
          <w:lang w:val="en-US"/>
        </w:rPr>
        <w:t>th</w:t>
      </w:r>
      <w:r w:rsidR="00F71395" w:rsidRPr="00403DA7">
        <w:rPr>
          <w:lang w:val="en-US"/>
        </w:rPr>
        <w:t>, 2024.</w:t>
      </w:r>
    </w:p>
    <w:p w14:paraId="44088B54" w14:textId="153C17D9" w:rsidR="0085320F" w:rsidRPr="00D03577" w:rsidRDefault="00EE521F" w:rsidP="00142BA0">
      <w:pPr>
        <w:rPr>
          <w:lang w:val="en-US"/>
        </w:rPr>
        <w:sectPr w:rsidR="0085320F" w:rsidRPr="00D03577" w:rsidSect="00794C6C">
          <w:footerReference w:type="default" r:id="rId11"/>
          <w:endnotePr>
            <w:numFmt w:val="decimal"/>
          </w:endnotePr>
          <w:pgSz w:w="11906" w:h="16838"/>
          <w:pgMar w:top="1417" w:right="1417" w:bottom="1134" w:left="1417" w:header="708" w:footer="708" w:gutter="0"/>
          <w:cols w:space="708"/>
          <w:titlePg/>
          <w:docGrid w:linePitch="360"/>
        </w:sectPr>
      </w:pPr>
      <w:r w:rsidRPr="00D03577">
        <w:rPr>
          <w:lang w:val="en-US"/>
        </w:rPr>
        <w:br w:type="page"/>
      </w:r>
    </w:p>
    <w:p w14:paraId="0FD48B74" w14:textId="07FAA1CF" w:rsidR="00867EBB" w:rsidRPr="006663F2" w:rsidRDefault="00142BA0" w:rsidP="00BB64E8">
      <w:pPr>
        <w:pStyle w:val="1fake"/>
      </w:pPr>
      <w:r w:rsidRPr="006663F2">
        <w:lastRenderedPageBreak/>
        <w:t>TABLE OF CONTENT</w:t>
      </w:r>
      <w:r w:rsidR="00F62903">
        <w:t>S</w:t>
      </w:r>
    </w:p>
    <w:sdt>
      <w:sdtPr>
        <w:rPr>
          <w:rFonts w:asciiTheme="minorHAnsi" w:hAnsiTheme="minorHAnsi"/>
          <w:sz w:val="22"/>
        </w:rPr>
        <w:id w:val="-1891484476"/>
        <w:docPartObj>
          <w:docPartGallery w:val="Table of Contents"/>
          <w:docPartUnique/>
        </w:docPartObj>
      </w:sdtPr>
      <w:sdtEndPr>
        <w:rPr>
          <w:rFonts w:ascii="Times New Roman" w:hAnsi="Times New Roman"/>
          <w:b/>
          <w:bCs/>
          <w:sz w:val="24"/>
        </w:rPr>
      </w:sdtEndPr>
      <w:sdtContent>
        <w:p w14:paraId="052C6A45" w14:textId="21EFE272" w:rsidR="009567F5" w:rsidRDefault="00D03577">
          <w:pPr>
            <w:pStyle w:val="Verzeichnis1"/>
            <w:rPr>
              <w:rFonts w:asciiTheme="minorHAnsi" w:eastAsiaTheme="minorEastAsia" w:hAnsiTheme="minorHAnsi"/>
              <w:kern w:val="2"/>
              <w:szCs w:val="24"/>
              <w:lang w:val="de-DE" w:eastAsia="de-DE"/>
              <w14:ligatures w14:val="standardContextual"/>
            </w:rPr>
          </w:pPr>
          <w:r>
            <w:fldChar w:fldCharType="begin"/>
          </w:r>
          <w:r>
            <w:instrText xml:space="preserve"> TOC \o "1-2" \h \z \u </w:instrText>
          </w:r>
          <w:r>
            <w:fldChar w:fldCharType="separate"/>
          </w:r>
          <w:hyperlink w:anchor="_Toc180963596" w:history="1">
            <w:r w:rsidR="009567F5" w:rsidRPr="00D533C8">
              <w:rPr>
                <w:rStyle w:val="Hyperlink"/>
              </w:rPr>
              <w:t>INTRODUCTION</w:t>
            </w:r>
            <w:r w:rsidR="009567F5">
              <w:rPr>
                <w:webHidden/>
              </w:rPr>
              <w:tab/>
            </w:r>
            <w:r w:rsidR="009567F5">
              <w:rPr>
                <w:webHidden/>
              </w:rPr>
              <w:fldChar w:fldCharType="begin"/>
            </w:r>
            <w:r w:rsidR="009567F5">
              <w:rPr>
                <w:webHidden/>
              </w:rPr>
              <w:instrText xml:space="preserve"> PAGEREF _Toc180963596 \h </w:instrText>
            </w:r>
            <w:r w:rsidR="009567F5">
              <w:rPr>
                <w:webHidden/>
              </w:rPr>
            </w:r>
            <w:r w:rsidR="009567F5">
              <w:rPr>
                <w:webHidden/>
              </w:rPr>
              <w:fldChar w:fldCharType="separate"/>
            </w:r>
            <w:r w:rsidR="00E91088">
              <w:rPr>
                <w:webHidden/>
              </w:rPr>
              <w:t>1</w:t>
            </w:r>
            <w:r w:rsidR="009567F5">
              <w:rPr>
                <w:webHidden/>
              </w:rPr>
              <w:fldChar w:fldCharType="end"/>
            </w:r>
          </w:hyperlink>
        </w:p>
        <w:p w14:paraId="13F598D5" w14:textId="4D5157E6" w:rsidR="009567F5" w:rsidRDefault="00000000">
          <w:pPr>
            <w:pStyle w:val="Verzeichnis1"/>
            <w:rPr>
              <w:rFonts w:asciiTheme="minorHAnsi" w:eastAsiaTheme="minorEastAsia" w:hAnsiTheme="minorHAnsi"/>
              <w:kern w:val="2"/>
              <w:szCs w:val="24"/>
              <w:lang w:val="de-DE" w:eastAsia="de-DE"/>
              <w14:ligatures w14:val="standardContextual"/>
            </w:rPr>
          </w:pPr>
          <w:hyperlink w:anchor="_Toc180963597" w:history="1">
            <w:r w:rsidR="009567F5" w:rsidRPr="00D533C8">
              <w:rPr>
                <w:rStyle w:val="Hyperlink"/>
                <w:shd w:val="clear" w:color="auto" w:fill="FFFFFF"/>
              </w:rPr>
              <w:t>REFERENCES</w:t>
            </w:r>
            <w:r w:rsidR="009567F5">
              <w:rPr>
                <w:webHidden/>
              </w:rPr>
              <w:tab/>
            </w:r>
            <w:r w:rsidR="009567F5">
              <w:rPr>
                <w:webHidden/>
              </w:rPr>
              <w:fldChar w:fldCharType="begin"/>
            </w:r>
            <w:r w:rsidR="009567F5">
              <w:rPr>
                <w:webHidden/>
              </w:rPr>
              <w:instrText xml:space="preserve"> PAGEREF _Toc180963597 \h </w:instrText>
            </w:r>
            <w:r w:rsidR="009567F5">
              <w:rPr>
                <w:webHidden/>
              </w:rPr>
            </w:r>
            <w:r w:rsidR="009567F5">
              <w:rPr>
                <w:webHidden/>
              </w:rPr>
              <w:fldChar w:fldCharType="separate"/>
            </w:r>
            <w:r w:rsidR="00E91088">
              <w:rPr>
                <w:webHidden/>
              </w:rPr>
              <w:t>7</w:t>
            </w:r>
            <w:r w:rsidR="009567F5">
              <w:rPr>
                <w:webHidden/>
              </w:rPr>
              <w:fldChar w:fldCharType="end"/>
            </w:r>
          </w:hyperlink>
        </w:p>
        <w:p w14:paraId="4FF4ECF5" w14:textId="2A51288D" w:rsidR="009567F5" w:rsidRDefault="00000000">
          <w:pPr>
            <w:pStyle w:val="Verzeichnis1"/>
            <w:rPr>
              <w:rFonts w:asciiTheme="minorHAnsi" w:eastAsiaTheme="minorEastAsia" w:hAnsiTheme="minorHAnsi"/>
              <w:kern w:val="2"/>
              <w:szCs w:val="24"/>
              <w:lang w:val="de-DE" w:eastAsia="de-DE"/>
              <w14:ligatures w14:val="standardContextual"/>
            </w:rPr>
          </w:pPr>
          <w:hyperlink w:anchor="_Toc180963598" w:history="1">
            <w:r w:rsidR="009567F5" w:rsidRPr="00D533C8">
              <w:rPr>
                <w:rStyle w:val="Hyperlink"/>
              </w:rPr>
              <w:t>I.</w:t>
            </w:r>
            <w:r w:rsidR="009567F5">
              <w:rPr>
                <w:rFonts w:asciiTheme="minorHAnsi" w:eastAsiaTheme="minorEastAsia" w:hAnsiTheme="minorHAnsi"/>
                <w:kern w:val="2"/>
                <w:szCs w:val="24"/>
                <w:lang w:val="de-DE" w:eastAsia="de-DE"/>
                <w14:ligatures w14:val="standardContextual"/>
              </w:rPr>
              <w:tab/>
            </w:r>
            <w:r w:rsidR="009567F5" w:rsidRPr="00D533C8">
              <w:rPr>
                <w:rStyle w:val="Hyperlink"/>
              </w:rPr>
              <w:t>BOARD INTERLOCKS AND FIRM PERFORMANCE: A META-ANALYSIS</w:t>
            </w:r>
            <w:r w:rsidR="009567F5">
              <w:rPr>
                <w:webHidden/>
              </w:rPr>
              <w:tab/>
            </w:r>
            <w:r w:rsidR="009567F5">
              <w:rPr>
                <w:webHidden/>
              </w:rPr>
              <w:fldChar w:fldCharType="begin"/>
            </w:r>
            <w:r w:rsidR="009567F5">
              <w:rPr>
                <w:webHidden/>
              </w:rPr>
              <w:instrText xml:space="preserve"> PAGEREF _Toc180963598 \h </w:instrText>
            </w:r>
            <w:r w:rsidR="009567F5">
              <w:rPr>
                <w:webHidden/>
              </w:rPr>
            </w:r>
            <w:r w:rsidR="009567F5">
              <w:rPr>
                <w:webHidden/>
              </w:rPr>
              <w:fldChar w:fldCharType="separate"/>
            </w:r>
            <w:r w:rsidR="00E91088">
              <w:rPr>
                <w:webHidden/>
              </w:rPr>
              <w:t>13</w:t>
            </w:r>
            <w:r w:rsidR="009567F5">
              <w:rPr>
                <w:webHidden/>
              </w:rPr>
              <w:fldChar w:fldCharType="end"/>
            </w:r>
          </w:hyperlink>
        </w:p>
        <w:p w14:paraId="02335B15" w14:textId="789A2BA7" w:rsidR="009567F5" w:rsidRDefault="00000000">
          <w:pPr>
            <w:pStyle w:val="Verzeichnis2"/>
            <w:rPr>
              <w:rFonts w:asciiTheme="minorHAnsi" w:eastAsiaTheme="minorEastAsia" w:hAnsiTheme="minorHAnsi"/>
              <w:noProof/>
              <w:kern w:val="2"/>
              <w:szCs w:val="24"/>
              <w:lang w:eastAsia="de-DE"/>
              <w14:ligatures w14:val="standardContextual"/>
            </w:rPr>
          </w:pPr>
          <w:hyperlink w:anchor="_Toc180963599" w:history="1">
            <w:r w:rsidR="009567F5" w:rsidRPr="00D533C8">
              <w:rPr>
                <w:rStyle w:val="Hyperlink"/>
                <w:noProof/>
                <w:lang w:val="en-US"/>
              </w:rPr>
              <w:t>Abstract</w:t>
            </w:r>
            <w:r w:rsidR="009567F5">
              <w:rPr>
                <w:noProof/>
                <w:webHidden/>
              </w:rPr>
              <w:tab/>
            </w:r>
            <w:r w:rsidR="009567F5">
              <w:rPr>
                <w:noProof/>
                <w:webHidden/>
              </w:rPr>
              <w:fldChar w:fldCharType="begin"/>
            </w:r>
            <w:r w:rsidR="009567F5">
              <w:rPr>
                <w:noProof/>
                <w:webHidden/>
              </w:rPr>
              <w:instrText xml:space="preserve"> PAGEREF _Toc180963599 \h </w:instrText>
            </w:r>
            <w:r w:rsidR="009567F5">
              <w:rPr>
                <w:noProof/>
                <w:webHidden/>
              </w:rPr>
            </w:r>
            <w:r w:rsidR="009567F5">
              <w:rPr>
                <w:noProof/>
                <w:webHidden/>
              </w:rPr>
              <w:fldChar w:fldCharType="separate"/>
            </w:r>
            <w:r w:rsidR="00E91088">
              <w:rPr>
                <w:noProof/>
                <w:webHidden/>
              </w:rPr>
              <w:t>15</w:t>
            </w:r>
            <w:r w:rsidR="009567F5">
              <w:rPr>
                <w:noProof/>
                <w:webHidden/>
              </w:rPr>
              <w:fldChar w:fldCharType="end"/>
            </w:r>
          </w:hyperlink>
        </w:p>
        <w:p w14:paraId="0739F393" w14:textId="33851B01" w:rsidR="009567F5" w:rsidRDefault="00000000">
          <w:pPr>
            <w:pStyle w:val="Verzeichnis2"/>
            <w:rPr>
              <w:rFonts w:asciiTheme="minorHAnsi" w:eastAsiaTheme="minorEastAsia" w:hAnsiTheme="minorHAnsi"/>
              <w:noProof/>
              <w:kern w:val="2"/>
              <w:szCs w:val="24"/>
              <w:lang w:eastAsia="de-DE"/>
              <w14:ligatures w14:val="standardContextual"/>
            </w:rPr>
          </w:pPr>
          <w:hyperlink w:anchor="_Toc180963600" w:history="1">
            <w:r w:rsidR="009567F5" w:rsidRPr="00D533C8">
              <w:rPr>
                <w:rStyle w:val="Hyperlink"/>
                <w:noProof/>
                <w:lang w:val="en-US"/>
              </w:rPr>
              <w:t>Introduction</w:t>
            </w:r>
            <w:r w:rsidR="009567F5">
              <w:rPr>
                <w:noProof/>
                <w:webHidden/>
              </w:rPr>
              <w:tab/>
            </w:r>
            <w:r w:rsidR="009567F5">
              <w:rPr>
                <w:noProof/>
                <w:webHidden/>
              </w:rPr>
              <w:fldChar w:fldCharType="begin"/>
            </w:r>
            <w:r w:rsidR="009567F5">
              <w:rPr>
                <w:noProof/>
                <w:webHidden/>
              </w:rPr>
              <w:instrText xml:space="preserve"> PAGEREF _Toc180963600 \h </w:instrText>
            </w:r>
            <w:r w:rsidR="009567F5">
              <w:rPr>
                <w:noProof/>
                <w:webHidden/>
              </w:rPr>
            </w:r>
            <w:r w:rsidR="009567F5">
              <w:rPr>
                <w:noProof/>
                <w:webHidden/>
              </w:rPr>
              <w:fldChar w:fldCharType="separate"/>
            </w:r>
            <w:r w:rsidR="00E91088">
              <w:rPr>
                <w:noProof/>
                <w:webHidden/>
              </w:rPr>
              <w:t>16</w:t>
            </w:r>
            <w:r w:rsidR="009567F5">
              <w:rPr>
                <w:noProof/>
                <w:webHidden/>
              </w:rPr>
              <w:fldChar w:fldCharType="end"/>
            </w:r>
          </w:hyperlink>
        </w:p>
        <w:p w14:paraId="5541F1B2" w14:textId="3A8C6C12" w:rsidR="009567F5" w:rsidRDefault="00000000">
          <w:pPr>
            <w:pStyle w:val="Verzeichnis2"/>
            <w:rPr>
              <w:rFonts w:asciiTheme="minorHAnsi" w:eastAsiaTheme="minorEastAsia" w:hAnsiTheme="minorHAnsi"/>
              <w:noProof/>
              <w:kern w:val="2"/>
              <w:szCs w:val="24"/>
              <w:lang w:eastAsia="de-DE"/>
              <w14:ligatures w14:val="standardContextual"/>
            </w:rPr>
          </w:pPr>
          <w:hyperlink w:anchor="_Toc180963601" w:history="1">
            <w:r w:rsidR="009567F5" w:rsidRPr="00D533C8">
              <w:rPr>
                <w:rStyle w:val="Hyperlink"/>
                <w:noProof/>
                <w:lang w:val="en-US"/>
              </w:rPr>
              <w:t>Theoretical Background on Board Interlocks and Firm Performance</w:t>
            </w:r>
            <w:r w:rsidR="009567F5">
              <w:rPr>
                <w:noProof/>
                <w:webHidden/>
              </w:rPr>
              <w:tab/>
            </w:r>
            <w:r w:rsidR="009567F5">
              <w:rPr>
                <w:noProof/>
                <w:webHidden/>
              </w:rPr>
              <w:fldChar w:fldCharType="begin"/>
            </w:r>
            <w:r w:rsidR="009567F5">
              <w:rPr>
                <w:noProof/>
                <w:webHidden/>
              </w:rPr>
              <w:instrText xml:space="preserve"> PAGEREF _Toc180963601 \h </w:instrText>
            </w:r>
            <w:r w:rsidR="009567F5">
              <w:rPr>
                <w:noProof/>
                <w:webHidden/>
              </w:rPr>
            </w:r>
            <w:r w:rsidR="009567F5">
              <w:rPr>
                <w:noProof/>
                <w:webHidden/>
              </w:rPr>
              <w:fldChar w:fldCharType="separate"/>
            </w:r>
            <w:r w:rsidR="00E91088">
              <w:rPr>
                <w:noProof/>
                <w:webHidden/>
              </w:rPr>
              <w:t>18</w:t>
            </w:r>
            <w:r w:rsidR="009567F5">
              <w:rPr>
                <w:noProof/>
                <w:webHidden/>
              </w:rPr>
              <w:fldChar w:fldCharType="end"/>
            </w:r>
          </w:hyperlink>
        </w:p>
        <w:p w14:paraId="5DE21956" w14:textId="77075D16" w:rsidR="009567F5" w:rsidRDefault="00000000">
          <w:pPr>
            <w:pStyle w:val="Verzeichnis2"/>
            <w:rPr>
              <w:rFonts w:asciiTheme="minorHAnsi" w:eastAsiaTheme="minorEastAsia" w:hAnsiTheme="minorHAnsi"/>
              <w:noProof/>
              <w:kern w:val="2"/>
              <w:szCs w:val="24"/>
              <w:lang w:eastAsia="de-DE"/>
              <w14:ligatures w14:val="standardContextual"/>
            </w:rPr>
          </w:pPr>
          <w:hyperlink w:anchor="_Toc180963602" w:history="1">
            <w:r w:rsidR="009567F5" w:rsidRPr="00D533C8">
              <w:rPr>
                <w:rStyle w:val="Hyperlink"/>
                <w:noProof/>
                <w:lang w:val="en-US"/>
              </w:rPr>
              <w:t>Method</w:t>
            </w:r>
            <w:r w:rsidR="009567F5">
              <w:rPr>
                <w:noProof/>
                <w:webHidden/>
              </w:rPr>
              <w:tab/>
            </w:r>
            <w:r w:rsidR="009567F5">
              <w:rPr>
                <w:noProof/>
                <w:webHidden/>
              </w:rPr>
              <w:fldChar w:fldCharType="begin"/>
            </w:r>
            <w:r w:rsidR="009567F5">
              <w:rPr>
                <w:noProof/>
                <w:webHidden/>
              </w:rPr>
              <w:instrText xml:space="preserve"> PAGEREF _Toc180963602 \h </w:instrText>
            </w:r>
            <w:r w:rsidR="009567F5">
              <w:rPr>
                <w:noProof/>
                <w:webHidden/>
              </w:rPr>
            </w:r>
            <w:r w:rsidR="009567F5">
              <w:rPr>
                <w:noProof/>
                <w:webHidden/>
              </w:rPr>
              <w:fldChar w:fldCharType="separate"/>
            </w:r>
            <w:r w:rsidR="00E91088">
              <w:rPr>
                <w:noProof/>
                <w:webHidden/>
              </w:rPr>
              <w:t>28</w:t>
            </w:r>
            <w:r w:rsidR="009567F5">
              <w:rPr>
                <w:noProof/>
                <w:webHidden/>
              </w:rPr>
              <w:fldChar w:fldCharType="end"/>
            </w:r>
          </w:hyperlink>
        </w:p>
        <w:p w14:paraId="45F2E770" w14:textId="239C06C5" w:rsidR="009567F5" w:rsidRDefault="00000000">
          <w:pPr>
            <w:pStyle w:val="Verzeichnis2"/>
            <w:rPr>
              <w:rFonts w:asciiTheme="minorHAnsi" w:eastAsiaTheme="minorEastAsia" w:hAnsiTheme="minorHAnsi"/>
              <w:noProof/>
              <w:kern w:val="2"/>
              <w:szCs w:val="24"/>
              <w:lang w:eastAsia="de-DE"/>
              <w14:ligatures w14:val="standardContextual"/>
            </w:rPr>
          </w:pPr>
          <w:hyperlink w:anchor="_Toc180963603" w:history="1">
            <w:r w:rsidR="009567F5" w:rsidRPr="00D533C8">
              <w:rPr>
                <w:rStyle w:val="Hyperlink"/>
                <w:noProof/>
                <w:lang w:val="en-US"/>
              </w:rPr>
              <w:t>Results</w:t>
            </w:r>
            <w:r w:rsidR="009567F5">
              <w:rPr>
                <w:noProof/>
                <w:webHidden/>
              </w:rPr>
              <w:tab/>
            </w:r>
            <w:r w:rsidR="009567F5">
              <w:rPr>
                <w:noProof/>
                <w:webHidden/>
              </w:rPr>
              <w:fldChar w:fldCharType="begin"/>
            </w:r>
            <w:r w:rsidR="009567F5">
              <w:rPr>
                <w:noProof/>
                <w:webHidden/>
              </w:rPr>
              <w:instrText xml:space="preserve"> PAGEREF _Toc180963603 \h </w:instrText>
            </w:r>
            <w:r w:rsidR="009567F5">
              <w:rPr>
                <w:noProof/>
                <w:webHidden/>
              </w:rPr>
            </w:r>
            <w:r w:rsidR="009567F5">
              <w:rPr>
                <w:noProof/>
                <w:webHidden/>
              </w:rPr>
              <w:fldChar w:fldCharType="separate"/>
            </w:r>
            <w:r w:rsidR="00E91088">
              <w:rPr>
                <w:noProof/>
                <w:webHidden/>
              </w:rPr>
              <w:t>34</w:t>
            </w:r>
            <w:r w:rsidR="009567F5">
              <w:rPr>
                <w:noProof/>
                <w:webHidden/>
              </w:rPr>
              <w:fldChar w:fldCharType="end"/>
            </w:r>
          </w:hyperlink>
        </w:p>
        <w:p w14:paraId="12A57C72" w14:textId="62C6293F" w:rsidR="009567F5" w:rsidRDefault="00000000">
          <w:pPr>
            <w:pStyle w:val="Verzeichnis2"/>
            <w:rPr>
              <w:rFonts w:asciiTheme="minorHAnsi" w:eastAsiaTheme="minorEastAsia" w:hAnsiTheme="minorHAnsi"/>
              <w:noProof/>
              <w:kern w:val="2"/>
              <w:szCs w:val="24"/>
              <w:lang w:eastAsia="de-DE"/>
              <w14:ligatures w14:val="standardContextual"/>
            </w:rPr>
          </w:pPr>
          <w:hyperlink w:anchor="_Toc180963604" w:history="1">
            <w:r w:rsidR="009567F5" w:rsidRPr="00D533C8">
              <w:rPr>
                <w:rStyle w:val="Hyperlink"/>
                <w:noProof/>
                <w:lang w:val="en-US"/>
              </w:rPr>
              <w:t>Post Hoc Analysis</w:t>
            </w:r>
            <w:r w:rsidR="009567F5">
              <w:rPr>
                <w:noProof/>
                <w:webHidden/>
              </w:rPr>
              <w:tab/>
            </w:r>
            <w:r w:rsidR="009567F5">
              <w:rPr>
                <w:noProof/>
                <w:webHidden/>
              </w:rPr>
              <w:fldChar w:fldCharType="begin"/>
            </w:r>
            <w:r w:rsidR="009567F5">
              <w:rPr>
                <w:noProof/>
                <w:webHidden/>
              </w:rPr>
              <w:instrText xml:space="preserve"> PAGEREF _Toc180963604 \h </w:instrText>
            </w:r>
            <w:r w:rsidR="009567F5">
              <w:rPr>
                <w:noProof/>
                <w:webHidden/>
              </w:rPr>
            </w:r>
            <w:r w:rsidR="009567F5">
              <w:rPr>
                <w:noProof/>
                <w:webHidden/>
              </w:rPr>
              <w:fldChar w:fldCharType="separate"/>
            </w:r>
            <w:r w:rsidR="00E91088">
              <w:rPr>
                <w:noProof/>
                <w:webHidden/>
              </w:rPr>
              <w:t>38</w:t>
            </w:r>
            <w:r w:rsidR="009567F5">
              <w:rPr>
                <w:noProof/>
                <w:webHidden/>
              </w:rPr>
              <w:fldChar w:fldCharType="end"/>
            </w:r>
          </w:hyperlink>
        </w:p>
        <w:p w14:paraId="71A3E333" w14:textId="33C7F0D8" w:rsidR="009567F5" w:rsidRDefault="00000000">
          <w:pPr>
            <w:pStyle w:val="Verzeichnis2"/>
            <w:rPr>
              <w:rFonts w:asciiTheme="minorHAnsi" w:eastAsiaTheme="minorEastAsia" w:hAnsiTheme="minorHAnsi"/>
              <w:noProof/>
              <w:kern w:val="2"/>
              <w:szCs w:val="24"/>
              <w:lang w:eastAsia="de-DE"/>
              <w14:ligatures w14:val="standardContextual"/>
            </w:rPr>
          </w:pPr>
          <w:hyperlink w:anchor="_Toc180963605" w:history="1">
            <w:r w:rsidR="009567F5" w:rsidRPr="00D533C8">
              <w:rPr>
                <w:rStyle w:val="Hyperlink"/>
                <w:noProof/>
                <w:lang w:val="en-US"/>
              </w:rPr>
              <w:t>Discussion</w:t>
            </w:r>
            <w:r w:rsidR="009567F5">
              <w:rPr>
                <w:noProof/>
                <w:webHidden/>
              </w:rPr>
              <w:tab/>
            </w:r>
            <w:r w:rsidR="009567F5">
              <w:rPr>
                <w:noProof/>
                <w:webHidden/>
              </w:rPr>
              <w:fldChar w:fldCharType="begin"/>
            </w:r>
            <w:r w:rsidR="009567F5">
              <w:rPr>
                <w:noProof/>
                <w:webHidden/>
              </w:rPr>
              <w:instrText xml:space="preserve"> PAGEREF _Toc180963605 \h </w:instrText>
            </w:r>
            <w:r w:rsidR="009567F5">
              <w:rPr>
                <w:noProof/>
                <w:webHidden/>
              </w:rPr>
            </w:r>
            <w:r w:rsidR="009567F5">
              <w:rPr>
                <w:noProof/>
                <w:webHidden/>
              </w:rPr>
              <w:fldChar w:fldCharType="separate"/>
            </w:r>
            <w:r w:rsidR="00E91088">
              <w:rPr>
                <w:noProof/>
                <w:webHidden/>
              </w:rPr>
              <w:t>41</w:t>
            </w:r>
            <w:r w:rsidR="009567F5">
              <w:rPr>
                <w:noProof/>
                <w:webHidden/>
              </w:rPr>
              <w:fldChar w:fldCharType="end"/>
            </w:r>
          </w:hyperlink>
        </w:p>
        <w:p w14:paraId="375007CD" w14:textId="044978A7" w:rsidR="009567F5" w:rsidRDefault="00000000">
          <w:pPr>
            <w:pStyle w:val="Verzeichnis2"/>
            <w:rPr>
              <w:rFonts w:asciiTheme="minorHAnsi" w:eastAsiaTheme="minorEastAsia" w:hAnsiTheme="minorHAnsi"/>
              <w:noProof/>
              <w:kern w:val="2"/>
              <w:szCs w:val="24"/>
              <w:lang w:eastAsia="de-DE"/>
              <w14:ligatures w14:val="standardContextual"/>
            </w:rPr>
          </w:pPr>
          <w:hyperlink w:anchor="_Toc180963606" w:history="1">
            <w:r w:rsidR="009567F5" w:rsidRPr="00D533C8">
              <w:rPr>
                <w:rStyle w:val="Hyperlink"/>
                <w:noProof/>
                <w:lang w:val="en-US"/>
              </w:rPr>
              <w:t>Notes</w:t>
            </w:r>
            <w:r w:rsidR="009567F5">
              <w:rPr>
                <w:noProof/>
                <w:webHidden/>
              </w:rPr>
              <w:tab/>
            </w:r>
            <w:r w:rsidR="009567F5">
              <w:rPr>
                <w:noProof/>
                <w:webHidden/>
              </w:rPr>
              <w:fldChar w:fldCharType="begin"/>
            </w:r>
            <w:r w:rsidR="009567F5">
              <w:rPr>
                <w:noProof/>
                <w:webHidden/>
              </w:rPr>
              <w:instrText xml:space="preserve"> PAGEREF _Toc180963606 \h </w:instrText>
            </w:r>
            <w:r w:rsidR="009567F5">
              <w:rPr>
                <w:noProof/>
                <w:webHidden/>
              </w:rPr>
            </w:r>
            <w:r w:rsidR="009567F5">
              <w:rPr>
                <w:noProof/>
                <w:webHidden/>
              </w:rPr>
              <w:fldChar w:fldCharType="separate"/>
            </w:r>
            <w:r w:rsidR="00E91088">
              <w:rPr>
                <w:noProof/>
                <w:webHidden/>
              </w:rPr>
              <w:t>45</w:t>
            </w:r>
            <w:r w:rsidR="009567F5">
              <w:rPr>
                <w:noProof/>
                <w:webHidden/>
              </w:rPr>
              <w:fldChar w:fldCharType="end"/>
            </w:r>
          </w:hyperlink>
        </w:p>
        <w:p w14:paraId="14480916" w14:textId="33E0F02B" w:rsidR="009567F5" w:rsidRDefault="00000000">
          <w:pPr>
            <w:pStyle w:val="Verzeichnis2"/>
            <w:rPr>
              <w:rFonts w:asciiTheme="minorHAnsi" w:eastAsiaTheme="minorEastAsia" w:hAnsiTheme="minorHAnsi"/>
              <w:noProof/>
              <w:kern w:val="2"/>
              <w:szCs w:val="24"/>
              <w:lang w:eastAsia="de-DE"/>
              <w14:ligatures w14:val="standardContextual"/>
            </w:rPr>
          </w:pPr>
          <w:hyperlink w:anchor="_Toc180963607" w:history="1">
            <w:r w:rsidR="009567F5" w:rsidRPr="00D533C8">
              <w:rPr>
                <w:rStyle w:val="Hyperlink"/>
                <w:noProof/>
                <w:lang w:val="en-US"/>
              </w:rPr>
              <w:t>References</w:t>
            </w:r>
            <w:r w:rsidR="009567F5">
              <w:rPr>
                <w:noProof/>
                <w:webHidden/>
              </w:rPr>
              <w:tab/>
            </w:r>
            <w:r w:rsidR="009567F5">
              <w:rPr>
                <w:noProof/>
                <w:webHidden/>
              </w:rPr>
              <w:fldChar w:fldCharType="begin"/>
            </w:r>
            <w:r w:rsidR="009567F5">
              <w:rPr>
                <w:noProof/>
                <w:webHidden/>
              </w:rPr>
              <w:instrText xml:space="preserve"> PAGEREF _Toc180963607 \h </w:instrText>
            </w:r>
            <w:r w:rsidR="009567F5">
              <w:rPr>
                <w:noProof/>
                <w:webHidden/>
              </w:rPr>
            </w:r>
            <w:r w:rsidR="009567F5">
              <w:rPr>
                <w:noProof/>
                <w:webHidden/>
              </w:rPr>
              <w:fldChar w:fldCharType="separate"/>
            </w:r>
            <w:r w:rsidR="00E91088">
              <w:rPr>
                <w:noProof/>
                <w:webHidden/>
              </w:rPr>
              <w:t>46</w:t>
            </w:r>
            <w:r w:rsidR="009567F5">
              <w:rPr>
                <w:noProof/>
                <w:webHidden/>
              </w:rPr>
              <w:fldChar w:fldCharType="end"/>
            </w:r>
          </w:hyperlink>
        </w:p>
        <w:p w14:paraId="2A913AA7" w14:textId="283AD022" w:rsidR="009567F5" w:rsidRDefault="00000000">
          <w:pPr>
            <w:pStyle w:val="Verzeichnis2"/>
            <w:rPr>
              <w:rFonts w:asciiTheme="minorHAnsi" w:eastAsiaTheme="minorEastAsia" w:hAnsiTheme="minorHAnsi"/>
              <w:noProof/>
              <w:kern w:val="2"/>
              <w:szCs w:val="24"/>
              <w:lang w:eastAsia="de-DE"/>
              <w14:ligatures w14:val="standardContextual"/>
            </w:rPr>
          </w:pPr>
          <w:hyperlink w:anchor="_Toc180963608" w:history="1">
            <w:r w:rsidR="009567F5" w:rsidRPr="00D533C8">
              <w:rPr>
                <w:rStyle w:val="Hyperlink"/>
                <w:noProof/>
                <w:lang w:val="en-US"/>
              </w:rPr>
              <w:t>Appendix</w:t>
            </w:r>
            <w:r w:rsidR="009567F5">
              <w:rPr>
                <w:noProof/>
                <w:webHidden/>
              </w:rPr>
              <w:tab/>
            </w:r>
            <w:r w:rsidR="009567F5">
              <w:rPr>
                <w:noProof/>
                <w:webHidden/>
              </w:rPr>
              <w:fldChar w:fldCharType="begin"/>
            </w:r>
            <w:r w:rsidR="009567F5">
              <w:rPr>
                <w:noProof/>
                <w:webHidden/>
              </w:rPr>
              <w:instrText xml:space="preserve"> PAGEREF _Toc180963608 \h </w:instrText>
            </w:r>
            <w:r w:rsidR="009567F5">
              <w:rPr>
                <w:noProof/>
                <w:webHidden/>
              </w:rPr>
            </w:r>
            <w:r w:rsidR="009567F5">
              <w:rPr>
                <w:noProof/>
                <w:webHidden/>
              </w:rPr>
              <w:fldChar w:fldCharType="separate"/>
            </w:r>
            <w:r w:rsidR="00E91088">
              <w:rPr>
                <w:noProof/>
                <w:webHidden/>
              </w:rPr>
              <w:t>66</w:t>
            </w:r>
            <w:r w:rsidR="009567F5">
              <w:rPr>
                <w:noProof/>
                <w:webHidden/>
              </w:rPr>
              <w:fldChar w:fldCharType="end"/>
            </w:r>
          </w:hyperlink>
        </w:p>
        <w:p w14:paraId="2083F236" w14:textId="46D8E1CF" w:rsidR="009567F5" w:rsidRDefault="00000000">
          <w:pPr>
            <w:pStyle w:val="Verzeichnis1"/>
            <w:rPr>
              <w:rFonts w:asciiTheme="minorHAnsi" w:eastAsiaTheme="minorEastAsia" w:hAnsiTheme="minorHAnsi"/>
              <w:kern w:val="2"/>
              <w:szCs w:val="24"/>
              <w:lang w:val="de-DE" w:eastAsia="de-DE"/>
              <w14:ligatures w14:val="standardContextual"/>
            </w:rPr>
          </w:pPr>
          <w:hyperlink w:anchor="_Toc180963609" w:history="1">
            <w:r w:rsidR="009567F5" w:rsidRPr="00D533C8">
              <w:rPr>
                <w:rStyle w:val="Hyperlink"/>
              </w:rPr>
              <w:t>II.</w:t>
            </w:r>
            <w:r w:rsidR="009567F5">
              <w:rPr>
                <w:rFonts w:asciiTheme="minorHAnsi" w:eastAsiaTheme="minorEastAsia" w:hAnsiTheme="minorHAnsi"/>
                <w:kern w:val="2"/>
                <w:szCs w:val="24"/>
                <w:lang w:val="de-DE" w:eastAsia="de-DE"/>
                <w14:ligatures w14:val="standardContextual"/>
              </w:rPr>
              <w:tab/>
            </w:r>
            <w:r w:rsidR="009567F5" w:rsidRPr="00D533C8">
              <w:rPr>
                <w:rStyle w:val="Hyperlink"/>
              </w:rPr>
              <w:t>RESOURCE APPROPRIATION IN STRATEGIC ALLIANCES:  THE IMPACT OF BOARD INTERLOCKS ON DIFFERENTIAL BENEFITS</w:t>
            </w:r>
            <w:r w:rsidR="009567F5">
              <w:rPr>
                <w:webHidden/>
              </w:rPr>
              <w:tab/>
            </w:r>
            <w:r w:rsidR="009567F5">
              <w:rPr>
                <w:webHidden/>
              </w:rPr>
              <w:fldChar w:fldCharType="begin"/>
            </w:r>
            <w:r w:rsidR="009567F5">
              <w:rPr>
                <w:webHidden/>
              </w:rPr>
              <w:instrText xml:space="preserve"> PAGEREF _Toc180963609 \h </w:instrText>
            </w:r>
            <w:r w:rsidR="009567F5">
              <w:rPr>
                <w:webHidden/>
              </w:rPr>
            </w:r>
            <w:r w:rsidR="009567F5">
              <w:rPr>
                <w:webHidden/>
              </w:rPr>
              <w:fldChar w:fldCharType="separate"/>
            </w:r>
            <w:r w:rsidR="00E91088">
              <w:rPr>
                <w:webHidden/>
              </w:rPr>
              <w:t>93</w:t>
            </w:r>
            <w:r w:rsidR="009567F5">
              <w:rPr>
                <w:webHidden/>
              </w:rPr>
              <w:fldChar w:fldCharType="end"/>
            </w:r>
          </w:hyperlink>
        </w:p>
        <w:p w14:paraId="00EFB76B" w14:textId="19250CD4" w:rsidR="009567F5" w:rsidRDefault="00000000">
          <w:pPr>
            <w:pStyle w:val="Verzeichnis2"/>
            <w:rPr>
              <w:rFonts w:asciiTheme="minorHAnsi" w:eastAsiaTheme="minorEastAsia" w:hAnsiTheme="minorHAnsi"/>
              <w:noProof/>
              <w:kern w:val="2"/>
              <w:szCs w:val="24"/>
              <w:lang w:eastAsia="de-DE"/>
              <w14:ligatures w14:val="standardContextual"/>
            </w:rPr>
          </w:pPr>
          <w:hyperlink w:anchor="_Toc180963610" w:history="1">
            <w:r w:rsidR="009567F5" w:rsidRPr="00D533C8">
              <w:rPr>
                <w:rStyle w:val="Hyperlink"/>
                <w:noProof/>
                <w:lang w:val="en-US"/>
              </w:rPr>
              <w:t>Abstract</w:t>
            </w:r>
            <w:r w:rsidR="009567F5">
              <w:rPr>
                <w:noProof/>
                <w:webHidden/>
              </w:rPr>
              <w:tab/>
            </w:r>
            <w:r w:rsidR="009567F5">
              <w:rPr>
                <w:noProof/>
                <w:webHidden/>
              </w:rPr>
              <w:fldChar w:fldCharType="begin"/>
            </w:r>
            <w:r w:rsidR="009567F5">
              <w:rPr>
                <w:noProof/>
                <w:webHidden/>
              </w:rPr>
              <w:instrText xml:space="preserve"> PAGEREF _Toc180963610 \h </w:instrText>
            </w:r>
            <w:r w:rsidR="009567F5">
              <w:rPr>
                <w:noProof/>
                <w:webHidden/>
              </w:rPr>
            </w:r>
            <w:r w:rsidR="009567F5">
              <w:rPr>
                <w:noProof/>
                <w:webHidden/>
              </w:rPr>
              <w:fldChar w:fldCharType="separate"/>
            </w:r>
            <w:r w:rsidR="00E91088">
              <w:rPr>
                <w:noProof/>
                <w:webHidden/>
              </w:rPr>
              <w:t>95</w:t>
            </w:r>
            <w:r w:rsidR="009567F5">
              <w:rPr>
                <w:noProof/>
                <w:webHidden/>
              </w:rPr>
              <w:fldChar w:fldCharType="end"/>
            </w:r>
          </w:hyperlink>
        </w:p>
        <w:p w14:paraId="075C4763" w14:textId="1F577F77" w:rsidR="009567F5" w:rsidRDefault="00000000">
          <w:pPr>
            <w:pStyle w:val="Verzeichnis2"/>
            <w:rPr>
              <w:rFonts w:asciiTheme="minorHAnsi" w:eastAsiaTheme="minorEastAsia" w:hAnsiTheme="minorHAnsi"/>
              <w:noProof/>
              <w:kern w:val="2"/>
              <w:szCs w:val="24"/>
              <w:lang w:eastAsia="de-DE"/>
              <w14:ligatures w14:val="standardContextual"/>
            </w:rPr>
          </w:pPr>
          <w:hyperlink w:anchor="_Toc180963611" w:history="1">
            <w:r w:rsidR="009567F5" w:rsidRPr="00D533C8">
              <w:rPr>
                <w:rStyle w:val="Hyperlink"/>
                <w:noProof/>
                <w:lang w:val="en-US"/>
              </w:rPr>
              <w:t>Introduction</w:t>
            </w:r>
            <w:r w:rsidR="009567F5">
              <w:rPr>
                <w:noProof/>
                <w:webHidden/>
              </w:rPr>
              <w:tab/>
            </w:r>
            <w:r w:rsidR="009567F5">
              <w:rPr>
                <w:noProof/>
                <w:webHidden/>
              </w:rPr>
              <w:fldChar w:fldCharType="begin"/>
            </w:r>
            <w:r w:rsidR="009567F5">
              <w:rPr>
                <w:noProof/>
                <w:webHidden/>
              </w:rPr>
              <w:instrText xml:space="preserve"> PAGEREF _Toc180963611 \h </w:instrText>
            </w:r>
            <w:r w:rsidR="009567F5">
              <w:rPr>
                <w:noProof/>
                <w:webHidden/>
              </w:rPr>
            </w:r>
            <w:r w:rsidR="009567F5">
              <w:rPr>
                <w:noProof/>
                <w:webHidden/>
              </w:rPr>
              <w:fldChar w:fldCharType="separate"/>
            </w:r>
            <w:r w:rsidR="00E91088">
              <w:rPr>
                <w:noProof/>
                <w:webHidden/>
              </w:rPr>
              <w:t>96</w:t>
            </w:r>
            <w:r w:rsidR="009567F5">
              <w:rPr>
                <w:noProof/>
                <w:webHidden/>
              </w:rPr>
              <w:fldChar w:fldCharType="end"/>
            </w:r>
          </w:hyperlink>
        </w:p>
        <w:p w14:paraId="7A2B4753" w14:textId="769F657D" w:rsidR="009567F5" w:rsidRDefault="00000000">
          <w:pPr>
            <w:pStyle w:val="Verzeichnis2"/>
            <w:rPr>
              <w:rFonts w:asciiTheme="minorHAnsi" w:eastAsiaTheme="minorEastAsia" w:hAnsiTheme="minorHAnsi"/>
              <w:noProof/>
              <w:kern w:val="2"/>
              <w:szCs w:val="24"/>
              <w:lang w:eastAsia="de-DE"/>
              <w14:ligatures w14:val="standardContextual"/>
            </w:rPr>
          </w:pPr>
          <w:hyperlink w:anchor="_Toc180963612" w:history="1">
            <w:r w:rsidR="009567F5" w:rsidRPr="00D533C8">
              <w:rPr>
                <w:rStyle w:val="Hyperlink"/>
                <w:noProof/>
                <w:lang w:val="en-US"/>
              </w:rPr>
              <w:t>Theoretical Background</w:t>
            </w:r>
            <w:r w:rsidR="009567F5">
              <w:rPr>
                <w:noProof/>
                <w:webHidden/>
              </w:rPr>
              <w:tab/>
            </w:r>
            <w:r w:rsidR="009567F5">
              <w:rPr>
                <w:noProof/>
                <w:webHidden/>
              </w:rPr>
              <w:fldChar w:fldCharType="begin"/>
            </w:r>
            <w:r w:rsidR="009567F5">
              <w:rPr>
                <w:noProof/>
                <w:webHidden/>
              </w:rPr>
              <w:instrText xml:space="preserve"> PAGEREF _Toc180963612 \h </w:instrText>
            </w:r>
            <w:r w:rsidR="009567F5">
              <w:rPr>
                <w:noProof/>
                <w:webHidden/>
              </w:rPr>
            </w:r>
            <w:r w:rsidR="009567F5">
              <w:rPr>
                <w:noProof/>
                <w:webHidden/>
              </w:rPr>
              <w:fldChar w:fldCharType="separate"/>
            </w:r>
            <w:r w:rsidR="00E91088">
              <w:rPr>
                <w:noProof/>
                <w:webHidden/>
              </w:rPr>
              <w:t>99</w:t>
            </w:r>
            <w:r w:rsidR="009567F5">
              <w:rPr>
                <w:noProof/>
                <w:webHidden/>
              </w:rPr>
              <w:fldChar w:fldCharType="end"/>
            </w:r>
          </w:hyperlink>
        </w:p>
        <w:p w14:paraId="695C46DB" w14:textId="5347C145" w:rsidR="009567F5" w:rsidRDefault="00000000">
          <w:pPr>
            <w:pStyle w:val="Verzeichnis2"/>
            <w:rPr>
              <w:rFonts w:asciiTheme="minorHAnsi" w:eastAsiaTheme="minorEastAsia" w:hAnsiTheme="minorHAnsi"/>
              <w:noProof/>
              <w:kern w:val="2"/>
              <w:szCs w:val="24"/>
              <w:lang w:eastAsia="de-DE"/>
              <w14:ligatures w14:val="standardContextual"/>
            </w:rPr>
          </w:pPr>
          <w:hyperlink w:anchor="_Toc180963613" w:history="1">
            <w:r w:rsidR="009567F5" w:rsidRPr="00D533C8">
              <w:rPr>
                <w:rStyle w:val="Hyperlink"/>
                <w:noProof/>
                <w:lang w:val="en-US"/>
              </w:rPr>
              <w:t>Hypothesis Development</w:t>
            </w:r>
            <w:r w:rsidR="009567F5">
              <w:rPr>
                <w:noProof/>
                <w:webHidden/>
              </w:rPr>
              <w:tab/>
            </w:r>
            <w:r w:rsidR="009567F5">
              <w:rPr>
                <w:noProof/>
                <w:webHidden/>
              </w:rPr>
              <w:fldChar w:fldCharType="begin"/>
            </w:r>
            <w:r w:rsidR="009567F5">
              <w:rPr>
                <w:noProof/>
                <w:webHidden/>
              </w:rPr>
              <w:instrText xml:space="preserve"> PAGEREF _Toc180963613 \h </w:instrText>
            </w:r>
            <w:r w:rsidR="009567F5">
              <w:rPr>
                <w:noProof/>
                <w:webHidden/>
              </w:rPr>
            </w:r>
            <w:r w:rsidR="009567F5">
              <w:rPr>
                <w:noProof/>
                <w:webHidden/>
              </w:rPr>
              <w:fldChar w:fldCharType="separate"/>
            </w:r>
            <w:r w:rsidR="00E91088">
              <w:rPr>
                <w:noProof/>
                <w:webHidden/>
              </w:rPr>
              <w:t>105</w:t>
            </w:r>
            <w:r w:rsidR="009567F5">
              <w:rPr>
                <w:noProof/>
                <w:webHidden/>
              </w:rPr>
              <w:fldChar w:fldCharType="end"/>
            </w:r>
          </w:hyperlink>
        </w:p>
        <w:p w14:paraId="14171FFF" w14:textId="4044A6CE" w:rsidR="009567F5" w:rsidRDefault="00000000">
          <w:pPr>
            <w:pStyle w:val="Verzeichnis2"/>
            <w:rPr>
              <w:rFonts w:asciiTheme="minorHAnsi" w:eastAsiaTheme="minorEastAsia" w:hAnsiTheme="minorHAnsi"/>
              <w:noProof/>
              <w:kern w:val="2"/>
              <w:szCs w:val="24"/>
              <w:lang w:eastAsia="de-DE"/>
              <w14:ligatures w14:val="standardContextual"/>
            </w:rPr>
          </w:pPr>
          <w:hyperlink w:anchor="_Toc180963614" w:history="1">
            <w:r w:rsidR="009567F5" w:rsidRPr="00D533C8">
              <w:rPr>
                <w:rStyle w:val="Hyperlink"/>
                <w:noProof/>
                <w:lang w:val="en-US"/>
              </w:rPr>
              <w:t>Method</w:t>
            </w:r>
            <w:r w:rsidR="009567F5">
              <w:rPr>
                <w:noProof/>
                <w:webHidden/>
              </w:rPr>
              <w:tab/>
            </w:r>
            <w:r w:rsidR="009567F5">
              <w:rPr>
                <w:noProof/>
                <w:webHidden/>
              </w:rPr>
              <w:fldChar w:fldCharType="begin"/>
            </w:r>
            <w:r w:rsidR="009567F5">
              <w:rPr>
                <w:noProof/>
                <w:webHidden/>
              </w:rPr>
              <w:instrText xml:space="preserve"> PAGEREF _Toc180963614 \h </w:instrText>
            </w:r>
            <w:r w:rsidR="009567F5">
              <w:rPr>
                <w:noProof/>
                <w:webHidden/>
              </w:rPr>
            </w:r>
            <w:r w:rsidR="009567F5">
              <w:rPr>
                <w:noProof/>
                <w:webHidden/>
              </w:rPr>
              <w:fldChar w:fldCharType="separate"/>
            </w:r>
            <w:r w:rsidR="00E91088">
              <w:rPr>
                <w:noProof/>
                <w:webHidden/>
              </w:rPr>
              <w:t>111</w:t>
            </w:r>
            <w:r w:rsidR="009567F5">
              <w:rPr>
                <w:noProof/>
                <w:webHidden/>
              </w:rPr>
              <w:fldChar w:fldCharType="end"/>
            </w:r>
          </w:hyperlink>
        </w:p>
        <w:p w14:paraId="56332458" w14:textId="7711D4E8" w:rsidR="009567F5" w:rsidRDefault="00000000">
          <w:pPr>
            <w:pStyle w:val="Verzeichnis2"/>
            <w:rPr>
              <w:rFonts w:asciiTheme="minorHAnsi" w:eastAsiaTheme="minorEastAsia" w:hAnsiTheme="minorHAnsi"/>
              <w:noProof/>
              <w:kern w:val="2"/>
              <w:szCs w:val="24"/>
              <w:lang w:eastAsia="de-DE"/>
              <w14:ligatures w14:val="standardContextual"/>
            </w:rPr>
          </w:pPr>
          <w:hyperlink w:anchor="_Toc180963615" w:history="1">
            <w:r w:rsidR="009567F5" w:rsidRPr="00D533C8">
              <w:rPr>
                <w:rStyle w:val="Hyperlink"/>
                <w:noProof/>
                <w:lang w:val="en-US"/>
              </w:rPr>
              <w:t>Results</w:t>
            </w:r>
            <w:r w:rsidR="009567F5">
              <w:rPr>
                <w:noProof/>
                <w:webHidden/>
              </w:rPr>
              <w:tab/>
            </w:r>
            <w:r w:rsidR="009567F5">
              <w:rPr>
                <w:noProof/>
                <w:webHidden/>
              </w:rPr>
              <w:fldChar w:fldCharType="begin"/>
            </w:r>
            <w:r w:rsidR="009567F5">
              <w:rPr>
                <w:noProof/>
                <w:webHidden/>
              </w:rPr>
              <w:instrText xml:space="preserve"> PAGEREF _Toc180963615 \h </w:instrText>
            </w:r>
            <w:r w:rsidR="009567F5">
              <w:rPr>
                <w:noProof/>
                <w:webHidden/>
              </w:rPr>
            </w:r>
            <w:r w:rsidR="009567F5">
              <w:rPr>
                <w:noProof/>
                <w:webHidden/>
              </w:rPr>
              <w:fldChar w:fldCharType="separate"/>
            </w:r>
            <w:r w:rsidR="00E91088">
              <w:rPr>
                <w:noProof/>
                <w:webHidden/>
              </w:rPr>
              <w:t>117</w:t>
            </w:r>
            <w:r w:rsidR="009567F5">
              <w:rPr>
                <w:noProof/>
                <w:webHidden/>
              </w:rPr>
              <w:fldChar w:fldCharType="end"/>
            </w:r>
          </w:hyperlink>
        </w:p>
        <w:p w14:paraId="03063258" w14:textId="62DBE866" w:rsidR="009567F5" w:rsidRDefault="00000000">
          <w:pPr>
            <w:pStyle w:val="Verzeichnis2"/>
            <w:rPr>
              <w:rFonts w:asciiTheme="minorHAnsi" w:eastAsiaTheme="minorEastAsia" w:hAnsiTheme="minorHAnsi"/>
              <w:noProof/>
              <w:kern w:val="2"/>
              <w:szCs w:val="24"/>
              <w:lang w:eastAsia="de-DE"/>
              <w14:ligatures w14:val="standardContextual"/>
            </w:rPr>
          </w:pPr>
          <w:hyperlink w:anchor="_Toc180963616" w:history="1">
            <w:r w:rsidR="009567F5" w:rsidRPr="00D533C8">
              <w:rPr>
                <w:rStyle w:val="Hyperlink"/>
                <w:noProof/>
                <w:lang w:val="en-US"/>
              </w:rPr>
              <w:t>Robustness Checks</w:t>
            </w:r>
            <w:r w:rsidR="009567F5">
              <w:rPr>
                <w:noProof/>
                <w:webHidden/>
              </w:rPr>
              <w:tab/>
            </w:r>
            <w:r w:rsidR="009567F5">
              <w:rPr>
                <w:noProof/>
                <w:webHidden/>
              </w:rPr>
              <w:fldChar w:fldCharType="begin"/>
            </w:r>
            <w:r w:rsidR="009567F5">
              <w:rPr>
                <w:noProof/>
                <w:webHidden/>
              </w:rPr>
              <w:instrText xml:space="preserve"> PAGEREF _Toc180963616 \h </w:instrText>
            </w:r>
            <w:r w:rsidR="009567F5">
              <w:rPr>
                <w:noProof/>
                <w:webHidden/>
              </w:rPr>
            </w:r>
            <w:r w:rsidR="009567F5">
              <w:rPr>
                <w:noProof/>
                <w:webHidden/>
              </w:rPr>
              <w:fldChar w:fldCharType="separate"/>
            </w:r>
            <w:r w:rsidR="00E91088">
              <w:rPr>
                <w:noProof/>
                <w:webHidden/>
              </w:rPr>
              <w:t>119</w:t>
            </w:r>
            <w:r w:rsidR="009567F5">
              <w:rPr>
                <w:noProof/>
                <w:webHidden/>
              </w:rPr>
              <w:fldChar w:fldCharType="end"/>
            </w:r>
          </w:hyperlink>
        </w:p>
        <w:p w14:paraId="1FC5FC70" w14:textId="34EB7EC5" w:rsidR="009567F5" w:rsidRDefault="00000000">
          <w:pPr>
            <w:pStyle w:val="Verzeichnis2"/>
            <w:rPr>
              <w:rFonts w:asciiTheme="minorHAnsi" w:eastAsiaTheme="minorEastAsia" w:hAnsiTheme="minorHAnsi"/>
              <w:noProof/>
              <w:kern w:val="2"/>
              <w:szCs w:val="24"/>
              <w:lang w:eastAsia="de-DE"/>
              <w14:ligatures w14:val="standardContextual"/>
            </w:rPr>
          </w:pPr>
          <w:hyperlink w:anchor="_Toc180963617" w:history="1">
            <w:r w:rsidR="009567F5" w:rsidRPr="00D533C8">
              <w:rPr>
                <w:rStyle w:val="Hyperlink"/>
                <w:noProof/>
                <w:lang w:val="en-US"/>
              </w:rPr>
              <w:t>Discussion</w:t>
            </w:r>
            <w:r w:rsidR="009567F5">
              <w:rPr>
                <w:noProof/>
                <w:webHidden/>
              </w:rPr>
              <w:tab/>
            </w:r>
            <w:r w:rsidR="009567F5">
              <w:rPr>
                <w:noProof/>
                <w:webHidden/>
              </w:rPr>
              <w:fldChar w:fldCharType="begin"/>
            </w:r>
            <w:r w:rsidR="009567F5">
              <w:rPr>
                <w:noProof/>
                <w:webHidden/>
              </w:rPr>
              <w:instrText xml:space="preserve"> PAGEREF _Toc180963617 \h </w:instrText>
            </w:r>
            <w:r w:rsidR="009567F5">
              <w:rPr>
                <w:noProof/>
                <w:webHidden/>
              </w:rPr>
            </w:r>
            <w:r w:rsidR="009567F5">
              <w:rPr>
                <w:noProof/>
                <w:webHidden/>
              </w:rPr>
              <w:fldChar w:fldCharType="separate"/>
            </w:r>
            <w:r w:rsidR="00E91088">
              <w:rPr>
                <w:noProof/>
                <w:webHidden/>
              </w:rPr>
              <w:t>121</w:t>
            </w:r>
            <w:r w:rsidR="009567F5">
              <w:rPr>
                <w:noProof/>
                <w:webHidden/>
              </w:rPr>
              <w:fldChar w:fldCharType="end"/>
            </w:r>
          </w:hyperlink>
        </w:p>
        <w:p w14:paraId="09721D73" w14:textId="2C1FB421" w:rsidR="009567F5" w:rsidRDefault="00000000">
          <w:pPr>
            <w:pStyle w:val="Verzeichnis2"/>
            <w:rPr>
              <w:rFonts w:asciiTheme="minorHAnsi" w:eastAsiaTheme="minorEastAsia" w:hAnsiTheme="minorHAnsi"/>
              <w:noProof/>
              <w:kern w:val="2"/>
              <w:szCs w:val="24"/>
              <w:lang w:eastAsia="de-DE"/>
              <w14:ligatures w14:val="standardContextual"/>
            </w:rPr>
          </w:pPr>
          <w:hyperlink w:anchor="_Toc180963618" w:history="1">
            <w:r w:rsidR="009567F5" w:rsidRPr="00D533C8">
              <w:rPr>
                <w:rStyle w:val="Hyperlink"/>
                <w:noProof/>
                <w:lang w:val="en-US"/>
              </w:rPr>
              <w:t>Conclusion</w:t>
            </w:r>
            <w:r w:rsidR="009567F5">
              <w:rPr>
                <w:noProof/>
                <w:webHidden/>
              </w:rPr>
              <w:tab/>
            </w:r>
            <w:r w:rsidR="009567F5">
              <w:rPr>
                <w:noProof/>
                <w:webHidden/>
              </w:rPr>
              <w:fldChar w:fldCharType="begin"/>
            </w:r>
            <w:r w:rsidR="009567F5">
              <w:rPr>
                <w:noProof/>
                <w:webHidden/>
              </w:rPr>
              <w:instrText xml:space="preserve"> PAGEREF _Toc180963618 \h </w:instrText>
            </w:r>
            <w:r w:rsidR="009567F5">
              <w:rPr>
                <w:noProof/>
                <w:webHidden/>
              </w:rPr>
            </w:r>
            <w:r w:rsidR="009567F5">
              <w:rPr>
                <w:noProof/>
                <w:webHidden/>
              </w:rPr>
              <w:fldChar w:fldCharType="separate"/>
            </w:r>
            <w:r w:rsidR="00E91088">
              <w:rPr>
                <w:noProof/>
                <w:webHidden/>
              </w:rPr>
              <w:t>123</w:t>
            </w:r>
            <w:r w:rsidR="009567F5">
              <w:rPr>
                <w:noProof/>
                <w:webHidden/>
              </w:rPr>
              <w:fldChar w:fldCharType="end"/>
            </w:r>
          </w:hyperlink>
        </w:p>
        <w:p w14:paraId="79E07733" w14:textId="6D6B2B3D" w:rsidR="009567F5" w:rsidRDefault="00000000">
          <w:pPr>
            <w:pStyle w:val="Verzeichnis2"/>
            <w:rPr>
              <w:rFonts w:asciiTheme="minorHAnsi" w:eastAsiaTheme="minorEastAsia" w:hAnsiTheme="minorHAnsi"/>
              <w:noProof/>
              <w:kern w:val="2"/>
              <w:szCs w:val="24"/>
              <w:lang w:eastAsia="de-DE"/>
              <w14:ligatures w14:val="standardContextual"/>
            </w:rPr>
          </w:pPr>
          <w:hyperlink w:anchor="_Toc180963619" w:history="1">
            <w:r w:rsidR="009567F5" w:rsidRPr="00D533C8">
              <w:rPr>
                <w:rStyle w:val="Hyperlink"/>
                <w:noProof/>
                <w:lang w:val="en-US"/>
              </w:rPr>
              <w:t>References</w:t>
            </w:r>
            <w:r w:rsidR="009567F5">
              <w:rPr>
                <w:noProof/>
                <w:webHidden/>
              </w:rPr>
              <w:tab/>
            </w:r>
            <w:r w:rsidR="009567F5">
              <w:rPr>
                <w:noProof/>
                <w:webHidden/>
              </w:rPr>
              <w:fldChar w:fldCharType="begin"/>
            </w:r>
            <w:r w:rsidR="009567F5">
              <w:rPr>
                <w:noProof/>
                <w:webHidden/>
              </w:rPr>
              <w:instrText xml:space="preserve"> PAGEREF _Toc180963619 \h </w:instrText>
            </w:r>
            <w:r w:rsidR="009567F5">
              <w:rPr>
                <w:noProof/>
                <w:webHidden/>
              </w:rPr>
            </w:r>
            <w:r w:rsidR="009567F5">
              <w:rPr>
                <w:noProof/>
                <w:webHidden/>
              </w:rPr>
              <w:fldChar w:fldCharType="separate"/>
            </w:r>
            <w:r w:rsidR="00E91088">
              <w:rPr>
                <w:noProof/>
                <w:webHidden/>
              </w:rPr>
              <w:t>124</w:t>
            </w:r>
            <w:r w:rsidR="009567F5">
              <w:rPr>
                <w:noProof/>
                <w:webHidden/>
              </w:rPr>
              <w:fldChar w:fldCharType="end"/>
            </w:r>
          </w:hyperlink>
        </w:p>
        <w:p w14:paraId="3349E919" w14:textId="543A0862" w:rsidR="009567F5" w:rsidRDefault="00000000">
          <w:pPr>
            <w:pStyle w:val="Verzeichnis2"/>
            <w:rPr>
              <w:rFonts w:asciiTheme="minorHAnsi" w:eastAsiaTheme="minorEastAsia" w:hAnsiTheme="minorHAnsi"/>
              <w:noProof/>
              <w:kern w:val="2"/>
              <w:szCs w:val="24"/>
              <w:lang w:eastAsia="de-DE"/>
              <w14:ligatures w14:val="standardContextual"/>
            </w:rPr>
          </w:pPr>
          <w:hyperlink w:anchor="_Toc180963620" w:history="1">
            <w:r w:rsidR="009567F5" w:rsidRPr="00D533C8">
              <w:rPr>
                <w:rStyle w:val="Hyperlink"/>
                <w:noProof/>
                <w:lang w:val="en-US"/>
              </w:rPr>
              <w:t>Appendix</w:t>
            </w:r>
            <w:r w:rsidR="009567F5">
              <w:rPr>
                <w:noProof/>
                <w:webHidden/>
              </w:rPr>
              <w:tab/>
            </w:r>
            <w:r w:rsidR="009567F5">
              <w:rPr>
                <w:noProof/>
                <w:webHidden/>
              </w:rPr>
              <w:fldChar w:fldCharType="begin"/>
            </w:r>
            <w:r w:rsidR="009567F5">
              <w:rPr>
                <w:noProof/>
                <w:webHidden/>
              </w:rPr>
              <w:instrText xml:space="preserve"> PAGEREF _Toc180963620 \h </w:instrText>
            </w:r>
            <w:r w:rsidR="009567F5">
              <w:rPr>
                <w:noProof/>
                <w:webHidden/>
              </w:rPr>
            </w:r>
            <w:r w:rsidR="009567F5">
              <w:rPr>
                <w:noProof/>
                <w:webHidden/>
              </w:rPr>
              <w:fldChar w:fldCharType="separate"/>
            </w:r>
            <w:r w:rsidR="00E91088">
              <w:rPr>
                <w:noProof/>
                <w:webHidden/>
              </w:rPr>
              <w:t>137</w:t>
            </w:r>
            <w:r w:rsidR="009567F5">
              <w:rPr>
                <w:noProof/>
                <w:webHidden/>
              </w:rPr>
              <w:fldChar w:fldCharType="end"/>
            </w:r>
          </w:hyperlink>
        </w:p>
        <w:p w14:paraId="35802A71" w14:textId="7B713348" w:rsidR="009567F5" w:rsidRDefault="00000000">
          <w:pPr>
            <w:pStyle w:val="Verzeichnis1"/>
            <w:rPr>
              <w:rFonts w:asciiTheme="minorHAnsi" w:eastAsiaTheme="minorEastAsia" w:hAnsiTheme="minorHAnsi"/>
              <w:kern w:val="2"/>
              <w:szCs w:val="24"/>
              <w:lang w:val="de-DE" w:eastAsia="de-DE"/>
              <w14:ligatures w14:val="standardContextual"/>
            </w:rPr>
          </w:pPr>
          <w:hyperlink w:anchor="_Toc180963621" w:history="1">
            <w:r w:rsidR="009567F5" w:rsidRPr="00D533C8">
              <w:rPr>
                <w:rStyle w:val="Hyperlink"/>
              </w:rPr>
              <w:t>III.</w:t>
            </w:r>
            <w:r w:rsidR="009567F5">
              <w:rPr>
                <w:rFonts w:asciiTheme="minorHAnsi" w:eastAsiaTheme="minorEastAsia" w:hAnsiTheme="minorHAnsi"/>
                <w:kern w:val="2"/>
                <w:szCs w:val="24"/>
                <w:lang w:val="de-DE" w:eastAsia="de-DE"/>
                <w14:ligatures w14:val="standardContextual"/>
              </w:rPr>
              <w:tab/>
            </w:r>
            <w:r w:rsidR="009567F5" w:rsidRPr="00D533C8">
              <w:rPr>
                <w:rStyle w:val="Hyperlink"/>
              </w:rPr>
              <w:t>MIND THE GAP: THE EFFECT OF CULTURAL DISTANCE ON MERGERS AND ACQUISITIONS - EVIDENCE FROM GLASSDOOR REVIEWS</w:t>
            </w:r>
            <w:r w:rsidR="009567F5">
              <w:rPr>
                <w:webHidden/>
              </w:rPr>
              <w:tab/>
            </w:r>
            <w:r w:rsidR="009567F5">
              <w:rPr>
                <w:webHidden/>
              </w:rPr>
              <w:fldChar w:fldCharType="begin"/>
            </w:r>
            <w:r w:rsidR="009567F5">
              <w:rPr>
                <w:webHidden/>
              </w:rPr>
              <w:instrText xml:space="preserve"> PAGEREF _Toc180963621 \h </w:instrText>
            </w:r>
            <w:r w:rsidR="009567F5">
              <w:rPr>
                <w:webHidden/>
              </w:rPr>
            </w:r>
            <w:r w:rsidR="009567F5">
              <w:rPr>
                <w:webHidden/>
              </w:rPr>
              <w:fldChar w:fldCharType="separate"/>
            </w:r>
            <w:r w:rsidR="00E91088">
              <w:rPr>
                <w:webHidden/>
              </w:rPr>
              <w:t>168</w:t>
            </w:r>
            <w:r w:rsidR="009567F5">
              <w:rPr>
                <w:webHidden/>
              </w:rPr>
              <w:fldChar w:fldCharType="end"/>
            </w:r>
          </w:hyperlink>
        </w:p>
        <w:p w14:paraId="10E8FA09" w14:textId="0401423E" w:rsidR="009567F5" w:rsidRDefault="00000000">
          <w:pPr>
            <w:pStyle w:val="Verzeichnis2"/>
            <w:rPr>
              <w:rFonts w:asciiTheme="minorHAnsi" w:eastAsiaTheme="minorEastAsia" w:hAnsiTheme="minorHAnsi"/>
              <w:noProof/>
              <w:kern w:val="2"/>
              <w:szCs w:val="24"/>
              <w:lang w:eastAsia="de-DE"/>
              <w14:ligatures w14:val="standardContextual"/>
            </w:rPr>
          </w:pPr>
          <w:hyperlink w:anchor="_Toc180963622" w:history="1">
            <w:r w:rsidR="009567F5" w:rsidRPr="00D533C8">
              <w:rPr>
                <w:rStyle w:val="Hyperlink"/>
                <w:noProof/>
                <w:lang w:val="en-US"/>
              </w:rPr>
              <w:t>Abstract</w:t>
            </w:r>
            <w:r w:rsidR="009567F5">
              <w:rPr>
                <w:noProof/>
                <w:webHidden/>
              </w:rPr>
              <w:tab/>
            </w:r>
            <w:r w:rsidR="009567F5">
              <w:rPr>
                <w:noProof/>
                <w:webHidden/>
              </w:rPr>
              <w:fldChar w:fldCharType="begin"/>
            </w:r>
            <w:r w:rsidR="009567F5">
              <w:rPr>
                <w:noProof/>
                <w:webHidden/>
              </w:rPr>
              <w:instrText xml:space="preserve"> PAGEREF _Toc180963622 \h </w:instrText>
            </w:r>
            <w:r w:rsidR="009567F5">
              <w:rPr>
                <w:noProof/>
                <w:webHidden/>
              </w:rPr>
            </w:r>
            <w:r w:rsidR="009567F5">
              <w:rPr>
                <w:noProof/>
                <w:webHidden/>
              </w:rPr>
              <w:fldChar w:fldCharType="separate"/>
            </w:r>
            <w:r w:rsidR="00E91088">
              <w:rPr>
                <w:noProof/>
                <w:webHidden/>
              </w:rPr>
              <w:t>170</w:t>
            </w:r>
            <w:r w:rsidR="009567F5">
              <w:rPr>
                <w:noProof/>
                <w:webHidden/>
              </w:rPr>
              <w:fldChar w:fldCharType="end"/>
            </w:r>
          </w:hyperlink>
        </w:p>
        <w:p w14:paraId="54CCDB99" w14:textId="06218D6D" w:rsidR="009567F5" w:rsidRDefault="00000000">
          <w:pPr>
            <w:pStyle w:val="Verzeichnis2"/>
            <w:rPr>
              <w:rFonts w:asciiTheme="minorHAnsi" w:eastAsiaTheme="minorEastAsia" w:hAnsiTheme="minorHAnsi"/>
              <w:noProof/>
              <w:kern w:val="2"/>
              <w:szCs w:val="24"/>
              <w:lang w:eastAsia="de-DE"/>
              <w14:ligatures w14:val="standardContextual"/>
            </w:rPr>
          </w:pPr>
          <w:hyperlink w:anchor="_Toc180963623" w:history="1">
            <w:r w:rsidR="009567F5" w:rsidRPr="00D533C8">
              <w:rPr>
                <w:rStyle w:val="Hyperlink"/>
                <w:noProof/>
                <w:lang w:val="en-US"/>
              </w:rPr>
              <w:t>Introduction</w:t>
            </w:r>
            <w:r w:rsidR="009567F5">
              <w:rPr>
                <w:noProof/>
                <w:webHidden/>
              </w:rPr>
              <w:tab/>
            </w:r>
            <w:r w:rsidR="009567F5">
              <w:rPr>
                <w:noProof/>
                <w:webHidden/>
              </w:rPr>
              <w:fldChar w:fldCharType="begin"/>
            </w:r>
            <w:r w:rsidR="009567F5">
              <w:rPr>
                <w:noProof/>
                <w:webHidden/>
              </w:rPr>
              <w:instrText xml:space="preserve"> PAGEREF _Toc180963623 \h </w:instrText>
            </w:r>
            <w:r w:rsidR="009567F5">
              <w:rPr>
                <w:noProof/>
                <w:webHidden/>
              </w:rPr>
            </w:r>
            <w:r w:rsidR="009567F5">
              <w:rPr>
                <w:noProof/>
                <w:webHidden/>
              </w:rPr>
              <w:fldChar w:fldCharType="separate"/>
            </w:r>
            <w:r w:rsidR="00E91088">
              <w:rPr>
                <w:noProof/>
                <w:webHidden/>
              </w:rPr>
              <w:t>171</w:t>
            </w:r>
            <w:r w:rsidR="009567F5">
              <w:rPr>
                <w:noProof/>
                <w:webHidden/>
              </w:rPr>
              <w:fldChar w:fldCharType="end"/>
            </w:r>
          </w:hyperlink>
        </w:p>
        <w:p w14:paraId="52115C7D" w14:textId="0CFAFDB9" w:rsidR="009567F5" w:rsidRDefault="00000000">
          <w:pPr>
            <w:pStyle w:val="Verzeichnis2"/>
            <w:rPr>
              <w:rFonts w:asciiTheme="minorHAnsi" w:eastAsiaTheme="minorEastAsia" w:hAnsiTheme="minorHAnsi"/>
              <w:noProof/>
              <w:kern w:val="2"/>
              <w:szCs w:val="24"/>
              <w:lang w:eastAsia="de-DE"/>
              <w14:ligatures w14:val="standardContextual"/>
            </w:rPr>
          </w:pPr>
          <w:hyperlink w:anchor="_Toc180963624" w:history="1">
            <w:r w:rsidR="009567F5" w:rsidRPr="00D533C8">
              <w:rPr>
                <w:rStyle w:val="Hyperlink"/>
                <w:noProof/>
                <w:lang w:val="en-US"/>
              </w:rPr>
              <w:t>Hypotheses Development</w:t>
            </w:r>
            <w:r w:rsidR="009567F5">
              <w:rPr>
                <w:noProof/>
                <w:webHidden/>
              </w:rPr>
              <w:tab/>
            </w:r>
            <w:r w:rsidR="009567F5">
              <w:rPr>
                <w:noProof/>
                <w:webHidden/>
              </w:rPr>
              <w:fldChar w:fldCharType="begin"/>
            </w:r>
            <w:r w:rsidR="009567F5">
              <w:rPr>
                <w:noProof/>
                <w:webHidden/>
              </w:rPr>
              <w:instrText xml:space="preserve"> PAGEREF _Toc180963624 \h </w:instrText>
            </w:r>
            <w:r w:rsidR="009567F5">
              <w:rPr>
                <w:noProof/>
                <w:webHidden/>
              </w:rPr>
            </w:r>
            <w:r w:rsidR="009567F5">
              <w:rPr>
                <w:noProof/>
                <w:webHidden/>
              </w:rPr>
              <w:fldChar w:fldCharType="separate"/>
            </w:r>
            <w:r w:rsidR="00E91088">
              <w:rPr>
                <w:noProof/>
                <w:webHidden/>
              </w:rPr>
              <w:t>176</w:t>
            </w:r>
            <w:r w:rsidR="009567F5">
              <w:rPr>
                <w:noProof/>
                <w:webHidden/>
              </w:rPr>
              <w:fldChar w:fldCharType="end"/>
            </w:r>
          </w:hyperlink>
        </w:p>
        <w:p w14:paraId="7F16146D" w14:textId="3B69F8B8" w:rsidR="009567F5" w:rsidRDefault="00000000">
          <w:pPr>
            <w:pStyle w:val="Verzeichnis2"/>
            <w:rPr>
              <w:rFonts w:asciiTheme="minorHAnsi" w:eastAsiaTheme="minorEastAsia" w:hAnsiTheme="minorHAnsi"/>
              <w:noProof/>
              <w:kern w:val="2"/>
              <w:szCs w:val="24"/>
              <w:lang w:eastAsia="de-DE"/>
              <w14:ligatures w14:val="standardContextual"/>
            </w:rPr>
          </w:pPr>
          <w:hyperlink w:anchor="_Toc180963625" w:history="1">
            <w:r w:rsidR="009567F5" w:rsidRPr="00D533C8">
              <w:rPr>
                <w:rStyle w:val="Hyperlink"/>
                <w:noProof/>
                <w:lang w:val="en-US"/>
              </w:rPr>
              <w:t>Method</w:t>
            </w:r>
            <w:r w:rsidR="009567F5">
              <w:rPr>
                <w:noProof/>
                <w:webHidden/>
              </w:rPr>
              <w:tab/>
            </w:r>
            <w:r w:rsidR="009567F5">
              <w:rPr>
                <w:noProof/>
                <w:webHidden/>
              </w:rPr>
              <w:fldChar w:fldCharType="begin"/>
            </w:r>
            <w:r w:rsidR="009567F5">
              <w:rPr>
                <w:noProof/>
                <w:webHidden/>
              </w:rPr>
              <w:instrText xml:space="preserve"> PAGEREF _Toc180963625 \h </w:instrText>
            </w:r>
            <w:r w:rsidR="009567F5">
              <w:rPr>
                <w:noProof/>
                <w:webHidden/>
              </w:rPr>
            </w:r>
            <w:r w:rsidR="009567F5">
              <w:rPr>
                <w:noProof/>
                <w:webHidden/>
              </w:rPr>
              <w:fldChar w:fldCharType="separate"/>
            </w:r>
            <w:r w:rsidR="00E91088">
              <w:rPr>
                <w:noProof/>
                <w:webHidden/>
              </w:rPr>
              <w:t>186</w:t>
            </w:r>
            <w:r w:rsidR="009567F5">
              <w:rPr>
                <w:noProof/>
                <w:webHidden/>
              </w:rPr>
              <w:fldChar w:fldCharType="end"/>
            </w:r>
          </w:hyperlink>
        </w:p>
        <w:p w14:paraId="0D1AA4D1" w14:textId="61D3EEA2" w:rsidR="009567F5" w:rsidRDefault="00000000">
          <w:pPr>
            <w:pStyle w:val="Verzeichnis2"/>
            <w:rPr>
              <w:rFonts w:asciiTheme="minorHAnsi" w:eastAsiaTheme="minorEastAsia" w:hAnsiTheme="minorHAnsi"/>
              <w:noProof/>
              <w:kern w:val="2"/>
              <w:szCs w:val="24"/>
              <w:lang w:eastAsia="de-DE"/>
              <w14:ligatures w14:val="standardContextual"/>
            </w:rPr>
          </w:pPr>
          <w:hyperlink w:anchor="_Toc180963626" w:history="1">
            <w:r w:rsidR="009567F5" w:rsidRPr="00D533C8">
              <w:rPr>
                <w:rStyle w:val="Hyperlink"/>
                <w:noProof/>
                <w:lang w:val="en-US"/>
              </w:rPr>
              <w:t>Empirical Results</w:t>
            </w:r>
            <w:r w:rsidR="009567F5">
              <w:rPr>
                <w:noProof/>
                <w:webHidden/>
              </w:rPr>
              <w:tab/>
            </w:r>
            <w:r w:rsidR="009567F5">
              <w:rPr>
                <w:noProof/>
                <w:webHidden/>
              </w:rPr>
              <w:fldChar w:fldCharType="begin"/>
            </w:r>
            <w:r w:rsidR="009567F5">
              <w:rPr>
                <w:noProof/>
                <w:webHidden/>
              </w:rPr>
              <w:instrText xml:space="preserve"> PAGEREF _Toc180963626 \h </w:instrText>
            </w:r>
            <w:r w:rsidR="009567F5">
              <w:rPr>
                <w:noProof/>
                <w:webHidden/>
              </w:rPr>
            </w:r>
            <w:r w:rsidR="009567F5">
              <w:rPr>
                <w:noProof/>
                <w:webHidden/>
              </w:rPr>
              <w:fldChar w:fldCharType="separate"/>
            </w:r>
            <w:r w:rsidR="00E91088">
              <w:rPr>
                <w:noProof/>
                <w:webHidden/>
              </w:rPr>
              <w:t>194</w:t>
            </w:r>
            <w:r w:rsidR="009567F5">
              <w:rPr>
                <w:noProof/>
                <w:webHidden/>
              </w:rPr>
              <w:fldChar w:fldCharType="end"/>
            </w:r>
          </w:hyperlink>
        </w:p>
        <w:p w14:paraId="5231AC48" w14:textId="56F222C2" w:rsidR="009567F5" w:rsidRDefault="00000000">
          <w:pPr>
            <w:pStyle w:val="Verzeichnis2"/>
            <w:rPr>
              <w:rFonts w:asciiTheme="minorHAnsi" w:eastAsiaTheme="minorEastAsia" w:hAnsiTheme="minorHAnsi"/>
              <w:noProof/>
              <w:kern w:val="2"/>
              <w:szCs w:val="24"/>
              <w:lang w:eastAsia="de-DE"/>
              <w14:ligatures w14:val="standardContextual"/>
            </w:rPr>
          </w:pPr>
          <w:hyperlink w:anchor="_Toc180963627" w:history="1">
            <w:r w:rsidR="009567F5" w:rsidRPr="00D533C8">
              <w:rPr>
                <w:rStyle w:val="Hyperlink"/>
                <w:noProof/>
                <w:lang w:val="en-US"/>
              </w:rPr>
              <w:t>Robustness Checks</w:t>
            </w:r>
            <w:r w:rsidR="009567F5">
              <w:rPr>
                <w:noProof/>
                <w:webHidden/>
              </w:rPr>
              <w:tab/>
            </w:r>
            <w:r w:rsidR="009567F5">
              <w:rPr>
                <w:noProof/>
                <w:webHidden/>
              </w:rPr>
              <w:fldChar w:fldCharType="begin"/>
            </w:r>
            <w:r w:rsidR="009567F5">
              <w:rPr>
                <w:noProof/>
                <w:webHidden/>
              </w:rPr>
              <w:instrText xml:space="preserve"> PAGEREF _Toc180963627 \h </w:instrText>
            </w:r>
            <w:r w:rsidR="009567F5">
              <w:rPr>
                <w:noProof/>
                <w:webHidden/>
              </w:rPr>
            </w:r>
            <w:r w:rsidR="009567F5">
              <w:rPr>
                <w:noProof/>
                <w:webHidden/>
              </w:rPr>
              <w:fldChar w:fldCharType="separate"/>
            </w:r>
            <w:r w:rsidR="00E91088">
              <w:rPr>
                <w:noProof/>
                <w:webHidden/>
              </w:rPr>
              <w:t>199</w:t>
            </w:r>
            <w:r w:rsidR="009567F5">
              <w:rPr>
                <w:noProof/>
                <w:webHidden/>
              </w:rPr>
              <w:fldChar w:fldCharType="end"/>
            </w:r>
          </w:hyperlink>
        </w:p>
        <w:p w14:paraId="56AB3580" w14:textId="1A27855B" w:rsidR="009567F5" w:rsidRDefault="00000000">
          <w:pPr>
            <w:pStyle w:val="Verzeichnis2"/>
            <w:rPr>
              <w:rFonts w:asciiTheme="minorHAnsi" w:eastAsiaTheme="minorEastAsia" w:hAnsiTheme="minorHAnsi"/>
              <w:noProof/>
              <w:kern w:val="2"/>
              <w:szCs w:val="24"/>
              <w:lang w:eastAsia="de-DE"/>
              <w14:ligatures w14:val="standardContextual"/>
            </w:rPr>
          </w:pPr>
          <w:hyperlink w:anchor="_Toc180963628" w:history="1">
            <w:r w:rsidR="009567F5" w:rsidRPr="00D533C8">
              <w:rPr>
                <w:rStyle w:val="Hyperlink"/>
                <w:noProof/>
                <w:lang w:val="en-US"/>
              </w:rPr>
              <w:t>Conclusion</w:t>
            </w:r>
            <w:r w:rsidR="009567F5">
              <w:rPr>
                <w:noProof/>
                <w:webHidden/>
              </w:rPr>
              <w:tab/>
            </w:r>
            <w:r w:rsidR="009567F5">
              <w:rPr>
                <w:noProof/>
                <w:webHidden/>
              </w:rPr>
              <w:fldChar w:fldCharType="begin"/>
            </w:r>
            <w:r w:rsidR="009567F5">
              <w:rPr>
                <w:noProof/>
                <w:webHidden/>
              </w:rPr>
              <w:instrText xml:space="preserve"> PAGEREF _Toc180963628 \h </w:instrText>
            </w:r>
            <w:r w:rsidR="009567F5">
              <w:rPr>
                <w:noProof/>
                <w:webHidden/>
              </w:rPr>
            </w:r>
            <w:r w:rsidR="009567F5">
              <w:rPr>
                <w:noProof/>
                <w:webHidden/>
              </w:rPr>
              <w:fldChar w:fldCharType="separate"/>
            </w:r>
            <w:r w:rsidR="00E91088">
              <w:rPr>
                <w:noProof/>
                <w:webHidden/>
              </w:rPr>
              <w:t>202</w:t>
            </w:r>
            <w:r w:rsidR="009567F5">
              <w:rPr>
                <w:noProof/>
                <w:webHidden/>
              </w:rPr>
              <w:fldChar w:fldCharType="end"/>
            </w:r>
          </w:hyperlink>
        </w:p>
        <w:p w14:paraId="01304632" w14:textId="4F4CF1D1" w:rsidR="009567F5" w:rsidRDefault="00000000">
          <w:pPr>
            <w:pStyle w:val="Verzeichnis2"/>
            <w:rPr>
              <w:rFonts w:asciiTheme="minorHAnsi" w:eastAsiaTheme="minorEastAsia" w:hAnsiTheme="minorHAnsi"/>
              <w:noProof/>
              <w:kern w:val="2"/>
              <w:szCs w:val="24"/>
              <w:lang w:eastAsia="de-DE"/>
              <w14:ligatures w14:val="standardContextual"/>
            </w:rPr>
          </w:pPr>
          <w:hyperlink w:anchor="_Toc180963629" w:history="1">
            <w:r w:rsidR="009567F5" w:rsidRPr="00D533C8">
              <w:rPr>
                <w:rStyle w:val="Hyperlink"/>
                <w:noProof/>
                <w:lang w:val="en-US"/>
              </w:rPr>
              <w:t>References</w:t>
            </w:r>
            <w:r w:rsidR="009567F5">
              <w:rPr>
                <w:noProof/>
                <w:webHidden/>
              </w:rPr>
              <w:tab/>
            </w:r>
            <w:r w:rsidR="009567F5">
              <w:rPr>
                <w:noProof/>
                <w:webHidden/>
              </w:rPr>
              <w:fldChar w:fldCharType="begin"/>
            </w:r>
            <w:r w:rsidR="009567F5">
              <w:rPr>
                <w:noProof/>
                <w:webHidden/>
              </w:rPr>
              <w:instrText xml:space="preserve"> PAGEREF _Toc180963629 \h </w:instrText>
            </w:r>
            <w:r w:rsidR="009567F5">
              <w:rPr>
                <w:noProof/>
                <w:webHidden/>
              </w:rPr>
            </w:r>
            <w:r w:rsidR="009567F5">
              <w:rPr>
                <w:noProof/>
                <w:webHidden/>
              </w:rPr>
              <w:fldChar w:fldCharType="separate"/>
            </w:r>
            <w:r w:rsidR="00E91088">
              <w:rPr>
                <w:noProof/>
                <w:webHidden/>
              </w:rPr>
              <w:t>207</w:t>
            </w:r>
            <w:r w:rsidR="009567F5">
              <w:rPr>
                <w:noProof/>
                <w:webHidden/>
              </w:rPr>
              <w:fldChar w:fldCharType="end"/>
            </w:r>
          </w:hyperlink>
        </w:p>
        <w:p w14:paraId="3401A5B6" w14:textId="6BF06637" w:rsidR="009567F5" w:rsidRDefault="00000000">
          <w:pPr>
            <w:pStyle w:val="Verzeichnis2"/>
            <w:rPr>
              <w:rFonts w:asciiTheme="minorHAnsi" w:eastAsiaTheme="minorEastAsia" w:hAnsiTheme="minorHAnsi"/>
              <w:noProof/>
              <w:kern w:val="2"/>
              <w:szCs w:val="24"/>
              <w:lang w:eastAsia="de-DE"/>
              <w14:ligatures w14:val="standardContextual"/>
            </w:rPr>
          </w:pPr>
          <w:hyperlink w:anchor="_Toc180963630" w:history="1">
            <w:r w:rsidR="009567F5" w:rsidRPr="00D533C8">
              <w:rPr>
                <w:rStyle w:val="Hyperlink"/>
                <w:noProof/>
                <w:lang w:val="en-US"/>
              </w:rPr>
              <w:t>Appendix</w:t>
            </w:r>
            <w:r w:rsidR="009567F5">
              <w:rPr>
                <w:noProof/>
                <w:webHidden/>
              </w:rPr>
              <w:tab/>
            </w:r>
            <w:r w:rsidR="009567F5">
              <w:rPr>
                <w:noProof/>
                <w:webHidden/>
              </w:rPr>
              <w:fldChar w:fldCharType="begin"/>
            </w:r>
            <w:r w:rsidR="009567F5">
              <w:rPr>
                <w:noProof/>
                <w:webHidden/>
              </w:rPr>
              <w:instrText xml:space="preserve"> PAGEREF _Toc180963630 \h </w:instrText>
            </w:r>
            <w:r w:rsidR="009567F5">
              <w:rPr>
                <w:noProof/>
                <w:webHidden/>
              </w:rPr>
            </w:r>
            <w:r w:rsidR="009567F5">
              <w:rPr>
                <w:noProof/>
                <w:webHidden/>
              </w:rPr>
              <w:fldChar w:fldCharType="separate"/>
            </w:r>
            <w:r w:rsidR="00E91088">
              <w:rPr>
                <w:noProof/>
                <w:webHidden/>
              </w:rPr>
              <w:t>223</w:t>
            </w:r>
            <w:r w:rsidR="009567F5">
              <w:rPr>
                <w:noProof/>
                <w:webHidden/>
              </w:rPr>
              <w:fldChar w:fldCharType="end"/>
            </w:r>
          </w:hyperlink>
        </w:p>
        <w:p w14:paraId="3E3EFDC7" w14:textId="6972EDD8" w:rsidR="009567F5" w:rsidRDefault="00000000">
          <w:pPr>
            <w:pStyle w:val="Verzeichnis1"/>
            <w:rPr>
              <w:rFonts w:asciiTheme="minorHAnsi" w:eastAsiaTheme="minorEastAsia" w:hAnsiTheme="minorHAnsi"/>
              <w:kern w:val="2"/>
              <w:szCs w:val="24"/>
              <w:lang w:val="de-DE" w:eastAsia="de-DE"/>
              <w14:ligatures w14:val="standardContextual"/>
            </w:rPr>
          </w:pPr>
          <w:hyperlink w:anchor="_Toc180963631" w:history="1">
            <w:r w:rsidR="009567F5" w:rsidRPr="00D533C8">
              <w:rPr>
                <w:rStyle w:val="Hyperlink"/>
              </w:rPr>
              <w:t>CONCLUSION</w:t>
            </w:r>
            <w:r w:rsidR="009567F5">
              <w:rPr>
                <w:webHidden/>
              </w:rPr>
              <w:tab/>
            </w:r>
            <w:r w:rsidR="009567F5">
              <w:rPr>
                <w:webHidden/>
              </w:rPr>
              <w:fldChar w:fldCharType="begin"/>
            </w:r>
            <w:r w:rsidR="009567F5">
              <w:rPr>
                <w:webHidden/>
              </w:rPr>
              <w:instrText xml:space="preserve"> PAGEREF _Toc180963631 \h </w:instrText>
            </w:r>
            <w:r w:rsidR="009567F5">
              <w:rPr>
                <w:webHidden/>
              </w:rPr>
            </w:r>
            <w:r w:rsidR="009567F5">
              <w:rPr>
                <w:webHidden/>
              </w:rPr>
              <w:fldChar w:fldCharType="separate"/>
            </w:r>
            <w:r w:rsidR="00E91088">
              <w:rPr>
                <w:webHidden/>
              </w:rPr>
              <w:t>297</w:t>
            </w:r>
            <w:r w:rsidR="009567F5">
              <w:rPr>
                <w:webHidden/>
              </w:rPr>
              <w:fldChar w:fldCharType="end"/>
            </w:r>
          </w:hyperlink>
        </w:p>
        <w:p w14:paraId="119A854A" w14:textId="294472BE" w:rsidR="009567F5" w:rsidRDefault="00000000">
          <w:pPr>
            <w:pStyle w:val="Verzeichnis1"/>
            <w:rPr>
              <w:rFonts w:asciiTheme="minorHAnsi" w:eastAsiaTheme="minorEastAsia" w:hAnsiTheme="minorHAnsi"/>
              <w:kern w:val="2"/>
              <w:szCs w:val="24"/>
              <w:lang w:val="de-DE" w:eastAsia="de-DE"/>
              <w14:ligatures w14:val="standardContextual"/>
            </w:rPr>
          </w:pPr>
          <w:hyperlink w:anchor="_Toc180963632" w:history="1">
            <w:r w:rsidR="009567F5" w:rsidRPr="00D533C8">
              <w:rPr>
                <w:rStyle w:val="Hyperlink"/>
              </w:rPr>
              <w:t>REFERENCES</w:t>
            </w:r>
            <w:r w:rsidR="009567F5">
              <w:rPr>
                <w:webHidden/>
              </w:rPr>
              <w:tab/>
            </w:r>
            <w:r w:rsidR="009567F5">
              <w:rPr>
                <w:webHidden/>
              </w:rPr>
              <w:fldChar w:fldCharType="begin"/>
            </w:r>
            <w:r w:rsidR="009567F5">
              <w:rPr>
                <w:webHidden/>
              </w:rPr>
              <w:instrText xml:space="preserve"> PAGEREF _Toc180963632 \h </w:instrText>
            </w:r>
            <w:r w:rsidR="009567F5">
              <w:rPr>
                <w:webHidden/>
              </w:rPr>
            </w:r>
            <w:r w:rsidR="009567F5">
              <w:rPr>
                <w:webHidden/>
              </w:rPr>
              <w:fldChar w:fldCharType="separate"/>
            </w:r>
            <w:r w:rsidR="00E91088">
              <w:rPr>
                <w:webHidden/>
              </w:rPr>
              <w:t>313</w:t>
            </w:r>
            <w:r w:rsidR="009567F5">
              <w:rPr>
                <w:webHidden/>
              </w:rPr>
              <w:fldChar w:fldCharType="end"/>
            </w:r>
          </w:hyperlink>
        </w:p>
        <w:p w14:paraId="6FF81656" w14:textId="12EBF985" w:rsidR="009567F5" w:rsidRDefault="00000000">
          <w:pPr>
            <w:pStyle w:val="Verzeichnis1"/>
            <w:rPr>
              <w:rFonts w:asciiTheme="minorHAnsi" w:eastAsiaTheme="minorEastAsia" w:hAnsiTheme="minorHAnsi"/>
              <w:kern w:val="2"/>
              <w:szCs w:val="24"/>
              <w:lang w:val="de-DE" w:eastAsia="de-DE"/>
              <w14:ligatures w14:val="standardContextual"/>
            </w:rPr>
          </w:pPr>
          <w:hyperlink w:anchor="_Toc180963633" w:history="1">
            <w:r w:rsidR="009567F5" w:rsidRPr="00D533C8">
              <w:rPr>
                <w:rStyle w:val="Hyperlink"/>
              </w:rPr>
              <w:t>AFFIDAVIT</w:t>
            </w:r>
            <w:r w:rsidR="009567F5">
              <w:rPr>
                <w:webHidden/>
              </w:rPr>
              <w:tab/>
            </w:r>
            <w:r w:rsidR="009567F5">
              <w:rPr>
                <w:webHidden/>
              </w:rPr>
              <w:fldChar w:fldCharType="begin"/>
            </w:r>
            <w:r w:rsidR="009567F5">
              <w:rPr>
                <w:webHidden/>
              </w:rPr>
              <w:instrText xml:space="preserve"> PAGEREF _Toc180963633 \h </w:instrText>
            </w:r>
            <w:r w:rsidR="009567F5">
              <w:rPr>
                <w:webHidden/>
              </w:rPr>
            </w:r>
            <w:r w:rsidR="009567F5">
              <w:rPr>
                <w:webHidden/>
              </w:rPr>
              <w:fldChar w:fldCharType="separate"/>
            </w:r>
            <w:r w:rsidR="00E91088">
              <w:rPr>
                <w:webHidden/>
              </w:rPr>
              <w:t>314</w:t>
            </w:r>
            <w:r w:rsidR="009567F5">
              <w:rPr>
                <w:webHidden/>
              </w:rPr>
              <w:fldChar w:fldCharType="end"/>
            </w:r>
          </w:hyperlink>
        </w:p>
        <w:p w14:paraId="2860506D" w14:textId="1B7DD2C3" w:rsidR="0085320F" w:rsidRDefault="00D03577" w:rsidP="004B07AD">
          <w:pPr>
            <w:pStyle w:val="Verzeichnis1"/>
            <w:sectPr w:rsidR="0085320F" w:rsidSect="00794C6C">
              <w:footerReference w:type="default" r:id="rId12"/>
              <w:footerReference w:type="first" r:id="rId13"/>
              <w:endnotePr>
                <w:numFmt w:val="decimal"/>
              </w:endnotePr>
              <w:pgSz w:w="11906" w:h="16838"/>
              <w:pgMar w:top="1417" w:right="1417" w:bottom="1134" w:left="1417" w:header="708" w:footer="567" w:gutter="0"/>
              <w:pgNumType w:fmt="upperRoman" w:start="1"/>
              <w:cols w:space="708"/>
              <w:titlePg/>
              <w:docGrid w:linePitch="360"/>
            </w:sectPr>
          </w:pPr>
          <w:r>
            <w:fldChar w:fldCharType="end"/>
          </w:r>
        </w:p>
      </w:sdtContent>
    </w:sdt>
    <w:p w14:paraId="5BD337F7" w14:textId="70CC54CE" w:rsidR="00EE402D" w:rsidRDefault="00EE402D" w:rsidP="006663F2">
      <w:pPr>
        <w:pStyle w:val="EinfacherZeilenabstand"/>
        <w:ind w:firstLine="708"/>
        <w:jc w:val="center"/>
        <w:rPr>
          <w:b/>
          <w:lang w:eastAsia="de-DE"/>
        </w:rPr>
      </w:pPr>
      <w:r>
        <w:rPr>
          <w:b/>
          <w:lang w:eastAsia="de-DE"/>
        </w:rPr>
        <w:lastRenderedPageBreak/>
        <w:t>LIST</w:t>
      </w:r>
      <w:r w:rsidRPr="007B7E3F">
        <w:rPr>
          <w:b/>
          <w:lang w:eastAsia="de-DE"/>
        </w:rPr>
        <w:t xml:space="preserve"> OF </w:t>
      </w:r>
      <w:r>
        <w:rPr>
          <w:b/>
          <w:lang w:eastAsia="de-DE"/>
        </w:rPr>
        <w:t>TABLES</w:t>
      </w:r>
    </w:p>
    <w:p w14:paraId="10FB2BA6" w14:textId="77777777" w:rsidR="007F2F08" w:rsidRPr="007F2F08" w:rsidRDefault="00000000" w:rsidP="004B07AD">
      <w:pPr>
        <w:pStyle w:val="Verzeichnis1"/>
      </w:pPr>
      <w:hyperlink w:anchor="_Toc178709525" w:history="1">
        <w:r w:rsidR="00DA7AFE" w:rsidRPr="007F2F08">
          <w:rPr>
            <w:rStyle w:val="Hyperlink"/>
            <w:color w:val="auto"/>
            <w:u w:val="none"/>
          </w:rPr>
          <w:t>I.</w:t>
        </w:r>
        <w:r w:rsidR="00DA7AFE" w:rsidRPr="007F2F08">
          <w:rPr>
            <w:rFonts w:asciiTheme="minorHAnsi" w:eastAsiaTheme="minorEastAsia" w:hAnsiTheme="minorHAnsi"/>
            <w:kern w:val="2"/>
            <w:szCs w:val="24"/>
            <w:lang w:eastAsia="de-DE"/>
            <w14:ligatures w14:val="standardContextual"/>
          </w:rPr>
          <w:tab/>
        </w:r>
        <w:r w:rsidR="00ED6296" w:rsidRPr="007F2F08">
          <w:rPr>
            <w:rStyle w:val="Hyperlink"/>
            <w:color w:val="auto"/>
            <w:u w:val="none"/>
          </w:rPr>
          <w:t>BOARD INTERLOCKS AND FIRM PERFORMANCE: A META-ANALYSIS</w:t>
        </w:r>
        <w:r w:rsidR="00ED6296" w:rsidRPr="007F2F08">
          <w:rPr>
            <w:rStyle w:val="Hyperlink"/>
            <w:color w:val="auto"/>
            <w:u w:val="none"/>
          </w:rPr>
          <w:tab/>
        </w:r>
      </w:hyperlink>
      <w:r w:rsidR="003A640A" w:rsidRPr="007F2F08">
        <w:rPr>
          <w:lang w:eastAsia="de-DE"/>
        </w:rPr>
        <w:fldChar w:fldCharType="begin"/>
      </w:r>
      <w:r w:rsidR="003A640A" w:rsidRPr="007F2F08">
        <w:rPr>
          <w:lang w:eastAsia="de-DE"/>
        </w:rPr>
        <w:instrText xml:space="preserve"> TOC \h \z \c "T - I -" </w:instrText>
      </w:r>
      <w:r w:rsidR="003A640A" w:rsidRPr="007F2F08">
        <w:rPr>
          <w:lang w:eastAsia="de-DE"/>
        </w:rPr>
        <w:fldChar w:fldCharType="separate"/>
      </w:r>
    </w:p>
    <w:p w14:paraId="0EC62DEA" w14:textId="35B437BF" w:rsidR="007F2F08" w:rsidRPr="007F2F08" w:rsidRDefault="007F2F08">
      <w:pPr>
        <w:pStyle w:val="Abbildungsverzeichnis"/>
        <w:rPr>
          <w:rFonts w:asciiTheme="minorHAnsi" w:eastAsiaTheme="minorEastAsia" w:hAnsiTheme="minorHAnsi" w:cstheme="minorBidi"/>
          <w:kern w:val="2"/>
          <w:lang w:eastAsia="de-DE"/>
          <w14:ligatures w14:val="standardContextual"/>
        </w:rPr>
      </w:pPr>
      <w:r w:rsidRPr="00AA4CC6">
        <w:rPr>
          <w:rStyle w:val="Hyperlink"/>
          <w:color w:val="auto"/>
          <w:u w:val="none"/>
          <w:lang w:val="en-US"/>
        </w:rPr>
        <w:tab/>
      </w:r>
      <w:hyperlink w:anchor="_Toc180964651" w:history="1">
        <w:r w:rsidRPr="007F2F08">
          <w:rPr>
            <w:rStyle w:val="Hyperlink"/>
            <w:color w:val="auto"/>
            <w:u w:val="none"/>
          </w:rPr>
          <w:t>T - I - 1: Description of variables</w:t>
        </w:r>
        <w:r w:rsidRPr="007F2F08">
          <w:rPr>
            <w:webHidden/>
          </w:rPr>
          <w:tab/>
        </w:r>
        <w:r w:rsidRPr="007F2F08">
          <w:rPr>
            <w:webHidden/>
          </w:rPr>
          <w:fldChar w:fldCharType="begin"/>
        </w:r>
        <w:r w:rsidRPr="007F2F08">
          <w:rPr>
            <w:webHidden/>
          </w:rPr>
          <w:instrText xml:space="preserve"> PAGEREF _Toc180964651 \h </w:instrText>
        </w:r>
        <w:r w:rsidRPr="007F2F08">
          <w:rPr>
            <w:webHidden/>
          </w:rPr>
        </w:r>
        <w:r w:rsidRPr="007F2F08">
          <w:rPr>
            <w:webHidden/>
          </w:rPr>
          <w:fldChar w:fldCharType="separate"/>
        </w:r>
        <w:r w:rsidR="00E91088">
          <w:rPr>
            <w:webHidden/>
          </w:rPr>
          <w:t>66</w:t>
        </w:r>
        <w:r w:rsidRPr="007F2F08">
          <w:rPr>
            <w:webHidden/>
          </w:rPr>
          <w:fldChar w:fldCharType="end"/>
        </w:r>
      </w:hyperlink>
    </w:p>
    <w:p w14:paraId="63DC1CBB" w14:textId="5FC6B74B" w:rsidR="007F2F08" w:rsidRPr="007F2F08" w:rsidRDefault="007F2F08">
      <w:pPr>
        <w:pStyle w:val="Abbildungsverzeichnis"/>
        <w:rPr>
          <w:rFonts w:asciiTheme="minorHAnsi" w:eastAsiaTheme="minorEastAsia" w:hAnsiTheme="minorHAnsi" w:cstheme="minorBidi"/>
          <w:kern w:val="2"/>
          <w:lang w:eastAsia="de-DE"/>
          <w14:ligatures w14:val="standardContextual"/>
        </w:rPr>
      </w:pPr>
      <w:r w:rsidRPr="007F2F08">
        <w:rPr>
          <w:rStyle w:val="Hyperlink"/>
          <w:color w:val="auto"/>
          <w:u w:val="none"/>
        </w:rPr>
        <w:tab/>
      </w:r>
      <w:hyperlink w:anchor="_Toc180964652" w:history="1">
        <w:r w:rsidRPr="007F2F08">
          <w:rPr>
            <w:rStyle w:val="Hyperlink"/>
            <w:color w:val="auto"/>
            <w:u w:val="none"/>
          </w:rPr>
          <w:t>T - I - 2: Meta-analytic results</w:t>
        </w:r>
        <w:r w:rsidRPr="007F2F08">
          <w:rPr>
            <w:webHidden/>
          </w:rPr>
          <w:tab/>
        </w:r>
        <w:r w:rsidRPr="007F2F08">
          <w:rPr>
            <w:webHidden/>
          </w:rPr>
          <w:fldChar w:fldCharType="begin"/>
        </w:r>
        <w:r w:rsidRPr="007F2F08">
          <w:rPr>
            <w:webHidden/>
          </w:rPr>
          <w:instrText xml:space="preserve"> PAGEREF _Toc180964652 \h </w:instrText>
        </w:r>
        <w:r w:rsidRPr="007F2F08">
          <w:rPr>
            <w:webHidden/>
          </w:rPr>
        </w:r>
        <w:r w:rsidRPr="007F2F08">
          <w:rPr>
            <w:webHidden/>
          </w:rPr>
          <w:fldChar w:fldCharType="separate"/>
        </w:r>
        <w:r w:rsidR="00E91088">
          <w:rPr>
            <w:webHidden/>
          </w:rPr>
          <w:t>67</w:t>
        </w:r>
        <w:r w:rsidRPr="007F2F08">
          <w:rPr>
            <w:webHidden/>
          </w:rPr>
          <w:fldChar w:fldCharType="end"/>
        </w:r>
      </w:hyperlink>
    </w:p>
    <w:p w14:paraId="0E473104" w14:textId="7B99B6C7" w:rsidR="007F2F08" w:rsidRPr="007F2F08" w:rsidRDefault="007F2F08">
      <w:pPr>
        <w:pStyle w:val="Abbildungsverzeichnis"/>
        <w:rPr>
          <w:rFonts w:asciiTheme="minorHAnsi" w:eastAsiaTheme="minorEastAsia" w:hAnsiTheme="minorHAnsi" w:cstheme="minorBidi"/>
          <w:kern w:val="2"/>
          <w:lang w:eastAsia="de-DE"/>
          <w14:ligatures w14:val="standardContextual"/>
        </w:rPr>
      </w:pPr>
      <w:r w:rsidRPr="007F2F08">
        <w:rPr>
          <w:rStyle w:val="Hyperlink"/>
          <w:color w:val="auto"/>
          <w:u w:val="none"/>
        </w:rPr>
        <w:tab/>
      </w:r>
      <w:hyperlink w:anchor="_Toc180964653" w:history="1">
        <w:r w:rsidRPr="007F2F08">
          <w:rPr>
            <w:rStyle w:val="Hyperlink"/>
            <w:color w:val="auto"/>
            <w:u w:val="none"/>
          </w:rPr>
          <w:t>T - I - 3: Pooled meta-analytic correlation matrix</w:t>
        </w:r>
        <w:r w:rsidRPr="007F2F08">
          <w:rPr>
            <w:webHidden/>
          </w:rPr>
          <w:tab/>
        </w:r>
        <w:r w:rsidRPr="007F2F08">
          <w:rPr>
            <w:webHidden/>
          </w:rPr>
          <w:fldChar w:fldCharType="begin"/>
        </w:r>
        <w:r w:rsidRPr="007F2F08">
          <w:rPr>
            <w:webHidden/>
          </w:rPr>
          <w:instrText xml:space="preserve"> PAGEREF _Toc180964653 \h </w:instrText>
        </w:r>
        <w:r w:rsidRPr="007F2F08">
          <w:rPr>
            <w:webHidden/>
          </w:rPr>
        </w:r>
        <w:r w:rsidRPr="007F2F08">
          <w:rPr>
            <w:webHidden/>
          </w:rPr>
          <w:fldChar w:fldCharType="separate"/>
        </w:r>
        <w:r w:rsidR="00E91088">
          <w:rPr>
            <w:webHidden/>
          </w:rPr>
          <w:t>68</w:t>
        </w:r>
        <w:r w:rsidRPr="007F2F08">
          <w:rPr>
            <w:webHidden/>
          </w:rPr>
          <w:fldChar w:fldCharType="end"/>
        </w:r>
      </w:hyperlink>
    </w:p>
    <w:p w14:paraId="5C301C53" w14:textId="225BB2C1" w:rsidR="007F2F08" w:rsidRPr="007F2F08" w:rsidRDefault="007F2F08">
      <w:pPr>
        <w:pStyle w:val="Abbildungsverzeichnis"/>
        <w:rPr>
          <w:rFonts w:asciiTheme="minorHAnsi" w:eastAsiaTheme="minorEastAsia" w:hAnsiTheme="minorHAnsi" w:cstheme="minorBidi"/>
          <w:kern w:val="2"/>
          <w:lang w:eastAsia="de-DE"/>
          <w14:ligatures w14:val="standardContextual"/>
        </w:rPr>
      </w:pPr>
      <w:r w:rsidRPr="007F2F08">
        <w:rPr>
          <w:rStyle w:val="Hyperlink"/>
          <w:color w:val="auto"/>
          <w:u w:val="none"/>
        </w:rPr>
        <w:tab/>
      </w:r>
      <w:hyperlink w:anchor="_Toc180964654" w:history="1">
        <w:r w:rsidRPr="007F2F08">
          <w:rPr>
            <w:rStyle w:val="Hyperlink"/>
            <w:color w:val="auto"/>
            <w:u w:val="none"/>
          </w:rPr>
          <w:t>T - I - 4: OSMASEM results</w:t>
        </w:r>
        <w:r w:rsidRPr="007F2F08">
          <w:rPr>
            <w:webHidden/>
          </w:rPr>
          <w:tab/>
        </w:r>
        <w:r w:rsidRPr="007F2F08">
          <w:rPr>
            <w:webHidden/>
          </w:rPr>
          <w:fldChar w:fldCharType="begin"/>
        </w:r>
        <w:r w:rsidRPr="007F2F08">
          <w:rPr>
            <w:webHidden/>
          </w:rPr>
          <w:instrText xml:space="preserve"> PAGEREF _Toc180964654 \h </w:instrText>
        </w:r>
        <w:r w:rsidRPr="007F2F08">
          <w:rPr>
            <w:webHidden/>
          </w:rPr>
        </w:r>
        <w:r w:rsidRPr="007F2F08">
          <w:rPr>
            <w:webHidden/>
          </w:rPr>
          <w:fldChar w:fldCharType="separate"/>
        </w:r>
        <w:r w:rsidR="00E91088">
          <w:rPr>
            <w:webHidden/>
          </w:rPr>
          <w:t>69</w:t>
        </w:r>
        <w:r w:rsidRPr="007F2F08">
          <w:rPr>
            <w:webHidden/>
          </w:rPr>
          <w:fldChar w:fldCharType="end"/>
        </w:r>
      </w:hyperlink>
    </w:p>
    <w:p w14:paraId="3CBB8CFF" w14:textId="21EE8FE6" w:rsidR="007F2F08" w:rsidRPr="007F2F08" w:rsidRDefault="007F2F08">
      <w:pPr>
        <w:pStyle w:val="Abbildungsverzeichnis"/>
        <w:rPr>
          <w:rFonts w:asciiTheme="minorHAnsi" w:eastAsiaTheme="minorEastAsia" w:hAnsiTheme="minorHAnsi" w:cstheme="minorBidi"/>
          <w:kern w:val="2"/>
          <w:lang w:eastAsia="de-DE"/>
          <w14:ligatures w14:val="standardContextual"/>
        </w:rPr>
      </w:pPr>
      <w:r w:rsidRPr="007F2F08">
        <w:rPr>
          <w:rStyle w:val="Hyperlink"/>
          <w:color w:val="auto"/>
          <w:u w:val="none"/>
        </w:rPr>
        <w:tab/>
      </w:r>
      <w:hyperlink w:anchor="_Toc180964655" w:history="1">
        <w:r w:rsidRPr="007F2F08">
          <w:rPr>
            <w:rStyle w:val="Hyperlink"/>
            <w:color w:val="auto"/>
            <w:u w:val="none"/>
          </w:rPr>
          <w:t>T - I - 5: Board power relations and institutional environment MASEM results</w:t>
        </w:r>
        <w:r w:rsidRPr="007F2F08">
          <w:rPr>
            <w:webHidden/>
          </w:rPr>
          <w:tab/>
        </w:r>
        <w:r w:rsidRPr="007F2F08">
          <w:rPr>
            <w:webHidden/>
          </w:rPr>
          <w:fldChar w:fldCharType="begin"/>
        </w:r>
        <w:r w:rsidRPr="007F2F08">
          <w:rPr>
            <w:webHidden/>
          </w:rPr>
          <w:instrText xml:space="preserve"> PAGEREF _Toc180964655 \h </w:instrText>
        </w:r>
        <w:r w:rsidRPr="007F2F08">
          <w:rPr>
            <w:webHidden/>
          </w:rPr>
        </w:r>
        <w:r w:rsidRPr="007F2F08">
          <w:rPr>
            <w:webHidden/>
          </w:rPr>
          <w:fldChar w:fldCharType="separate"/>
        </w:r>
        <w:r w:rsidR="00E91088">
          <w:rPr>
            <w:webHidden/>
          </w:rPr>
          <w:t>70</w:t>
        </w:r>
        <w:r w:rsidRPr="007F2F08">
          <w:rPr>
            <w:webHidden/>
          </w:rPr>
          <w:fldChar w:fldCharType="end"/>
        </w:r>
      </w:hyperlink>
    </w:p>
    <w:p w14:paraId="021CDB3F" w14:textId="74311F82" w:rsidR="007F2F08" w:rsidRPr="007F2F08" w:rsidRDefault="007F2F08">
      <w:pPr>
        <w:pStyle w:val="Abbildungsverzeichnis"/>
        <w:rPr>
          <w:rFonts w:asciiTheme="minorHAnsi" w:eastAsiaTheme="minorEastAsia" w:hAnsiTheme="minorHAnsi" w:cstheme="minorBidi"/>
          <w:kern w:val="2"/>
          <w:lang w:eastAsia="de-DE"/>
          <w14:ligatures w14:val="standardContextual"/>
        </w:rPr>
      </w:pPr>
      <w:r w:rsidRPr="007F2F08">
        <w:rPr>
          <w:rStyle w:val="Hyperlink"/>
          <w:color w:val="auto"/>
          <w:u w:val="none"/>
        </w:rPr>
        <w:tab/>
      </w:r>
      <w:hyperlink w:anchor="_Toc180964656" w:history="1">
        <w:r w:rsidRPr="007F2F08">
          <w:rPr>
            <w:rStyle w:val="Hyperlink"/>
            <w:color w:val="auto"/>
            <w:u w:val="none"/>
          </w:rPr>
          <w:t>T - I - 6: Post-hoc multilevel-M</w:t>
        </w:r>
        <w:r w:rsidRPr="007F2F08">
          <w:rPr>
            <w:rStyle w:val="Hyperlink"/>
            <w:color w:val="auto"/>
            <w:u w:val="none"/>
          </w:rPr>
          <w:t>A</w:t>
        </w:r>
        <w:r w:rsidRPr="007F2F08">
          <w:rPr>
            <w:rStyle w:val="Hyperlink"/>
            <w:color w:val="auto"/>
            <w:u w:val="none"/>
          </w:rPr>
          <w:t>RA results (I)</w:t>
        </w:r>
        <w:r w:rsidRPr="007F2F08">
          <w:rPr>
            <w:webHidden/>
          </w:rPr>
          <w:tab/>
        </w:r>
        <w:r w:rsidRPr="007F2F08">
          <w:rPr>
            <w:webHidden/>
          </w:rPr>
          <w:fldChar w:fldCharType="begin"/>
        </w:r>
        <w:r w:rsidRPr="007F2F08">
          <w:rPr>
            <w:webHidden/>
          </w:rPr>
          <w:instrText xml:space="preserve"> PAGEREF _Toc180964656 \h </w:instrText>
        </w:r>
        <w:r w:rsidRPr="007F2F08">
          <w:rPr>
            <w:webHidden/>
          </w:rPr>
        </w:r>
        <w:r w:rsidRPr="007F2F08">
          <w:rPr>
            <w:webHidden/>
          </w:rPr>
          <w:fldChar w:fldCharType="separate"/>
        </w:r>
        <w:r w:rsidR="00E91088">
          <w:rPr>
            <w:webHidden/>
          </w:rPr>
          <w:t>71</w:t>
        </w:r>
        <w:r w:rsidRPr="007F2F08">
          <w:rPr>
            <w:webHidden/>
          </w:rPr>
          <w:fldChar w:fldCharType="end"/>
        </w:r>
      </w:hyperlink>
    </w:p>
    <w:p w14:paraId="2813B3BD" w14:textId="68DF656D" w:rsidR="007F2F08" w:rsidRPr="007F2F08" w:rsidRDefault="007F2F08">
      <w:pPr>
        <w:pStyle w:val="Abbildungsverzeichnis"/>
        <w:rPr>
          <w:rFonts w:asciiTheme="minorHAnsi" w:eastAsiaTheme="minorEastAsia" w:hAnsiTheme="minorHAnsi" w:cstheme="minorBidi"/>
          <w:kern w:val="2"/>
          <w:lang w:eastAsia="de-DE"/>
          <w14:ligatures w14:val="standardContextual"/>
        </w:rPr>
      </w:pPr>
      <w:r w:rsidRPr="007F2F08">
        <w:rPr>
          <w:rStyle w:val="Hyperlink"/>
          <w:color w:val="auto"/>
          <w:u w:val="none"/>
        </w:rPr>
        <w:tab/>
      </w:r>
      <w:hyperlink w:anchor="_Toc180964657" w:history="1">
        <w:r w:rsidRPr="007F2F08">
          <w:rPr>
            <w:rStyle w:val="Hyperlink"/>
            <w:color w:val="auto"/>
            <w:u w:val="none"/>
          </w:rPr>
          <w:t>T - I - 7: Post-hoc multilevel-MARA results (II)</w:t>
        </w:r>
        <w:r w:rsidRPr="007F2F08">
          <w:rPr>
            <w:webHidden/>
          </w:rPr>
          <w:tab/>
        </w:r>
        <w:r w:rsidRPr="007F2F08">
          <w:rPr>
            <w:webHidden/>
          </w:rPr>
          <w:fldChar w:fldCharType="begin"/>
        </w:r>
        <w:r w:rsidRPr="007F2F08">
          <w:rPr>
            <w:webHidden/>
          </w:rPr>
          <w:instrText xml:space="preserve"> PAGEREF _Toc180964657 \h </w:instrText>
        </w:r>
        <w:r w:rsidRPr="007F2F08">
          <w:rPr>
            <w:webHidden/>
          </w:rPr>
        </w:r>
        <w:r w:rsidRPr="007F2F08">
          <w:rPr>
            <w:webHidden/>
          </w:rPr>
          <w:fldChar w:fldCharType="separate"/>
        </w:r>
        <w:r w:rsidR="00E91088">
          <w:rPr>
            <w:webHidden/>
          </w:rPr>
          <w:t>72</w:t>
        </w:r>
        <w:r w:rsidRPr="007F2F08">
          <w:rPr>
            <w:webHidden/>
          </w:rPr>
          <w:fldChar w:fldCharType="end"/>
        </w:r>
      </w:hyperlink>
    </w:p>
    <w:p w14:paraId="16E327D1" w14:textId="6C1E7E09" w:rsidR="007F2F08" w:rsidRPr="007F2F08" w:rsidRDefault="007F2F08">
      <w:pPr>
        <w:pStyle w:val="Abbildungsverzeichnis"/>
        <w:rPr>
          <w:rFonts w:asciiTheme="minorHAnsi" w:eastAsiaTheme="minorEastAsia" w:hAnsiTheme="minorHAnsi" w:cstheme="minorBidi"/>
          <w:kern w:val="2"/>
          <w:lang w:eastAsia="de-DE"/>
          <w14:ligatures w14:val="standardContextual"/>
        </w:rPr>
      </w:pPr>
      <w:r w:rsidRPr="007F2F08">
        <w:rPr>
          <w:rStyle w:val="Hyperlink"/>
          <w:color w:val="auto"/>
          <w:u w:val="none"/>
        </w:rPr>
        <w:tab/>
      </w:r>
      <w:hyperlink w:anchor="_Toc180964658" w:history="1">
        <w:r w:rsidRPr="007F2F08">
          <w:rPr>
            <w:rStyle w:val="Hyperlink"/>
            <w:color w:val="auto"/>
            <w:u w:val="none"/>
          </w:rPr>
          <w:t>T - I - 8: Studies included in the meta-analysis</w:t>
        </w:r>
        <w:r w:rsidRPr="007F2F08">
          <w:rPr>
            <w:webHidden/>
          </w:rPr>
          <w:tab/>
        </w:r>
        <w:r w:rsidRPr="007F2F08">
          <w:rPr>
            <w:webHidden/>
          </w:rPr>
          <w:fldChar w:fldCharType="begin"/>
        </w:r>
        <w:r w:rsidRPr="007F2F08">
          <w:rPr>
            <w:webHidden/>
          </w:rPr>
          <w:instrText xml:space="preserve"> PAGEREF _Toc180964658 \h </w:instrText>
        </w:r>
        <w:r w:rsidRPr="007F2F08">
          <w:rPr>
            <w:webHidden/>
          </w:rPr>
        </w:r>
        <w:r w:rsidRPr="007F2F08">
          <w:rPr>
            <w:webHidden/>
          </w:rPr>
          <w:fldChar w:fldCharType="separate"/>
        </w:r>
        <w:r w:rsidR="00E91088">
          <w:rPr>
            <w:webHidden/>
          </w:rPr>
          <w:t>75</w:t>
        </w:r>
        <w:r w:rsidRPr="007F2F08">
          <w:rPr>
            <w:webHidden/>
          </w:rPr>
          <w:fldChar w:fldCharType="end"/>
        </w:r>
      </w:hyperlink>
    </w:p>
    <w:p w14:paraId="237B325A" w14:textId="766BBA31" w:rsidR="007F2F08" w:rsidRPr="007F2F08" w:rsidRDefault="007F2F08">
      <w:pPr>
        <w:pStyle w:val="Abbildungsverzeichnis"/>
        <w:rPr>
          <w:rFonts w:asciiTheme="minorHAnsi" w:eastAsiaTheme="minorEastAsia" w:hAnsiTheme="minorHAnsi" w:cstheme="minorBidi"/>
          <w:kern w:val="2"/>
          <w:lang w:eastAsia="de-DE"/>
          <w14:ligatures w14:val="standardContextual"/>
        </w:rPr>
      </w:pPr>
      <w:r w:rsidRPr="007F2F08">
        <w:rPr>
          <w:rStyle w:val="Hyperlink"/>
          <w:color w:val="auto"/>
          <w:u w:val="none"/>
        </w:rPr>
        <w:tab/>
      </w:r>
      <w:hyperlink w:anchor="_Toc180964659" w:history="1">
        <w:r w:rsidRPr="007F2F08">
          <w:rPr>
            <w:rStyle w:val="Hyperlink"/>
            <w:color w:val="auto"/>
            <w:u w:val="none"/>
          </w:rPr>
          <w:t>T - I - 9: TSSEM - pooled correlation matrix</w:t>
        </w:r>
        <w:r w:rsidRPr="007F2F08">
          <w:rPr>
            <w:webHidden/>
          </w:rPr>
          <w:tab/>
        </w:r>
        <w:r w:rsidRPr="007F2F08">
          <w:rPr>
            <w:webHidden/>
          </w:rPr>
          <w:fldChar w:fldCharType="begin"/>
        </w:r>
        <w:r w:rsidRPr="007F2F08">
          <w:rPr>
            <w:webHidden/>
          </w:rPr>
          <w:instrText xml:space="preserve"> PAGEREF _Toc180964659 \h </w:instrText>
        </w:r>
        <w:r w:rsidRPr="007F2F08">
          <w:rPr>
            <w:webHidden/>
          </w:rPr>
        </w:r>
        <w:r w:rsidRPr="007F2F08">
          <w:rPr>
            <w:webHidden/>
          </w:rPr>
          <w:fldChar w:fldCharType="separate"/>
        </w:r>
        <w:r w:rsidR="00E91088">
          <w:rPr>
            <w:webHidden/>
          </w:rPr>
          <w:t>91</w:t>
        </w:r>
        <w:r w:rsidRPr="007F2F08">
          <w:rPr>
            <w:webHidden/>
          </w:rPr>
          <w:fldChar w:fldCharType="end"/>
        </w:r>
      </w:hyperlink>
    </w:p>
    <w:p w14:paraId="48476DBA" w14:textId="3CB3395A" w:rsidR="007F2F08" w:rsidRPr="007F2F08" w:rsidRDefault="007F2F08">
      <w:pPr>
        <w:pStyle w:val="Abbildungsverzeichnis"/>
        <w:rPr>
          <w:rFonts w:asciiTheme="minorHAnsi" w:eastAsiaTheme="minorEastAsia" w:hAnsiTheme="minorHAnsi" w:cstheme="minorBidi"/>
          <w:kern w:val="2"/>
          <w:lang w:eastAsia="de-DE"/>
          <w14:ligatures w14:val="standardContextual"/>
        </w:rPr>
      </w:pPr>
      <w:r w:rsidRPr="007F2F08">
        <w:rPr>
          <w:rStyle w:val="Hyperlink"/>
          <w:color w:val="auto"/>
          <w:u w:val="none"/>
        </w:rPr>
        <w:tab/>
      </w:r>
      <w:hyperlink w:anchor="_Toc180964660" w:history="1">
        <w:r w:rsidRPr="007F2F08">
          <w:rPr>
            <w:rStyle w:val="Hyperlink"/>
            <w:color w:val="auto"/>
            <w:u w:val="none"/>
          </w:rPr>
          <w:t>T - I - 10: TSSEM results</w:t>
        </w:r>
        <w:r w:rsidRPr="007F2F08">
          <w:rPr>
            <w:webHidden/>
          </w:rPr>
          <w:tab/>
        </w:r>
        <w:r w:rsidRPr="007F2F08">
          <w:rPr>
            <w:webHidden/>
          </w:rPr>
          <w:fldChar w:fldCharType="begin"/>
        </w:r>
        <w:r w:rsidRPr="007F2F08">
          <w:rPr>
            <w:webHidden/>
          </w:rPr>
          <w:instrText xml:space="preserve"> PAGEREF _Toc180964660 \h </w:instrText>
        </w:r>
        <w:r w:rsidRPr="007F2F08">
          <w:rPr>
            <w:webHidden/>
          </w:rPr>
        </w:r>
        <w:r w:rsidRPr="007F2F08">
          <w:rPr>
            <w:webHidden/>
          </w:rPr>
          <w:fldChar w:fldCharType="separate"/>
        </w:r>
        <w:r w:rsidR="00E91088">
          <w:rPr>
            <w:webHidden/>
          </w:rPr>
          <w:t>92</w:t>
        </w:r>
        <w:r w:rsidRPr="007F2F08">
          <w:rPr>
            <w:webHidden/>
          </w:rPr>
          <w:fldChar w:fldCharType="end"/>
        </w:r>
      </w:hyperlink>
    </w:p>
    <w:p w14:paraId="2FAEA5E5" w14:textId="395241D8" w:rsidR="00963B2F" w:rsidRPr="00BE5632" w:rsidRDefault="003A640A" w:rsidP="002E403D">
      <w:pPr>
        <w:pStyle w:val="Abbildungsverzeichnis"/>
        <w:ind w:left="0" w:firstLine="0"/>
        <w:rPr>
          <w:lang w:val="en-US"/>
        </w:rPr>
      </w:pPr>
      <w:r w:rsidRPr="007F2F08">
        <w:rPr>
          <w:lang w:eastAsia="de-DE"/>
        </w:rPr>
        <w:fldChar w:fldCharType="end"/>
      </w:r>
      <w:r w:rsidR="00ED6296" w:rsidRPr="00ED6296">
        <w:rPr>
          <w:lang w:val="en-US"/>
        </w:rPr>
        <w:t>II.     RESOURCE APPROPRIATION IN STRATEGIC ALLIANCES:  THE IMPACT OF BOARD INTERLOCKS ON DIFFERENTIAL BENEFITS</w:t>
      </w:r>
      <w:r w:rsidR="00ED6296" w:rsidRPr="00ED6296">
        <w:rPr>
          <w:lang w:val="en-US"/>
        </w:rPr>
        <w:tab/>
      </w:r>
      <w:r w:rsidR="00322A66" w:rsidRPr="001A1FB2">
        <w:rPr>
          <w:rFonts w:cstheme="minorBidi"/>
          <w:szCs w:val="22"/>
          <w:lang w:val="en-US" w:eastAsia="de-DE"/>
        </w:rPr>
        <w:fldChar w:fldCharType="begin"/>
      </w:r>
      <w:r w:rsidR="00322A66" w:rsidRPr="002E403D">
        <w:rPr>
          <w:lang w:val="en-US" w:eastAsia="de-DE"/>
        </w:rPr>
        <w:instrText xml:space="preserve"> TOC \h \z \c "T - II -" </w:instrText>
      </w:r>
      <w:r w:rsidR="00322A66" w:rsidRPr="001A1FB2">
        <w:rPr>
          <w:rFonts w:cstheme="minorBidi"/>
          <w:szCs w:val="22"/>
          <w:lang w:val="en-US" w:eastAsia="de-DE"/>
        </w:rPr>
        <w:fldChar w:fldCharType="separate"/>
      </w:r>
    </w:p>
    <w:p w14:paraId="5A1F1C7B" w14:textId="5EA4E888"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BE5632">
        <w:rPr>
          <w:rStyle w:val="Hyperlink"/>
          <w:color w:val="auto"/>
          <w:u w:val="none"/>
          <w:lang w:val="en-US"/>
        </w:rPr>
        <w:tab/>
      </w:r>
      <w:hyperlink w:anchor="_Toc180594813" w:history="1">
        <w:r w:rsidRPr="00963B2F">
          <w:rPr>
            <w:rStyle w:val="Hyperlink"/>
            <w:color w:val="auto"/>
            <w:u w:val="none"/>
          </w:rPr>
          <w:t>T - II - 1: Daily abnormal returns to alliance announcements</w:t>
        </w:r>
        <w:r w:rsidRPr="00963B2F">
          <w:rPr>
            <w:webHidden/>
          </w:rPr>
          <w:tab/>
        </w:r>
        <w:r w:rsidRPr="00963B2F">
          <w:rPr>
            <w:webHidden/>
          </w:rPr>
          <w:fldChar w:fldCharType="begin"/>
        </w:r>
        <w:r w:rsidRPr="00963B2F">
          <w:rPr>
            <w:webHidden/>
          </w:rPr>
          <w:instrText xml:space="preserve"> PAGEREF _Toc180594813 \h </w:instrText>
        </w:r>
        <w:r w:rsidRPr="00963B2F">
          <w:rPr>
            <w:webHidden/>
          </w:rPr>
        </w:r>
        <w:r w:rsidRPr="00963B2F">
          <w:rPr>
            <w:webHidden/>
          </w:rPr>
          <w:fldChar w:fldCharType="separate"/>
        </w:r>
        <w:r w:rsidR="00E91088">
          <w:rPr>
            <w:webHidden/>
          </w:rPr>
          <w:t>137</w:t>
        </w:r>
        <w:r w:rsidRPr="00963B2F">
          <w:rPr>
            <w:webHidden/>
          </w:rPr>
          <w:fldChar w:fldCharType="end"/>
        </w:r>
      </w:hyperlink>
    </w:p>
    <w:p w14:paraId="76946FCD" w14:textId="10220638"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14" w:history="1">
        <w:r w:rsidRPr="00963B2F">
          <w:rPr>
            <w:rStyle w:val="Hyperlink"/>
            <w:color w:val="auto"/>
            <w:u w:val="none"/>
          </w:rPr>
          <w:t>T - II - 2: Frequency table of alliance announcements by year</w:t>
        </w:r>
        <w:r w:rsidRPr="00963B2F">
          <w:rPr>
            <w:webHidden/>
          </w:rPr>
          <w:tab/>
        </w:r>
        <w:r w:rsidRPr="00963B2F">
          <w:rPr>
            <w:webHidden/>
          </w:rPr>
          <w:fldChar w:fldCharType="begin"/>
        </w:r>
        <w:r w:rsidRPr="00963B2F">
          <w:rPr>
            <w:webHidden/>
          </w:rPr>
          <w:instrText xml:space="preserve"> PAGEREF _Toc180594814 \h </w:instrText>
        </w:r>
        <w:r w:rsidRPr="00963B2F">
          <w:rPr>
            <w:webHidden/>
          </w:rPr>
        </w:r>
        <w:r w:rsidRPr="00963B2F">
          <w:rPr>
            <w:webHidden/>
          </w:rPr>
          <w:fldChar w:fldCharType="separate"/>
        </w:r>
        <w:r w:rsidR="00E91088">
          <w:rPr>
            <w:webHidden/>
          </w:rPr>
          <w:t>138</w:t>
        </w:r>
        <w:r w:rsidRPr="00963B2F">
          <w:rPr>
            <w:webHidden/>
          </w:rPr>
          <w:fldChar w:fldCharType="end"/>
        </w:r>
      </w:hyperlink>
    </w:p>
    <w:p w14:paraId="3791F280" w14:textId="585E4433"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15" w:history="1">
        <w:r w:rsidRPr="00963B2F">
          <w:rPr>
            <w:rStyle w:val="Hyperlink"/>
            <w:color w:val="auto"/>
            <w:u w:val="none"/>
          </w:rPr>
          <w:t>T - II - 3: Descriptive statistics</w:t>
        </w:r>
        <w:r w:rsidRPr="00963B2F">
          <w:rPr>
            <w:webHidden/>
          </w:rPr>
          <w:tab/>
        </w:r>
        <w:r w:rsidRPr="00963B2F">
          <w:rPr>
            <w:webHidden/>
          </w:rPr>
          <w:fldChar w:fldCharType="begin"/>
        </w:r>
        <w:r w:rsidRPr="00963B2F">
          <w:rPr>
            <w:webHidden/>
          </w:rPr>
          <w:instrText xml:space="preserve"> PAGEREF _Toc180594815 \h </w:instrText>
        </w:r>
        <w:r w:rsidRPr="00963B2F">
          <w:rPr>
            <w:webHidden/>
          </w:rPr>
        </w:r>
        <w:r w:rsidRPr="00963B2F">
          <w:rPr>
            <w:webHidden/>
          </w:rPr>
          <w:fldChar w:fldCharType="separate"/>
        </w:r>
        <w:r w:rsidR="00E91088">
          <w:rPr>
            <w:webHidden/>
          </w:rPr>
          <w:t>139</w:t>
        </w:r>
        <w:r w:rsidRPr="00963B2F">
          <w:rPr>
            <w:webHidden/>
          </w:rPr>
          <w:fldChar w:fldCharType="end"/>
        </w:r>
      </w:hyperlink>
    </w:p>
    <w:p w14:paraId="7510E90C" w14:textId="32F0CC64"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16" w:history="1">
        <w:r w:rsidRPr="00963B2F">
          <w:rPr>
            <w:rStyle w:val="Hyperlink"/>
            <w:color w:val="auto"/>
            <w:u w:val="none"/>
          </w:rPr>
          <w:t xml:space="preserve">T - II - 4: Correlation </w:t>
        </w:r>
        <w:r w:rsidRPr="00963B2F">
          <w:rPr>
            <w:rStyle w:val="Hyperlink"/>
            <w:color w:val="auto"/>
            <w:u w:val="none"/>
          </w:rPr>
          <w:t>m</w:t>
        </w:r>
        <w:r w:rsidRPr="00963B2F">
          <w:rPr>
            <w:rStyle w:val="Hyperlink"/>
            <w:color w:val="auto"/>
            <w:u w:val="none"/>
          </w:rPr>
          <w:t>atrix</w:t>
        </w:r>
        <w:r w:rsidRPr="00963B2F">
          <w:rPr>
            <w:webHidden/>
          </w:rPr>
          <w:tab/>
        </w:r>
        <w:r w:rsidRPr="00963B2F">
          <w:rPr>
            <w:webHidden/>
          </w:rPr>
          <w:fldChar w:fldCharType="begin"/>
        </w:r>
        <w:r w:rsidRPr="00963B2F">
          <w:rPr>
            <w:webHidden/>
          </w:rPr>
          <w:instrText xml:space="preserve"> PAGEREF _Toc180594816 \h </w:instrText>
        </w:r>
        <w:r w:rsidRPr="00963B2F">
          <w:rPr>
            <w:webHidden/>
          </w:rPr>
        </w:r>
        <w:r w:rsidRPr="00963B2F">
          <w:rPr>
            <w:webHidden/>
          </w:rPr>
          <w:fldChar w:fldCharType="separate"/>
        </w:r>
        <w:r w:rsidR="00E91088">
          <w:rPr>
            <w:webHidden/>
          </w:rPr>
          <w:t>140</w:t>
        </w:r>
        <w:r w:rsidRPr="00963B2F">
          <w:rPr>
            <w:webHidden/>
          </w:rPr>
          <w:fldChar w:fldCharType="end"/>
        </w:r>
      </w:hyperlink>
    </w:p>
    <w:p w14:paraId="24C95551" w14:textId="0C9DCFF5"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17" w:history="1">
        <w:r w:rsidRPr="00963B2F">
          <w:rPr>
            <w:rStyle w:val="Hyperlink"/>
            <w:color w:val="auto"/>
            <w:u w:val="none"/>
          </w:rPr>
          <w:t>T - II - 5: Regression analysis of direct effects</w:t>
        </w:r>
        <w:r w:rsidRPr="00963B2F">
          <w:rPr>
            <w:webHidden/>
          </w:rPr>
          <w:tab/>
        </w:r>
        <w:r w:rsidRPr="00963B2F">
          <w:rPr>
            <w:webHidden/>
          </w:rPr>
          <w:fldChar w:fldCharType="begin"/>
        </w:r>
        <w:r w:rsidRPr="00963B2F">
          <w:rPr>
            <w:webHidden/>
          </w:rPr>
          <w:instrText xml:space="preserve"> PAGEREF _Toc180594817 \h </w:instrText>
        </w:r>
        <w:r w:rsidRPr="00963B2F">
          <w:rPr>
            <w:webHidden/>
          </w:rPr>
        </w:r>
        <w:r w:rsidRPr="00963B2F">
          <w:rPr>
            <w:webHidden/>
          </w:rPr>
          <w:fldChar w:fldCharType="separate"/>
        </w:r>
        <w:r w:rsidR="00E91088">
          <w:rPr>
            <w:webHidden/>
          </w:rPr>
          <w:t>142</w:t>
        </w:r>
        <w:r w:rsidRPr="00963B2F">
          <w:rPr>
            <w:webHidden/>
          </w:rPr>
          <w:fldChar w:fldCharType="end"/>
        </w:r>
      </w:hyperlink>
    </w:p>
    <w:p w14:paraId="5ADAC3E4" w14:textId="2B41981A"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18" w:history="1">
        <w:r w:rsidRPr="00963B2F">
          <w:rPr>
            <w:rStyle w:val="Hyperlink"/>
            <w:color w:val="auto"/>
            <w:u w:val="none"/>
          </w:rPr>
          <w:t>T - II - 6: Regression analysis of moderating effects</w:t>
        </w:r>
        <w:r w:rsidRPr="00963B2F">
          <w:rPr>
            <w:webHidden/>
          </w:rPr>
          <w:tab/>
        </w:r>
        <w:r w:rsidRPr="00963B2F">
          <w:rPr>
            <w:webHidden/>
          </w:rPr>
          <w:fldChar w:fldCharType="begin"/>
        </w:r>
        <w:r w:rsidRPr="00963B2F">
          <w:rPr>
            <w:webHidden/>
          </w:rPr>
          <w:instrText xml:space="preserve"> PAGEREF _Toc180594818 \h </w:instrText>
        </w:r>
        <w:r w:rsidRPr="00963B2F">
          <w:rPr>
            <w:webHidden/>
          </w:rPr>
        </w:r>
        <w:r w:rsidRPr="00963B2F">
          <w:rPr>
            <w:webHidden/>
          </w:rPr>
          <w:fldChar w:fldCharType="separate"/>
        </w:r>
        <w:r w:rsidR="00E91088">
          <w:rPr>
            <w:webHidden/>
          </w:rPr>
          <w:t>144</w:t>
        </w:r>
        <w:r w:rsidRPr="00963B2F">
          <w:rPr>
            <w:webHidden/>
          </w:rPr>
          <w:fldChar w:fldCharType="end"/>
        </w:r>
      </w:hyperlink>
    </w:p>
    <w:p w14:paraId="1599D5E7" w14:textId="33D8AFE3"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19" w:history="1">
        <w:r w:rsidRPr="00963B2F">
          <w:rPr>
            <w:rStyle w:val="Hyperlink"/>
            <w:color w:val="auto"/>
            <w:u w:val="none"/>
          </w:rPr>
          <w:t>T - II - 7: Regression analysis of direct effects using different event windows</w:t>
        </w:r>
        <w:r w:rsidRPr="00963B2F">
          <w:rPr>
            <w:webHidden/>
          </w:rPr>
          <w:tab/>
        </w:r>
        <w:r w:rsidRPr="00963B2F">
          <w:rPr>
            <w:webHidden/>
          </w:rPr>
          <w:fldChar w:fldCharType="begin"/>
        </w:r>
        <w:r w:rsidRPr="00963B2F">
          <w:rPr>
            <w:webHidden/>
          </w:rPr>
          <w:instrText xml:space="preserve"> PAGEREF _Toc180594819 \h </w:instrText>
        </w:r>
        <w:r w:rsidRPr="00963B2F">
          <w:rPr>
            <w:webHidden/>
          </w:rPr>
        </w:r>
        <w:r w:rsidRPr="00963B2F">
          <w:rPr>
            <w:webHidden/>
          </w:rPr>
          <w:fldChar w:fldCharType="separate"/>
        </w:r>
        <w:r w:rsidR="00E91088">
          <w:rPr>
            <w:webHidden/>
          </w:rPr>
          <w:t>150</w:t>
        </w:r>
        <w:r w:rsidRPr="00963B2F">
          <w:rPr>
            <w:webHidden/>
          </w:rPr>
          <w:fldChar w:fldCharType="end"/>
        </w:r>
      </w:hyperlink>
    </w:p>
    <w:p w14:paraId="49AFAAC0" w14:textId="2FF7488B"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20" w:history="1">
        <w:r w:rsidRPr="00963B2F">
          <w:rPr>
            <w:rStyle w:val="Hyperlink"/>
            <w:color w:val="auto"/>
            <w:u w:val="none"/>
          </w:rPr>
          <w:t>T - II - 8: Regression analysis of moderating effects using different event window [-5;5]</w:t>
        </w:r>
        <w:r w:rsidRPr="00963B2F">
          <w:rPr>
            <w:webHidden/>
          </w:rPr>
          <w:tab/>
        </w:r>
        <w:r w:rsidRPr="00963B2F">
          <w:rPr>
            <w:webHidden/>
          </w:rPr>
          <w:fldChar w:fldCharType="begin"/>
        </w:r>
        <w:r w:rsidRPr="00963B2F">
          <w:rPr>
            <w:webHidden/>
          </w:rPr>
          <w:instrText xml:space="preserve"> PAGEREF _Toc180594820 \h </w:instrText>
        </w:r>
        <w:r w:rsidRPr="00963B2F">
          <w:rPr>
            <w:webHidden/>
          </w:rPr>
        </w:r>
        <w:r w:rsidRPr="00963B2F">
          <w:rPr>
            <w:webHidden/>
          </w:rPr>
          <w:fldChar w:fldCharType="separate"/>
        </w:r>
        <w:r w:rsidR="00E91088">
          <w:rPr>
            <w:webHidden/>
          </w:rPr>
          <w:t>152</w:t>
        </w:r>
        <w:r w:rsidRPr="00963B2F">
          <w:rPr>
            <w:webHidden/>
          </w:rPr>
          <w:fldChar w:fldCharType="end"/>
        </w:r>
      </w:hyperlink>
    </w:p>
    <w:p w14:paraId="73366B8D" w14:textId="65460C43"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21" w:history="1">
        <w:r w:rsidRPr="00963B2F">
          <w:rPr>
            <w:rStyle w:val="Hyperlink"/>
            <w:color w:val="auto"/>
            <w:u w:val="none"/>
          </w:rPr>
          <w:t>T - II - 9: Regression analysis of direct effect using absolute difference in abnormal returns</w:t>
        </w:r>
        <w:r w:rsidRPr="00963B2F">
          <w:rPr>
            <w:webHidden/>
          </w:rPr>
          <w:tab/>
        </w:r>
        <w:r w:rsidRPr="00963B2F">
          <w:rPr>
            <w:webHidden/>
          </w:rPr>
          <w:fldChar w:fldCharType="begin"/>
        </w:r>
        <w:r w:rsidRPr="00963B2F">
          <w:rPr>
            <w:webHidden/>
          </w:rPr>
          <w:instrText xml:space="preserve"> PAGEREF _Toc180594821 \h </w:instrText>
        </w:r>
        <w:r w:rsidRPr="00963B2F">
          <w:rPr>
            <w:webHidden/>
          </w:rPr>
        </w:r>
        <w:r w:rsidRPr="00963B2F">
          <w:rPr>
            <w:webHidden/>
          </w:rPr>
          <w:fldChar w:fldCharType="separate"/>
        </w:r>
        <w:r w:rsidR="00E91088">
          <w:rPr>
            <w:webHidden/>
          </w:rPr>
          <w:t>154</w:t>
        </w:r>
        <w:r w:rsidRPr="00963B2F">
          <w:rPr>
            <w:webHidden/>
          </w:rPr>
          <w:fldChar w:fldCharType="end"/>
        </w:r>
      </w:hyperlink>
    </w:p>
    <w:p w14:paraId="09C8FE55" w14:textId="0757338B"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22" w:history="1">
        <w:r w:rsidRPr="00963B2F">
          <w:rPr>
            <w:rStyle w:val="Hyperlink"/>
            <w:color w:val="auto"/>
            <w:u w:val="none"/>
          </w:rPr>
          <w:t>T - II - 10: Regression analysis of moderating effects using absolute difference in abnormal returns</w:t>
        </w:r>
        <w:r w:rsidRPr="00963B2F">
          <w:rPr>
            <w:webHidden/>
          </w:rPr>
          <w:tab/>
        </w:r>
        <w:r w:rsidRPr="00963B2F">
          <w:rPr>
            <w:webHidden/>
          </w:rPr>
          <w:fldChar w:fldCharType="begin"/>
        </w:r>
        <w:r w:rsidRPr="00963B2F">
          <w:rPr>
            <w:webHidden/>
          </w:rPr>
          <w:instrText xml:space="preserve"> PAGEREF _Toc180594822 \h </w:instrText>
        </w:r>
        <w:r w:rsidRPr="00963B2F">
          <w:rPr>
            <w:webHidden/>
          </w:rPr>
        </w:r>
        <w:r w:rsidRPr="00963B2F">
          <w:rPr>
            <w:webHidden/>
          </w:rPr>
          <w:fldChar w:fldCharType="separate"/>
        </w:r>
        <w:r w:rsidR="00E91088">
          <w:rPr>
            <w:webHidden/>
          </w:rPr>
          <w:t>156</w:t>
        </w:r>
        <w:r w:rsidRPr="00963B2F">
          <w:rPr>
            <w:webHidden/>
          </w:rPr>
          <w:fldChar w:fldCharType="end"/>
        </w:r>
      </w:hyperlink>
    </w:p>
    <w:p w14:paraId="7ED1AAF6" w14:textId="1F6050F6"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23" w:history="1">
        <w:r w:rsidRPr="00963B2F">
          <w:rPr>
            <w:rStyle w:val="Hyperlink"/>
            <w:color w:val="auto"/>
            <w:u w:val="none"/>
          </w:rPr>
          <w:t>T - II - 11: Regression analysis of moderating effects using alternative moderator measures</w:t>
        </w:r>
        <w:r w:rsidRPr="00963B2F">
          <w:rPr>
            <w:webHidden/>
          </w:rPr>
          <w:tab/>
        </w:r>
        <w:r w:rsidRPr="00963B2F">
          <w:rPr>
            <w:webHidden/>
          </w:rPr>
          <w:fldChar w:fldCharType="begin"/>
        </w:r>
        <w:r w:rsidRPr="00963B2F">
          <w:rPr>
            <w:webHidden/>
          </w:rPr>
          <w:instrText xml:space="preserve"> PAGEREF _Toc180594823 \h </w:instrText>
        </w:r>
        <w:r w:rsidRPr="00963B2F">
          <w:rPr>
            <w:webHidden/>
          </w:rPr>
        </w:r>
        <w:r w:rsidRPr="00963B2F">
          <w:rPr>
            <w:webHidden/>
          </w:rPr>
          <w:fldChar w:fldCharType="separate"/>
        </w:r>
        <w:r w:rsidR="00E91088">
          <w:rPr>
            <w:webHidden/>
          </w:rPr>
          <w:t>158</w:t>
        </w:r>
        <w:r w:rsidRPr="00963B2F">
          <w:rPr>
            <w:webHidden/>
          </w:rPr>
          <w:fldChar w:fldCharType="end"/>
        </w:r>
      </w:hyperlink>
    </w:p>
    <w:p w14:paraId="4C98A663" w14:textId="48C3E788"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24" w:history="1">
        <w:r w:rsidRPr="00963B2F">
          <w:rPr>
            <w:rStyle w:val="Hyperlink"/>
            <w:color w:val="auto"/>
            <w:u w:val="none"/>
          </w:rPr>
          <w:t>T - II - 12: Variable definitions</w:t>
        </w:r>
        <w:r w:rsidRPr="00963B2F">
          <w:rPr>
            <w:webHidden/>
          </w:rPr>
          <w:tab/>
        </w:r>
        <w:r w:rsidRPr="00963B2F">
          <w:rPr>
            <w:webHidden/>
          </w:rPr>
          <w:fldChar w:fldCharType="begin"/>
        </w:r>
        <w:r w:rsidRPr="00963B2F">
          <w:rPr>
            <w:webHidden/>
          </w:rPr>
          <w:instrText xml:space="preserve"> PAGEREF _Toc180594824 \h </w:instrText>
        </w:r>
        <w:r w:rsidRPr="00963B2F">
          <w:rPr>
            <w:webHidden/>
          </w:rPr>
        </w:r>
        <w:r w:rsidRPr="00963B2F">
          <w:rPr>
            <w:webHidden/>
          </w:rPr>
          <w:fldChar w:fldCharType="separate"/>
        </w:r>
        <w:r w:rsidR="00E91088">
          <w:rPr>
            <w:webHidden/>
          </w:rPr>
          <w:t>160</w:t>
        </w:r>
        <w:r w:rsidRPr="00963B2F">
          <w:rPr>
            <w:webHidden/>
          </w:rPr>
          <w:fldChar w:fldCharType="end"/>
        </w:r>
      </w:hyperlink>
    </w:p>
    <w:p w14:paraId="5985E0E6" w14:textId="7179AE21" w:rsidR="00963B2F" w:rsidRPr="00963B2F" w:rsidRDefault="00322A66" w:rsidP="00963B2F">
      <w:pPr>
        <w:pStyle w:val="Verzeichnis1"/>
      </w:pPr>
      <w:r w:rsidRPr="001A1FB2">
        <w:rPr>
          <w:rFonts w:cs="Times New Roman"/>
          <w:szCs w:val="24"/>
          <w:lang w:eastAsia="de-DE"/>
        </w:rPr>
        <w:fldChar w:fldCharType="end"/>
      </w:r>
      <w:hyperlink w:anchor="_Toc178709548" w:history="1">
        <w:hyperlink w:anchor="_Toc180594790" w:history="1">
          <w:r w:rsidR="00963B2F" w:rsidRPr="00963B2F">
            <w:rPr>
              <w:rStyle w:val="Hyperlink"/>
              <w:color w:val="auto"/>
              <w:u w:val="none"/>
            </w:rPr>
            <w:t>III.</w:t>
          </w:r>
          <w:r w:rsidR="00963B2F" w:rsidRPr="00963B2F">
            <w:rPr>
              <w:rFonts w:asciiTheme="minorHAnsi" w:eastAsiaTheme="minorEastAsia" w:hAnsiTheme="minorHAnsi"/>
              <w:kern w:val="2"/>
              <w:szCs w:val="24"/>
              <w:lang w:val="de-DE" w:eastAsia="de-DE"/>
              <w14:ligatures w14:val="standardContextual"/>
            </w:rPr>
            <w:tab/>
          </w:r>
          <w:r w:rsidR="00ED6296" w:rsidRPr="00ED6296">
            <w:rPr>
              <w:rStyle w:val="Hyperlink"/>
              <w:color w:val="auto"/>
              <w:u w:val="none"/>
            </w:rPr>
            <w:t>MIND THE GAP: THE EFFECT OF CULTURAL DISTANCE ON MERGERS AND ACQUISITIONS - EVIDENCE FROM GLASSDOOR REVIEWS</w:t>
          </w:r>
          <w:r w:rsidR="00ED6296" w:rsidRPr="00ED6296">
            <w:rPr>
              <w:rStyle w:val="Hyperlink"/>
              <w:color w:val="auto"/>
              <w:u w:val="none"/>
            </w:rPr>
            <w:tab/>
          </w:r>
        </w:hyperlink>
      </w:hyperlink>
      <w:r w:rsidR="009216E9" w:rsidRPr="00963B2F">
        <w:rPr>
          <w:lang w:eastAsia="de-DE"/>
        </w:rPr>
        <w:fldChar w:fldCharType="begin"/>
      </w:r>
      <w:r w:rsidR="009216E9" w:rsidRPr="00963B2F">
        <w:rPr>
          <w:lang w:eastAsia="de-DE"/>
        </w:rPr>
        <w:instrText xml:space="preserve"> TOC \h \z \c "T - III -" </w:instrText>
      </w:r>
      <w:r w:rsidR="009216E9" w:rsidRPr="00963B2F">
        <w:rPr>
          <w:lang w:eastAsia="de-DE"/>
        </w:rPr>
        <w:fldChar w:fldCharType="separate"/>
      </w:r>
    </w:p>
    <w:p w14:paraId="0011C8B3" w14:textId="02C17F7E"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lang w:val="en-US"/>
        </w:rPr>
        <w:tab/>
      </w:r>
      <w:hyperlink w:anchor="_Toc180594837" w:history="1">
        <w:r w:rsidRPr="00963B2F">
          <w:rPr>
            <w:rStyle w:val="Hyperlink"/>
            <w:color w:val="auto"/>
            <w:u w:val="none"/>
          </w:rPr>
          <w:t>T - III - 1: Daily abnormal returns to M&amp;A announcement</w:t>
        </w:r>
        <w:r w:rsidRPr="00963B2F">
          <w:rPr>
            <w:webHidden/>
          </w:rPr>
          <w:tab/>
        </w:r>
        <w:r w:rsidRPr="00963B2F">
          <w:rPr>
            <w:webHidden/>
          </w:rPr>
          <w:fldChar w:fldCharType="begin"/>
        </w:r>
        <w:r w:rsidRPr="00963B2F">
          <w:rPr>
            <w:webHidden/>
          </w:rPr>
          <w:instrText xml:space="preserve"> PAGEREF _Toc180594837 \h </w:instrText>
        </w:r>
        <w:r w:rsidRPr="00963B2F">
          <w:rPr>
            <w:webHidden/>
          </w:rPr>
        </w:r>
        <w:r w:rsidRPr="00963B2F">
          <w:rPr>
            <w:webHidden/>
          </w:rPr>
          <w:fldChar w:fldCharType="separate"/>
        </w:r>
        <w:r w:rsidR="00E91088">
          <w:rPr>
            <w:webHidden/>
          </w:rPr>
          <w:t>223</w:t>
        </w:r>
        <w:r w:rsidRPr="00963B2F">
          <w:rPr>
            <w:webHidden/>
          </w:rPr>
          <w:fldChar w:fldCharType="end"/>
        </w:r>
      </w:hyperlink>
    </w:p>
    <w:p w14:paraId="454D3925" w14:textId="6A438D99"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38" w:history="1">
        <w:r w:rsidRPr="00963B2F">
          <w:rPr>
            <w:rStyle w:val="Hyperlink"/>
            <w:color w:val="auto"/>
            <w:u w:val="none"/>
          </w:rPr>
          <w:t>T - III - 2: Deals by announcement year</w:t>
        </w:r>
        <w:r w:rsidRPr="00963B2F">
          <w:rPr>
            <w:webHidden/>
          </w:rPr>
          <w:tab/>
        </w:r>
        <w:r w:rsidRPr="00963B2F">
          <w:rPr>
            <w:webHidden/>
          </w:rPr>
          <w:fldChar w:fldCharType="begin"/>
        </w:r>
        <w:r w:rsidRPr="00963B2F">
          <w:rPr>
            <w:webHidden/>
          </w:rPr>
          <w:instrText xml:space="preserve"> PAGEREF _Toc180594838 \h </w:instrText>
        </w:r>
        <w:r w:rsidRPr="00963B2F">
          <w:rPr>
            <w:webHidden/>
          </w:rPr>
        </w:r>
        <w:r w:rsidRPr="00963B2F">
          <w:rPr>
            <w:webHidden/>
          </w:rPr>
          <w:fldChar w:fldCharType="separate"/>
        </w:r>
        <w:r w:rsidR="00E91088">
          <w:rPr>
            <w:webHidden/>
          </w:rPr>
          <w:t>224</w:t>
        </w:r>
        <w:r w:rsidRPr="00963B2F">
          <w:rPr>
            <w:webHidden/>
          </w:rPr>
          <w:fldChar w:fldCharType="end"/>
        </w:r>
      </w:hyperlink>
    </w:p>
    <w:p w14:paraId="3E960A2C" w14:textId="48729947"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39" w:history="1">
        <w:r w:rsidRPr="00963B2F">
          <w:rPr>
            <w:rStyle w:val="Hyperlink"/>
            <w:color w:val="auto"/>
            <w:u w:val="none"/>
          </w:rPr>
          <w:t>T - III - 3: Descriptive statistics</w:t>
        </w:r>
        <w:r w:rsidRPr="00963B2F">
          <w:rPr>
            <w:webHidden/>
          </w:rPr>
          <w:tab/>
        </w:r>
        <w:r w:rsidRPr="00963B2F">
          <w:rPr>
            <w:webHidden/>
          </w:rPr>
          <w:fldChar w:fldCharType="begin"/>
        </w:r>
        <w:r w:rsidRPr="00963B2F">
          <w:rPr>
            <w:webHidden/>
          </w:rPr>
          <w:instrText xml:space="preserve"> PAGEREF _Toc180594839 \h </w:instrText>
        </w:r>
        <w:r w:rsidRPr="00963B2F">
          <w:rPr>
            <w:webHidden/>
          </w:rPr>
        </w:r>
        <w:r w:rsidRPr="00963B2F">
          <w:rPr>
            <w:webHidden/>
          </w:rPr>
          <w:fldChar w:fldCharType="separate"/>
        </w:r>
        <w:r w:rsidR="00E91088">
          <w:rPr>
            <w:webHidden/>
          </w:rPr>
          <w:t>225</w:t>
        </w:r>
        <w:r w:rsidRPr="00963B2F">
          <w:rPr>
            <w:webHidden/>
          </w:rPr>
          <w:fldChar w:fldCharType="end"/>
        </w:r>
      </w:hyperlink>
    </w:p>
    <w:p w14:paraId="1D111746" w14:textId="112819AD"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40" w:history="1">
        <w:r w:rsidRPr="00963B2F">
          <w:rPr>
            <w:rStyle w:val="Hyperlink"/>
            <w:color w:val="auto"/>
            <w:u w:val="none"/>
          </w:rPr>
          <w:t>T - III - 4: Correlation matrix</w:t>
        </w:r>
        <w:r w:rsidRPr="00963B2F">
          <w:rPr>
            <w:webHidden/>
          </w:rPr>
          <w:tab/>
        </w:r>
        <w:r w:rsidRPr="00963B2F">
          <w:rPr>
            <w:webHidden/>
          </w:rPr>
          <w:fldChar w:fldCharType="begin"/>
        </w:r>
        <w:r w:rsidRPr="00963B2F">
          <w:rPr>
            <w:webHidden/>
          </w:rPr>
          <w:instrText xml:space="preserve"> PAGEREF _Toc180594840 \h </w:instrText>
        </w:r>
        <w:r w:rsidRPr="00963B2F">
          <w:rPr>
            <w:webHidden/>
          </w:rPr>
        </w:r>
        <w:r w:rsidRPr="00963B2F">
          <w:rPr>
            <w:webHidden/>
          </w:rPr>
          <w:fldChar w:fldCharType="separate"/>
        </w:r>
        <w:r w:rsidR="00E91088">
          <w:rPr>
            <w:webHidden/>
          </w:rPr>
          <w:t>227</w:t>
        </w:r>
        <w:r w:rsidRPr="00963B2F">
          <w:rPr>
            <w:webHidden/>
          </w:rPr>
          <w:fldChar w:fldCharType="end"/>
        </w:r>
      </w:hyperlink>
    </w:p>
    <w:p w14:paraId="33B69160" w14:textId="6F13F456"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41" w:history="1">
        <w:r w:rsidRPr="00963B2F">
          <w:rPr>
            <w:rStyle w:val="Hyperlink"/>
            <w:color w:val="auto"/>
            <w:u w:val="none"/>
          </w:rPr>
          <w:t>T - III - 5: H1a: Capital market reactions (CARs)</w:t>
        </w:r>
        <w:r w:rsidRPr="00963B2F">
          <w:rPr>
            <w:webHidden/>
          </w:rPr>
          <w:tab/>
        </w:r>
        <w:r w:rsidRPr="00963B2F">
          <w:rPr>
            <w:webHidden/>
          </w:rPr>
          <w:fldChar w:fldCharType="begin"/>
        </w:r>
        <w:r w:rsidRPr="00963B2F">
          <w:rPr>
            <w:webHidden/>
          </w:rPr>
          <w:instrText xml:space="preserve"> PAGEREF _Toc180594841 \h </w:instrText>
        </w:r>
        <w:r w:rsidRPr="00963B2F">
          <w:rPr>
            <w:webHidden/>
          </w:rPr>
        </w:r>
        <w:r w:rsidRPr="00963B2F">
          <w:rPr>
            <w:webHidden/>
          </w:rPr>
          <w:fldChar w:fldCharType="separate"/>
        </w:r>
        <w:r w:rsidR="00E91088">
          <w:rPr>
            <w:webHidden/>
          </w:rPr>
          <w:t>229</w:t>
        </w:r>
        <w:r w:rsidRPr="00963B2F">
          <w:rPr>
            <w:webHidden/>
          </w:rPr>
          <w:fldChar w:fldCharType="end"/>
        </w:r>
      </w:hyperlink>
    </w:p>
    <w:p w14:paraId="7DF3EB82" w14:textId="48C6B501"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42" w:history="1">
        <w:r w:rsidRPr="00963B2F">
          <w:rPr>
            <w:rStyle w:val="Hyperlink"/>
            <w:color w:val="auto"/>
            <w:u w:val="none"/>
          </w:rPr>
          <w:t>T - III - 6: H1b: Long-term operating synergies</w:t>
        </w:r>
        <w:r w:rsidRPr="00963B2F">
          <w:rPr>
            <w:webHidden/>
          </w:rPr>
          <w:tab/>
        </w:r>
        <w:r w:rsidRPr="00963B2F">
          <w:rPr>
            <w:webHidden/>
          </w:rPr>
          <w:fldChar w:fldCharType="begin"/>
        </w:r>
        <w:r w:rsidRPr="00963B2F">
          <w:rPr>
            <w:webHidden/>
          </w:rPr>
          <w:instrText xml:space="preserve"> PAGEREF _Toc180594842 \h </w:instrText>
        </w:r>
        <w:r w:rsidRPr="00963B2F">
          <w:rPr>
            <w:webHidden/>
          </w:rPr>
        </w:r>
        <w:r w:rsidRPr="00963B2F">
          <w:rPr>
            <w:webHidden/>
          </w:rPr>
          <w:fldChar w:fldCharType="separate"/>
        </w:r>
        <w:r w:rsidR="00E91088">
          <w:rPr>
            <w:webHidden/>
          </w:rPr>
          <w:t>231</w:t>
        </w:r>
        <w:r w:rsidRPr="00963B2F">
          <w:rPr>
            <w:webHidden/>
          </w:rPr>
          <w:fldChar w:fldCharType="end"/>
        </w:r>
      </w:hyperlink>
    </w:p>
    <w:p w14:paraId="119EE00D" w14:textId="42865621"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43" w:history="1">
        <w:r w:rsidRPr="00963B2F">
          <w:rPr>
            <w:rStyle w:val="Hyperlink"/>
            <w:color w:val="auto"/>
            <w:u w:val="none"/>
          </w:rPr>
          <w:t>T - III - 7: H2: Acquisition premiums</w:t>
        </w:r>
        <w:r w:rsidRPr="00963B2F">
          <w:rPr>
            <w:webHidden/>
          </w:rPr>
          <w:tab/>
        </w:r>
        <w:r w:rsidRPr="00963B2F">
          <w:rPr>
            <w:webHidden/>
          </w:rPr>
          <w:fldChar w:fldCharType="begin"/>
        </w:r>
        <w:r w:rsidRPr="00963B2F">
          <w:rPr>
            <w:webHidden/>
          </w:rPr>
          <w:instrText xml:space="preserve"> PAGEREF _Toc180594843 \h </w:instrText>
        </w:r>
        <w:r w:rsidRPr="00963B2F">
          <w:rPr>
            <w:webHidden/>
          </w:rPr>
        </w:r>
        <w:r w:rsidRPr="00963B2F">
          <w:rPr>
            <w:webHidden/>
          </w:rPr>
          <w:fldChar w:fldCharType="separate"/>
        </w:r>
        <w:r w:rsidR="00E91088">
          <w:rPr>
            <w:webHidden/>
          </w:rPr>
          <w:t>233</w:t>
        </w:r>
        <w:r w:rsidRPr="00963B2F">
          <w:rPr>
            <w:webHidden/>
          </w:rPr>
          <w:fldChar w:fldCharType="end"/>
        </w:r>
      </w:hyperlink>
    </w:p>
    <w:p w14:paraId="17061616" w14:textId="252D792D"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44" w:history="1">
        <w:r w:rsidRPr="00963B2F">
          <w:rPr>
            <w:rStyle w:val="Hyperlink"/>
            <w:color w:val="auto"/>
            <w:u w:val="none"/>
          </w:rPr>
          <w:t>T - III - 8: H3: Innovation</w:t>
        </w:r>
        <w:r w:rsidRPr="00963B2F">
          <w:rPr>
            <w:webHidden/>
          </w:rPr>
          <w:tab/>
        </w:r>
        <w:r w:rsidRPr="00963B2F">
          <w:rPr>
            <w:webHidden/>
          </w:rPr>
          <w:fldChar w:fldCharType="begin"/>
        </w:r>
        <w:r w:rsidRPr="00963B2F">
          <w:rPr>
            <w:webHidden/>
          </w:rPr>
          <w:instrText xml:space="preserve"> PAGEREF _Toc180594844 \h </w:instrText>
        </w:r>
        <w:r w:rsidRPr="00963B2F">
          <w:rPr>
            <w:webHidden/>
          </w:rPr>
        </w:r>
        <w:r w:rsidRPr="00963B2F">
          <w:rPr>
            <w:webHidden/>
          </w:rPr>
          <w:fldChar w:fldCharType="separate"/>
        </w:r>
        <w:r w:rsidR="00E91088">
          <w:rPr>
            <w:webHidden/>
          </w:rPr>
          <w:t>235</w:t>
        </w:r>
        <w:r w:rsidRPr="00963B2F">
          <w:rPr>
            <w:webHidden/>
          </w:rPr>
          <w:fldChar w:fldCharType="end"/>
        </w:r>
      </w:hyperlink>
    </w:p>
    <w:p w14:paraId="5F8A08C8" w14:textId="60CE9E82"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45" w:history="1">
        <w:r w:rsidRPr="00963B2F">
          <w:rPr>
            <w:rStyle w:val="Hyperlink"/>
            <w:color w:val="auto"/>
            <w:u w:val="none"/>
          </w:rPr>
          <w:t>T - III - 9: Glassdoor review examples associated with the four dimensions of the Competing Values Framework</w:t>
        </w:r>
        <w:r w:rsidRPr="00963B2F">
          <w:rPr>
            <w:webHidden/>
          </w:rPr>
          <w:tab/>
        </w:r>
        <w:r w:rsidRPr="00963B2F">
          <w:rPr>
            <w:webHidden/>
          </w:rPr>
          <w:fldChar w:fldCharType="begin"/>
        </w:r>
        <w:r w:rsidRPr="00963B2F">
          <w:rPr>
            <w:webHidden/>
          </w:rPr>
          <w:instrText xml:space="preserve"> PAGEREF _Toc180594845 \h </w:instrText>
        </w:r>
        <w:r w:rsidRPr="00963B2F">
          <w:rPr>
            <w:webHidden/>
          </w:rPr>
        </w:r>
        <w:r w:rsidRPr="00963B2F">
          <w:rPr>
            <w:webHidden/>
          </w:rPr>
          <w:fldChar w:fldCharType="separate"/>
        </w:r>
        <w:r w:rsidR="00E91088">
          <w:rPr>
            <w:webHidden/>
          </w:rPr>
          <w:t>237</w:t>
        </w:r>
        <w:r w:rsidRPr="00963B2F">
          <w:rPr>
            <w:webHidden/>
          </w:rPr>
          <w:fldChar w:fldCharType="end"/>
        </w:r>
      </w:hyperlink>
    </w:p>
    <w:p w14:paraId="4D7FC2BD" w14:textId="3488279A"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46" w:history="1">
        <w:r w:rsidRPr="00963B2F">
          <w:rPr>
            <w:rStyle w:val="Hyperlink"/>
            <w:color w:val="auto"/>
            <w:u w:val="none"/>
          </w:rPr>
          <w:t>T - III - 10: Variable definitions</w:t>
        </w:r>
        <w:r w:rsidRPr="00963B2F">
          <w:rPr>
            <w:webHidden/>
          </w:rPr>
          <w:tab/>
        </w:r>
        <w:r w:rsidRPr="00963B2F">
          <w:rPr>
            <w:webHidden/>
          </w:rPr>
          <w:fldChar w:fldCharType="begin"/>
        </w:r>
        <w:r w:rsidRPr="00963B2F">
          <w:rPr>
            <w:webHidden/>
          </w:rPr>
          <w:instrText xml:space="preserve"> PAGEREF _Toc180594846 \h </w:instrText>
        </w:r>
        <w:r w:rsidRPr="00963B2F">
          <w:rPr>
            <w:webHidden/>
          </w:rPr>
        </w:r>
        <w:r w:rsidRPr="00963B2F">
          <w:rPr>
            <w:webHidden/>
          </w:rPr>
          <w:fldChar w:fldCharType="separate"/>
        </w:r>
        <w:r w:rsidR="00E91088">
          <w:rPr>
            <w:webHidden/>
          </w:rPr>
          <w:t>240</w:t>
        </w:r>
        <w:r w:rsidRPr="00963B2F">
          <w:rPr>
            <w:webHidden/>
          </w:rPr>
          <w:fldChar w:fldCharType="end"/>
        </w:r>
      </w:hyperlink>
    </w:p>
    <w:p w14:paraId="395E9D95" w14:textId="29682512"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lastRenderedPageBreak/>
        <w:tab/>
      </w:r>
      <w:hyperlink w:anchor="_Toc180594847" w:history="1">
        <w:r w:rsidRPr="00963B2F">
          <w:rPr>
            <w:rStyle w:val="Hyperlink"/>
            <w:color w:val="auto"/>
            <w:u w:val="none"/>
          </w:rPr>
          <w:t>T - III - 11: H1a: Capital market reactions (CARs) - Jensen-Shannon (JS) divergence</w:t>
        </w:r>
        <w:r w:rsidRPr="00963B2F">
          <w:rPr>
            <w:webHidden/>
          </w:rPr>
          <w:tab/>
        </w:r>
        <w:r w:rsidRPr="00963B2F">
          <w:rPr>
            <w:webHidden/>
          </w:rPr>
          <w:fldChar w:fldCharType="begin"/>
        </w:r>
        <w:r w:rsidRPr="00963B2F">
          <w:rPr>
            <w:webHidden/>
          </w:rPr>
          <w:instrText xml:space="preserve"> PAGEREF _Toc180594847 \h </w:instrText>
        </w:r>
        <w:r w:rsidRPr="00963B2F">
          <w:rPr>
            <w:webHidden/>
          </w:rPr>
        </w:r>
        <w:r w:rsidRPr="00963B2F">
          <w:rPr>
            <w:webHidden/>
          </w:rPr>
          <w:fldChar w:fldCharType="separate"/>
        </w:r>
        <w:r w:rsidR="00E91088">
          <w:rPr>
            <w:webHidden/>
          </w:rPr>
          <w:t>245</w:t>
        </w:r>
        <w:r w:rsidRPr="00963B2F">
          <w:rPr>
            <w:webHidden/>
          </w:rPr>
          <w:fldChar w:fldCharType="end"/>
        </w:r>
      </w:hyperlink>
    </w:p>
    <w:p w14:paraId="7DD03D8F" w14:textId="3F828534"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48" w:history="1">
        <w:r w:rsidRPr="00963B2F">
          <w:rPr>
            <w:rStyle w:val="Hyperlink"/>
            <w:color w:val="auto"/>
            <w:u w:val="none"/>
          </w:rPr>
          <w:t>T - III - 12: H1b: Long-term operating synergies - Jensen-Shannon (JS) divergence</w:t>
        </w:r>
        <w:r w:rsidRPr="00963B2F">
          <w:rPr>
            <w:webHidden/>
          </w:rPr>
          <w:tab/>
        </w:r>
        <w:r w:rsidRPr="00963B2F">
          <w:rPr>
            <w:webHidden/>
          </w:rPr>
          <w:fldChar w:fldCharType="begin"/>
        </w:r>
        <w:r w:rsidRPr="00963B2F">
          <w:rPr>
            <w:webHidden/>
          </w:rPr>
          <w:instrText xml:space="preserve"> PAGEREF _Toc180594848 \h </w:instrText>
        </w:r>
        <w:r w:rsidRPr="00963B2F">
          <w:rPr>
            <w:webHidden/>
          </w:rPr>
        </w:r>
        <w:r w:rsidRPr="00963B2F">
          <w:rPr>
            <w:webHidden/>
          </w:rPr>
          <w:fldChar w:fldCharType="separate"/>
        </w:r>
        <w:r w:rsidR="00E91088">
          <w:rPr>
            <w:webHidden/>
          </w:rPr>
          <w:t>247</w:t>
        </w:r>
        <w:r w:rsidRPr="00963B2F">
          <w:rPr>
            <w:webHidden/>
          </w:rPr>
          <w:fldChar w:fldCharType="end"/>
        </w:r>
      </w:hyperlink>
    </w:p>
    <w:p w14:paraId="38D68E63" w14:textId="7707D477"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49" w:history="1">
        <w:r w:rsidRPr="00963B2F">
          <w:rPr>
            <w:rStyle w:val="Hyperlink"/>
            <w:color w:val="auto"/>
            <w:u w:val="none"/>
          </w:rPr>
          <w:t>T - III - 13: H2: Acquisition premiums - Jensen-Shannon (JS) divergence</w:t>
        </w:r>
        <w:r w:rsidRPr="00963B2F">
          <w:rPr>
            <w:webHidden/>
          </w:rPr>
          <w:tab/>
        </w:r>
        <w:r w:rsidRPr="00963B2F">
          <w:rPr>
            <w:webHidden/>
          </w:rPr>
          <w:fldChar w:fldCharType="begin"/>
        </w:r>
        <w:r w:rsidRPr="00963B2F">
          <w:rPr>
            <w:webHidden/>
          </w:rPr>
          <w:instrText xml:space="preserve"> PAGEREF _Toc180594849 \h </w:instrText>
        </w:r>
        <w:r w:rsidRPr="00963B2F">
          <w:rPr>
            <w:webHidden/>
          </w:rPr>
        </w:r>
        <w:r w:rsidRPr="00963B2F">
          <w:rPr>
            <w:webHidden/>
          </w:rPr>
          <w:fldChar w:fldCharType="separate"/>
        </w:r>
        <w:r w:rsidR="00E91088">
          <w:rPr>
            <w:webHidden/>
          </w:rPr>
          <w:t>249</w:t>
        </w:r>
        <w:r w:rsidRPr="00963B2F">
          <w:rPr>
            <w:webHidden/>
          </w:rPr>
          <w:fldChar w:fldCharType="end"/>
        </w:r>
      </w:hyperlink>
    </w:p>
    <w:p w14:paraId="1A213420" w14:textId="6F0326D0"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50" w:history="1">
        <w:r w:rsidRPr="00963B2F">
          <w:rPr>
            <w:rStyle w:val="Hyperlink"/>
            <w:color w:val="auto"/>
            <w:u w:val="none"/>
          </w:rPr>
          <w:t>T - III - 14: H3: Innovation - Jensen-Shannon (JS) divergence</w:t>
        </w:r>
        <w:r w:rsidRPr="00963B2F">
          <w:rPr>
            <w:webHidden/>
          </w:rPr>
          <w:tab/>
        </w:r>
        <w:r w:rsidRPr="00963B2F">
          <w:rPr>
            <w:webHidden/>
          </w:rPr>
          <w:fldChar w:fldCharType="begin"/>
        </w:r>
        <w:r w:rsidRPr="00963B2F">
          <w:rPr>
            <w:webHidden/>
          </w:rPr>
          <w:instrText xml:space="preserve"> PAGEREF _Toc180594850 \h </w:instrText>
        </w:r>
        <w:r w:rsidRPr="00963B2F">
          <w:rPr>
            <w:webHidden/>
          </w:rPr>
        </w:r>
        <w:r w:rsidRPr="00963B2F">
          <w:rPr>
            <w:webHidden/>
          </w:rPr>
          <w:fldChar w:fldCharType="separate"/>
        </w:r>
        <w:r w:rsidR="00E91088">
          <w:rPr>
            <w:webHidden/>
          </w:rPr>
          <w:t>251</w:t>
        </w:r>
        <w:r w:rsidRPr="00963B2F">
          <w:rPr>
            <w:webHidden/>
          </w:rPr>
          <w:fldChar w:fldCharType="end"/>
        </w:r>
      </w:hyperlink>
    </w:p>
    <w:p w14:paraId="06D96008" w14:textId="5E69A519"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51" w:history="1">
        <w:r w:rsidRPr="00963B2F">
          <w:rPr>
            <w:rStyle w:val="Hyperlink"/>
            <w:color w:val="auto"/>
            <w:u w:val="none"/>
          </w:rPr>
          <w:t>T - III - 15: H1a: Capital market reactions (CARs) – No toehold deals</w:t>
        </w:r>
        <w:r w:rsidRPr="00963B2F">
          <w:rPr>
            <w:webHidden/>
          </w:rPr>
          <w:tab/>
        </w:r>
        <w:r w:rsidRPr="00963B2F">
          <w:rPr>
            <w:webHidden/>
          </w:rPr>
          <w:fldChar w:fldCharType="begin"/>
        </w:r>
        <w:r w:rsidRPr="00963B2F">
          <w:rPr>
            <w:webHidden/>
          </w:rPr>
          <w:instrText xml:space="preserve"> PAGEREF _Toc180594851 \h </w:instrText>
        </w:r>
        <w:r w:rsidRPr="00963B2F">
          <w:rPr>
            <w:webHidden/>
          </w:rPr>
        </w:r>
        <w:r w:rsidRPr="00963B2F">
          <w:rPr>
            <w:webHidden/>
          </w:rPr>
          <w:fldChar w:fldCharType="separate"/>
        </w:r>
        <w:r w:rsidR="00E91088">
          <w:rPr>
            <w:webHidden/>
          </w:rPr>
          <w:t>253</w:t>
        </w:r>
        <w:r w:rsidRPr="00963B2F">
          <w:rPr>
            <w:webHidden/>
          </w:rPr>
          <w:fldChar w:fldCharType="end"/>
        </w:r>
      </w:hyperlink>
    </w:p>
    <w:p w14:paraId="5C45D36B" w14:textId="2592E5FB"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52" w:history="1">
        <w:r w:rsidRPr="00963B2F">
          <w:rPr>
            <w:rStyle w:val="Hyperlink"/>
            <w:color w:val="auto"/>
            <w:u w:val="none"/>
          </w:rPr>
          <w:t>T - III - 16: H1b: Long-term operating synergies - No toehold deals</w:t>
        </w:r>
        <w:r w:rsidRPr="00963B2F">
          <w:rPr>
            <w:webHidden/>
          </w:rPr>
          <w:tab/>
        </w:r>
        <w:r w:rsidRPr="00963B2F">
          <w:rPr>
            <w:webHidden/>
          </w:rPr>
          <w:fldChar w:fldCharType="begin"/>
        </w:r>
        <w:r w:rsidRPr="00963B2F">
          <w:rPr>
            <w:webHidden/>
          </w:rPr>
          <w:instrText xml:space="preserve"> PAGEREF _Toc180594852 \h </w:instrText>
        </w:r>
        <w:r w:rsidRPr="00963B2F">
          <w:rPr>
            <w:webHidden/>
          </w:rPr>
        </w:r>
        <w:r w:rsidRPr="00963B2F">
          <w:rPr>
            <w:webHidden/>
          </w:rPr>
          <w:fldChar w:fldCharType="separate"/>
        </w:r>
        <w:r w:rsidR="00E91088">
          <w:rPr>
            <w:webHidden/>
          </w:rPr>
          <w:t>255</w:t>
        </w:r>
        <w:r w:rsidRPr="00963B2F">
          <w:rPr>
            <w:webHidden/>
          </w:rPr>
          <w:fldChar w:fldCharType="end"/>
        </w:r>
      </w:hyperlink>
    </w:p>
    <w:p w14:paraId="7DCC98C4" w14:textId="4523C601"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53" w:history="1">
        <w:r w:rsidRPr="00963B2F">
          <w:rPr>
            <w:rStyle w:val="Hyperlink"/>
            <w:color w:val="auto"/>
            <w:u w:val="none"/>
          </w:rPr>
          <w:t>T - III - 17: H2: Acquisition premiums - No toehold deals</w:t>
        </w:r>
        <w:r w:rsidRPr="00963B2F">
          <w:rPr>
            <w:webHidden/>
          </w:rPr>
          <w:tab/>
        </w:r>
        <w:r w:rsidRPr="00963B2F">
          <w:rPr>
            <w:webHidden/>
          </w:rPr>
          <w:fldChar w:fldCharType="begin"/>
        </w:r>
        <w:r w:rsidRPr="00963B2F">
          <w:rPr>
            <w:webHidden/>
          </w:rPr>
          <w:instrText xml:space="preserve"> PAGEREF _Toc180594853 \h </w:instrText>
        </w:r>
        <w:r w:rsidRPr="00963B2F">
          <w:rPr>
            <w:webHidden/>
          </w:rPr>
        </w:r>
        <w:r w:rsidRPr="00963B2F">
          <w:rPr>
            <w:webHidden/>
          </w:rPr>
          <w:fldChar w:fldCharType="separate"/>
        </w:r>
        <w:r w:rsidR="00E91088">
          <w:rPr>
            <w:webHidden/>
          </w:rPr>
          <w:t>257</w:t>
        </w:r>
        <w:r w:rsidRPr="00963B2F">
          <w:rPr>
            <w:webHidden/>
          </w:rPr>
          <w:fldChar w:fldCharType="end"/>
        </w:r>
      </w:hyperlink>
    </w:p>
    <w:p w14:paraId="2D0DA2CC" w14:textId="4737C7E7"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54" w:history="1">
        <w:r w:rsidRPr="00963B2F">
          <w:rPr>
            <w:rStyle w:val="Hyperlink"/>
            <w:color w:val="auto"/>
            <w:u w:val="none"/>
          </w:rPr>
          <w:t>T - III - 18: H3: Innovation – No Toehold Deals</w:t>
        </w:r>
        <w:r w:rsidRPr="00963B2F">
          <w:rPr>
            <w:webHidden/>
          </w:rPr>
          <w:tab/>
        </w:r>
        <w:r w:rsidRPr="00963B2F">
          <w:rPr>
            <w:webHidden/>
          </w:rPr>
          <w:fldChar w:fldCharType="begin"/>
        </w:r>
        <w:r w:rsidRPr="00963B2F">
          <w:rPr>
            <w:webHidden/>
          </w:rPr>
          <w:instrText xml:space="preserve"> PAGEREF _Toc180594854 \h </w:instrText>
        </w:r>
        <w:r w:rsidRPr="00963B2F">
          <w:rPr>
            <w:webHidden/>
          </w:rPr>
        </w:r>
        <w:r w:rsidRPr="00963B2F">
          <w:rPr>
            <w:webHidden/>
          </w:rPr>
          <w:fldChar w:fldCharType="separate"/>
        </w:r>
        <w:r w:rsidR="00E91088">
          <w:rPr>
            <w:webHidden/>
          </w:rPr>
          <w:t>259</w:t>
        </w:r>
        <w:r w:rsidRPr="00963B2F">
          <w:rPr>
            <w:webHidden/>
          </w:rPr>
          <w:fldChar w:fldCharType="end"/>
        </w:r>
      </w:hyperlink>
    </w:p>
    <w:p w14:paraId="7F2B2EDE" w14:textId="1721D12A"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55" w:history="1">
        <w:r w:rsidRPr="00963B2F">
          <w:rPr>
            <w:rStyle w:val="Hyperlink"/>
            <w:color w:val="auto"/>
            <w:u w:val="none"/>
          </w:rPr>
          <w:t>T - III - 19: H1a: Capital market reactions (CARs) - No internati</w:t>
        </w:r>
        <w:r w:rsidRPr="00963B2F">
          <w:rPr>
            <w:rStyle w:val="Hyperlink"/>
            <w:color w:val="auto"/>
            <w:u w:val="none"/>
          </w:rPr>
          <w:t>o</w:t>
        </w:r>
        <w:r w:rsidRPr="00963B2F">
          <w:rPr>
            <w:rStyle w:val="Hyperlink"/>
            <w:color w:val="auto"/>
            <w:u w:val="none"/>
          </w:rPr>
          <w:t>nal deals</w:t>
        </w:r>
        <w:r w:rsidRPr="00963B2F">
          <w:rPr>
            <w:webHidden/>
          </w:rPr>
          <w:tab/>
        </w:r>
        <w:r w:rsidRPr="00963B2F">
          <w:rPr>
            <w:webHidden/>
          </w:rPr>
          <w:fldChar w:fldCharType="begin"/>
        </w:r>
        <w:r w:rsidRPr="00963B2F">
          <w:rPr>
            <w:webHidden/>
          </w:rPr>
          <w:instrText xml:space="preserve"> PAGEREF _Toc180594855 \h </w:instrText>
        </w:r>
        <w:r w:rsidRPr="00963B2F">
          <w:rPr>
            <w:webHidden/>
          </w:rPr>
        </w:r>
        <w:r w:rsidRPr="00963B2F">
          <w:rPr>
            <w:webHidden/>
          </w:rPr>
          <w:fldChar w:fldCharType="separate"/>
        </w:r>
        <w:r w:rsidR="00E91088">
          <w:rPr>
            <w:webHidden/>
          </w:rPr>
          <w:t>261</w:t>
        </w:r>
        <w:r w:rsidRPr="00963B2F">
          <w:rPr>
            <w:webHidden/>
          </w:rPr>
          <w:fldChar w:fldCharType="end"/>
        </w:r>
      </w:hyperlink>
    </w:p>
    <w:p w14:paraId="36B1F4C8" w14:textId="51588B95"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56" w:history="1">
        <w:r w:rsidRPr="00963B2F">
          <w:rPr>
            <w:rStyle w:val="Hyperlink"/>
            <w:color w:val="auto"/>
            <w:u w:val="none"/>
          </w:rPr>
          <w:t>T - III - 20: H1b: Long-term operating synergies - No international deals</w:t>
        </w:r>
        <w:r w:rsidRPr="00963B2F">
          <w:rPr>
            <w:webHidden/>
          </w:rPr>
          <w:tab/>
        </w:r>
        <w:r w:rsidRPr="00963B2F">
          <w:rPr>
            <w:webHidden/>
          </w:rPr>
          <w:fldChar w:fldCharType="begin"/>
        </w:r>
        <w:r w:rsidRPr="00963B2F">
          <w:rPr>
            <w:webHidden/>
          </w:rPr>
          <w:instrText xml:space="preserve"> PAGEREF _Toc180594856 \h </w:instrText>
        </w:r>
        <w:r w:rsidRPr="00963B2F">
          <w:rPr>
            <w:webHidden/>
          </w:rPr>
        </w:r>
        <w:r w:rsidRPr="00963B2F">
          <w:rPr>
            <w:webHidden/>
          </w:rPr>
          <w:fldChar w:fldCharType="separate"/>
        </w:r>
        <w:r w:rsidR="00E91088">
          <w:rPr>
            <w:webHidden/>
          </w:rPr>
          <w:t>263</w:t>
        </w:r>
        <w:r w:rsidRPr="00963B2F">
          <w:rPr>
            <w:webHidden/>
          </w:rPr>
          <w:fldChar w:fldCharType="end"/>
        </w:r>
      </w:hyperlink>
    </w:p>
    <w:p w14:paraId="6408797E" w14:textId="22864F5D"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57" w:history="1">
        <w:r w:rsidRPr="00963B2F">
          <w:rPr>
            <w:rStyle w:val="Hyperlink"/>
            <w:color w:val="auto"/>
            <w:u w:val="none"/>
          </w:rPr>
          <w:t>T - III - 21: H2: Acquisition premiums - No international deals</w:t>
        </w:r>
        <w:r w:rsidRPr="00963B2F">
          <w:rPr>
            <w:webHidden/>
          </w:rPr>
          <w:tab/>
        </w:r>
        <w:r w:rsidRPr="00963B2F">
          <w:rPr>
            <w:webHidden/>
          </w:rPr>
          <w:fldChar w:fldCharType="begin"/>
        </w:r>
        <w:r w:rsidRPr="00963B2F">
          <w:rPr>
            <w:webHidden/>
          </w:rPr>
          <w:instrText xml:space="preserve"> PAGEREF _Toc180594857 \h </w:instrText>
        </w:r>
        <w:r w:rsidRPr="00963B2F">
          <w:rPr>
            <w:webHidden/>
          </w:rPr>
        </w:r>
        <w:r w:rsidRPr="00963B2F">
          <w:rPr>
            <w:webHidden/>
          </w:rPr>
          <w:fldChar w:fldCharType="separate"/>
        </w:r>
        <w:r w:rsidR="00E91088">
          <w:rPr>
            <w:webHidden/>
          </w:rPr>
          <w:t>265</w:t>
        </w:r>
        <w:r w:rsidRPr="00963B2F">
          <w:rPr>
            <w:webHidden/>
          </w:rPr>
          <w:fldChar w:fldCharType="end"/>
        </w:r>
      </w:hyperlink>
    </w:p>
    <w:p w14:paraId="3429B2A3" w14:textId="1CC5B9A0"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58" w:history="1">
        <w:r w:rsidRPr="00963B2F">
          <w:rPr>
            <w:rStyle w:val="Hyperlink"/>
            <w:color w:val="auto"/>
            <w:u w:val="none"/>
          </w:rPr>
          <w:t>T - III - 22: H3: Innovation - No international deals</w:t>
        </w:r>
        <w:r w:rsidRPr="00963B2F">
          <w:rPr>
            <w:webHidden/>
          </w:rPr>
          <w:tab/>
        </w:r>
        <w:r w:rsidRPr="00963B2F">
          <w:rPr>
            <w:webHidden/>
          </w:rPr>
          <w:fldChar w:fldCharType="begin"/>
        </w:r>
        <w:r w:rsidRPr="00963B2F">
          <w:rPr>
            <w:webHidden/>
          </w:rPr>
          <w:instrText xml:space="preserve"> PAGEREF _Toc180594858 \h </w:instrText>
        </w:r>
        <w:r w:rsidRPr="00963B2F">
          <w:rPr>
            <w:webHidden/>
          </w:rPr>
        </w:r>
        <w:r w:rsidRPr="00963B2F">
          <w:rPr>
            <w:webHidden/>
          </w:rPr>
          <w:fldChar w:fldCharType="separate"/>
        </w:r>
        <w:r w:rsidR="00E91088">
          <w:rPr>
            <w:webHidden/>
          </w:rPr>
          <w:t>267</w:t>
        </w:r>
        <w:r w:rsidRPr="00963B2F">
          <w:rPr>
            <w:webHidden/>
          </w:rPr>
          <w:fldChar w:fldCharType="end"/>
        </w:r>
      </w:hyperlink>
    </w:p>
    <w:p w14:paraId="3EB6E537" w14:textId="04CC3385"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59" w:history="1">
        <w:r w:rsidRPr="00963B2F">
          <w:rPr>
            <w:rStyle w:val="Hyperlink"/>
            <w:color w:val="auto"/>
            <w:u w:val="none"/>
          </w:rPr>
          <w:t>T - III - 23: H1a: Capital market reactions (CARs) – Nonlinear relationship</w:t>
        </w:r>
        <w:r w:rsidRPr="00963B2F">
          <w:rPr>
            <w:webHidden/>
          </w:rPr>
          <w:tab/>
        </w:r>
        <w:r w:rsidRPr="00963B2F">
          <w:rPr>
            <w:webHidden/>
          </w:rPr>
          <w:fldChar w:fldCharType="begin"/>
        </w:r>
        <w:r w:rsidRPr="00963B2F">
          <w:rPr>
            <w:webHidden/>
          </w:rPr>
          <w:instrText xml:space="preserve"> PAGEREF _Toc180594859 \h </w:instrText>
        </w:r>
        <w:r w:rsidRPr="00963B2F">
          <w:rPr>
            <w:webHidden/>
          </w:rPr>
        </w:r>
        <w:r w:rsidRPr="00963B2F">
          <w:rPr>
            <w:webHidden/>
          </w:rPr>
          <w:fldChar w:fldCharType="separate"/>
        </w:r>
        <w:r w:rsidR="00E91088">
          <w:rPr>
            <w:webHidden/>
          </w:rPr>
          <w:t>269</w:t>
        </w:r>
        <w:r w:rsidRPr="00963B2F">
          <w:rPr>
            <w:webHidden/>
          </w:rPr>
          <w:fldChar w:fldCharType="end"/>
        </w:r>
      </w:hyperlink>
    </w:p>
    <w:p w14:paraId="09844C32" w14:textId="62F4CDC0"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60" w:history="1">
        <w:r w:rsidRPr="00963B2F">
          <w:rPr>
            <w:rStyle w:val="Hyperlink"/>
            <w:color w:val="auto"/>
            <w:u w:val="none"/>
          </w:rPr>
          <w:t>T - III - 24: H1b: Long-term operating synergies - Nonlinear relationship</w:t>
        </w:r>
        <w:r w:rsidRPr="00963B2F">
          <w:rPr>
            <w:webHidden/>
          </w:rPr>
          <w:tab/>
        </w:r>
        <w:r w:rsidRPr="00963B2F">
          <w:rPr>
            <w:webHidden/>
          </w:rPr>
          <w:fldChar w:fldCharType="begin"/>
        </w:r>
        <w:r w:rsidRPr="00963B2F">
          <w:rPr>
            <w:webHidden/>
          </w:rPr>
          <w:instrText xml:space="preserve"> PAGEREF _Toc180594860 \h </w:instrText>
        </w:r>
        <w:r w:rsidRPr="00963B2F">
          <w:rPr>
            <w:webHidden/>
          </w:rPr>
        </w:r>
        <w:r w:rsidRPr="00963B2F">
          <w:rPr>
            <w:webHidden/>
          </w:rPr>
          <w:fldChar w:fldCharType="separate"/>
        </w:r>
        <w:r w:rsidR="00E91088">
          <w:rPr>
            <w:webHidden/>
          </w:rPr>
          <w:t>271</w:t>
        </w:r>
        <w:r w:rsidRPr="00963B2F">
          <w:rPr>
            <w:webHidden/>
          </w:rPr>
          <w:fldChar w:fldCharType="end"/>
        </w:r>
      </w:hyperlink>
    </w:p>
    <w:p w14:paraId="336BCC24" w14:textId="094FF4AD"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61" w:history="1">
        <w:r w:rsidRPr="00963B2F">
          <w:rPr>
            <w:rStyle w:val="Hyperlink"/>
            <w:color w:val="auto"/>
            <w:u w:val="none"/>
          </w:rPr>
          <w:t>T - III - 25: H2: Acquisition premiums - Nonlinear relationship</w:t>
        </w:r>
        <w:r w:rsidRPr="00963B2F">
          <w:rPr>
            <w:webHidden/>
          </w:rPr>
          <w:tab/>
        </w:r>
        <w:r w:rsidRPr="00963B2F">
          <w:rPr>
            <w:webHidden/>
          </w:rPr>
          <w:fldChar w:fldCharType="begin"/>
        </w:r>
        <w:r w:rsidRPr="00963B2F">
          <w:rPr>
            <w:webHidden/>
          </w:rPr>
          <w:instrText xml:space="preserve"> PAGEREF _Toc180594861 \h </w:instrText>
        </w:r>
        <w:r w:rsidRPr="00963B2F">
          <w:rPr>
            <w:webHidden/>
          </w:rPr>
        </w:r>
        <w:r w:rsidRPr="00963B2F">
          <w:rPr>
            <w:webHidden/>
          </w:rPr>
          <w:fldChar w:fldCharType="separate"/>
        </w:r>
        <w:r w:rsidR="00E91088">
          <w:rPr>
            <w:webHidden/>
          </w:rPr>
          <w:t>273</w:t>
        </w:r>
        <w:r w:rsidRPr="00963B2F">
          <w:rPr>
            <w:webHidden/>
          </w:rPr>
          <w:fldChar w:fldCharType="end"/>
        </w:r>
      </w:hyperlink>
    </w:p>
    <w:p w14:paraId="498360D6" w14:textId="15D7A0D2"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62" w:history="1">
        <w:r w:rsidRPr="00963B2F">
          <w:rPr>
            <w:rStyle w:val="Hyperlink"/>
            <w:color w:val="auto"/>
            <w:u w:val="none"/>
          </w:rPr>
          <w:t>T - III - 26: H3: Innovation - Nonlinear relationship</w:t>
        </w:r>
        <w:r w:rsidRPr="00963B2F">
          <w:rPr>
            <w:webHidden/>
          </w:rPr>
          <w:tab/>
        </w:r>
        <w:r w:rsidRPr="00963B2F">
          <w:rPr>
            <w:webHidden/>
          </w:rPr>
          <w:fldChar w:fldCharType="begin"/>
        </w:r>
        <w:r w:rsidRPr="00963B2F">
          <w:rPr>
            <w:webHidden/>
          </w:rPr>
          <w:instrText xml:space="preserve"> PAGEREF _Toc180594862 \h </w:instrText>
        </w:r>
        <w:r w:rsidRPr="00963B2F">
          <w:rPr>
            <w:webHidden/>
          </w:rPr>
        </w:r>
        <w:r w:rsidRPr="00963B2F">
          <w:rPr>
            <w:webHidden/>
          </w:rPr>
          <w:fldChar w:fldCharType="separate"/>
        </w:r>
        <w:r w:rsidR="00E91088">
          <w:rPr>
            <w:webHidden/>
          </w:rPr>
          <w:t>275</w:t>
        </w:r>
        <w:r w:rsidRPr="00963B2F">
          <w:rPr>
            <w:webHidden/>
          </w:rPr>
          <w:fldChar w:fldCharType="end"/>
        </w:r>
      </w:hyperlink>
    </w:p>
    <w:p w14:paraId="5026D0D3" w14:textId="40B3C7FD"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63" w:history="1">
        <w:r w:rsidRPr="00963B2F">
          <w:rPr>
            <w:rStyle w:val="Hyperlink"/>
            <w:color w:val="auto"/>
            <w:u w:val="none"/>
          </w:rPr>
          <w:t>T - III - 27: H1a: Capital market reactions (CARs) – Acquisition premium</w:t>
        </w:r>
        <w:r w:rsidRPr="00963B2F">
          <w:rPr>
            <w:webHidden/>
          </w:rPr>
          <w:tab/>
        </w:r>
        <w:r w:rsidRPr="00963B2F">
          <w:rPr>
            <w:webHidden/>
          </w:rPr>
          <w:fldChar w:fldCharType="begin"/>
        </w:r>
        <w:r w:rsidRPr="00963B2F">
          <w:rPr>
            <w:webHidden/>
          </w:rPr>
          <w:instrText xml:space="preserve"> PAGEREF _Toc180594863 \h </w:instrText>
        </w:r>
        <w:r w:rsidRPr="00963B2F">
          <w:rPr>
            <w:webHidden/>
          </w:rPr>
        </w:r>
        <w:r w:rsidRPr="00963B2F">
          <w:rPr>
            <w:webHidden/>
          </w:rPr>
          <w:fldChar w:fldCharType="separate"/>
        </w:r>
        <w:r w:rsidR="00E91088">
          <w:rPr>
            <w:webHidden/>
          </w:rPr>
          <w:t>277</w:t>
        </w:r>
        <w:r w:rsidRPr="00963B2F">
          <w:rPr>
            <w:webHidden/>
          </w:rPr>
          <w:fldChar w:fldCharType="end"/>
        </w:r>
      </w:hyperlink>
    </w:p>
    <w:p w14:paraId="7C261BBF" w14:textId="025FF2CD"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64" w:history="1">
        <w:r w:rsidRPr="00963B2F">
          <w:rPr>
            <w:rStyle w:val="Hyperlink"/>
            <w:color w:val="auto"/>
            <w:u w:val="none"/>
          </w:rPr>
          <w:t>T - III - 28: H1b: Long-term operating synergies – Acquisition premium</w:t>
        </w:r>
        <w:r w:rsidRPr="00963B2F">
          <w:rPr>
            <w:webHidden/>
          </w:rPr>
          <w:tab/>
        </w:r>
        <w:r w:rsidRPr="00963B2F">
          <w:rPr>
            <w:webHidden/>
          </w:rPr>
          <w:fldChar w:fldCharType="begin"/>
        </w:r>
        <w:r w:rsidRPr="00963B2F">
          <w:rPr>
            <w:webHidden/>
          </w:rPr>
          <w:instrText xml:space="preserve"> PAGEREF _Toc180594864 \h </w:instrText>
        </w:r>
        <w:r w:rsidRPr="00963B2F">
          <w:rPr>
            <w:webHidden/>
          </w:rPr>
        </w:r>
        <w:r w:rsidRPr="00963B2F">
          <w:rPr>
            <w:webHidden/>
          </w:rPr>
          <w:fldChar w:fldCharType="separate"/>
        </w:r>
        <w:r w:rsidR="00E91088">
          <w:rPr>
            <w:webHidden/>
          </w:rPr>
          <w:t>279</w:t>
        </w:r>
        <w:r w:rsidRPr="00963B2F">
          <w:rPr>
            <w:webHidden/>
          </w:rPr>
          <w:fldChar w:fldCharType="end"/>
        </w:r>
      </w:hyperlink>
    </w:p>
    <w:p w14:paraId="5D035A35" w14:textId="2D08FAC1"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65" w:history="1">
        <w:r w:rsidRPr="00963B2F">
          <w:rPr>
            <w:rStyle w:val="Hyperlink"/>
            <w:color w:val="auto"/>
            <w:u w:val="none"/>
          </w:rPr>
          <w:t>T - III - 29: H3: Innovation – Acquisition premium</w:t>
        </w:r>
        <w:r w:rsidRPr="00963B2F">
          <w:rPr>
            <w:webHidden/>
          </w:rPr>
          <w:tab/>
        </w:r>
        <w:r w:rsidRPr="00963B2F">
          <w:rPr>
            <w:webHidden/>
          </w:rPr>
          <w:fldChar w:fldCharType="begin"/>
        </w:r>
        <w:r w:rsidRPr="00963B2F">
          <w:rPr>
            <w:webHidden/>
          </w:rPr>
          <w:instrText xml:space="preserve"> PAGEREF _Toc180594865 \h </w:instrText>
        </w:r>
        <w:r w:rsidRPr="00963B2F">
          <w:rPr>
            <w:webHidden/>
          </w:rPr>
        </w:r>
        <w:r w:rsidRPr="00963B2F">
          <w:rPr>
            <w:webHidden/>
          </w:rPr>
          <w:fldChar w:fldCharType="separate"/>
        </w:r>
        <w:r w:rsidR="00E91088">
          <w:rPr>
            <w:webHidden/>
          </w:rPr>
          <w:t>281</w:t>
        </w:r>
        <w:r w:rsidRPr="00963B2F">
          <w:rPr>
            <w:webHidden/>
          </w:rPr>
          <w:fldChar w:fldCharType="end"/>
        </w:r>
      </w:hyperlink>
    </w:p>
    <w:p w14:paraId="64A88BC7" w14:textId="2DDB8D17"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66" w:history="1">
        <w:r w:rsidRPr="00963B2F">
          <w:rPr>
            <w:rStyle w:val="Hyperlink"/>
            <w:color w:val="auto"/>
            <w:u w:val="none"/>
          </w:rPr>
          <w:t>T - III - 30: H1a: Capital market reactions (CARs) - Alternative distance measures</w:t>
        </w:r>
        <w:r w:rsidRPr="00963B2F">
          <w:rPr>
            <w:webHidden/>
          </w:rPr>
          <w:tab/>
        </w:r>
        <w:r w:rsidRPr="00963B2F">
          <w:rPr>
            <w:webHidden/>
          </w:rPr>
          <w:fldChar w:fldCharType="begin"/>
        </w:r>
        <w:r w:rsidRPr="00963B2F">
          <w:rPr>
            <w:webHidden/>
          </w:rPr>
          <w:instrText xml:space="preserve"> PAGEREF _Toc180594866 \h </w:instrText>
        </w:r>
        <w:r w:rsidRPr="00963B2F">
          <w:rPr>
            <w:webHidden/>
          </w:rPr>
        </w:r>
        <w:r w:rsidRPr="00963B2F">
          <w:rPr>
            <w:webHidden/>
          </w:rPr>
          <w:fldChar w:fldCharType="separate"/>
        </w:r>
        <w:r w:rsidR="00E91088">
          <w:rPr>
            <w:webHidden/>
          </w:rPr>
          <w:t>283</w:t>
        </w:r>
        <w:r w:rsidRPr="00963B2F">
          <w:rPr>
            <w:webHidden/>
          </w:rPr>
          <w:fldChar w:fldCharType="end"/>
        </w:r>
      </w:hyperlink>
    </w:p>
    <w:p w14:paraId="31073A0B" w14:textId="274C9AA1"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67" w:history="1">
        <w:r w:rsidRPr="00963B2F">
          <w:rPr>
            <w:rStyle w:val="Hyperlink"/>
            <w:color w:val="auto"/>
            <w:u w:val="none"/>
          </w:rPr>
          <w:t>T - III - 31: H1b: Long-term operating synergies - Alternative distance measures</w:t>
        </w:r>
        <w:r w:rsidRPr="00963B2F">
          <w:rPr>
            <w:webHidden/>
          </w:rPr>
          <w:tab/>
        </w:r>
        <w:r w:rsidRPr="00963B2F">
          <w:rPr>
            <w:webHidden/>
          </w:rPr>
          <w:fldChar w:fldCharType="begin"/>
        </w:r>
        <w:r w:rsidRPr="00963B2F">
          <w:rPr>
            <w:webHidden/>
          </w:rPr>
          <w:instrText xml:space="preserve"> PAGEREF _Toc180594867 \h </w:instrText>
        </w:r>
        <w:r w:rsidRPr="00963B2F">
          <w:rPr>
            <w:webHidden/>
          </w:rPr>
        </w:r>
        <w:r w:rsidRPr="00963B2F">
          <w:rPr>
            <w:webHidden/>
          </w:rPr>
          <w:fldChar w:fldCharType="separate"/>
        </w:r>
        <w:r w:rsidR="00E91088">
          <w:rPr>
            <w:webHidden/>
          </w:rPr>
          <w:t>285</w:t>
        </w:r>
        <w:r w:rsidRPr="00963B2F">
          <w:rPr>
            <w:webHidden/>
          </w:rPr>
          <w:fldChar w:fldCharType="end"/>
        </w:r>
      </w:hyperlink>
    </w:p>
    <w:p w14:paraId="7D4A8F49" w14:textId="4283EF4F"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68" w:history="1">
        <w:r w:rsidRPr="00963B2F">
          <w:rPr>
            <w:rStyle w:val="Hyperlink"/>
            <w:color w:val="auto"/>
            <w:u w:val="none"/>
          </w:rPr>
          <w:t>T - III - 32: H2: Acquisition premiums - Alternative distance measures</w:t>
        </w:r>
        <w:r w:rsidRPr="00963B2F">
          <w:rPr>
            <w:webHidden/>
          </w:rPr>
          <w:tab/>
        </w:r>
        <w:r w:rsidRPr="00963B2F">
          <w:rPr>
            <w:webHidden/>
          </w:rPr>
          <w:fldChar w:fldCharType="begin"/>
        </w:r>
        <w:r w:rsidRPr="00963B2F">
          <w:rPr>
            <w:webHidden/>
          </w:rPr>
          <w:instrText xml:space="preserve"> PAGEREF _Toc180594868 \h </w:instrText>
        </w:r>
        <w:r w:rsidRPr="00963B2F">
          <w:rPr>
            <w:webHidden/>
          </w:rPr>
        </w:r>
        <w:r w:rsidRPr="00963B2F">
          <w:rPr>
            <w:webHidden/>
          </w:rPr>
          <w:fldChar w:fldCharType="separate"/>
        </w:r>
        <w:r w:rsidR="00E91088">
          <w:rPr>
            <w:webHidden/>
          </w:rPr>
          <w:t>287</w:t>
        </w:r>
        <w:r w:rsidRPr="00963B2F">
          <w:rPr>
            <w:webHidden/>
          </w:rPr>
          <w:fldChar w:fldCharType="end"/>
        </w:r>
      </w:hyperlink>
    </w:p>
    <w:p w14:paraId="3067D4D0" w14:textId="109087CE"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69" w:history="1">
        <w:r w:rsidRPr="00963B2F">
          <w:rPr>
            <w:rStyle w:val="Hyperlink"/>
            <w:color w:val="auto"/>
            <w:u w:val="none"/>
          </w:rPr>
          <w:t>T - III - 33: H3: Innovation - Alternative distance measures</w:t>
        </w:r>
        <w:r w:rsidRPr="00963B2F">
          <w:rPr>
            <w:webHidden/>
          </w:rPr>
          <w:tab/>
        </w:r>
        <w:r w:rsidRPr="00963B2F">
          <w:rPr>
            <w:webHidden/>
          </w:rPr>
          <w:fldChar w:fldCharType="begin"/>
        </w:r>
        <w:r w:rsidRPr="00963B2F">
          <w:rPr>
            <w:webHidden/>
          </w:rPr>
          <w:instrText xml:space="preserve"> PAGEREF _Toc180594869 \h </w:instrText>
        </w:r>
        <w:r w:rsidRPr="00963B2F">
          <w:rPr>
            <w:webHidden/>
          </w:rPr>
        </w:r>
        <w:r w:rsidRPr="00963B2F">
          <w:rPr>
            <w:webHidden/>
          </w:rPr>
          <w:fldChar w:fldCharType="separate"/>
        </w:r>
        <w:r w:rsidR="00E91088">
          <w:rPr>
            <w:webHidden/>
          </w:rPr>
          <w:t>289</w:t>
        </w:r>
        <w:r w:rsidRPr="00963B2F">
          <w:rPr>
            <w:webHidden/>
          </w:rPr>
          <w:fldChar w:fldCharType="end"/>
        </w:r>
      </w:hyperlink>
    </w:p>
    <w:p w14:paraId="1A5BFB9E" w14:textId="62C5F4D1"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70" w:history="1">
        <w:r w:rsidRPr="00963B2F">
          <w:rPr>
            <w:rStyle w:val="Hyperlink"/>
            <w:color w:val="auto"/>
            <w:u w:val="none"/>
          </w:rPr>
          <w:t>T - III - 34: H1a: Capital market reactions (CARs) - Alternative time frame</w:t>
        </w:r>
        <w:r w:rsidRPr="00963B2F">
          <w:rPr>
            <w:webHidden/>
          </w:rPr>
          <w:tab/>
        </w:r>
        <w:r w:rsidRPr="00963B2F">
          <w:rPr>
            <w:webHidden/>
          </w:rPr>
          <w:fldChar w:fldCharType="begin"/>
        </w:r>
        <w:r w:rsidRPr="00963B2F">
          <w:rPr>
            <w:webHidden/>
          </w:rPr>
          <w:instrText xml:space="preserve"> PAGEREF _Toc180594870 \h </w:instrText>
        </w:r>
        <w:r w:rsidRPr="00963B2F">
          <w:rPr>
            <w:webHidden/>
          </w:rPr>
        </w:r>
        <w:r w:rsidRPr="00963B2F">
          <w:rPr>
            <w:webHidden/>
          </w:rPr>
          <w:fldChar w:fldCharType="separate"/>
        </w:r>
        <w:r w:rsidR="00E91088">
          <w:rPr>
            <w:webHidden/>
          </w:rPr>
          <w:t>291</w:t>
        </w:r>
        <w:r w:rsidRPr="00963B2F">
          <w:rPr>
            <w:webHidden/>
          </w:rPr>
          <w:fldChar w:fldCharType="end"/>
        </w:r>
      </w:hyperlink>
    </w:p>
    <w:p w14:paraId="55D09DE2" w14:textId="471164E9"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71" w:history="1">
        <w:r w:rsidRPr="00963B2F">
          <w:rPr>
            <w:rStyle w:val="Hyperlink"/>
            <w:color w:val="auto"/>
            <w:u w:val="none"/>
          </w:rPr>
          <w:t>T - III - 35: H1a: Capital market reactions (CARs) - Alternative market portfolio (Russel 3000)</w:t>
        </w:r>
        <w:r w:rsidRPr="00963B2F">
          <w:rPr>
            <w:webHidden/>
          </w:rPr>
          <w:tab/>
        </w:r>
        <w:r w:rsidRPr="00963B2F">
          <w:rPr>
            <w:webHidden/>
          </w:rPr>
          <w:fldChar w:fldCharType="begin"/>
        </w:r>
        <w:r w:rsidRPr="00963B2F">
          <w:rPr>
            <w:webHidden/>
          </w:rPr>
          <w:instrText xml:space="preserve"> PAGEREF _Toc180594871 \h </w:instrText>
        </w:r>
        <w:r w:rsidRPr="00963B2F">
          <w:rPr>
            <w:webHidden/>
          </w:rPr>
        </w:r>
        <w:r w:rsidRPr="00963B2F">
          <w:rPr>
            <w:webHidden/>
          </w:rPr>
          <w:fldChar w:fldCharType="separate"/>
        </w:r>
        <w:r w:rsidR="00E91088">
          <w:rPr>
            <w:webHidden/>
          </w:rPr>
          <w:t>293</w:t>
        </w:r>
        <w:r w:rsidRPr="00963B2F">
          <w:rPr>
            <w:webHidden/>
          </w:rPr>
          <w:fldChar w:fldCharType="end"/>
        </w:r>
      </w:hyperlink>
    </w:p>
    <w:p w14:paraId="3F45DDDD" w14:textId="512CE8CE"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72" w:history="1">
        <w:r w:rsidRPr="00963B2F">
          <w:rPr>
            <w:rStyle w:val="Hyperlink"/>
            <w:color w:val="auto"/>
            <w:u w:val="none"/>
          </w:rPr>
          <w:t>T - III - 36: Summary statistics for actual and pseudo deals</w:t>
        </w:r>
        <w:r w:rsidRPr="00963B2F">
          <w:rPr>
            <w:webHidden/>
          </w:rPr>
          <w:tab/>
        </w:r>
        <w:r w:rsidRPr="00963B2F">
          <w:rPr>
            <w:webHidden/>
          </w:rPr>
          <w:fldChar w:fldCharType="begin"/>
        </w:r>
        <w:r w:rsidRPr="00963B2F">
          <w:rPr>
            <w:webHidden/>
          </w:rPr>
          <w:instrText xml:space="preserve"> PAGEREF _Toc180594872 \h </w:instrText>
        </w:r>
        <w:r w:rsidRPr="00963B2F">
          <w:rPr>
            <w:webHidden/>
          </w:rPr>
        </w:r>
        <w:r w:rsidRPr="00963B2F">
          <w:rPr>
            <w:webHidden/>
          </w:rPr>
          <w:fldChar w:fldCharType="separate"/>
        </w:r>
        <w:r w:rsidR="00E91088">
          <w:rPr>
            <w:webHidden/>
          </w:rPr>
          <w:t>295</w:t>
        </w:r>
        <w:r w:rsidRPr="00963B2F">
          <w:rPr>
            <w:webHidden/>
          </w:rPr>
          <w:fldChar w:fldCharType="end"/>
        </w:r>
      </w:hyperlink>
    </w:p>
    <w:p w14:paraId="765D3D4D" w14:textId="74FF31AB"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873" w:history="1">
        <w:r w:rsidRPr="00963B2F">
          <w:rPr>
            <w:rStyle w:val="Hyperlink"/>
            <w:color w:val="auto"/>
            <w:u w:val="none"/>
          </w:rPr>
          <w:t>T - III - 37: H1b: Long-term operating synergies – Matched actual and pseudo deals</w:t>
        </w:r>
        <w:r w:rsidRPr="00963B2F">
          <w:rPr>
            <w:webHidden/>
          </w:rPr>
          <w:tab/>
        </w:r>
        <w:r w:rsidRPr="00963B2F">
          <w:rPr>
            <w:webHidden/>
          </w:rPr>
          <w:fldChar w:fldCharType="begin"/>
        </w:r>
        <w:r w:rsidRPr="00963B2F">
          <w:rPr>
            <w:webHidden/>
          </w:rPr>
          <w:instrText xml:space="preserve"> PAGEREF _Toc180594873 \h </w:instrText>
        </w:r>
        <w:r w:rsidRPr="00963B2F">
          <w:rPr>
            <w:webHidden/>
          </w:rPr>
        </w:r>
        <w:r w:rsidRPr="00963B2F">
          <w:rPr>
            <w:webHidden/>
          </w:rPr>
          <w:fldChar w:fldCharType="separate"/>
        </w:r>
        <w:r w:rsidR="00E91088">
          <w:rPr>
            <w:webHidden/>
          </w:rPr>
          <w:t>296</w:t>
        </w:r>
        <w:r w:rsidRPr="00963B2F">
          <w:rPr>
            <w:webHidden/>
          </w:rPr>
          <w:fldChar w:fldCharType="end"/>
        </w:r>
      </w:hyperlink>
    </w:p>
    <w:p w14:paraId="791D140D" w14:textId="6904451D" w:rsidR="00EE402D" w:rsidRPr="00963B2F" w:rsidRDefault="009216E9" w:rsidP="00E52EBD">
      <w:pPr>
        <w:spacing w:after="80" w:line="240" w:lineRule="auto"/>
        <w:rPr>
          <w:rFonts w:cs="Times New Roman"/>
          <w:b/>
          <w:szCs w:val="24"/>
          <w:lang w:eastAsia="de-DE"/>
        </w:rPr>
      </w:pPr>
      <w:r w:rsidRPr="00963B2F">
        <w:rPr>
          <w:rFonts w:cs="Times New Roman"/>
          <w:szCs w:val="24"/>
          <w:lang w:eastAsia="de-DE"/>
        </w:rPr>
        <w:fldChar w:fldCharType="end"/>
      </w:r>
      <w:r w:rsidR="00EE402D" w:rsidRPr="00963B2F">
        <w:rPr>
          <w:b/>
          <w:lang w:eastAsia="de-DE"/>
        </w:rPr>
        <w:br w:type="page"/>
      </w:r>
    </w:p>
    <w:p w14:paraId="3593F553" w14:textId="04818D79" w:rsidR="00902A38" w:rsidRPr="00687B46" w:rsidRDefault="00EE402D" w:rsidP="00E52EBD">
      <w:pPr>
        <w:pStyle w:val="Tabelle"/>
        <w:spacing w:after="80"/>
      </w:pPr>
      <w:r w:rsidRPr="00687B46">
        <w:lastRenderedPageBreak/>
        <w:t>LIST</w:t>
      </w:r>
      <w:r w:rsidR="00902A38" w:rsidRPr="00687B46">
        <w:t xml:space="preserve"> OF FIGURES</w:t>
      </w:r>
    </w:p>
    <w:p w14:paraId="1099460C" w14:textId="77777777" w:rsidR="00E8448F" w:rsidRPr="00E8448F" w:rsidRDefault="00ED6296" w:rsidP="00687B46">
      <w:pPr>
        <w:pStyle w:val="Verzeichnis1"/>
        <w:rPr>
          <w:color w:val="000000" w:themeColor="text1"/>
        </w:rPr>
      </w:pPr>
      <w:r w:rsidRPr="00E8448F">
        <w:rPr>
          <w:color w:val="000000" w:themeColor="text1"/>
        </w:rPr>
        <w:t>I.</w:t>
      </w:r>
      <w:r w:rsidRPr="00E8448F">
        <w:rPr>
          <w:color w:val="000000" w:themeColor="text1"/>
        </w:rPr>
        <w:tab/>
        <w:t>BOARD INTERLOCKS AND FIRM PERFORMANCE: A META-ANALYSIS</w:t>
      </w:r>
      <w:r w:rsidRPr="00E8448F">
        <w:rPr>
          <w:color w:val="000000" w:themeColor="text1"/>
        </w:rPr>
        <w:tab/>
      </w:r>
      <w:r w:rsidR="003A640A" w:rsidRPr="00E8448F">
        <w:rPr>
          <w:color w:val="000000" w:themeColor="text1"/>
        </w:rPr>
        <w:fldChar w:fldCharType="begin"/>
      </w:r>
      <w:r w:rsidR="003A640A" w:rsidRPr="00E8448F">
        <w:rPr>
          <w:color w:val="000000" w:themeColor="text1"/>
        </w:rPr>
        <w:instrText xml:space="preserve"> TOC \h \z \c "F - I -" </w:instrText>
      </w:r>
      <w:r w:rsidR="003A640A" w:rsidRPr="00E8448F">
        <w:rPr>
          <w:color w:val="000000" w:themeColor="text1"/>
        </w:rPr>
        <w:fldChar w:fldCharType="separate"/>
      </w:r>
    </w:p>
    <w:p w14:paraId="6320FC12" w14:textId="04079686" w:rsidR="00E8448F" w:rsidRPr="00E8448F" w:rsidRDefault="00E8448F">
      <w:pPr>
        <w:pStyle w:val="Abbildungsverzeichnis"/>
        <w:rPr>
          <w:rFonts w:asciiTheme="minorHAnsi" w:eastAsiaTheme="minorEastAsia" w:hAnsiTheme="minorHAnsi" w:cstheme="minorBidi"/>
          <w:color w:val="000000" w:themeColor="text1"/>
          <w:kern w:val="2"/>
          <w:lang w:eastAsia="de-DE"/>
          <w14:ligatures w14:val="standardContextual"/>
        </w:rPr>
      </w:pPr>
      <w:r w:rsidRPr="00E8448F">
        <w:rPr>
          <w:rStyle w:val="Hyperlink"/>
          <w:color w:val="000000" w:themeColor="text1"/>
          <w:u w:val="none"/>
        </w:rPr>
        <w:tab/>
      </w:r>
      <w:hyperlink w:anchor="_Toc180994498" w:history="1">
        <w:r w:rsidRPr="00E8448F">
          <w:rPr>
            <w:rStyle w:val="Hyperlink"/>
            <w:color w:val="000000" w:themeColor="text1"/>
            <w:u w:val="none"/>
          </w:rPr>
          <w:t>F - I - 1: Research model</w:t>
        </w:r>
        <w:r w:rsidRPr="00E8448F">
          <w:rPr>
            <w:webHidden/>
            <w:color w:val="000000" w:themeColor="text1"/>
          </w:rPr>
          <w:tab/>
        </w:r>
        <w:r w:rsidRPr="00E8448F">
          <w:rPr>
            <w:webHidden/>
            <w:color w:val="000000" w:themeColor="text1"/>
          </w:rPr>
          <w:fldChar w:fldCharType="begin"/>
        </w:r>
        <w:r w:rsidRPr="00E8448F">
          <w:rPr>
            <w:webHidden/>
            <w:color w:val="000000" w:themeColor="text1"/>
          </w:rPr>
          <w:instrText xml:space="preserve"> PAGEREF _Toc180994498 \h </w:instrText>
        </w:r>
        <w:r w:rsidRPr="00E8448F">
          <w:rPr>
            <w:webHidden/>
            <w:color w:val="000000" w:themeColor="text1"/>
          </w:rPr>
        </w:r>
        <w:r w:rsidRPr="00E8448F">
          <w:rPr>
            <w:webHidden/>
            <w:color w:val="000000" w:themeColor="text1"/>
          </w:rPr>
          <w:fldChar w:fldCharType="separate"/>
        </w:r>
        <w:r w:rsidR="00E91088">
          <w:rPr>
            <w:webHidden/>
            <w:color w:val="000000" w:themeColor="text1"/>
          </w:rPr>
          <w:t>73</w:t>
        </w:r>
        <w:r w:rsidRPr="00E8448F">
          <w:rPr>
            <w:webHidden/>
            <w:color w:val="000000" w:themeColor="text1"/>
          </w:rPr>
          <w:fldChar w:fldCharType="end"/>
        </w:r>
      </w:hyperlink>
    </w:p>
    <w:p w14:paraId="037323D9" w14:textId="02B72EB0" w:rsidR="00E8448F" w:rsidRPr="00E8448F" w:rsidRDefault="00E8448F">
      <w:pPr>
        <w:pStyle w:val="Abbildungsverzeichnis"/>
        <w:rPr>
          <w:rFonts w:asciiTheme="minorHAnsi" w:eastAsiaTheme="minorEastAsia" w:hAnsiTheme="minorHAnsi" w:cstheme="minorBidi"/>
          <w:color w:val="000000" w:themeColor="text1"/>
          <w:kern w:val="2"/>
          <w:lang w:eastAsia="de-DE"/>
          <w14:ligatures w14:val="standardContextual"/>
        </w:rPr>
      </w:pPr>
      <w:r w:rsidRPr="00E8448F">
        <w:rPr>
          <w:rStyle w:val="Hyperlink"/>
          <w:color w:val="000000" w:themeColor="text1"/>
          <w:u w:val="none"/>
        </w:rPr>
        <w:tab/>
      </w:r>
      <w:hyperlink w:anchor="_Toc180994499" w:history="1">
        <w:r w:rsidRPr="00E8448F">
          <w:rPr>
            <w:rStyle w:val="Hyperlink"/>
            <w:color w:val="000000" w:themeColor="text1"/>
            <w:u w:val="none"/>
          </w:rPr>
          <w:t>F - I - 2: MASEM results</w:t>
        </w:r>
        <w:r w:rsidRPr="00E8448F">
          <w:rPr>
            <w:webHidden/>
            <w:color w:val="000000" w:themeColor="text1"/>
          </w:rPr>
          <w:tab/>
        </w:r>
        <w:r w:rsidRPr="00E8448F">
          <w:rPr>
            <w:webHidden/>
            <w:color w:val="000000" w:themeColor="text1"/>
          </w:rPr>
          <w:fldChar w:fldCharType="begin"/>
        </w:r>
        <w:r w:rsidRPr="00E8448F">
          <w:rPr>
            <w:webHidden/>
            <w:color w:val="000000" w:themeColor="text1"/>
          </w:rPr>
          <w:instrText xml:space="preserve"> PAGEREF _Toc180994499 \h </w:instrText>
        </w:r>
        <w:r w:rsidRPr="00E8448F">
          <w:rPr>
            <w:webHidden/>
            <w:color w:val="000000" w:themeColor="text1"/>
          </w:rPr>
        </w:r>
        <w:r w:rsidRPr="00E8448F">
          <w:rPr>
            <w:webHidden/>
            <w:color w:val="000000" w:themeColor="text1"/>
          </w:rPr>
          <w:fldChar w:fldCharType="separate"/>
        </w:r>
        <w:r w:rsidR="00E91088">
          <w:rPr>
            <w:webHidden/>
            <w:color w:val="000000" w:themeColor="text1"/>
          </w:rPr>
          <w:t>74</w:t>
        </w:r>
        <w:r w:rsidRPr="00E8448F">
          <w:rPr>
            <w:webHidden/>
            <w:color w:val="000000" w:themeColor="text1"/>
          </w:rPr>
          <w:fldChar w:fldCharType="end"/>
        </w:r>
      </w:hyperlink>
    </w:p>
    <w:p w14:paraId="4C0D77D6" w14:textId="24C9DB1D" w:rsidR="00963B2F" w:rsidRPr="00BE5632" w:rsidRDefault="003A640A" w:rsidP="00141E55">
      <w:pPr>
        <w:pStyle w:val="Abbildungsverzeichnis"/>
        <w:ind w:left="0" w:firstLine="0"/>
        <w:rPr>
          <w:lang w:val="en-US"/>
        </w:rPr>
      </w:pPr>
      <w:r w:rsidRPr="00E8448F">
        <w:rPr>
          <w:color w:val="000000" w:themeColor="text1"/>
        </w:rPr>
        <w:fldChar w:fldCharType="end"/>
      </w:r>
      <w:r w:rsidR="00ED6296" w:rsidRPr="00ED6296">
        <w:rPr>
          <w:lang w:val="en-US"/>
        </w:rPr>
        <w:t>II.    RESOURCE APPROPRIATION IN STRATEGIC ALLIANCES:  THE IMPACT OF     BOARD INTERLOCKS ON DIFFERENTIAL BENEFITS</w:t>
      </w:r>
      <w:r w:rsidR="00ED6296" w:rsidRPr="00ED6296">
        <w:rPr>
          <w:lang w:val="en-US"/>
        </w:rPr>
        <w:tab/>
      </w:r>
      <w:r w:rsidR="00AB555B" w:rsidRPr="00963B2F">
        <w:fldChar w:fldCharType="begin"/>
      </w:r>
      <w:r w:rsidR="00AB555B" w:rsidRPr="00963B2F">
        <w:rPr>
          <w:lang w:val="en-US"/>
        </w:rPr>
        <w:instrText xml:space="preserve"> TOC \h \z \c "F - II -" </w:instrText>
      </w:r>
      <w:r w:rsidR="00AB555B" w:rsidRPr="00963B2F">
        <w:fldChar w:fldCharType="separate"/>
      </w:r>
    </w:p>
    <w:p w14:paraId="3BBB3A23" w14:textId="767972B6"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BE5632">
        <w:rPr>
          <w:rStyle w:val="Hyperlink"/>
          <w:color w:val="auto"/>
          <w:u w:val="none"/>
          <w:lang w:val="en-US"/>
        </w:rPr>
        <w:tab/>
      </w:r>
      <w:hyperlink w:anchor="_Toc180594984" w:history="1">
        <w:r w:rsidRPr="00963B2F">
          <w:rPr>
            <w:rStyle w:val="Hyperlink"/>
            <w:color w:val="auto"/>
            <w:u w:val="none"/>
          </w:rPr>
          <w:t>F - II - 1: Research model</w:t>
        </w:r>
        <w:r w:rsidRPr="00963B2F">
          <w:rPr>
            <w:webHidden/>
          </w:rPr>
          <w:tab/>
        </w:r>
        <w:r w:rsidRPr="00963B2F">
          <w:rPr>
            <w:webHidden/>
          </w:rPr>
          <w:fldChar w:fldCharType="begin"/>
        </w:r>
        <w:r w:rsidRPr="00963B2F">
          <w:rPr>
            <w:webHidden/>
          </w:rPr>
          <w:instrText xml:space="preserve"> PAGEREF _Toc180594984 \h </w:instrText>
        </w:r>
        <w:r w:rsidRPr="00963B2F">
          <w:rPr>
            <w:webHidden/>
          </w:rPr>
        </w:r>
        <w:r w:rsidRPr="00963B2F">
          <w:rPr>
            <w:webHidden/>
          </w:rPr>
          <w:fldChar w:fldCharType="separate"/>
        </w:r>
        <w:r w:rsidR="00E91088">
          <w:rPr>
            <w:webHidden/>
          </w:rPr>
          <w:t>147</w:t>
        </w:r>
        <w:r w:rsidRPr="00963B2F">
          <w:rPr>
            <w:webHidden/>
          </w:rPr>
          <w:fldChar w:fldCharType="end"/>
        </w:r>
      </w:hyperlink>
    </w:p>
    <w:p w14:paraId="18B2320D" w14:textId="30E21D42"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985" w:history="1">
        <w:r w:rsidRPr="00963B2F">
          <w:rPr>
            <w:rStyle w:val="Hyperlink"/>
            <w:color w:val="auto"/>
            <w:u w:val="none"/>
          </w:rPr>
          <w:t>F - II - 2: Proposed effect of direct board interlocks on alliance partner strategies</w:t>
        </w:r>
        <w:r w:rsidRPr="00963B2F">
          <w:rPr>
            <w:webHidden/>
          </w:rPr>
          <w:tab/>
        </w:r>
        <w:r w:rsidRPr="00963B2F">
          <w:rPr>
            <w:webHidden/>
          </w:rPr>
          <w:fldChar w:fldCharType="begin"/>
        </w:r>
        <w:r w:rsidRPr="00963B2F">
          <w:rPr>
            <w:webHidden/>
          </w:rPr>
          <w:instrText xml:space="preserve"> PAGEREF _Toc180594985 \h </w:instrText>
        </w:r>
        <w:r w:rsidRPr="00963B2F">
          <w:rPr>
            <w:webHidden/>
          </w:rPr>
        </w:r>
        <w:r w:rsidRPr="00963B2F">
          <w:rPr>
            <w:webHidden/>
          </w:rPr>
          <w:fldChar w:fldCharType="separate"/>
        </w:r>
        <w:r w:rsidR="00E91088">
          <w:rPr>
            <w:webHidden/>
          </w:rPr>
          <w:t>148</w:t>
        </w:r>
        <w:r w:rsidRPr="00963B2F">
          <w:rPr>
            <w:webHidden/>
          </w:rPr>
          <w:fldChar w:fldCharType="end"/>
        </w:r>
      </w:hyperlink>
    </w:p>
    <w:p w14:paraId="0736CE54" w14:textId="4324577E" w:rsidR="00963B2F" w:rsidRPr="00963B2F" w:rsidRDefault="00963B2F">
      <w:pPr>
        <w:pStyle w:val="Abbildungsverzeichnis"/>
        <w:rPr>
          <w:rFonts w:asciiTheme="minorHAnsi" w:eastAsiaTheme="minorEastAsia" w:hAnsiTheme="minorHAnsi" w:cstheme="minorBidi"/>
          <w:kern w:val="2"/>
          <w:lang w:eastAsia="de-DE"/>
          <w14:ligatures w14:val="standardContextual"/>
        </w:rPr>
      </w:pPr>
      <w:r w:rsidRPr="00963B2F">
        <w:rPr>
          <w:rStyle w:val="Hyperlink"/>
          <w:color w:val="auto"/>
          <w:u w:val="none"/>
        </w:rPr>
        <w:tab/>
      </w:r>
      <w:hyperlink w:anchor="_Toc180594986" w:history="1">
        <w:r w:rsidRPr="00963B2F">
          <w:rPr>
            <w:rStyle w:val="Hyperlink"/>
            <w:color w:val="auto"/>
            <w:u w:val="none"/>
          </w:rPr>
          <w:t>F - II - 3: Proposed effect of indirect board interlocks on alliance partner strategies</w:t>
        </w:r>
        <w:r w:rsidRPr="00963B2F">
          <w:rPr>
            <w:webHidden/>
          </w:rPr>
          <w:tab/>
        </w:r>
        <w:r w:rsidRPr="00963B2F">
          <w:rPr>
            <w:webHidden/>
          </w:rPr>
          <w:fldChar w:fldCharType="begin"/>
        </w:r>
        <w:r w:rsidRPr="00963B2F">
          <w:rPr>
            <w:webHidden/>
          </w:rPr>
          <w:instrText xml:space="preserve"> PAGEREF _Toc180594986 \h </w:instrText>
        </w:r>
        <w:r w:rsidRPr="00963B2F">
          <w:rPr>
            <w:webHidden/>
          </w:rPr>
        </w:r>
        <w:r w:rsidRPr="00963B2F">
          <w:rPr>
            <w:webHidden/>
          </w:rPr>
          <w:fldChar w:fldCharType="separate"/>
        </w:r>
        <w:r w:rsidR="00E91088">
          <w:rPr>
            <w:webHidden/>
          </w:rPr>
          <w:t>149</w:t>
        </w:r>
        <w:r w:rsidRPr="00963B2F">
          <w:rPr>
            <w:webHidden/>
          </w:rPr>
          <w:fldChar w:fldCharType="end"/>
        </w:r>
      </w:hyperlink>
    </w:p>
    <w:p w14:paraId="00DEE55A" w14:textId="2E41FC90" w:rsidR="00AB555B" w:rsidRDefault="00AB555B" w:rsidP="00E52EBD">
      <w:pPr>
        <w:spacing w:after="80" w:line="240" w:lineRule="auto"/>
        <w:jc w:val="left"/>
        <w:sectPr w:rsidR="00AB555B" w:rsidSect="00794C6C">
          <w:endnotePr>
            <w:numFmt w:val="decimal"/>
          </w:endnotePr>
          <w:pgSz w:w="11906" w:h="16838"/>
          <w:pgMar w:top="1417" w:right="1417" w:bottom="1134" w:left="1417" w:header="708" w:footer="567" w:gutter="0"/>
          <w:pgNumType w:fmt="upperRoman" w:start="2"/>
          <w:cols w:space="708"/>
          <w:docGrid w:linePitch="360"/>
        </w:sectPr>
      </w:pPr>
      <w:r w:rsidRPr="00963B2F">
        <w:rPr>
          <w:rFonts w:cs="Times New Roman"/>
          <w:szCs w:val="24"/>
        </w:rPr>
        <w:fldChar w:fldCharType="end"/>
      </w:r>
    </w:p>
    <w:p w14:paraId="0E2448F0" w14:textId="792ED097" w:rsidR="00E958CA" w:rsidRPr="00D03577" w:rsidRDefault="00406027" w:rsidP="0082138A">
      <w:pPr>
        <w:pStyle w:val="berschrift1"/>
        <w:rPr>
          <w:lang w:val="en-US"/>
        </w:rPr>
      </w:pPr>
      <w:bookmarkStart w:id="0" w:name="_Toc180963596"/>
      <w:r>
        <w:rPr>
          <w:lang w:val="en-US"/>
        </w:rPr>
        <w:lastRenderedPageBreak/>
        <w:t>INTRODUCTION</w:t>
      </w:r>
      <w:bookmarkEnd w:id="0"/>
    </w:p>
    <w:p w14:paraId="171D7BFD" w14:textId="2BF52568" w:rsidR="00BC1290" w:rsidRPr="00BC1290" w:rsidRDefault="00BC1290" w:rsidP="004F19E8">
      <w:pPr>
        <w:pStyle w:val="Paragraph"/>
        <w:ind w:firstLine="708"/>
        <w:jc w:val="both"/>
      </w:pPr>
      <w:r w:rsidRPr="00BC1290">
        <w:t>Strategic management research is fundamentally concerned with understanding the determinants of firm performance, exploring factors that enhance or impede organizational success. While the field has a clear focus, it has undergone considerable evolution throughout the 20th century (Durand, Grant, &amp; Madsen, 2017; Hoskisson, Hitt, Wan, &amp; Yiu, 1999). In their seminal review, Hoskisson et al. (1999) highlight several distinct trends within the literature and liken the evolution of the field to a pendulum swinging between an emphasis on internal and external determinants of</w:t>
      </w:r>
      <w:r w:rsidR="009A709E">
        <w:t xml:space="preserve"> </w:t>
      </w:r>
      <w:r w:rsidRPr="00BC1290">
        <w:t>success. They categorize this evolution into four phases:</w:t>
      </w:r>
    </w:p>
    <w:p w14:paraId="612A60C4" w14:textId="7F60D1CB" w:rsidR="00BC1290" w:rsidRPr="00BC1290" w:rsidRDefault="00BC1290" w:rsidP="00BC1290">
      <w:pPr>
        <w:pStyle w:val="Paragraph"/>
        <w:jc w:val="both"/>
      </w:pPr>
      <w:r w:rsidRPr="00BC1290">
        <w:t xml:space="preserve">In the initial phase, strategic management research concentrated on internal firm structures and processes as key drivers of firm performance. Penrose (1959), for instance, argued that effective internal operations are critical for firm growth. Similarly, Chandler's (1962) structure-follows-strategy paradigm, Ansoff's (1965) product-market strategies, and Learned, Christensen, Andrews, and Guth's (1965/1969) strategy formulation all underscored the importance of having suitable internal structures to achieve organizational goals. In the 1970s, the focus then shifted to </w:t>
      </w:r>
      <w:r w:rsidR="009F25E6">
        <w:t xml:space="preserve">the analysis of </w:t>
      </w:r>
      <w:r w:rsidRPr="00BC1290">
        <w:t xml:space="preserve">external influences, particularly industry structures and competitive environments. </w:t>
      </w:r>
      <w:r w:rsidR="00141E55">
        <w:t xml:space="preserve">For instance, </w:t>
      </w:r>
      <w:r w:rsidRPr="00BC1290">
        <w:t>Hunt (1972) and Porter (1973) highlighted the significance of competitive forces in shaping firm performance. Porter's (1980, 1985) structure-conduct-performance model emphasized how market conditions and strategic behaviors interact to affect performance. Then again, subsequent years saw a return to internal success factors, leading to more integrative perspectives. Theories such as transaction cost economics (Williamson, 1975; 1985) and principal-agent theory (Jensen &amp; Meckling, 1976) conceptualized firms as bundles of contracts, focusing on the economic exchange relationships between firms and their environment. These perspectives significantly influenced research in the areas of corporate governance (</w:t>
      </w:r>
      <w:r w:rsidR="00AA39E4">
        <w:t xml:space="preserve">e.g., </w:t>
      </w:r>
      <w:r w:rsidRPr="00BC1290">
        <w:t>Eisenhardt, 1989; Hoskisson &amp; Turk, 1990) and mergers and acquisitions (</w:t>
      </w:r>
      <w:r w:rsidR="00AA39E4">
        <w:t xml:space="preserve">M&amp;A; e.g., </w:t>
      </w:r>
      <w:r w:rsidRPr="00BC1290">
        <w:t>Hitt, Hoskisson, &amp; Ireland, 1990). With the growing popularity of the resource-based view (</w:t>
      </w:r>
      <w:r w:rsidR="009A709E">
        <w:t xml:space="preserve">RBV; </w:t>
      </w:r>
      <w:r w:rsidRPr="00BC1290">
        <w:t xml:space="preserve">Barney, 1991) in the 1990s, the focus shifted </w:t>
      </w:r>
      <w:r w:rsidRPr="00BC1290">
        <w:lastRenderedPageBreak/>
        <w:t xml:space="preserve">completely back to internal resources as the basis for sustainable competitive advantage (Wernerfelt, 1984). Although later work also considered external factors such as the institutional environment (Oliver, 1997), the RBV remained predominantly internally focused, with later extensions such as strategic leadership theory emphasizing the role of leaders and their personal characteristics in shaping </w:t>
      </w:r>
      <w:r w:rsidR="009A709E">
        <w:t>firm</w:t>
      </w:r>
      <w:r w:rsidRPr="00BC1290">
        <w:t xml:space="preserve"> success (March &amp; Simon, 1958; Pfeffer &amp; Davis-Blake, 1986)</w:t>
      </w:r>
      <w:r w:rsidR="00141E55">
        <w:t xml:space="preserve"> and</w:t>
      </w:r>
      <w:r w:rsidRPr="00BC1290">
        <w:t xml:space="preserve"> the knowledge-based view (Cohen &amp; Levinthal, 1990; Foss, 1996) </w:t>
      </w:r>
      <w:r w:rsidR="00141E55" w:rsidRPr="00BC1290">
        <w:t xml:space="preserve">emphasizing </w:t>
      </w:r>
      <w:r w:rsidRPr="00BC1290">
        <w:t>the role of a firm's "absorptive capacity" in maintaining competitiveness.</w:t>
      </w:r>
    </w:p>
    <w:p w14:paraId="31CF2076" w14:textId="375728EC" w:rsidR="00BC1290" w:rsidRPr="00BC1290" w:rsidRDefault="00BC1290" w:rsidP="00BC1290">
      <w:pPr>
        <w:pStyle w:val="Paragraph"/>
        <w:jc w:val="both"/>
      </w:pPr>
      <w:r w:rsidRPr="00BC1290">
        <w:t xml:space="preserve">At the end of their article, Hoskisson et al. (1999) predicted a renewed shift toward </w:t>
      </w:r>
      <w:r w:rsidR="007D447E">
        <w:t xml:space="preserve">the analysis of </w:t>
      </w:r>
      <w:r w:rsidRPr="00BC1290">
        <w:t>external success factors in the early 21st century. They identified three key drivers for this expected shift. First, the increasing importance of global networks would fundamentally change international competition, with strategies aimed at acquiring knowledge or technology through acquisitions or alliances becoming central (</w:t>
      </w:r>
      <w:r w:rsidR="00941A31">
        <w:t xml:space="preserve">e.g., </w:t>
      </w:r>
      <w:r w:rsidRPr="00BC1290">
        <w:t>Hitt, Ireland, &amp; Hoskisson, 1997; Osborn &amp; Hagedoorn, 1997; Singh, 1995). Second, advancements in technology would change the dynamics and pace of competition by enabling firms to communicate over longer distances and at higher speeds, thereby increasing interconnectedness (</w:t>
      </w:r>
      <w:r w:rsidR="00941A31">
        <w:t xml:space="preserve">e.g., </w:t>
      </w:r>
      <w:r w:rsidRPr="00BC1290">
        <w:t xml:space="preserve">Brown &amp; Eisenhardt, 1995; Hitt, Keats, &amp; DeMarie, 1998; Stimpert &amp; Duhaime, 1997). Third, as globalization progresses, understanding the institutional context would become more critical, necessitating research on institutional influences, as findings from </w:t>
      </w:r>
      <w:r w:rsidR="00346770">
        <w:t>individual countries</w:t>
      </w:r>
      <w:r w:rsidRPr="00BC1290">
        <w:t xml:space="preserve"> might not generalize globally.</w:t>
      </w:r>
    </w:p>
    <w:p w14:paraId="721D1FDD" w14:textId="38DEC21C" w:rsidR="00BC1290" w:rsidRPr="00BC1290" w:rsidRDefault="00BC1290" w:rsidP="00BC1290">
      <w:pPr>
        <w:pStyle w:val="Paragraph"/>
        <w:jc w:val="both"/>
      </w:pPr>
      <w:r w:rsidRPr="00BC1290">
        <w:t xml:space="preserve">They also emphasized that the </w:t>
      </w:r>
      <w:r w:rsidR="00346770">
        <w:t xml:space="preserve">ever </w:t>
      </w:r>
      <w:r w:rsidRPr="00BC1290">
        <w:t>increasing complexity of the business environment requires more sophisticated research approaches. For example, the use of multilevel research that examines interactions between different organizational levels (Dess, Gupta, Hennart, &amp; Hill, 1995), the use of large-scale quantitative methods to study intangible influences on firm behavior, and the integration of multiple theoretical frameworks would be essential to adequately address strategic complexity.</w:t>
      </w:r>
    </w:p>
    <w:p w14:paraId="625C48AF" w14:textId="492FE90A" w:rsidR="00BC1290" w:rsidRPr="00BC1290" w:rsidRDefault="00BC1290" w:rsidP="00BC1290">
      <w:pPr>
        <w:pStyle w:val="Paragraph"/>
        <w:jc w:val="both"/>
      </w:pPr>
      <w:r w:rsidRPr="00BC1290">
        <w:t xml:space="preserve">Since the publication of Hoskisson et al. (1999), many of their predictions have come true. Indeed, the research landscape has shifted back to the study of external success factors, </w:t>
      </w:r>
      <w:r w:rsidRPr="00BC1290">
        <w:lastRenderedPageBreak/>
        <w:t>with the network paradigm emerging as a defining concept in strategic management research (Barczak, Kafel, &amp; Magliocca, 2021). This paradigm views organizations as complex, adaptive systems embedded in diverse networks (</w:t>
      </w:r>
      <w:r w:rsidR="00941A31">
        <w:t xml:space="preserve">e.g., </w:t>
      </w:r>
      <w:r w:rsidRPr="00BC1290">
        <w:t>Kilduff, Crossland, Tsai, &amp; Krackhardt, 2008; Shipilov, 2012; Shipilov, Gulati, Kilduff, Li, &amp; Tsai, 2014). Some authors even consider networks to be the "defining paradigm of the modern era" (Kilduff &amp; Tsai, 2003: 13) or the "dominant metaphor of our time" (Clegg, Josserand, Mehra, &amp; Pitsis, 2016: 278). This shift is primarily driven by the increasing interconnectedness and importance of intangible resources in a knowledge-based global economy (Barczak et al., 2021). Traditional markets and hierarchical structures are gradually giving way to new network structures (</w:t>
      </w:r>
      <w:r w:rsidR="00941A31">
        <w:t xml:space="preserve">e.g., </w:t>
      </w:r>
      <w:r w:rsidRPr="00BC1290">
        <w:t xml:space="preserve">Achrol &amp; Kotler, 1999; Gulati, Nohria, &amp; Zaheer, 2000; Håkansson &amp; Ford, 2002; Möller &amp; Halinen, 1999; Ring &amp; van de Ven, 1992; Wang, Xu, Qin, &amp; Skare, 2021), resulting in profound changes to the nature of competition. </w:t>
      </w:r>
      <w:r w:rsidR="008B25AE" w:rsidRPr="008B25AE">
        <w:t xml:space="preserve">As a result, to compete in the modern era, firms must develop relational strategies to actively engage with their environment and achieve sustainable competitive advantage </w:t>
      </w:r>
      <w:r w:rsidRPr="00BC1290">
        <w:t>(</w:t>
      </w:r>
      <w:r w:rsidR="00941A31">
        <w:t xml:space="preserve">e.g., </w:t>
      </w:r>
      <w:r w:rsidRPr="00BC1290">
        <w:t>Hernandez &amp; Menon, 2021; Kumar &amp; Zaheer, 2019).</w:t>
      </w:r>
    </w:p>
    <w:p w14:paraId="095D54E4" w14:textId="201A0FAB" w:rsidR="00BC1290" w:rsidRPr="007D447E" w:rsidRDefault="00BC1290" w:rsidP="00BC1290">
      <w:pPr>
        <w:pStyle w:val="Paragraph"/>
        <w:jc w:val="both"/>
        <w:rPr>
          <w:i/>
          <w:iCs/>
        </w:rPr>
      </w:pPr>
      <w:r w:rsidRPr="00BC1290">
        <w:t xml:space="preserve">This fundamental shift calls for research that explores how networks and interorganizational social processes shape firm behavior. Key research questions emerge: </w:t>
      </w:r>
      <w:r w:rsidRPr="007D447E">
        <w:rPr>
          <w:i/>
          <w:iCs/>
        </w:rPr>
        <w:t>How do organizational networks affect firm performance? What internal and external contingencies moderate this relationship? Can organizational networks influence the interplay between cooperation and competition among firms? Moreover, how do variations in organizational culture - resulting from shared norms and values transmitted through internal</w:t>
      </w:r>
      <w:r w:rsidR="00AC6EC6">
        <w:rPr>
          <w:i/>
          <w:iCs/>
        </w:rPr>
        <w:t xml:space="preserve"> firm</w:t>
      </w:r>
      <w:r w:rsidRPr="007D447E">
        <w:rPr>
          <w:i/>
          <w:iCs/>
        </w:rPr>
        <w:t xml:space="preserve"> networks - affect firm strategy and performance?</w:t>
      </w:r>
    </w:p>
    <w:p w14:paraId="5C8E7735" w14:textId="72336014" w:rsidR="00BC1290" w:rsidRPr="00BC1290" w:rsidRDefault="00BC1290" w:rsidP="004830E1">
      <w:pPr>
        <w:pStyle w:val="Paragraph"/>
        <w:jc w:val="both"/>
      </w:pPr>
      <w:r w:rsidRPr="00BC1290">
        <w:t>This doctoral thesis aims to address these questions by advancing our understanding of how network relationships among firms</w:t>
      </w:r>
      <w:r w:rsidR="00AC6EC6">
        <w:t xml:space="preserve"> as well as cultural effects</w:t>
      </w:r>
      <w:r w:rsidRPr="00BC1290">
        <w:t xml:space="preserve"> shape firm strategy and success. It presents three articles that contribute to the ongoing debates on the impact of organizational networks and culture, thereby extending the field of strategic management </w:t>
      </w:r>
      <w:r w:rsidR="007D447E">
        <w:t>using</w:t>
      </w:r>
      <w:r w:rsidRPr="00BC1290">
        <w:t xml:space="preserve"> state-of-the-art statistical methods</w:t>
      </w:r>
      <w:r w:rsidR="003B1D35">
        <w:t xml:space="preserve"> </w:t>
      </w:r>
      <w:r w:rsidR="003B1D35" w:rsidRPr="003B1D35">
        <w:t xml:space="preserve">(see </w:t>
      </w:r>
      <w:r w:rsidR="003B1D35">
        <w:t>Table</w:t>
      </w:r>
      <w:r w:rsidR="003B1D35" w:rsidRPr="003B1D35">
        <w:t xml:space="preserve"> 1 for an overview of the studies included):</w:t>
      </w:r>
    </w:p>
    <w:p w14:paraId="27EA51CB" w14:textId="12116615" w:rsidR="00CA4B5F" w:rsidRDefault="00CA4B5F" w:rsidP="004830E1">
      <w:pPr>
        <w:pStyle w:val="Paragraph"/>
        <w:jc w:val="both"/>
      </w:pPr>
      <w:r w:rsidRPr="00CA4B5F">
        <w:lastRenderedPageBreak/>
        <w:t xml:space="preserve">In the first study, we examine board interlocks as a form of interorganizational networks in which directors simultaneously serve on multiple boards (Fich &amp; White, 2005). These interlocks create information channels between firms that facilitate the exchange of intangible resources such as knowledge and expertise (Mizruchi, 1996). Consequently, some scholars view board interlocks as cooperative mechanisms that enhance firm coordination and access to resources, potentially improving firm performance (Martin, Gözübüyük, &amp; Becerra, 2015; Zona, Gomez-Mejia, &amp; Withers, 2018). Others, however, view </w:t>
      </w:r>
      <w:r>
        <w:t xml:space="preserve">board </w:t>
      </w:r>
      <w:r w:rsidRPr="00CA4B5F">
        <w:t xml:space="preserve">interlocks as instruments of power and influence that pose risks such as conflicts of interest and director overcommitment (Fich &amp; Shivdasani, 2006). </w:t>
      </w:r>
    </w:p>
    <w:p w14:paraId="29F6C343" w14:textId="51EA6325" w:rsidR="004830E1" w:rsidRDefault="004830E1" w:rsidP="004830E1">
      <w:pPr>
        <w:pStyle w:val="Paragraph"/>
        <w:jc w:val="both"/>
      </w:pPr>
      <w:r>
        <w:t>Despite their prevalence, empirical findings on the relationship between board interlocks and firm performance remain inconsistent. To address this ambiguity, we conducted a meta-analysis and meta-analytic structural equation modeling (MASEM) based on over one million network connections from more than 100 primary studies. By integrating perspectives from resource dependence theory (Pfeffer &amp; Salancik, 1978) and agency theory (Jensen &amp; Meckling, 1976), we provide a comprehensive understanding of board interlocks and their dual effects on firm performance. Resource dependence theory suggests that board interlocks offer firms access to essential resources, facilitating effective strategy implementation. In contrast, agency theory cautions that multiple board appointments may lead to conflicts of interest or overcommitment, potentially resulting in adverse outcomes. We further examine the influence of contextual factors, such as board power dynamics and institutional environment, that may moderate the influence of board interlocks on firm performance.</w:t>
      </w:r>
    </w:p>
    <w:p w14:paraId="70EC99F0" w14:textId="77777777" w:rsidR="00D00CBC" w:rsidRDefault="004830E1" w:rsidP="004830E1">
      <w:pPr>
        <w:pStyle w:val="Paragraph"/>
        <w:jc w:val="both"/>
      </w:pPr>
      <w:r>
        <w:t>Our analysis provides valuable insights into how board interlocks affect firm performance, with significant theoretical implications for corporate governance and practical relevance for firms optimizing board composition. The findings underscore the need to balance resource access benefits against potential agency costs.</w:t>
      </w:r>
    </w:p>
    <w:p w14:paraId="699204FA" w14:textId="3180B26D" w:rsidR="00812B7C" w:rsidRDefault="00812B7C" w:rsidP="004830E1">
      <w:pPr>
        <w:pStyle w:val="Paragraph"/>
        <w:jc w:val="both"/>
      </w:pPr>
      <w:r w:rsidRPr="00812B7C">
        <w:lastRenderedPageBreak/>
        <w:t xml:space="preserve">Building on the findings of the first study, the second study examines how board interlocks affect competitive behavior within strategic alliances. Firms involved in alliances often participate in several overlapping networks, creating so-called multiplex networks (Shipilov et al., 2014). The interplay between these network ties can significantly shape the dynamics between partner firms. For example, Knoben and Bakker (2019) show that a less powerful alliance partner can use board interlocks to access critical resources from a more powerful partner, thereby transforming a cooperative relationship into a more competitive one. Thus, in this study, we examine whether board interlocks promote cooperation and joint value creation or, conversely, allow one partner to dominate and extract </w:t>
      </w:r>
      <w:r w:rsidR="000D252E">
        <w:t>private</w:t>
      </w:r>
      <w:r w:rsidRPr="00812B7C">
        <w:t xml:space="preserve"> benefits. </w:t>
      </w:r>
    </w:p>
    <w:p w14:paraId="0B62E6DD" w14:textId="77777777" w:rsidR="001525C2" w:rsidRDefault="001525C2" w:rsidP="00BC1290">
      <w:pPr>
        <w:pStyle w:val="Paragraph"/>
        <w:jc w:val="both"/>
      </w:pPr>
      <w:r w:rsidRPr="001525C2">
        <w:t>Our research builds on existing evidence that unequal access to resources and different learning rates among alliance partners can destabilize alliances (Hamel, 1991; Kale &amp; Singh, 2009; Kumar, 2010). To examine the effects of board interlocks on alliance outcomes, we conduct a dyadic analysis of a large sample of strategic alliances across industries, analyzing how board-level ties affect both performance and value distribution within each alliance. Our findings provide new insights into the role of multiplex networks in moderating cooperative and competitive forces within strategic alliances. In addition to contributing to the theoretical understanding of the balance between competition and cooperation in alliances, this study offers practical recommendations for firms engaging in alliances and extends the literature on relational pluralism-the concept that firms are embedded in multiple, interlocking networks that can either strengthen or challenge their inter-firm relationships.</w:t>
      </w:r>
    </w:p>
    <w:p w14:paraId="20381798" w14:textId="197A1645" w:rsidR="00FE2F9A" w:rsidRPr="00FE2F9A" w:rsidRDefault="00FE2F9A" w:rsidP="00FE2F9A">
      <w:pPr>
        <w:pStyle w:val="Paragraph"/>
        <w:jc w:val="both"/>
      </w:pPr>
      <w:r w:rsidRPr="00FE2F9A">
        <w:t xml:space="preserve">The third study, published in the </w:t>
      </w:r>
      <w:r w:rsidRPr="00FE2F9A">
        <w:rPr>
          <w:i/>
          <w:iCs/>
        </w:rPr>
        <w:t>Review of Managerial Science</w:t>
      </w:r>
      <w:r w:rsidRPr="00FE2F9A">
        <w:t xml:space="preserve">, examines how differences in organizational culture affect the success of M&amp;A transactions. Organizational cultures, which are shaped by </w:t>
      </w:r>
      <w:r w:rsidR="000D252E">
        <w:t>intra-firm</w:t>
      </w:r>
      <w:r w:rsidRPr="00FE2F9A">
        <w:t xml:space="preserve"> social structures and interpersonal relationships, vary significantly across firms (Klüppel, Pierce, &amp; Snyder, 2018). In this study, we examine whether organizational cultural distance</w:t>
      </w:r>
      <w:r>
        <w:t xml:space="preserve">, i.e. </w:t>
      </w:r>
      <w:r w:rsidRPr="00FE2F9A">
        <w:t>the degree of difference in cultural values between acquiring and target firms</w:t>
      </w:r>
      <w:r>
        <w:t xml:space="preserve">, </w:t>
      </w:r>
      <w:r w:rsidRPr="00FE2F9A">
        <w:t xml:space="preserve">impacts post-transaction performance and innovation capabilities. </w:t>
      </w:r>
      <w:r w:rsidRPr="00FE2F9A">
        <w:lastRenderedPageBreak/>
        <w:t>In addition, we examine the relationship between cultural distance and acquisition premiums, hypothesizing that greater cultural differences may lead to overvaluation due to overestimated synerg</w:t>
      </w:r>
      <w:r w:rsidR="00B22EA4">
        <w:t>y potential</w:t>
      </w:r>
      <w:r w:rsidRPr="00FE2F9A">
        <w:t xml:space="preserve"> and underestimated integration challenges.</w:t>
      </w:r>
    </w:p>
    <w:p w14:paraId="096E868A" w14:textId="744677F2" w:rsidR="00FE2F9A" w:rsidRPr="00FE2F9A" w:rsidRDefault="00FE2F9A" w:rsidP="00493C06">
      <w:pPr>
        <w:pStyle w:val="Paragraph"/>
        <w:jc w:val="both"/>
      </w:pPr>
      <w:r w:rsidRPr="00FE2F9A">
        <w:t>Despite considerable research, the impact of cultural differences on M&amp;A outcomes remains inconclusive (Stahl &amp; Voigt, 2008), as previous studies are often constrained by methodological limitations such as small samples, reliance on executive-level surveys, or subjective cultural assessments (Rottig, 2017).</w:t>
      </w:r>
      <w:r w:rsidR="00493C06">
        <w:t xml:space="preserve"> </w:t>
      </w:r>
      <w:r w:rsidRPr="00FE2F9A">
        <w:t>To address these limitations, we conduct a comprehensive, large-scale analysis based on the Competing Values Framework (CVF</w:t>
      </w:r>
      <w:r w:rsidR="009B08E2">
        <w:t>; Quinn &amp; Rohrbaugh, 1981)</w:t>
      </w:r>
      <w:r w:rsidRPr="00FE2F9A">
        <w:t xml:space="preserve">, which categorizes organizational cultures into four types-clan, adhocracy, market, and hierarchy-each with distinct characteristics that influence organizational behavior. Our analysis of more than 300,000 employee reviews on Glassdoor.com, using </w:t>
      </w:r>
      <w:r w:rsidR="00B22EA4">
        <w:t>state-of-the-art</w:t>
      </w:r>
      <w:r w:rsidRPr="00FE2F9A">
        <w:t xml:space="preserve"> machine learning and natural language processing techniques, provides a detailed and representative assessment of organizational cultures. This approach captures insights from employees at all levels of the hierarchy, overcoming previous methodological limitations.</w:t>
      </w:r>
    </w:p>
    <w:p w14:paraId="5A5375F6" w14:textId="28FDA0B8" w:rsidR="00FE2F9A" w:rsidRDefault="00FE2F9A" w:rsidP="00BC1290">
      <w:pPr>
        <w:pStyle w:val="Paragraph"/>
        <w:jc w:val="both"/>
      </w:pPr>
      <w:r w:rsidRPr="00FE2F9A">
        <w:t xml:space="preserve">Using these innovative methods and large-scale data, this study contributes new insights to the M&amp;A literature, particularly on how cultural alignment-or misalignment-affects merger outcomes. Our findings highlight the critical importance of incorporating employee perspectives when assessing organizational </w:t>
      </w:r>
      <w:r w:rsidR="00493C06" w:rsidRPr="00FE2F9A">
        <w:t>culture</w:t>
      </w:r>
      <w:r w:rsidR="00493C06">
        <w:t>,</w:t>
      </w:r>
      <w:r w:rsidR="00493C06" w:rsidRPr="00FE2F9A">
        <w:t xml:space="preserve"> and</w:t>
      </w:r>
      <w:r w:rsidRPr="00FE2F9A">
        <w:t xml:space="preserve"> underscore the need for thorough cultural due diligence and integration planning to improve post-merger performance.</w:t>
      </w:r>
    </w:p>
    <w:p w14:paraId="448F0AD6" w14:textId="77777777" w:rsidR="008772A3" w:rsidRDefault="00BC1290" w:rsidP="00493C06">
      <w:pPr>
        <w:pStyle w:val="Paragraph"/>
        <w:jc w:val="both"/>
      </w:pPr>
      <w:r w:rsidRPr="00BC1290">
        <w:t xml:space="preserve">The final chapter of this doctoral thesis provides a comprehensive summary of the key findings and conclusions of the studies conducted, while also addressing the inherent limitations of the research. It provides recommendations for future </w:t>
      </w:r>
      <w:r w:rsidR="00493C06">
        <w:t>research</w:t>
      </w:r>
      <w:r w:rsidRPr="00BC1290">
        <w:t xml:space="preserve"> and identifies specific areas where subsequent investigations can expand upon the current work. </w:t>
      </w:r>
    </w:p>
    <w:p w14:paraId="336426E5" w14:textId="3963CBD2" w:rsidR="00BC1290" w:rsidRPr="00BC1290" w:rsidRDefault="00BC1290" w:rsidP="00493C06">
      <w:pPr>
        <w:pStyle w:val="Paragraph"/>
        <w:jc w:val="both"/>
      </w:pPr>
      <w:r w:rsidRPr="00BC1290">
        <w:t xml:space="preserve">Overall, this </w:t>
      </w:r>
      <w:r w:rsidR="00493C06">
        <w:t xml:space="preserve">doctoral </w:t>
      </w:r>
      <w:r w:rsidRPr="00BC1290">
        <w:t>thesis significantly advances the field of strategic management, particularly in the areas of corporate governance, organizational networks, strategic alliances, and mergers and acquisitions.</w:t>
      </w:r>
      <w:r w:rsidRPr="00BC1290">
        <w:br w:type="page"/>
      </w:r>
    </w:p>
    <w:p w14:paraId="2434DC7C" w14:textId="77777777" w:rsidR="00BC1290" w:rsidRDefault="00BC1290" w:rsidP="00BC1290">
      <w:pPr>
        <w:pStyle w:val="CitaviBibliographyHeading"/>
        <w:rPr>
          <w:shd w:val="clear" w:color="auto" w:fill="FFFFFF"/>
        </w:rPr>
      </w:pPr>
      <w:bookmarkStart w:id="1" w:name="_Toc180963597"/>
      <w:r>
        <w:rPr>
          <w:shd w:val="clear" w:color="auto" w:fill="FFFFFF"/>
        </w:rPr>
        <w:lastRenderedPageBreak/>
        <w:t>REFERENCES</w:t>
      </w:r>
      <w:bookmarkEnd w:id="1"/>
    </w:p>
    <w:p w14:paraId="1AFB4ADB" w14:textId="77777777" w:rsidR="00BC1290" w:rsidRDefault="00BC1290" w:rsidP="00BC1290">
      <w:pPr>
        <w:pStyle w:val="CitaviBibliographyEntry"/>
        <w:jc w:val="both"/>
        <w:rPr>
          <w:shd w:val="clear" w:color="auto" w:fill="FFFFFF"/>
        </w:rPr>
      </w:pPr>
      <w:r>
        <w:rPr>
          <w:shd w:val="clear" w:color="auto" w:fill="FFFFFF"/>
        </w:rPr>
        <w:t xml:space="preserve">Achrol, R. S., &amp; Kotler, P. 1999. Marketing in the Network Economy. </w:t>
      </w:r>
      <w:r w:rsidRPr="00DA3765">
        <w:rPr>
          <w:i/>
          <w:shd w:val="clear" w:color="auto" w:fill="FFFFFF"/>
        </w:rPr>
        <w:t>Journal of Marketing</w:t>
      </w:r>
      <w:r w:rsidRPr="00DA3765">
        <w:rPr>
          <w:shd w:val="clear" w:color="auto" w:fill="FFFFFF"/>
        </w:rPr>
        <w:t>, 63: 146-163.</w:t>
      </w:r>
    </w:p>
    <w:p w14:paraId="357363D0" w14:textId="77777777" w:rsidR="00BC1290" w:rsidRDefault="00BC1290" w:rsidP="00BC1290">
      <w:pPr>
        <w:pStyle w:val="CitaviBibliographyEntry"/>
        <w:jc w:val="both"/>
        <w:rPr>
          <w:shd w:val="clear" w:color="auto" w:fill="FFFFFF"/>
        </w:rPr>
      </w:pPr>
      <w:r>
        <w:rPr>
          <w:shd w:val="clear" w:color="auto" w:fill="FFFFFF"/>
        </w:rPr>
        <w:t xml:space="preserve">Ansoff, H. I. 1965. </w:t>
      </w:r>
      <w:r w:rsidRPr="00DA3765">
        <w:rPr>
          <w:i/>
          <w:shd w:val="clear" w:color="auto" w:fill="FFFFFF"/>
        </w:rPr>
        <w:t>Corporate strategy</w:t>
      </w:r>
      <w:r w:rsidRPr="00DA3765">
        <w:rPr>
          <w:shd w:val="clear" w:color="auto" w:fill="FFFFFF"/>
        </w:rPr>
        <w:t>. New York: McGraw Hill.</w:t>
      </w:r>
    </w:p>
    <w:p w14:paraId="26C8FB81" w14:textId="77777777" w:rsidR="00BC1290" w:rsidRDefault="00BC1290" w:rsidP="00BC1290">
      <w:pPr>
        <w:pStyle w:val="CitaviBibliographyEntry"/>
        <w:jc w:val="both"/>
        <w:rPr>
          <w:shd w:val="clear" w:color="auto" w:fill="FFFFFF"/>
        </w:rPr>
      </w:pPr>
      <w:r>
        <w:rPr>
          <w:shd w:val="clear" w:color="auto" w:fill="FFFFFF"/>
        </w:rPr>
        <w:t xml:space="preserve">Barczak, B., Kafel, T., &amp; Magliocca, P. 2021. Network approaches and strategic management: Exploration opportunities and new trends. </w:t>
      </w:r>
      <w:r w:rsidRPr="00DA3765">
        <w:rPr>
          <w:i/>
          <w:shd w:val="clear" w:color="auto" w:fill="FFFFFF"/>
        </w:rPr>
        <w:t>Journal of Entrepreneurship, Management and Innovation</w:t>
      </w:r>
      <w:r w:rsidRPr="00DA3765">
        <w:rPr>
          <w:shd w:val="clear" w:color="auto" w:fill="FFFFFF"/>
        </w:rPr>
        <w:t>, 17: 7-35.</w:t>
      </w:r>
    </w:p>
    <w:p w14:paraId="07654EA5" w14:textId="77777777" w:rsidR="00BC1290" w:rsidRDefault="00BC1290" w:rsidP="00BC1290">
      <w:pPr>
        <w:pStyle w:val="CitaviBibliographyEntry"/>
        <w:jc w:val="both"/>
        <w:rPr>
          <w:shd w:val="clear" w:color="auto" w:fill="FFFFFF"/>
        </w:rPr>
      </w:pPr>
      <w:r>
        <w:rPr>
          <w:shd w:val="clear" w:color="auto" w:fill="FFFFFF"/>
        </w:rPr>
        <w:t xml:space="preserve">Barney, J. 1991. Firm Resources and Sustained Competitive Advantage. </w:t>
      </w:r>
      <w:r w:rsidRPr="00DA3765">
        <w:rPr>
          <w:i/>
          <w:shd w:val="clear" w:color="auto" w:fill="FFFFFF"/>
        </w:rPr>
        <w:t>Journal of Management</w:t>
      </w:r>
      <w:r w:rsidRPr="00DA3765">
        <w:rPr>
          <w:shd w:val="clear" w:color="auto" w:fill="FFFFFF"/>
        </w:rPr>
        <w:t>, 17: 99-120.</w:t>
      </w:r>
    </w:p>
    <w:p w14:paraId="5486CE0E" w14:textId="77777777" w:rsidR="00BC1290" w:rsidRDefault="00BC1290" w:rsidP="00BC1290">
      <w:pPr>
        <w:pStyle w:val="CitaviBibliographyEntry"/>
        <w:jc w:val="both"/>
        <w:rPr>
          <w:shd w:val="clear" w:color="auto" w:fill="FFFFFF"/>
        </w:rPr>
      </w:pPr>
      <w:r>
        <w:rPr>
          <w:shd w:val="clear" w:color="auto" w:fill="FFFFFF"/>
        </w:rPr>
        <w:t xml:space="preserve">Brown, S. L., &amp; Eisenhardt, K. M. 1995. Product development: Past research, present findings, and further directions. </w:t>
      </w:r>
      <w:r w:rsidRPr="00DA3765">
        <w:rPr>
          <w:i/>
          <w:shd w:val="clear" w:color="auto" w:fill="FFFFFF"/>
        </w:rPr>
        <w:t>Academy of Management Review</w:t>
      </w:r>
      <w:r w:rsidRPr="00DA3765">
        <w:rPr>
          <w:shd w:val="clear" w:color="auto" w:fill="FFFFFF"/>
        </w:rPr>
        <w:t>: 343-378.</w:t>
      </w:r>
    </w:p>
    <w:p w14:paraId="529BDF2E" w14:textId="77777777" w:rsidR="00BC1290" w:rsidRDefault="00BC1290" w:rsidP="00BC1290">
      <w:pPr>
        <w:pStyle w:val="CitaviBibliographyEntry"/>
        <w:jc w:val="both"/>
        <w:rPr>
          <w:shd w:val="clear" w:color="auto" w:fill="FFFFFF"/>
        </w:rPr>
      </w:pPr>
      <w:r>
        <w:rPr>
          <w:shd w:val="clear" w:color="auto" w:fill="FFFFFF"/>
        </w:rPr>
        <w:t xml:space="preserve">Chandler, A. D. 1962. </w:t>
      </w:r>
      <w:r w:rsidRPr="00DA3765">
        <w:rPr>
          <w:i/>
          <w:shd w:val="clear" w:color="auto" w:fill="FFFFFF"/>
        </w:rPr>
        <w:t>Strategy and structure</w:t>
      </w:r>
      <w:r w:rsidRPr="00DA3765">
        <w:rPr>
          <w:shd w:val="clear" w:color="auto" w:fill="FFFFFF"/>
        </w:rPr>
        <w:t>. Cambridge, MA: MIT Press.</w:t>
      </w:r>
    </w:p>
    <w:p w14:paraId="40CDB75C" w14:textId="77777777" w:rsidR="00BC1290" w:rsidRDefault="00BC1290" w:rsidP="00BC1290">
      <w:pPr>
        <w:pStyle w:val="CitaviBibliographyEntry"/>
        <w:jc w:val="both"/>
        <w:rPr>
          <w:shd w:val="clear" w:color="auto" w:fill="FFFFFF"/>
        </w:rPr>
      </w:pPr>
      <w:r>
        <w:rPr>
          <w:shd w:val="clear" w:color="auto" w:fill="FFFFFF"/>
        </w:rPr>
        <w:t xml:space="preserve">Clegg, S., Josserand, E., Mehra, A., &amp; Pitsis, T. S. 2016. The Transformative Power of Network Dynamics: A Research Agenda. </w:t>
      </w:r>
      <w:r w:rsidRPr="00DA3765">
        <w:rPr>
          <w:i/>
          <w:shd w:val="clear" w:color="auto" w:fill="FFFFFF"/>
        </w:rPr>
        <w:t>Organization Studies</w:t>
      </w:r>
      <w:r w:rsidRPr="00DA3765">
        <w:rPr>
          <w:shd w:val="clear" w:color="auto" w:fill="FFFFFF"/>
        </w:rPr>
        <w:t>, 37: 277-291.</w:t>
      </w:r>
    </w:p>
    <w:p w14:paraId="2F00217C" w14:textId="77777777" w:rsidR="00BC1290" w:rsidRDefault="00BC1290" w:rsidP="00BC1290">
      <w:pPr>
        <w:pStyle w:val="CitaviBibliographyEntry"/>
        <w:jc w:val="both"/>
        <w:rPr>
          <w:shd w:val="clear" w:color="auto" w:fill="FFFFFF"/>
        </w:rPr>
      </w:pPr>
      <w:r>
        <w:rPr>
          <w:shd w:val="clear" w:color="auto" w:fill="FFFFFF"/>
        </w:rPr>
        <w:t xml:space="preserve">Cohen, W. M., &amp; Levinthal, D. A. 1990. Absorptive capacity: A new perspective on learning an innovation. </w:t>
      </w:r>
      <w:r w:rsidRPr="00DA3765">
        <w:rPr>
          <w:i/>
          <w:shd w:val="clear" w:color="auto" w:fill="FFFFFF"/>
        </w:rPr>
        <w:t>Administrative Science Quarterly</w:t>
      </w:r>
      <w:r w:rsidRPr="00DA3765">
        <w:rPr>
          <w:shd w:val="clear" w:color="auto" w:fill="FFFFFF"/>
        </w:rPr>
        <w:t>: 128-152.</w:t>
      </w:r>
    </w:p>
    <w:p w14:paraId="33115C74" w14:textId="77777777" w:rsidR="00BC1290" w:rsidRDefault="00BC1290" w:rsidP="00BC1290">
      <w:pPr>
        <w:pStyle w:val="CitaviBibliographyEntry"/>
        <w:jc w:val="both"/>
        <w:rPr>
          <w:shd w:val="clear" w:color="auto" w:fill="FFFFFF"/>
        </w:rPr>
      </w:pPr>
      <w:r>
        <w:rPr>
          <w:shd w:val="clear" w:color="auto" w:fill="FFFFFF"/>
        </w:rPr>
        <w:t xml:space="preserve">Dess, G. G., Gupta, A., Hennart, J. F., &amp; Hill, C. W. L. 1995. Conducting and integrating strategy research at the international, corporate, and business levels: Issues and directions. </w:t>
      </w:r>
      <w:r w:rsidRPr="00DA3765">
        <w:rPr>
          <w:i/>
          <w:shd w:val="clear" w:color="auto" w:fill="FFFFFF"/>
        </w:rPr>
        <w:t>Journal of Management</w:t>
      </w:r>
      <w:r w:rsidRPr="00DA3765">
        <w:rPr>
          <w:shd w:val="clear" w:color="auto" w:fill="FFFFFF"/>
        </w:rPr>
        <w:t>: 357-393.</w:t>
      </w:r>
    </w:p>
    <w:p w14:paraId="3C148FC7" w14:textId="77777777" w:rsidR="00BC1290" w:rsidRDefault="00BC1290" w:rsidP="00BC1290">
      <w:pPr>
        <w:pStyle w:val="CitaviBibliographyEntry"/>
        <w:jc w:val="both"/>
        <w:rPr>
          <w:shd w:val="clear" w:color="auto" w:fill="FFFFFF"/>
        </w:rPr>
      </w:pPr>
      <w:r>
        <w:rPr>
          <w:shd w:val="clear" w:color="auto" w:fill="FFFFFF"/>
        </w:rPr>
        <w:t xml:space="preserve">Durand, R., Grant, R. M., &amp; Madsen, T. L. 2017. The expanding domain of strategic management research and the quest for integration. </w:t>
      </w:r>
      <w:r w:rsidRPr="00DA3765">
        <w:rPr>
          <w:i/>
          <w:shd w:val="clear" w:color="auto" w:fill="FFFFFF"/>
        </w:rPr>
        <w:t>Strategic Management Journal</w:t>
      </w:r>
      <w:r w:rsidRPr="00DA3765">
        <w:rPr>
          <w:shd w:val="clear" w:color="auto" w:fill="FFFFFF"/>
        </w:rPr>
        <w:t>, 38: 4-16.</w:t>
      </w:r>
    </w:p>
    <w:p w14:paraId="7BDCA3A0" w14:textId="77777777" w:rsidR="00BC1290" w:rsidRDefault="00BC1290" w:rsidP="00BC1290">
      <w:pPr>
        <w:pStyle w:val="CitaviBibliographyEntry"/>
        <w:jc w:val="both"/>
        <w:rPr>
          <w:shd w:val="clear" w:color="auto" w:fill="FFFFFF"/>
        </w:rPr>
      </w:pPr>
      <w:r>
        <w:rPr>
          <w:shd w:val="clear" w:color="auto" w:fill="FFFFFF"/>
        </w:rPr>
        <w:t xml:space="preserve">Eisenhardt, K. M. 1989. Agency theory: An assessment and review. </w:t>
      </w:r>
      <w:r w:rsidRPr="00DA3765">
        <w:rPr>
          <w:i/>
          <w:shd w:val="clear" w:color="auto" w:fill="FFFFFF"/>
        </w:rPr>
        <w:t>Academy of Management Review</w:t>
      </w:r>
      <w:r w:rsidRPr="00DA3765">
        <w:rPr>
          <w:shd w:val="clear" w:color="auto" w:fill="FFFFFF"/>
        </w:rPr>
        <w:t>: 57-74.</w:t>
      </w:r>
    </w:p>
    <w:p w14:paraId="5A7E2543" w14:textId="77777777" w:rsidR="00BC1290" w:rsidRDefault="00BC1290" w:rsidP="00BC1290">
      <w:pPr>
        <w:pStyle w:val="CitaviBibliographyEntry"/>
        <w:jc w:val="both"/>
        <w:rPr>
          <w:shd w:val="clear" w:color="auto" w:fill="FFFFFF"/>
        </w:rPr>
      </w:pPr>
      <w:r>
        <w:rPr>
          <w:shd w:val="clear" w:color="auto" w:fill="FFFFFF"/>
        </w:rPr>
        <w:lastRenderedPageBreak/>
        <w:t xml:space="preserve">Fich, E. M., &amp; Shivdasani, A. 2006. Are Busy Boards Effective Monitors? </w:t>
      </w:r>
      <w:r w:rsidRPr="00DA3765">
        <w:rPr>
          <w:i/>
          <w:shd w:val="clear" w:color="auto" w:fill="FFFFFF"/>
        </w:rPr>
        <w:t>The Journal of Finance</w:t>
      </w:r>
      <w:r w:rsidRPr="00DA3765">
        <w:rPr>
          <w:shd w:val="clear" w:color="auto" w:fill="FFFFFF"/>
        </w:rPr>
        <w:t>, 61: 689-724.</w:t>
      </w:r>
    </w:p>
    <w:p w14:paraId="34686A29" w14:textId="77777777" w:rsidR="00BC1290" w:rsidRDefault="00BC1290" w:rsidP="00BC1290">
      <w:pPr>
        <w:pStyle w:val="CitaviBibliographyEntry"/>
        <w:jc w:val="both"/>
        <w:rPr>
          <w:shd w:val="clear" w:color="auto" w:fill="FFFFFF"/>
        </w:rPr>
      </w:pPr>
      <w:r>
        <w:rPr>
          <w:shd w:val="clear" w:color="auto" w:fill="FFFFFF"/>
        </w:rPr>
        <w:t xml:space="preserve">Fich, E. M., &amp; White, L. J. 2005. Why do CEOs reciprocally sit on each other’s boards? </w:t>
      </w:r>
      <w:r w:rsidRPr="00DA3765">
        <w:rPr>
          <w:i/>
          <w:shd w:val="clear" w:color="auto" w:fill="FFFFFF"/>
        </w:rPr>
        <w:t>Journal of Corporate Finance</w:t>
      </w:r>
      <w:r w:rsidRPr="00DA3765">
        <w:rPr>
          <w:shd w:val="clear" w:color="auto" w:fill="FFFFFF"/>
        </w:rPr>
        <w:t>, 11: 175-195.</w:t>
      </w:r>
    </w:p>
    <w:p w14:paraId="24BD732C" w14:textId="77777777" w:rsidR="00BC1290" w:rsidRDefault="00BC1290" w:rsidP="00BC1290">
      <w:pPr>
        <w:pStyle w:val="CitaviBibliographyEntry"/>
        <w:jc w:val="both"/>
        <w:rPr>
          <w:shd w:val="clear" w:color="auto" w:fill="FFFFFF"/>
        </w:rPr>
      </w:pPr>
      <w:r>
        <w:rPr>
          <w:shd w:val="clear" w:color="auto" w:fill="FFFFFF"/>
        </w:rPr>
        <w:t xml:space="preserve">Foss, N. J. 1996. More critical comments on knowledge-based theories of the firm. </w:t>
      </w:r>
      <w:r w:rsidRPr="00DA3765">
        <w:rPr>
          <w:i/>
          <w:shd w:val="clear" w:color="auto" w:fill="FFFFFF"/>
        </w:rPr>
        <w:t>Organization Science</w:t>
      </w:r>
      <w:r w:rsidRPr="00DA3765">
        <w:rPr>
          <w:shd w:val="clear" w:color="auto" w:fill="FFFFFF"/>
        </w:rPr>
        <w:t>: 51-523.</w:t>
      </w:r>
    </w:p>
    <w:p w14:paraId="12F83561" w14:textId="77777777" w:rsidR="00BC1290" w:rsidRDefault="00BC1290" w:rsidP="00BC1290">
      <w:pPr>
        <w:pStyle w:val="CitaviBibliographyEntry"/>
        <w:jc w:val="both"/>
        <w:rPr>
          <w:shd w:val="clear" w:color="auto" w:fill="FFFFFF"/>
        </w:rPr>
      </w:pPr>
      <w:r>
        <w:rPr>
          <w:shd w:val="clear" w:color="auto" w:fill="FFFFFF"/>
        </w:rPr>
        <w:t xml:space="preserve">Gulati, R., Nohria, N., &amp; Zaheer, A. 2000. Strategic networks. </w:t>
      </w:r>
      <w:r w:rsidRPr="00DA3765">
        <w:rPr>
          <w:i/>
          <w:shd w:val="clear" w:color="auto" w:fill="FFFFFF"/>
        </w:rPr>
        <w:t>Strategic Management Journal</w:t>
      </w:r>
      <w:r w:rsidRPr="00DA3765">
        <w:rPr>
          <w:shd w:val="clear" w:color="auto" w:fill="FFFFFF"/>
        </w:rPr>
        <w:t>, 21: 203-215.</w:t>
      </w:r>
    </w:p>
    <w:p w14:paraId="57248E46" w14:textId="77777777" w:rsidR="00BC1290" w:rsidRDefault="00BC1290" w:rsidP="00BC1290">
      <w:pPr>
        <w:pStyle w:val="CitaviBibliographyEntry"/>
        <w:jc w:val="both"/>
        <w:rPr>
          <w:shd w:val="clear" w:color="auto" w:fill="FFFFFF"/>
        </w:rPr>
      </w:pPr>
      <w:r>
        <w:rPr>
          <w:shd w:val="clear" w:color="auto" w:fill="FFFFFF"/>
        </w:rPr>
        <w:t xml:space="preserve">Håkansson, H., &amp; Ford, D. 2002. How should companies interact in business networks? </w:t>
      </w:r>
      <w:r w:rsidRPr="00DA3765">
        <w:rPr>
          <w:i/>
          <w:shd w:val="clear" w:color="auto" w:fill="FFFFFF"/>
        </w:rPr>
        <w:t>Journal of Business Research</w:t>
      </w:r>
      <w:r w:rsidRPr="00DA3765">
        <w:rPr>
          <w:shd w:val="clear" w:color="auto" w:fill="FFFFFF"/>
        </w:rPr>
        <w:t>, 55: 133-139.</w:t>
      </w:r>
    </w:p>
    <w:p w14:paraId="3072EA93" w14:textId="77777777" w:rsidR="00BC1290" w:rsidRDefault="00BC1290" w:rsidP="00BC1290">
      <w:pPr>
        <w:pStyle w:val="CitaviBibliographyEntry"/>
        <w:jc w:val="both"/>
        <w:rPr>
          <w:shd w:val="clear" w:color="auto" w:fill="FFFFFF"/>
        </w:rPr>
      </w:pPr>
      <w:bookmarkStart w:id="2" w:name="_CTVL001f1b5efefbf9843c18e906a3ce8e36e7b"/>
      <w:r>
        <w:rPr>
          <w:shd w:val="clear" w:color="auto" w:fill="FFFFFF"/>
        </w:rPr>
        <w:t>Hamel, G. 1991. Competition for competence and interpartner learning within international strategic alliances.</w:t>
      </w:r>
      <w:bookmarkEnd w:id="2"/>
      <w:r>
        <w:rPr>
          <w:shd w:val="clear" w:color="auto" w:fill="FFFFFF"/>
        </w:rPr>
        <w:t xml:space="preserve"> </w:t>
      </w:r>
      <w:r w:rsidRPr="00DA3765">
        <w:rPr>
          <w:i/>
          <w:shd w:val="clear" w:color="auto" w:fill="FFFFFF"/>
        </w:rPr>
        <w:t>Strategic Management Journal</w:t>
      </w:r>
      <w:r w:rsidRPr="00DA3765">
        <w:rPr>
          <w:shd w:val="clear" w:color="auto" w:fill="FFFFFF"/>
        </w:rPr>
        <w:t>, 12: 83-103.</w:t>
      </w:r>
    </w:p>
    <w:p w14:paraId="439DC665" w14:textId="77777777" w:rsidR="00BC1290" w:rsidRDefault="00BC1290" w:rsidP="00BC1290">
      <w:pPr>
        <w:pStyle w:val="CitaviBibliographyEntry"/>
        <w:jc w:val="both"/>
        <w:rPr>
          <w:shd w:val="clear" w:color="auto" w:fill="FFFFFF"/>
        </w:rPr>
      </w:pPr>
      <w:r>
        <w:rPr>
          <w:shd w:val="clear" w:color="auto" w:fill="FFFFFF"/>
        </w:rPr>
        <w:t xml:space="preserve">Hernandez, E., &amp; Menon, A. 2021. Corporate Strategy and Network Change. </w:t>
      </w:r>
      <w:r w:rsidRPr="00DA3765">
        <w:rPr>
          <w:i/>
          <w:shd w:val="clear" w:color="auto" w:fill="FFFFFF"/>
        </w:rPr>
        <w:t>Academy of Management Review</w:t>
      </w:r>
      <w:r w:rsidRPr="00DA3765">
        <w:rPr>
          <w:shd w:val="clear" w:color="auto" w:fill="FFFFFF"/>
        </w:rPr>
        <w:t>, 46: 80-107.</w:t>
      </w:r>
    </w:p>
    <w:p w14:paraId="16D0E4FD" w14:textId="77777777" w:rsidR="00BC1290" w:rsidRDefault="00BC1290" w:rsidP="00BC1290">
      <w:pPr>
        <w:pStyle w:val="CitaviBibliographyEntry"/>
        <w:jc w:val="both"/>
        <w:rPr>
          <w:shd w:val="clear" w:color="auto" w:fill="FFFFFF"/>
        </w:rPr>
      </w:pPr>
      <w:r>
        <w:rPr>
          <w:shd w:val="clear" w:color="auto" w:fill="FFFFFF"/>
        </w:rPr>
        <w:t xml:space="preserve">Hitt, M. A., Hoskisson, R. E., &amp; Ireland, R. D. 1990. Mergers and acquisitions and managerial commitment to innovation in M-form firms. </w:t>
      </w:r>
      <w:r w:rsidRPr="00DA3765">
        <w:rPr>
          <w:i/>
          <w:shd w:val="clear" w:color="auto" w:fill="FFFFFF"/>
        </w:rPr>
        <w:t>Strategic Management Journal</w:t>
      </w:r>
      <w:r w:rsidRPr="00DA3765">
        <w:rPr>
          <w:shd w:val="clear" w:color="auto" w:fill="FFFFFF"/>
        </w:rPr>
        <w:t>: 29-47.</w:t>
      </w:r>
    </w:p>
    <w:p w14:paraId="66ED7EA5" w14:textId="77777777" w:rsidR="00BC1290" w:rsidRDefault="00BC1290" w:rsidP="00BC1290">
      <w:pPr>
        <w:pStyle w:val="CitaviBibliographyEntry"/>
        <w:jc w:val="both"/>
        <w:rPr>
          <w:shd w:val="clear" w:color="auto" w:fill="FFFFFF"/>
        </w:rPr>
      </w:pPr>
      <w:r>
        <w:rPr>
          <w:shd w:val="clear" w:color="auto" w:fill="FFFFFF"/>
        </w:rPr>
        <w:t xml:space="preserve">Hitt, M. A., Ireland, R. D., &amp; Hoskisson, R. E. 1997. </w:t>
      </w:r>
      <w:r w:rsidRPr="00DA3765">
        <w:rPr>
          <w:i/>
          <w:shd w:val="clear" w:color="auto" w:fill="FFFFFF"/>
        </w:rPr>
        <w:t>Strategic management: Competitiveness and global- ization</w:t>
      </w:r>
      <w:r w:rsidRPr="00DA3765">
        <w:rPr>
          <w:shd w:val="clear" w:color="auto" w:fill="FFFFFF"/>
        </w:rPr>
        <w:t>. St. Paul:: West Educational Publishing.</w:t>
      </w:r>
    </w:p>
    <w:p w14:paraId="40207DBF" w14:textId="77777777" w:rsidR="00BC1290" w:rsidRDefault="00BC1290" w:rsidP="00BC1290">
      <w:pPr>
        <w:pStyle w:val="CitaviBibliographyEntry"/>
        <w:jc w:val="both"/>
        <w:rPr>
          <w:shd w:val="clear" w:color="auto" w:fill="FFFFFF"/>
        </w:rPr>
      </w:pPr>
      <w:r>
        <w:rPr>
          <w:shd w:val="clear" w:color="auto" w:fill="FFFFFF"/>
        </w:rPr>
        <w:t xml:space="preserve">Hitt, M. A., Keats, B. W., &amp; DeMarie, S. M. 1998. Navigating in the new competitive landscape: Building strategic flexibility and competitive advantage in the twenty-first century. </w:t>
      </w:r>
      <w:r w:rsidRPr="00DA3765">
        <w:rPr>
          <w:i/>
          <w:shd w:val="clear" w:color="auto" w:fill="FFFFFF"/>
        </w:rPr>
        <w:t>Academic of Management</w:t>
      </w:r>
      <w:r w:rsidRPr="00DA3765">
        <w:rPr>
          <w:shd w:val="clear" w:color="auto" w:fill="FFFFFF"/>
        </w:rPr>
        <w:t>: 22-42.</w:t>
      </w:r>
    </w:p>
    <w:p w14:paraId="3984E141" w14:textId="77777777" w:rsidR="00BC1290" w:rsidRDefault="00BC1290" w:rsidP="00BC1290">
      <w:pPr>
        <w:pStyle w:val="CitaviBibliographyEntry"/>
        <w:jc w:val="both"/>
        <w:rPr>
          <w:shd w:val="clear" w:color="auto" w:fill="FFFFFF"/>
        </w:rPr>
      </w:pPr>
      <w:r>
        <w:rPr>
          <w:shd w:val="clear" w:color="auto" w:fill="FFFFFF"/>
        </w:rPr>
        <w:t xml:space="preserve">Hoskisson, R. E., Hitt, M. A., Wan, W. P., &amp; Yiu, D. 1999. Theory and research in strategic management: Swings of a pendulum. </w:t>
      </w:r>
      <w:r w:rsidRPr="00DA3765">
        <w:rPr>
          <w:i/>
          <w:shd w:val="clear" w:color="auto" w:fill="FFFFFF"/>
        </w:rPr>
        <w:t>Journal of Management</w:t>
      </w:r>
      <w:r w:rsidRPr="00DA3765">
        <w:rPr>
          <w:shd w:val="clear" w:color="auto" w:fill="FFFFFF"/>
        </w:rPr>
        <w:t>, 25: 417-456.</w:t>
      </w:r>
    </w:p>
    <w:p w14:paraId="39C23E6D" w14:textId="77777777" w:rsidR="00BC1290" w:rsidRDefault="00BC1290" w:rsidP="00BC1290">
      <w:pPr>
        <w:pStyle w:val="CitaviBibliographyEntry"/>
        <w:jc w:val="both"/>
        <w:rPr>
          <w:shd w:val="clear" w:color="auto" w:fill="FFFFFF"/>
        </w:rPr>
      </w:pPr>
      <w:r>
        <w:rPr>
          <w:shd w:val="clear" w:color="auto" w:fill="FFFFFF"/>
        </w:rPr>
        <w:t xml:space="preserve">Hoskisson, R. E., &amp; Turk, T. A. 1. 1990. Corporate restructuring: Governance and control limits of the internal capital market. </w:t>
      </w:r>
      <w:r w:rsidRPr="00DA3765">
        <w:rPr>
          <w:i/>
          <w:shd w:val="clear" w:color="auto" w:fill="FFFFFF"/>
        </w:rPr>
        <w:t>Academy of Management Review</w:t>
      </w:r>
      <w:r w:rsidRPr="00DA3765">
        <w:rPr>
          <w:shd w:val="clear" w:color="auto" w:fill="FFFFFF"/>
        </w:rPr>
        <w:t>: 459-477.</w:t>
      </w:r>
    </w:p>
    <w:p w14:paraId="6BE19DD5" w14:textId="77777777" w:rsidR="00BC1290" w:rsidRDefault="00BC1290" w:rsidP="00BC1290">
      <w:pPr>
        <w:pStyle w:val="CitaviBibliographyEntry"/>
        <w:jc w:val="both"/>
        <w:rPr>
          <w:shd w:val="clear" w:color="auto" w:fill="FFFFFF"/>
        </w:rPr>
      </w:pPr>
      <w:r>
        <w:rPr>
          <w:shd w:val="clear" w:color="auto" w:fill="FFFFFF"/>
        </w:rPr>
        <w:lastRenderedPageBreak/>
        <w:t xml:space="preserve">Hunt, M. S. 1972. </w:t>
      </w:r>
      <w:r w:rsidRPr="00DA3765">
        <w:rPr>
          <w:i/>
          <w:shd w:val="clear" w:color="auto" w:fill="FFFFFF"/>
        </w:rPr>
        <w:t>Competition in the major home appliance industry, 1960 –1970</w:t>
      </w:r>
      <w:r w:rsidRPr="00DA3765">
        <w:rPr>
          <w:shd w:val="clear" w:color="auto" w:fill="FFFFFF"/>
        </w:rPr>
        <w:t>. Unpublished Ph.D. Dissertation: Harvard University.</w:t>
      </w:r>
    </w:p>
    <w:p w14:paraId="4970E419" w14:textId="77777777" w:rsidR="00BC1290" w:rsidRDefault="00BC1290" w:rsidP="00BC1290">
      <w:pPr>
        <w:pStyle w:val="CitaviBibliographyEntry"/>
        <w:jc w:val="both"/>
        <w:rPr>
          <w:shd w:val="clear" w:color="auto" w:fill="FFFFFF"/>
        </w:rPr>
      </w:pPr>
      <w:r>
        <w:rPr>
          <w:shd w:val="clear" w:color="auto" w:fill="FFFFFF"/>
        </w:rPr>
        <w:t xml:space="preserve">Jensen, M. C., &amp; Meckling, W. 1976. Theory of the firm: Managerial behavior, agency costs and ownership structure. </w:t>
      </w:r>
      <w:r w:rsidRPr="00DA3765">
        <w:rPr>
          <w:i/>
          <w:shd w:val="clear" w:color="auto" w:fill="FFFFFF"/>
        </w:rPr>
        <w:t>Journal of Financial Economics</w:t>
      </w:r>
      <w:r w:rsidRPr="00DA3765">
        <w:rPr>
          <w:shd w:val="clear" w:color="auto" w:fill="FFFFFF"/>
        </w:rPr>
        <w:t>: 305-360.</w:t>
      </w:r>
    </w:p>
    <w:p w14:paraId="0AEB6655" w14:textId="77777777" w:rsidR="00BC1290" w:rsidRDefault="00BC1290" w:rsidP="00BC1290">
      <w:pPr>
        <w:pStyle w:val="CitaviBibliographyEntry"/>
        <w:jc w:val="both"/>
        <w:rPr>
          <w:shd w:val="clear" w:color="auto" w:fill="FFFFFF"/>
        </w:rPr>
      </w:pPr>
      <w:r>
        <w:rPr>
          <w:shd w:val="clear" w:color="auto" w:fill="FFFFFF"/>
        </w:rPr>
        <w:t xml:space="preserve">Jüttner, U., &amp; Schlange, L. E. 1996. A network approach to strategy. </w:t>
      </w:r>
      <w:r w:rsidRPr="00DA3765">
        <w:rPr>
          <w:i/>
          <w:shd w:val="clear" w:color="auto" w:fill="FFFFFF"/>
        </w:rPr>
        <w:t>International Journal of Research in Marketing</w:t>
      </w:r>
      <w:r w:rsidRPr="00DA3765">
        <w:rPr>
          <w:shd w:val="clear" w:color="auto" w:fill="FFFFFF"/>
        </w:rPr>
        <w:t>, 13: 479-494.</w:t>
      </w:r>
    </w:p>
    <w:p w14:paraId="03C176CA" w14:textId="77777777" w:rsidR="00BC1290" w:rsidRDefault="00BC1290" w:rsidP="00BC1290">
      <w:pPr>
        <w:pStyle w:val="CitaviBibliographyEntry"/>
        <w:jc w:val="both"/>
        <w:rPr>
          <w:shd w:val="clear" w:color="auto" w:fill="FFFFFF"/>
        </w:rPr>
      </w:pPr>
      <w:bookmarkStart w:id="3" w:name="_CTVL001da6d29fffddb459385806cf63392583e"/>
      <w:r>
        <w:rPr>
          <w:shd w:val="clear" w:color="auto" w:fill="FFFFFF"/>
        </w:rPr>
        <w:t>Kale, P., &amp; Singh, H. 2009. Managing Strategic Alliances: What Do We Know Now, and Where Do We Go From Here?</w:t>
      </w:r>
      <w:bookmarkEnd w:id="3"/>
      <w:r>
        <w:rPr>
          <w:shd w:val="clear" w:color="auto" w:fill="FFFFFF"/>
        </w:rPr>
        <w:t xml:space="preserve"> </w:t>
      </w:r>
      <w:r w:rsidRPr="00DA3765">
        <w:rPr>
          <w:i/>
          <w:shd w:val="clear" w:color="auto" w:fill="FFFFFF"/>
        </w:rPr>
        <w:t>Academy of Management Perspectives</w:t>
      </w:r>
      <w:r w:rsidRPr="00DA3765">
        <w:rPr>
          <w:shd w:val="clear" w:color="auto" w:fill="FFFFFF"/>
        </w:rPr>
        <w:t>, 23: 45-62.</w:t>
      </w:r>
    </w:p>
    <w:p w14:paraId="2FF6E7CB" w14:textId="77777777" w:rsidR="00BC1290" w:rsidRDefault="00BC1290" w:rsidP="00BC1290">
      <w:pPr>
        <w:pStyle w:val="CitaviBibliographyEntry"/>
        <w:jc w:val="both"/>
        <w:rPr>
          <w:shd w:val="clear" w:color="auto" w:fill="FFFFFF"/>
        </w:rPr>
      </w:pPr>
      <w:r>
        <w:rPr>
          <w:shd w:val="clear" w:color="auto" w:fill="FFFFFF"/>
        </w:rPr>
        <w:t xml:space="preserve">Kilduff, M., Crossland, C., Tsai, W., &amp; Krackhardt, D. 2008. Organizational network perceptions versus reality: A small world after all? </w:t>
      </w:r>
      <w:r w:rsidRPr="00DA3765">
        <w:rPr>
          <w:i/>
          <w:shd w:val="clear" w:color="auto" w:fill="FFFFFF"/>
        </w:rPr>
        <w:t>Organizational Behavior and Human Decision Processes</w:t>
      </w:r>
      <w:r w:rsidRPr="00DA3765">
        <w:rPr>
          <w:shd w:val="clear" w:color="auto" w:fill="FFFFFF"/>
        </w:rPr>
        <w:t>, 107: 15-28.</w:t>
      </w:r>
    </w:p>
    <w:p w14:paraId="2E272A5E" w14:textId="77777777" w:rsidR="00BC1290" w:rsidRDefault="00BC1290" w:rsidP="00BC1290">
      <w:pPr>
        <w:pStyle w:val="CitaviBibliographyEntry"/>
        <w:jc w:val="both"/>
        <w:rPr>
          <w:shd w:val="clear" w:color="auto" w:fill="FFFFFF"/>
        </w:rPr>
      </w:pPr>
      <w:r>
        <w:rPr>
          <w:shd w:val="clear" w:color="auto" w:fill="FFFFFF"/>
        </w:rPr>
        <w:t xml:space="preserve">Kilduff, M., &amp; Tsai, W. 2003. </w:t>
      </w:r>
      <w:r w:rsidRPr="00DA3765">
        <w:rPr>
          <w:i/>
          <w:shd w:val="clear" w:color="auto" w:fill="FFFFFF"/>
        </w:rPr>
        <w:t>Social Networks and Organizations</w:t>
      </w:r>
      <w:r w:rsidRPr="00DA3765">
        <w:rPr>
          <w:shd w:val="clear" w:color="auto" w:fill="FFFFFF"/>
        </w:rPr>
        <w:t>. 6 Bonhill Street, London England EC2A 4PU United Kingdom: SAGE Publications Ltd.</w:t>
      </w:r>
    </w:p>
    <w:p w14:paraId="2F9126E6" w14:textId="77777777" w:rsidR="00BC1290" w:rsidRDefault="00BC1290" w:rsidP="00BC1290">
      <w:pPr>
        <w:pStyle w:val="CitaviBibliographyEntry"/>
        <w:jc w:val="both"/>
        <w:rPr>
          <w:shd w:val="clear" w:color="auto" w:fill="FFFFFF"/>
        </w:rPr>
      </w:pPr>
      <w:r>
        <w:rPr>
          <w:shd w:val="clear" w:color="auto" w:fill="FFFFFF"/>
        </w:rPr>
        <w:t xml:space="preserve">Klüppel, L. M., Pierce, L., &amp; Snyder, J. A. 2018. Perspective—The Deep Historical Roots of Organization and Strategy: Traumatic Shocks, Culture, and Institutions. </w:t>
      </w:r>
      <w:r w:rsidRPr="00DA3765">
        <w:rPr>
          <w:i/>
          <w:shd w:val="clear" w:color="auto" w:fill="FFFFFF"/>
        </w:rPr>
        <w:t>Organization Science</w:t>
      </w:r>
      <w:r w:rsidRPr="00DA3765">
        <w:rPr>
          <w:shd w:val="clear" w:color="auto" w:fill="FFFFFF"/>
        </w:rPr>
        <w:t>, 29: 702-721.</w:t>
      </w:r>
    </w:p>
    <w:p w14:paraId="6E8E1BB8" w14:textId="77777777" w:rsidR="00BC1290" w:rsidRDefault="00BC1290" w:rsidP="00BC1290">
      <w:pPr>
        <w:pStyle w:val="CitaviBibliographyEntry"/>
        <w:jc w:val="both"/>
        <w:rPr>
          <w:shd w:val="clear" w:color="auto" w:fill="FFFFFF"/>
        </w:rPr>
      </w:pPr>
      <w:bookmarkStart w:id="4" w:name="_CTVL001e597973bef7440cbb6ba51f9b7c837a1"/>
      <w:r>
        <w:rPr>
          <w:shd w:val="clear" w:color="auto" w:fill="FFFFFF"/>
        </w:rPr>
        <w:t>Knoben, J., &amp; Bakker, R. M. 2019. The guppy and the whale: Relational pluralism and start-ups’ expropriation dilemma in partnership formation.</w:t>
      </w:r>
      <w:bookmarkEnd w:id="4"/>
      <w:r>
        <w:rPr>
          <w:shd w:val="clear" w:color="auto" w:fill="FFFFFF"/>
        </w:rPr>
        <w:t xml:space="preserve"> </w:t>
      </w:r>
      <w:r w:rsidRPr="00DA3765">
        <w:rPr>
          <w:i/>
          <w:shd w:val="clear" w:color="auto" w:fill="FFFFFF"/>
        </w:rPr>
        <w:t>Journal of Business Venturing</w:t>
      </w:r>
      <w:r w:rsidRPr="00DA3765">
        <w:rPr>
          <w:shd w:val="clear" w:color="auto" w:fill="FFFFFF"/>
        </w:rPr>
        <w:t>, 34: 103-121.</w:t>
      </w:r>
    </w:p>
    <w:p w14:paraId="5CCA5DB3" w14:textId="77777777" w:rsidR="00BC1290" w:rsidRDefault="00BC1290" w:rsidP="00BC1290">
      <w:pPr>
        <w:pStyle w:val="CitaviBibliographyEntry"/>
        <w:jc w:val="both"/>
        <w:rPr>
          <w:shd w:val="clear" w:color="auto" w:fill="FFFFFF"/>
        </w:rPr>
      </w:pPr>
      <w:bookmarkStart w:id="5" w:name="_CTVL001ec168b0f091b4b2d8c2cf2b1bf4a0dc1"/>
      <w:r>
        <w:rPr>
          <w:shd w:val="clear" w:color="auto" w:fill="FFFFFF"/>
        </w:rPr>
        <w:t>Kumar, M. V. S. 2010. Differential Gains Between Partners in Joint Ventures: Role of Resource Appropriation and Private Benefits.</w:t>
      </w:r>
      <w:bookmarkEnd w:id="5"/>
      <w:r>
        <w:rPr>
          <w:shd w:val="clear" w:color="auto" w:fill="FFFFFF"/>
        </w:rPr>
        <w:t xml:space="preserve"> </w:t>
      </w:r>
      <w:r w:rsidRPr="00DA3765">
        <w:rPr>
          <w:i/>
          <w:shd w:val="clear" w:color="auto" w:fill="FFFFFF"/>
        </w:rPr>
        <w:t>Organization Science</w:t>
      </w:r>
      <w:r w:rsidRPr="00DA3765">
        <w:rPr>
          <w:shd w:val="clear" w:color="auto" w:fill="FFFFFF"/>
        </w:rPr>
        <w:t>, 21: 232-248.</w:t>
      </w:r>
    </w:p>
    <w:p w14:paraId="5A797F9B" w14:textId="77777777" w:rsidR="00BC1290" w:rsidRDefault="00BC1290" w:rsidP="00BC1290">
      <w:pPr>
        <w:pStyle w:val="CitaviBibliographyEntry"/>
        <w:jc w:val="both"/>
        <w:rPr>
          <w:shd w:val="clear" w:color="auto" w:fill="FFFFFF"/>
        </w:rPr>
      </w:pPr>
      <w:r>
        <w:rPr>
          <w:shd w:val="clear" w:color="auto" w:fill="FFFFFF"/>
        </w:rPr>
        <w:t xml:space="preserve">Kumar, P., &amp; Zaheer, A. 2019. Ego-Network Stability and Innovation in Alliances. </w:t>
      </w:r>
      <w:r w:rsidRPr="00DA3765">
        <w:rPr>
          <w:i/>
          <w:shd w:val="clear" w:color="auto" w:fill="FFFFFF"/>
        </w:rPr>
        <w:t>Academy of Management Journal</w:t>
      </w:r>
      <w:r w:rsidRPr="00DA3765">
        <w:rPr>
          <w:shd w:val="clear" w:color="auto" w:fill="FFFFFF"/>
        </w:rPr>
        <w:t>, 62: 691-716.</w:t>
      </w:r>
    </w:p>
    <w:p w14:paraId="02214683" w14:textId="77777777" w:rsidR="00BC1290" w:rsidRDefault="00BC1290" w:rsidP="00BC1290">
      <w:pPr>
        <w:pStyle w:val="CitaviBibliographyEntry"/>
        <w:jc w:val="both"/>
        <w:rPr>
          <w:shd w:val="clear" w:color="auto" w:fill="FFFFFF"/>
        </w:rPr>
      </w:pPr>
      <w:r>
        <w:rPr>
          <w:shd w:val="clear" w:color="auto" w:fill="FFFFFF"/>
        </w:rPr>
        <w:t xml:space="preserve">Learned, E. P., Christensen, C. R., Andrews, K. R., &amp; Guth, W. D. 1965/1969. </w:t>
      </w:r>
      <w:r w:rsidRPr="00DA3765">
        <w:rPr>
          <w:i/>
          <w:shd w:val="clear" w:color="auto" w:fill="FFFFFF"/>
        </w:rPr>
        <w:t>Business Policy: Text and Case</w:t>
      </w:r>
      <w:r w:rsidRPr="00DA3765">
        <w:rPr>
          <w:shd w:val="clear" w:color="auto" w:fill="FFFFFF"/>
        </w:rPr>
        <w:t>. Homewood, IL: Richard D. Irwin.</w:t>
      </w:r>
    </w:p>
    <w:p w14:paraId="519AC3F7" w14:textId="77777777" w:rsidR="00BC1290" w:rsidRDefault="00BC1290" w:rsidP="00BC1290">
      <w:pPr>
        <w:pStyle w:val="CitaviBibliographyEntry"/>
        <w:jc w:val="both"/>
        <w:rPr>
          <w:shd w:val="clear" w:color="auto" w:fill="FFFFFF"/>
        </w:rPr>
      </w:pPr>
      <w:r>
        <w:rPr>
          <w:shd w:val="clear" w:color="auto" w:fill="FFFFFF"/>
        </w:rPr>
        <w:lastRenderedPageBreak/>
        <w:t xml:space="preserve">March, J. C., &amp; Simon, H. A. 1958. </w:t>
      </w:r>
      <w:r w:rsidRPr="00DA3765">
        <w:rPr>
          <w:i/>
          <w:shd w:val="clear" w:color="auto" w:fill="FFFFFF"/>
        </w:rPr>
        <w:t>Organizations</w:t>
      </w:r>
      <w:r w:rsidRPr="00DA3765">
        <w:rPr>
          <w:shd w:val="clear" w:color="auto" w:fill="FFFFFF"/>
        </w:rPr>
        <w:t>. New York: Wiley.</w:t>
      </w:r>
    </w:p>
    <w:p w14:paraId="395CB34C" w14:textId="77777777" w:rsidR="00BC1290" w:rsidRDefault="00BC1290" w:rsidP="00BC1290">
      <w:pPr>
        <w:pStyle w:val="CitaviBibliographyEntry"/>
        <w:jc w:val="both"/>
        <w:rPr>
          <w:shd w:val="clear" w:color="auto" w:fill="FFFFFF"/>
        </w:rPr>
      </w:pPr>
      <w:r>
        <w:rPr>
          <w:shd w:val="clear" w:color="auto" w:fill="FFFFFF"/>
        </w:rPr>
        <w:t xml:space="preserve">Martin, G., Gözübüyük, R., &amp; Becerra, M. 2015. Interlocks and firm performance: The role of uncertainty in the directorate interlock-performance relationship. </w:t>
      </w:r>
      <w:r w:rsidRPr="00DA3765">
        <w:rPr>
          <w:i/>
          <w:shd w:val="clear" w:color="auto" w:fill="FFFFFF"/>
        </w:rPr>
        <w:t>Strategic Management Journal</w:t>
      </w:r>
      <w:r w:rsidRPr="00DA3765">
        <w:rPr>
          <w:shd w:val="clear" w:color="auto" w:fill="FFFFFF"/>
        </w:rPr>
        <w:t>, 36: 235-253.</w:t>
      </w:r>
    </w:p>
    <w:p w14:paraId="34574FEA" w14:textId="77777777" w:rsidR="00BC1290" w:rsidRDefault="00BC1290" w:rsidP="00BC1290">
      <w:pPr>
        <w:pStyle w:val="CitaviBibliographyEntry"/>
        <w:jc w:val="both"/>
        <w:rPr>
          <w:shd w:val="clear" w:color="auto" w:fill="FFFFFF"/>
        </w:rPr>
      </w:pPr>
      <w:r>
        <w:rPr>
          <w:shd w:val="clear" w:color="auto" w:fill="FFFFFF"/>
        </w:rPr>
        <w:t xml:space="preserve">Mizruchi, M. S. 1996. What Do Interlocks Do? An Analysis, Critique, and Assessment of Research on Interlocking Directorates. </w:t>
      </w:r>
      <w:r w:rsidRPr="00DA3765">
        <w:rPr>
          <w:i/>
          <w:shd w:val="clear" w:color="auto" w:fill="FFFFFF"/>
        </w:rPr>
        <w:t>Annual Review of Sociology</w:t>
      </w:r>
      <w:r w:rsidRPr="00DA3765">
        <w:rPr>
          <w:shd w:val="clear" w:color="auto" w:fill="FFFFFF"/>
        </w:rPr>
        <w:t>, 22: 271-298.</w:t>
      </w:r>
    </w:p>
    <w:p w14:paraId="14A18DAA" w14:textId="77777777" w:rsidR="00BC1290" w:rsidRDefault="00BC1290" w:rsidP="00BC1290">
      <w:pPr>
        <w:pStyle w:val="CitaviBibliographyEntry"/>
        <w:jc w:val="both"/>
        <w:rPr>
          <w:shd w:val="clear" w:color="auto" w:fill="FFFFFF"/>
        </w:rPr>
      </w:pPr>
      <w:r>
        <w:rPr>
          <w:shd w:val="clear" w:color="auto" w:fill="FFFFFF"/>
        </w:rPr>
        <w:t xml:space="preserve">Möller, K. K., &amp; Halinen, A. 1999. Business Relationships and Networks. </w:t>
      </w:r>
      <w:r w:rsidRPr="00DA3765">
        <w:rPr>
          <w:i/>
          <w:shd w:val="clear" w:color="auto" w:fill="FFFFFF"/>
        </w:rPr>
        <w:t>Industrial Marketing Management</w:t>
      </w:r>
      <w:r w:rsidRPr="00DA3765">
        <w:rPr>
          <w:shd w:val="clear" w:color="auto" w:fill="FFFFFF"/>
        </w:rPr>
        <w:t>, 28: 413-427.</w:t>
      </w:r>
    </w:p>
    <w:p w14:paraId="14C47B71" w14:textId="77777777" w:rsidR="00BC1290" w:rsidRDefault="00BC1290" w:rsidP="00BC1290">
      <w:pPr>
        <w:pStyle w:val="CitaviBibliographyEntry"/>
        <w:jc w:val="both"/>
        <w:rPr>
          <w:shd w:val="clear" w:color="auto" w:fill="FFFFFF"/>
        </w:rPr>
      </w:pPr>
      <w:r>
        <w:rPr>
          <w:shd w:val="clear" w:color="auto" w:fill="FFFFFF"/>
        </w:rPr>
        <w:t xml:space="preserve">Oliver, C. 1997. Sustainable competitive advantage: Combining institutional and resource-based views. </w:t>
      </w:r>
      <w:r w:rsidRPr="00DA3765">
        <w:rPr>
          <w:i/>
          <w:shd w:val="clear" w:color="auto" w:fill="FFFFFF"/>
        </w:rPr>
        <w:t>Strategic Management Journal</w:t>
      </w:r>
      <w:r w:rsidRPr="00DA3765">
        <w:rPr>
          <w:shd w:val="clear" w:color="auto" w:fill="FFFFFF"/>
        </w:rPr>
        <w:t>: 697-713.</w:t>
      </w:r>
    </w:p>
    <w:p w14:paraId="50C058DE" w14:textId="77777777" w:rsidR="00BC1290" w:rsidRDefault="00BC1290" w:rsidP="00BC1290">
      <w:pPr>
        <w:pStyle w:val="CitaviBibliographyEntry"/>
        <w:jc w:val="both"/>
        <w:rPr>
          <w:shd w:val="clear" w:color="auto" w:fill="FFFFFF"/>
        </w:rPr>
      </w:pPr>
      <w:r>
        <w:rPr>
          <w:shd w:val="clear" w:color="auto" w:fill="FFFFFF"/>
        </w:rPr>
        <w:t xml:space="preserve">Osborn, R. N., &amp; Hagedoorn, J. 1997. The institutionalization and evolutionary dynamics of interorganizational alliances and networks. </w:t>
      </w:r>
      <w:r w:rsidRPr="00DA3765">
        <w:rPr>
          <w:i/>
          <w:shd w:val="clear" w:color="auto" w:fill="FFFFFF"/>
        </w:rPr>
        <w:t>Academic of Management Journal</w:t>
      </w:r>
      <w:r w:rsidRPr="00DA3765">
        <w:rPr>
          <w:shd w:val="clear" w:color="auto" w:fill="FFFFFF"/>
        </w:rPr>
        <w:t>: 261-278.</w:t>
      </w:r>
    </w:p>
    <w:p w14:paraId="7E1E2D0A" w14:textId="77777777" w:rsidR="00BC1290" w:rsidRDefault="00BC1290" w:rsidP="00BC1290">
      <w:pPr>
        <w:pStyle w:val="CitaviBibliographyEntry"/>
        <w:jc w:val="both"/>
        <w:rPr>
          <w:shd w:val="clear" w:color="auto" w:fill="FFFFFF"/>
        </w:rPr>
      </w:pPr>
      <w:r>
        <w:rPr>
          <w:shd w:val="clear" w:color="auto" w:fill="FFFFFF"/>
        </w:rPr>
        <w:t xml:space="preserve">Penrose, E. T. 1959. </w:t>
      </w:r>
      <w:r w:rsidRPr="00DA3765">
        <w:rPr>
          <w:i/>
          <w:shd w:val="clear" w:color="auto" w:fill="FFFFFF"/>
        </w:rPr>
        <w:t>The theory of the growth of the firm</w:t>
      </w:r>
      <w:r w:rsidRPr="00DA3765">
        <w:rPr>
          <w:shd w:val="clear" w:color="auto" w:fill="FFFFFF"/>
        </w:rPr>
        <w:t>. New York: Wiley.</w:t>
      </w:r>
    </w:p>
    <w:p w14:paraId="66B2C427" w14:textId="77777777" w:rsidR="00BC1290" w:rsidRDefault="00BC1290" w:rsidP="00BC1290">
      <w:pPr>
        <w:pStyle w:val="CitaviBibliographyEntry"/>
        <w:jc w:val="both"/>
        <w:rPr>
          <w:shd w:val="clear" w:color="auto" w:fill="FFFFFF"/>
        </w:rPr>
      </w:pPr>
      <w:r>
        <w:rPr>
          <w:shd w:val="clear" w:color="auto" w:fill="FFFFFF"/>
        </w:rPr>
        <w:t xml:space="preserve">Pfeffer, J., &amp; Davis-Blake, A. 1986. Administrative succession and organizational performance: How administrator experience mediates the succession effect. </w:t>
      </w:r>
      <w:r w:rsidRPr="00DA3765">
        <w:rPr>
          <w:i/>
          <w:shd w:val="clear" w:color="auto" w:fill="FFFFFF"/>
        </w:rPr>
        <w:t>Academy of Management Journal</w:t>
      </w:r>
      <w:r w:rsidRPr="00DA3765">
        <w:rPr>
          <w:shd w:val="clear" w:color="auto" w:fill="FFFFFF"/>
        </w:rPr>
        <w:t>: 72-83.</w:t>
      </w:r>
    </w:p>
    <w:p w14:paraId="731BFF2E" w14:textId="77777777" w:rsidR="00BC1290" w:rsidRDefault="00BC1290" w:rsidP="00BC1290">
      <w:pPr>
        <w:pStyle w:val="CitaviBibliographyEntry"/>
        <w:jc w:val="both"/>
        <w:rPr>
          <w:shd w:val="clear" w:color="auto" w:fill="FFFFFF"/>
        </w:rPr>
      </w:pPr>
      <w:bookmarkStart w:id="6" w:name="_CTVL001b57d4b663a0942f6b0425378a2b3d3dd"/>
      <w:r>
        <w:rPr>
          <w:shd w:val="clear" w:color="auto" w:fill="FFFFFF"/>
        </w:rPr>
        <w:t>Pfeffer, J., &amp; Salancik, G. R. 1978.</w:t>
      </w:r>
      <w:bookmarkEnd w:id="6"/>
      <w:r>
        <w:rPr>
          <w:shd w:val="clear" w:color="auto" w:fill="FFFFFF"/>
        </w:rPr>
        <w:t xml:space="preserve"> </w:t>
      </w:r>
      <w:r w:rsidRPr="00DA3765">
        <w:rPr>
          <w:i/>
          <w:shd w:val="clear" w:color="auto" w:fill="FFFFFF"/>
        </w:rPr>
        <w:t>The external control of organizations: A resource depende nce perspective</w:t>
      </w:r>
      <w:r w:rsidRPr="00DA3765">
        <w:rPr>
          <w:shd w:val="clear" w:color="auto" w:fill="FFFFFF"/>
        </w:rPr>
        <w:t>. New York: Harper &amp; Row.</w:t>
      </w:r>
    </w:p>
    <w:p w14:paraId="141980F3" w14:textId="77777777" w:rsidR="00BC1290" w:rsidRDefault="00BC1290" w:rsidP="00BC1290">
      <w:pPr>
        <w:pStyle w:val="CitaviBibliographyEntry"/>
        <w:jc w:val="both"/>
        <w:rPr>
          <w:shd w:val="clear" w:color="auto" w:fill="FFFFFF"/>
        </w:rPr>
      </w:pPr>
      <w:r>
        <w:rPr>
          <w:shd w:val="clear" w:color="auto" w:fill="FFFFFF"/>
        </w:rPr>
        <w:t xml:space="preserve">Porter, M. E. 1973. </w:t>
      </w:r>
      <w:r w:rsidRPr="00DA3765">
        <w:rPr>
          <w:i/>
          <w:shd w:val="clear" w:color="auto" w:fill="FFFFFF"/>
        </w:rPr>
        <w:t>Retailer power, manufacturer strategy, and performance in consumer goods industry</w:t>
      </w:r>
      <w:r w:rsidRPr="00DA3765">
        <w:rPr>
          <w:shd w:val="clear" w:color="auto" w:fill="FFFFFF"/>
        </w:rPr>
        <w:t>. Unpublished Ph.D. Dissertation: Harvard University.</w:t>
      </w:r>
    </w:p>
    <w:p w14:paraId="317499DC" w14:textId="77777777" w:rsidR="00BC1290" w:rsidRDefault="00BC1290" w:rsidP="00BC1290">
      <w:pPr>
        <w:pStyle w:val="CitaviBibliographyEntry"/>
        <w:jc w:val="both"/>
        <w:rPr>
          <w:shd w:val="clear" w:color="auto" w:fill="FFFFFF"/>
        </w:rPr>
      </w:pPr>
      <w:r>
        <w:rPr>
          <w:shd w:val="clear" w:color="auto" w:fill="FFFFFF"/>
        </w:rPr>
        <w:t xml:space="preserve">Porter, M. E. 1980. </w:t>
      </w:r>
      <w:r w:rsidRPr="00DA3765">
        <w:rPr>
          <w:i/>
          <w:shd w:val="clear" w:color="auto" w:fill="FFFFFF"/>
        </w:rPr>
        <w:t>Competitive strategy</w:t>
      </w:r>
      <w:r w:rsidRPr="00DA3765">
        <w:rPr>
          <w:shd w:val="clear" w:color="auto" w:fill="FFFFFF"/>
        </w:rPr>
        <w:t>. New York: Free Press.</w:t>
      </w:r>
    </w:p>
    <w:p w14:paraId="613F4D82" w14:textId="77777777" w:rsidR="00BC1290" w:rsidRDefault="00BC1290" w:rsidP="00BC1290">
      <w:pPr>
        <w:pStyle w:val="CitaviBibliographyEntry"/>
        <w:jc w:val="both"/>
        <w:rPr>
          <w:shd w:val="clear" w:color="auto" w:fill="FFFFFF"/>
        </w:rPr>
      </w:pPr>
      <w:r>
        <w:rPr>
          <w:shd w:val="clear" w:color="auto" w:fill="FFFFFF"/>
        </w:rPr>
        <w:t xml:space="preserve">Porter, M. E. 1985. </w:t>
      </w:r>
      <w:r w:rsidRPr="00DA3765">
        <w:rPr>
          <w:i/>
          <w:shd w:val="clear" w:color="auto" w:fill="FFFFFF"/>
        </w:rPr>
        <w:t>Competitive advantage</w:t>
      </w:r>
      <w:r w:rsidRPr="00DA3765">
        <w:rPr>
          <w:shd w:val="clear" w:color="auto" w:fill="FFFFFF"/>
        </w:rPr>
        <w:t>. New York: Free Press.</w:t>
      </w:r>
    </w:p>
    <w:p w14:paraId="548D6418" w14:textId="77777777" w:rsidR="00BC1290" w:rsidRDefault="00BC1290" w:rsidP="00BC1290">
      <w:pPr>
        <w:pStyle w:val="CitaviBibliographyEntry"/>
        <w:jc w:val="both"/>
        <w:rPr>
          <w:shd w:val="clear" w:color="auto" w:fill="FFFFFF"/>
        </w:rPr>
      </w:pPr>
      <w:r w:rsidRPr="00DA3765">
        <w:rPr>
          <w:shd w:val="clear" w:color="auto" w:fill="FFFFFF"/>
          <w:lang w:val="de-DE"/>
        </w:rPr>
        <w:t xml:space="preserve">Ring, P. S., &amp; van de Ven, A. H. 1992. </w:t>
      </w:r>
      <w:r>
        <w:rPr>
          <w:shd w:val="clear" w:color="auto" w:fill="FFFFFF"/>
        </w:rPr>
        <w:t xml:space="preserve">Structuring cooperative relationships between organizations. </w:t>
      </w:r>
      <w:r w:rsidRPr="00DA3765">
        <w:rPr>
          <w:i/>
          <w:shd w:val="clear" w:color="auto" w:fill="FFFFFF"/>
        </w:rPr>
        <w:t>Strategic Management Journal</w:t>
      </w:r>
      <w:r w:rsidRPr="00DA3765">
        <w:rPr>
          <w:shd w:val="clear" w:color="auto" w:fill="FFFFFF"/>
        </w:rPr>
        <w:t>, 13: 483-498.</w:t>
      </w:r>
    </w:p>
    <w:p w14:paraId="4F45CDD3" w14:textId="77777777" w:rsidR="00BC1290" w:rsidRDefault="00BC1290" w:rsidP="00BC1290">
      <w:pPr>
        <w:pStyle w:val="CitaviBibliographyEntry"/>
        <w:jc w:val="both"/>
        <w:rPr>
          <w:shd w:val="clear" w:color="auto" w:fill="FFFFFF"/>
        </w:rPr>
      </w:pPr>
      <w:r>
        <w:rPr>
          <w:shd w:val="clear" w:color="auto" w:fill="FFFFFF"/>
        </w:rPr>
        <w:lastRenderedPageBreak/>
        <w:t xml:space="preserve">Rottig, D. 2017. Meta-analyses of culture’s consequences for acquisition performance. </w:t>
      </w:r>
      <w:r w:rsidRPr="00DA3765">
        <w:rPr>
          <w:i/>
          <w:shd w:val="clear" w:color="auto" w:fill="FFFFFF"/>
        </w:rPr>
        <w:t>International Journal of Emerging Markets</w:t>
      </w:r>
      <w:r w:rsidRPr="00DA3765">
        <w:rPr>
          <w:shd w:val="clear" w:color="auto" w:fill="FFFFFF"/>
        </w:rPr>
        <w:t>, 12: 8-37.</w:t>
      </w:r>
    </w:p>
    <w:p w14:paraId="43F60114" w14:textId="77777777" w:rsidR="00BC1290" w:rsidRDefault="00BC1290" w:rsidP="00BC1290">
      <w:pPr>
        <w:pStyle w:val="CitaviBibliographyEntry"/>
        <w:jc w:val="both"/>
        <w:rPr>
          <w:shd w:val="clear" w:color="auto" w:fill="FFFFFF"/>
        </w:rPr>
      </w:pPr>
      <w:r>
        <w:rPr>
          <w:shd w:val="clear" w:color="auto" w:fill="FFFFFF"/>
        </w:rPr>
        <w:t xml:space="preserve">Shipilov, A. 2012. Strategic multiplexity. </w:t>
      </w:r>
      <w:r w:rsidRPr="00DA3765">
        <w:rPr>
          <w:i/>
          <w:shd w:val="clear" w:color="auto" w:fill="FFFFFF"/>
        </w:rPr>
        <w:t>Strategic Organization</w:t>
      </w:r>
      <w:r w:rsidRPr="00DA3765">
        <w:rPr>
          <w:shd w:val="clear" w:color="auto" w:fill="FFFFFF"/>
        </w:rPr>
        <w:t>, 10: 215-222.</w:t>
      </w:r>
    </w:p>
    <w:p w14:paraId="4F94258B" w14:textId="77777777" w:rsidR="00BC1290" w:rsidRDefault="00BC1290" w:rsidP="00BC1290">
      <w:pPr>
        <w:pStyle w:val="CitaviBibliographyEntry"/>
        <w:jc w:val="both"/>
        <w:rPr>
          <w:shd w:val="clear" w:color="auto" w:fill="FFFFFF"/>
        </w:rPr>
      </w:pPr>
      <w:r>
        <w:rPr>
          <w:shd w:val="clear" w:color="auto" w:fill="FFFFFF"/>
        </w:rPr>
        <w:t xml:space="preserve">Shipilov, A., Gulati, R., Kilduff, M., Li, S., &amp; Tsai, W. 2014. Relational Pluralism Within and Between Organizations. </w:t>
      </w:r>
      <w:r w:rsidRPr="00DA3765">
        <w:rPr>
          <w:i/>
          <w:shd w:val="clear" w:color="auto" w:fill="FFFFFF"/>
        </w:rPr>
        <w:t>Academy of Management Journal</w:t>
      </w:r>
      <w:r w:rsidRPr="00DA3765">
        <w:rPr>
          <w:shd w:val="clear" w:color="auto" w:fill="FFFFFF"/>
        </w:rPr>
        <w:t>, 57: 449-459.</w:t>
      </w:r>
    </w:p>
    <w:p w14:paraId="01713811" w14:textId="77777777" w:rsidR="00BC1290" w:rsidRDefault="00BC1290" w:rsidP="00BC1290">
      <w:pPr>
        <w:pStyle w:val="CitaviBibliographyEntry"/>
        <w:jc w:val="both"/>
        <w:rPr>
          <w:shd w:val="clear" w:color="auto" w:fill="FFFFFF"/>
        </w:rPr>
      </w:pPr>
      <w:r>
        <w:rPr>
          <w:shd w:val="clear" w:color="auto" w:fill="FFFFFF"/>
        </w:rPr>
        <w:t xml:space="preserve">Singh, K. 1995. The impact of technological complexity and interfirm cooperation on business survival. </w:t>
      </w:r>
      <w:r w:rsidRPr="00DA3765">
        <w:rPr>
          <w:i/>
          <w:shd w:val="clear" w:color="auto" w:fill="FFFFFF"/>
        </w:rPr>
        <w:t>Academy of Management Best papers Proceedings</w:t>
      </w:r>
      <w:r w:rsidRPr="00DA3765">
        <w:rPr>
          <w:shd w:val="clear" w:color="auto" w:fill="FFFFFF"/>
        </w:rPr>
        <w:t>: 67-72.</w:t>
      </w:r>
    </w:p>
    <w:p w14:paraId="6F808D3C" w14:textId="77777777" w:rsidR="00BC1290" w:rsidRDefault="00BC1290" w:rsidP="00BC1290">
      <w:pPr>
        <w:pStyle w:val="CitaviBibliographyEntry"/>
        <w:jc w:val="both"/>
        <w:rPr>
          <w:shd w:val="clear" w:color="auto" w:fill="FFFFFF"/>
        </w:rPr>
      </w:pPr>
      <w:r>
        <w:rPr>
          <w:shd w:val="clear" w:color="auto" w:fill="FFFFFF"/>
        </w:rPr>
        <w:t xml:space="preserve">Stahl, G. K., &amp; Voigt, A. 2008. Do Cultural Differences Matter in Mergers and Acquisitions? A Tentative Model and Examination. </w:t>
      </w:r>
      <w:r w:rsidRPr="00DA3765">
        <w:rPr>
          <w:i/>
          <w:shd w:val="clear" w:color="auto" w:fill="FFFFFF"/>
        </w:rPr>
        <w:t>Organization Science</w:t>
      </w:r>
      <w:r w:rsidRPr="00DA3765">
        <w:rPr>
          <w:shd w:val="clear" w:color="auto" w:fill="FFFFFF"/>
        </w:rPr>
        <w:t>, 19: 160-176.</w:t>
      </w:r>
    </w:p>
    <w:p w14:paraId="31B72552" w14:textId="77777777" w:rsidR="00BC1290" w:rsidRDefault="00BC1290" w:rsidP="00BC1290">
      <w:pPr>
        <w:pStyle w:val="CitaviBibliographyEntry"/>
        <w:jc w:val="both"/>
        <w:rPr>
          <w:shd w:val="clear" w:color="auto" w:fill="FFFFFF"/>
        </w:rPr>
      </w:pPr>
      <w:r>
        <w:rPr>
          <w:shd w:val="clear" w:color="auto" w:fill="FFFFFF"/>
        </w:rPr>
        <w:t xml:space="preserve">Stimpert, J. L., &amp; Duhaime, I. M. 1997. Seeing the big picture: The influence of industry, diversification, and business strategy on performance. </w:t>
      </w:r>
      <w:r w:rsidRPr="00DA3765">
        <w:rPr>
          <w:i/>
          <w:shd w:val="clear" w:color="auto" w:fill="FFFFFF"/>
        </w:rPr>
        <w:t>Academy of Management Journal</w:t>
      </w:r>
      <w:r w:rsidRPr="00DA3765">
        <w:rPr>
          <w:shd w:val="clear" w:color="auto" w:fill="FFFFFF"/>
        </w:rPr>
        <w:t>: 560-583.</w:t>
      </w:r>
    </w:p>
    <w:p w14:paraId="5A1F76CE" w14:textId="77777777" w:rsidR="00BC1290" w:rsidRDefault="00BC1290" w:rsidP="00BC1290">
      <w:pPr>
        <w:pStyle w:val="CitaviBibliographyEntry"/>
        <w:jc w:val="both"/>
        <w:rPr>
          <w:shd w:val="clear" w:color="auto" w:fill="FFFFFF"/>
        </w:rPr>
      </w:pPr>
      <w:r>
        <w:rPr>
          <w:shd w:val="clear" w:color="auto" w:fill="FFFFFF"/>
        </w:rPr>
        <w:t xml:space="preserve">Wang, X., Xu, Z., Qin, Y., &amp; Skare, M. 2021. Service networks for sustainable business: A dynamic evolution analysis over half a century. </w:t>
      </w:r>
      <w:r w:rsidRPr="00DA3765">
        <w:rPr>
          <w:i/>
          <w:shd w:val="clear" w:color="auto" w:fill="FFFFFF"/>
        </w:rPr>
        <w:t>Journal of Business Research</w:t>
      </w:r>
      <w:r w:rsidRPr="00DA3765">
        <w:rPr>
          <w:shd w:val="clear" w:color="auto" w:fill="FFFFFF"/>
        </w:rPr>
        <w:t>, 136: 543-557.</w:t>
      </w:r>
    </w:p>
    <w:p w14:paraId="041DA9A3" w14:textId="77777777" w:rsidR="00BC1290" w:rsidRDefault="00BC1290" w:rsidP="00BC1290">
      <w:pPr>
        <w:pStyle w:val="CitaviBibliographyEntry"/>
        <w:jc w:val="both"/>
        <w:rPr>
          <w:shd w:val="clear" w:color="auto" w:fill="FFFFFF"/>
        </w:rPr>
      </w:pPr>
      <w:r>
        <w:rPr>
          <w:shd w:val="clear" w:color="auto" w:fill="FFFFFF"/>
        </w:rPr>
        <w:t xml:space="preserve">Wernerfelt, B. 1984. A resource-based view of the firm. </w:t>
      </w:r>
      <w:r w:rsidRPr="00DA3765">
        <w:rPr>
          <w:i/>
          <w:shd w:val="clear" w:color="auto" w:fill="FFFFFF"/>
        </w:rPr>
        <w:t>Strategic Management Journal</w:t>
      </w:r>
      <w:r w:rsidRPr="00DA3765">
        <w:rPr>
          <w:shd w:val="clear" w:color="auto" w:fill="FFFFFF"/>
        </w:rPr>
        <w:t>: 171-180.</w:t>
      </w:r>
    </w:p>
    <w:p w14:paraId="01017BCE" w14:textId="77777777" w:rsidR="00BC1290" w:rsidRDefault="00BC1290" w:rsidP="00BC1290">
      <w:pPr>
        <w:pStyle w:val="CitaviBibliographyEntry"/>
        <w:jc w:val="both"/>
        <w:rPr>
          <w:shd w:val="clear" w:color="auto" w:fill="FFFFFF"/>
        </w:rPr>
      </w:pPr>
      <w:r>
        <w:rPr>
          <w:shd w:val="clear" w:color="auto" w:fill="FFFFFF"/>
        </w:rPr>
        <w:t xml:space="preserve">Williamson, O. E. 1975. </w:t>
      </w:r>
      <w:r w:rsidRPr="00DA3765">
        <w:rPr>
          <w:i/>
          <w:shd w:val="clear" w:color="auto" w:fill="FFFFFF"/>
        </w:rPr>
        <w:t>Markets and hierarchies</w:t>
      </w:r>
      <w:r w:rsidRPr="00DA3765">
        <w:rPr>
          <w:shd w:val="clear" w:color="auto" w:fill="FFFFFF"/>
        </w:rPr>
        <w:t>. New York: Free Press.</w:t>
      </w:r>
    </w:p>
    <w:p w14:paraId="30F73A0B" w14:textId="77777777" w:rsidR="00BC1290" w:rsidRDefault="00BC1290" w:rsidP="00BC1290">
      <w:pPr>
        <w:pStyle w:val="CitaviBibliographyEntry"/>
        <w:jc w:val="both"/>
        <w:rPr>
          <w:shd w:val="clear" w:color="auto" w:fill="FFFFFF"/>
        </w:rPr>
      </w:pPr>
      <w:r>
        <w:rPr>
          <w:shd w:val="clear" w:color="auto" w:fill="FFFFFF"/>
        </w:rPr>
        <w:t xml:space="preserve">Williamson, O. E. 1985. </w:t>
      </w:r>
      <w:r w:rsidRPr="00DA3765">
        <w:rPr>
          <w:i/>
          <w:shd w:val="clear" w:color="auto" w:fill="FFFFFF"/>
        </w:rPr>
        <w:t>The economic institutions of capitalism</w:t>
      </w:r>
      <w:r w:rsidRPr="00DA3765">
        <w:rPr>
          <w:shd w:val="clear" w:color="auto" w:fill="FFFFFF"/>
        </w:rPr>
        <w:t>. New York: Free Press.</w:t>
      </w:r>
    </w:p>
    <w:p w14:paraId="177A9848" w14:textId="77777777" w:rsidR="00BC1290" w:rsidRPr="00C823DC" w:rsidRDefault="00BC1290" w:rsidP="00BC1290">
      <w:pPr>
        <w:pStyle w:val="CitaviBibliographyEntry"/>
        <w:jc w:val="both"/>
        <w:rPr>
          <w:shd w:val="clear" w:color="auto" w:fill="FFFFFF"/>
        </w:rPr>
      </w:pPr>
      <w:r>
        <w:rPr>
          <w:shd w:val="clear" w:color="auto" w:fill="FFFFFF"/>
        </w:rPr>
        <w:t xml:space="preserve">Zona, F., Gomez-Mejia, L. R., &amp; Withers, M. C. 2018. Board Interlocks and Firm Performance: Toward a Combined Agency–Resource Dependence Perspective. </w:t>
      </w:r>
      <w:r w:rsidRPr="00DA3765">
        <w:rPr>
          <w:i/>
          <w:shd w:val="clear" w:color="auto" w:fill="FFFFFF"/>
        </w:rPr>
        <w:t>Journal of Management</w:t>
      </w:r>
      <w:r w:rsidRPr="00DA3765">
        <w:rPr>
          <w:shd w:val="clear" w:color="auto" w:fill="FFFFFF"/>
        </w:rPr>
        <w:t>, 44: 589-618.</w:t>
      </w:r>
    </w:p>
    <w:p w14:paraId="104C7FA2" w14:textId="7E8A3426" w:rsidR="006257B7" w:rsidRPr="00BC1290" w:rsidRDefault="00EC432A" w:rsidP="00BC1290">
      <w:pPr>
        <w:spacing w:after="160" w:line="259" w:lineRule="auto"/>
        <w:jc w:val="left"/>
        <w:rPr>
          <w:shd w:val="clear" w:color="auto" w:fill="FFFFFF"/>
          <w:lang w:val="en-US"/>
        </w:rPr>
      </w:pPr>
      <w:r>
        <w:rPr>
          <w:shd w:val="clear" w:color="auto" w:fill="FFFFFF"/>
          <w:lang w:val="en-US"/>
        </w:rPr>
        <w:br w:type="page"/>
      </w:r>
    </w:p>
    <w:p w14:paraId="4B3F848B" w14:textId="77777777" w:rsidR="005C6CB9" w:rsidRPr="008D24D1" w:rsidRDefault="005C6CB9" w:rsidP="00556491">
      <w:pPr>
        <w:rPr>
          <w:szCs w:val="24"/>
          <w:highlight w:val="yellow"/>
          <w:lang w:val="en-US"/>
        </w:rPr>
        <w:sectPr w:rsidR="005C6CB9" w:rsidRPr="008D24D1" w:rsidSect="00794C6C">
          <w:headerReference w:type="default" r:id="rId14"/>
          <w:footerReference w:type="default" r:id="rId15"/>
          <w:endnotePr>
            <w:numFmt w:val="decimal"/>
          </w:endnotePr>
          <w:pgSz w:w="11906" w:h="16838"/>
          <w:pgMar w:top="1417" w:right="1417" w:bottom="1134" w:left="1417" w:header="708" w:footer="567" w:gutter="0"/>
          <w:pgNumType w:start="1"/>
          <w:cols w:space="708"/>
          <w:docGrid w:linePitch="360"/>
        </w:sectPr>
      </w:pPr>
    </w:p>
    <w:p w14:paraId="7A6C75A5" w14:textId="77777777" w:rsidR="00E958CA" w:rsidRDefault="00E958CA" w:rsidP="00E958CA">
      <w:pPr>
        <w:pStyle w:val="1fake"/>
      </w:pPr>
      <w:r>
        <w:lastRenderedPageBreak/>
        <w:t>TABLE 1</w:t>
      </w:r>
    </w:p>
    <w:p w14:paraId="2DEA42F0" w14:textId="641657C0" w:rsidR="00E958CA" w:rsidRDefault="00BC6D95" w:rsidP="00E958CA">
      <w:pPr>
        <w:pStyle w:val="SubheadTableFig"/>
      </w:pPr>
      <w:r>
        <w:t>Summary</w:t>
      </w:r>
      <w:r w:rsidR="00E958CA">
        <w:t xml:space="preserve"> of the </w:t>
      </w:r>
      <w:r>
        <w:t>articles presented in this d</w:t>
      </w:r>
      <w:r w:rsidR="00E958CA">
        <w:t xml:space="preserve">octoral </w:t>
      </w:r>
      <w:r>
        <w:t>t</w:t>
      </w:r>
      <w:r w:rsidR="00E958CA">
        <w:t>hesis</w:t>
      </w:r>
    </w:p>
    <w:tbl>
      <w:tblPr>
        <w:tblStyle w:val="EinfacheTabelle2"/>
        <w:tblW w:w="9072" w:type="dxa"/>
        <w:jc w:val="center"/>
        <w:tblBorders>
          <w:top w:val="none" w:sz="0" w:space="0" w:color="auto"/>
          <w:bottom w:val="none" w:sz="0" w:space="0" w:color="auto"/>
        </w:tblBorders>
        <w:tblLayout w:type="fixed"/>
        <w:tblCellMar>
          <w:top w:w="57" w:type="dxa"/>
          <w:left w:w="113" w:type="dxa"/>
          <w:bottom w:w="57" w:type="dxa"/>
          <w:right w:w="113" w:type="dxa"/>
        </w:tblCellMar>
        <w:tblLook w:val="0420" w:firstRow="1" w:lastRow="0" w:firstColumn="0" w:lastColumn="0" w:noHBand="0" w:noVBand="1"/>
      </w:tblPr>
      <w:tblGrid>
        <w:gridCol w:w="1560"/>
        <w:gridCol w:w="2504"/>
        <w:gridCol w:w="2504"/>
        <w:gridCol w:w="2504"/>
      </w:tblGrid>
      <w:tr w:rsidR="00394BE7" w:rsidRPr="008955CE" w14:paraId="6AF8C7D7" w14:textId="77777777" w:rsidTr="00394BE7">
        <w:trPr>
          <w:cnfStyle w:val="100000000000" w:firstRow="1" w:lastRow="0" w:firstColumn="0" w:lastColumn="0" w:oddVBand="0" w:evenVBand="0" w:oddHBand="0" w:evenHBand="0" w:firstRowFirstColumn="0" w:firstRowLastColumn="0" w:lastRowFirstColumn="0" w:lastRowLastColumn="0"/>
          <w:trHeight w:val="20"/>
          <w:jc w:val="center"/>
        </w:trPr>
        <w:tc>
          <w:tcPr>
            <w:tcW w:w="860" w:type="pct"/>
            <w:tcBorders>
              <w:top w:val="single" w:sz="4" w:space="0" w:color="auto"/>
              <w:bottom w:val="single" w:sz="4" w:space="0" w:color="auto"/>
            </w:tcBorders>
            <w:vAlign w:val="center"/>
            <w:hideMark/>
          </w:tcPr>
          <w:p w14:paraId="0F16BEBE" w14:textId="77777777" w:rsidR="00E958CA" w:rsidRPr="00496028" w:rsidRDefault="00E958CA" w:rsidP="00AB5353">
            <w:pPr>
              <w:pStyle w:val="Paragraph"/>
              <w:spacing w:line="240" w:lineRule="auto"/>
              <w:rPr>
                <w:sz w:val="22"/>
                <w:szCs w:val="22"/>
              </w:rPr>
            </w:pPr>
          </w:p>
        </w:tc>
        <w:tc>
          <w:tcPr>
            <w:tcW w:w="1380" w:type="pct"/>
            <w:tcBorders>
              <w:top w:val="single" w:sz="4" w:space="0" w:color="auto"/>
              <w:bottom w:val="single" w:sz="4" w:space="0" w:color="auto"/>
            </w:tcBorders>
            <w:vAlign w:val="center"/>
            <w:hideMark/>
          </w:tcPr>
          <w:p w14:paraId="76A0326C" w14:textId="77777777" w:rsidR="00E958CA" w:rsidRPr="00496028" w:rsidRDefault="00E958CA" w:rsidP="00AB5353">
            <w:pPr>
              <w:pStyle w:val="Paragraph"/>
              <w:spacing w:line="240" w:lineRule="auto"/>
              <w:ind w:firstLine="0"/>
              <w:jc w:val="center"/>
              <w:rPr>
                <w:sz w:val="22"/>
                <w:szCs w:val="22"/>
              </w:rPr>
            </w:pPr>
            <w:r w:rsidRPr="00496028">
              <w:rPr>
                <w:sz w:val="22"/>
                <w:szCs w:val="22"/>
              </w:rPr>
              <w:t>Study 1</w:t>
            </w:r>
          </w:p>
        </w:tc>
        <w:tc>
          <w:tcPr>
            <w:tcW w:w="1380" w:type="pct"/>
            <w:tcBorders>
              <w:top w:val="single" w:sz="4" w:space="0" w:color="auto"/>
              <w:bottom w:val="single" w:sz="4" w:space="0" w:color="auto"/>
            </w:tcBorders>
            <w:vAlign w:val="center"/>
            <w:hideMark/>
          </w:tcPr>
          <w:p w14:paraId="7ABB4A4C" w14:textId="77777777" w:rsidR="00E958CA" w:rsidRPr="00496028" w:rsidRDefault="00E958CA" w:rsidP="00AB5353">
            <w:pPr>
              <w:pStyle w:val="Paragraph"/>
              <w:spacing w:line="240" w:lineRule="auto"/>
              <w:ind w:firstLine="0"/>
              <w:jc w:val="center"/>
              <w:rPr>
                <w:sz w:val="22"/>
                <w:szCs w:val="22"/>
              </w:rPr>
            </w:pPr>
            <w:r w:rsidRPr="00496028">
              <w:rPr>
                <w:sz w:val="22"/>
                <w:szCs w:val="22"/>
              </w:rPr>
              <w:t>Study 2</w:t>
            </w:r>
          </w:p>
        </w:tc>
        <w:tc>
          <w:tcPr>
            <w:tcW w:w="1380" w:type="pct"/>
            <w:tcBorders>
              <w:top w:val="single" w:sz="4" w:space="0" w:color="auto"/>
              <w:bottom w:val="single" w:sz="4" w:space="0" w:color="auto"/>
            </w:tcBorders>
            <w:vAlign w:val="center"/>
            <w:hideMark/>
          </w:tcPr>
          <w:p w14:paraId="7E1E498E" w14:textId="77777777" w:rsidR="00E958CA" w:rsidRPr="00496028" w:rsidRDefault="00E958CA" w:rsidP="00AB5353">
            <w:pPr>
              <w:pStyle w:val="Paragraph"/>
              <w:spacing w:line="240" w:lineRule="auto"/>
              <w:ind w:firstLine="0"/>
              <w:jc w:val="center"/>
              <w:rPr>
                <w:sz w:val="22"/>
                <w:szCs w:val="22"/>
              </w:rPr>
            </w:pPr>
            <w:r w:rsidRPr="00496028">
              <w:rPr>
                <w:sz w:val="22"/>
                <w:szCs w:val="22"/>
              </w:rPr>
              <w:t>Study 3</w:t>
            </w:r>
          </w:p>
        </w:tc>
      </w:tr>
      <w:tr w:rsidR="00394BE7" w:rsidRPr="00AA39E4" w14:paraId="76F1CBC2" w14:textId="77777777" w:rsidTr="00394BE7">
        <w:trPr>
          <w:cnfStyle w:val="000000100000" w:firstRow="0" w:lastRow="0" w:firstColumn="0" w:lastColumn="0" w:oddVBand="0" w:evenVBand="0" w:oddHBand="1" w:evenHBand="0" w:firstRowFirstColumn="0" w:firstRowLastColumn="0" w:lastRowFirstColumn="0" w:lastRowLastColumn="0"/>
          <w:trHeight w:val="20"/>
          <w:jc w:val="center"/>
        </w:trPr>
        <w:tc>
          <w:tcPr>
            <w:tcW w:w="860" w:type="pct"/>
            <w:tcBorders>
              <w:top w:val="single" w:sz="4" w:space="0" w:color="auto"/>
              <w:bottom w:val="none" w:sz="0" w:space="0" w:color="auto"/>
            </w:tcBorders>
            <w:hideMark/>
          </w:tcPr>
          <w:p w14:paraId="65177BAA" w14:textId="0C1E0561" w:rsidR="00087A4C" w:rsidRPr="00496028" w:rsidRDefault="00087A4C" w:rsidP="00087A4C">
            <w:pPr>
              <w:spacing w:line="240" w:lineRule="auto"/>
              <w:rPr>
                <w:rFonts w:cs="Times New Roman"/>
                <w:b/>
                <w:bCs/>
                <w:sz w:val="22"/>
                <w:lang w:val="en-US"/>
              </w:rPr>
            </w:pPr>
            <w:r w:rsidRPr="00496028">
              <w:rPr>
                <w:rFonts w:cs="Times New Roman"/>
                <w:b/>
                <w:bCs/>
                <w:sz w:val="22"/>
              </w:rPr>
              <w:t>Title</w:t>
            </w:r>
          </w:p>
        </w:tc>
        <w:tc>
          <w:tcPr>
            <w:tcW w:w="1380" w:type="pct"/>
            <w:tcBorders>
              <w:top w:val="single" w:sz="4" w:space="0" w:color="auto"/>
              <w:bottom w:val="none" w:sz="0" w:space="0" w:color="auto"/>
            </w:tcBorders>
            <w:hideMark/>
          </w:tcPr>
          <w:p w14:paraId="50F00CA3" w14:textId="06524DC0" w:rsidR="00087A4C" w:rsidRPr="00496028" w:rsidRDefault="00087A4C" w:rsidP="00087A4C">
            <w:pPr>
              <w:spacing w:line="240" w:lineRule="auto"/>
              <w:rPr>
                <w:rFonts w:cs="Times New Roman"/>
                <w:sz w:val="22"/>
                <w:lang w:val="en-US"/>
              </w:rPr>
            </w:pPr>
            <w:r w:rsidRPr="00496028">
              <w:rPr>
                <w:rFonts w:cs="Times New Roman"/>
                <w:sz w:val="22"/>
                <w:lang w:val="en-US"/>
              </w:rPr>
              <w:t>Board Interlocks and Firm Performance: A Meta-Analysis</w:t>
            </w:r>
          </w:p>
        </w:tc>
        <w:tc>
          <w:tcPr>
            <w:tcW w:w="1380" w:type="pct"/>
            <w:tcBorders>
              <w:top w:val="single" w:sz="4" w:space="0" w:color="auto"/>
              <w:bottom w:val="none" w:sz="0" w:space="0" w:color="auto"/>
            </w:tcBorders>
            <w:hideMark/>
          </w:tcPr>
          <w:p w14:paraId="2421A7ED" w14:textId="0FDD9A38" w:rsidR="00087A4C" w:rsidRPr="00496028" w:rsidRDefault="00087A4C" w:rsidP="00087A4C">
            <w:pPr>
              <w:spacing w:line="240" w:lineRule="auto"/>
              <w:rPr>
                <w:rFonts w:cs="Times New Roman"/>
                <w:sz w:val="22"/>
                <w:lang w:val="en-US"/>
              </w:rPr>
            </w:pPr>
            <w:r w:rsidRPr="00496028">
              <w:rPr>
                <w:rFonts w:cs="Times New Roman"/>
                <w:sz w:val="22"/>
                <w:lang w:val="en-US"/>
              </w:rPr>
              <w:t>Resource Appropriation in Strategic Alliances: The Influence of Board Interlocks on Differential Benefits</w:t>
            </w:r>
          </w:p>
        </w:tc>
        <w:tc>
          <w:tcPr>
            <w:tcW w:w="1380" w:type="pct"/>
            <w:tcBorders>
              <w:top w:val="single" w:sz="4" w:space="0" w:color="auto"/>
              <w:bottom w:val="none" w:sz="0" w:space="0" w:color="auto"/>
            </w:tcBorders>
            <w:hideMark/>
          </w:tcPr>
          <w:p w14:paraId="3A33F95A" w14:textId="0BACA2E6" w:rsidR="00087A4C" w:rsidRPr="00496028" w:rsidRDefault="00087A4C" w:rsidP="00087A4C">
            <w:pPr>
              <w:spacing w:line="240" w:lineRule="auto"/>
              <w:rPr>
                <w:rFonts w:cs="Times New Roman"/>
                <w:sz w:val="22"/>
                <w:lang w:val="en-US"/>
              </w:rPr>
            </w:pPr>
            <w:r w:rsidRPr="00496028">
              <w:rPr>
                <w:rFonts w:cs="Times New Roman"/>
                <w:sz w:val="22"/>
                <w:lang w:val="en-US"/>
              </w:rPr>
              <w:t>Mind the Gap: The Effect of Cultural Distance on Mergers and Acquisitions – Evidence from Glassdoor Reviews</w:t>
            </w:r>
          </w:p>
        </w:tc>
      </w:tr>
      <w:tr w:rsidR="008955CE" w:rsidRPr="00AA39E4" w14:paraId="094B17C3" w14:textId="77777777" w:rsidTr="00394BE7">
        <w:trPr>
          <w:trHeight w:val="20"/>
          <w:jc w:val="center"/>
        </w:trPr>
        <w:tc>
          <w:tcPr>
            <w:tcW w:w="860" w:type="pct"/>
            <w:hideMark/>
          </w:tcPr>
          <w:p w14:paraId="3522B80E" w14:textId="69DE58A1" w:rsidR="00087A4C" w:rsidRPr="00496028" w:rsidRDefault="00087A4C" w:rsidP="00087A4C">
            <w:pPr>
              <w:spacing w:line="240" w:lineRule="auto"/>
              <w:rPr>
                <w:rFonts w:cs="Times New Roman"/>
                <w:b/>
                <w:bCs/>
                <w:sz w:val="22"/>
                <w:lang w:val="en-US"/>
              </w:rPr>
            </w:pPr>
            <w:r w:rsidRPr="00496028">
              <w:rPr>
                <w:rFonts w:cs="Times New Roman"/>
                <w:b/>
                <w:bCs/>
                <w:sz w:val="22"/>
              </w:rPr>
              <w:t>Research Purpose</w:t>
            </w:r>
          </w:p>
        </w:tc>
        <w:tc>
          <w:tcPr>
            <w:tcW w:w="1380" w:type="pct"/>
            <w:hideMark/>
          </w:tcPr>
          <w:p w14:paraId="0FFBBE31" w14:textId="6AF2B151" w:rsidR="00087A4C" w:rsidRPr="00496028" w:rsidRDefault="00087A4C" w:rsidP="00087A4C">
            <w:pPr>
              <w:spacing w:line="240" w:lineRule="auto"/>
              <w:rPr>
                <w:rFonts w:cs="Times New Roman"/>
                <w:sz w:val="22"/>
                <w:lang w:val="en-US"/>
              </w:rPr>
            </w:pPr>
            <w:r w:rsidRPr="00496028">
              <w:rPr>
                <w:rFonts w:cs="Times New Roman"/>
                <w:sz w:val="22"/>
                <w:lang w:val="en-US"/>
              </w:rPr>
              <w:t>Examine how board interlocks affect firm performance and determine the moderating role of key internal and external contingencies</w:t>
            </w:r>
          </w:p>
        </w:tc>
        <w:tc>
          <w:tcPr>
            <w:tcW w:w="1380" w:type="pct"/>
          </w:tcPr>
          <w:p w14:paraId="47BC0DC1" w14:textId="5C535BF9" w:rsidR="00087A4C" w:rsidRPr="00496028" w:rsidRDefault="00087A4C" w:rsidP="00087A4C">
            <w:pPr>
              <w:spacing w:line="240" w:lineRule="auto"/>
              <w:rPr>
                <w:rFonts w:cs="Times New Roman"/>
                <w:sz w:val="22"/>
                <w:lang w:val="en-US"/>
              </w:rPr>
            </w:pPr>
            <w:r w:rsidRPr="00496028">
              <w:rPr>
                <w:rFonts w:cs="Times New Roman"/>
                <w:sz w:val="22"/>
                <w:lang w:val="en-US"/>
              </w:rPr>
              <w:t>Analyze if board interlocks serve competitive or cooperative roles in alliances and analyze important determinants of interorganizational resource transfer</w:t>
            </w:r>
          </w:p>
        </w:tc>
        <w:tc>
          <w:tcPr>
            <w:tcW w:w="1380" w:type="pct"/>
          </w:tcPr>
          <w:p w14:paraId="1468888C" w14:textId="52102EC2" w:rsidR="00087A4C" w:rsidRPr="00496028" w:rsidRDefault="00087A4C" w:rsidP="00087A4C">
            <w:pPr>
              <w:spacing w:line="240" w:lineRule="auto"/>
              <w:rPr>
                <w:rFonts w:cs="Times New Roman"/>
                <w:sz w:val="22"/>
                <w:lang w:val="en-US"/>
              </w:rPr>
            </w:pPr>
            <w:r w:rsidRPr="00496028">
              <w:rPr>
                <w:rFonts w:cs="Times New Roman"/>
                <w:sz w:val="22"/>
                <w:lang w:val="en-US"/>
              </w:rPr>
              <w:t>Investigate the impact of organizational cultural distance on M&amp;A performance, premiums, and post-deal innovation</w:t>
            </w:r>
          </w:p>
        </w:tc>
      </w:tr>
      <w:tr w:rsidR="008955CE" w:rsidRPr="008955CE" w14:paraId="5B8659A7" w14:textId="77777777" w:rsidTr="00394BE7">
        <w:trPr>
          <w:cnfStyle w:val="000000100000" w:firstRow="0" w:lastRow="0" w:firstColumn="0" w:lastColumn="0" w:oddVBand="0" w:evenVBand="0" w:oddHBand="1" w:evenHBand="0" w:firstRowFirstColumn="0" w:firstRowLastColumn="0" w:lastRowFirstColumn="0" w:lastRowLastColumn="0"/>
          <w:trHeight w:val="20"/>
          <w:jc w:val="center"/>
        </w:trPr>
        <w:tc>
          <w:tcPr>
            <w:tcW w:w="860" w:type="pct"/>
            <w:tcBorders>
              <w:top w:val="none" w:sz="0" w:space="0" w:color="auto"/>
              <w:bottom w:val="none" w:sz="0" w:space="0" w:color="auto"/>
            </w:tcBorders>
            <w:hideMark/>
          </w:tcPr>
          <w:p w14:paraId="20DB5076" w14:textId="66DE27C4" w:rsidR="00087A4C" w:rsidRPr="00496028" w:rsidRDefault="00087A4C" w:rsidP="00087A4C">
            <w:pPr>
              <w:spacing w:line="240" w:lineRule="auto"/>
              <w:rPr>
                <w:rFonts w:cs="Times New Roman"/>
                <w:b/>
                <w:bCs/>
                <w:sz w:val="22"/>
                <w:lang w:val="en-US"/>
              </w:rPr>
            </w:pPr>
            <w:r w:rsidRPr="00496028">
              <w:rPr>
                <w:rFonts w:cs="Times New Roman"/>
                <w:b/>
                <w:bCs/>
                <w:sz w:val="22"/>
              </w:rPr>
              <w:t>Theory</w:t>
            </w:r>
          </w:p>
        </w:tc>
        <w:tc>
          <w:tcPr>
            <w:tcW w:w="1380" w:type="pct"/>
            <w:tcBorders>
              <w:top w:val="none" w:sz="0" w:space="0" w:color="auto"/>
              <w:bottom w:val="none" w:sz="0" w:space="0" w:color="auto"/>
            </w:tcBorders>
            <w:hideMark/>
          </w:tcPr>
          <w:p w14:paraId="18AA7053" w14:textId="10A6DBCD" w:rsidR="00087A4C" w:rsidRPr="00496028" w:rsidRDefault="00087A4C" w:rsidP="00087A4C">
            <w:pPr>
              <w:spacing w:line="240" w:lineRule="auto"/>
              <w:rPr>
                <w:rFonts w:cs="Times New Roman"/>
                <w:sz w:val="22"/>
                <w:lang w:val="en-US"/>
              </w:rPr>
            </w:pPr>
            <w:r w:rsidRPr="00496028">
              <w:rPr>
                <w:rFonts w:cs="Times New Roman"/>
                <w:sz w:val="22"/>
                <w:lang w:val="en-US"/>
              </w:rPr>
              <w:t>Resource-Dependence Theory, Agency Theory</w:t>
            </w:r>
          </w:p>
        </w:tc>
        <w:tc>
          <w:tcPr>
            <w:tcW w:w="1380" w:type="pct"/>
            <w:tcBorders>
              <w:top w:val="none" w:sz="0" w:space="0" w:color="auto"/>
              <w:bottom w:val="none" w:sz="0" w:space="0" w:color="auto"/>
            </w:tcBorders>
          </w:tcPr>
          <w:p w14:paraId="5DA3CF22" w14:textId="14BDA01D" w:rsidR="00087A4C" w:rsidRPr="00496028" w:rsidRDefault="00087A4C" w:rsidP="00087A4C">
            <w:pPr>
              <w:spacing w:line="240" w:lineRule="auto"/>
              <w:rPr>
                <w:rFonts w:cs="Times New Roman"/>
                <w:sz w:val="22"/>
                <w:lang w:val="en-US"/>
              </w:rPr>
            </w:pPr>
            <w:r w:rsidRPr="00496028">
              <w:rPr>
                <w:rFonts w:cs="Times New Roman"/>
                <w:sz w:val="22"/>
                <w:lang w:val="en-US"/>
              </w:rPr>
              <w:t>Resource-Dependence Theory, Organizational Learning Theory</w:t>
            </w:r>
          </w:p>
        </w:tc>
        <w:tc>
          <w:tcPr>
            <w:tcW w:w="1380" w:type="pct"/>
            <w:tcBorders>
              <w:top w:val="none" w:sz="0" w:space="0" w:color="auto"/>
              <w:bottom w:val="none" w:sz="0" w:space="0" w:color="auto"/>
            </w:tcBorders>
          </w:tcPr>
          <w:p w14:paraId="0051C1D9" w14:textId="48FDF6A4" w:rsidR="00087A4C" w:rsidRPr="00496028" w:rsidRDefault="00087A4C" w:rsidP="00087A4C">
            <w:pPr>
              <w:spacing w:line="240" w:lineRule="auto"/>
              <w:rPr>
                <w:rFonts w:cs="Times New Roman"/>
                <w:sz w:val="22"/>
                <w:lang w:val="en-US"/>
              </w:rPr>
            </w:pPr>
            <w:r w:rsidRPr="00496028">
              <w:rPr>
                <w:rFonts w:cs="Times New Roman"/>
                <w:sz w:val="22"/>
                <w:lang w:val="en-US"/>
              </w:rPr>
              <w:t>Competing Values Framework (CVF)</w:t>
            </w:r>
          </w:p>
        </w:tc>
      </w:tr>
      <w:tr w:rsidR="008955CE" w:rsidRPr="00AA39E4" w14:paraId="6D07E976" w14:textId="77777777" w:rsidTr="00394BE7">
        <w:trPr>
          <w:trHeight w:val="20"/>
          <w:jc w:val="center"/>
        </w:trPr>
        <w:tc>
          <w:tcPr>
            <w:tcW w:w="860" w:type="pct"/>
            <w:hideMark/>
          </w:tcPr>
          <w:p w14:paraId="4C2A41DF" w14:textId="226859C0" w:rsidR="00087A4C" w:rsidRPr="00496028" w:rsidRDefault="00087A4C" w:rsidP="00087A4C">
            <w:pPr>
              <w:spacing w:line="240" w:lineRule="auto"/>
              <w:rPr>
                <w:rFonts w:cs="Times New Roman"/>
                <w:b/>
                <w:bCs/>
                <w:sz w:val="22"/>
                <w:lang w:val="en-US"/>
              </w:rPr>
            </w:pPr>
            <w:r w:rsidRPr="00496028">
              <w:rPr>
                <w:rFonts w:cs="Times New Roman"/>
                <w:b/>
                <w:bCs/>
                <w:sz w:val="22"/>
              </w:rPr>
              <w:t>Method</w:t>
            </w:r>
          </w:p>
        </w:tc>
        <w:tc>
          <w:tcPr>
            <w:tcW w:w="1380" w:type="pct"/>
            <w:hideMark/>
          </w:tcPr>
          <w:p w14:paraId="5801B112" w14:textId="3945032A" w:rsidR="00087A4C" w:rsidRPr="00496028" w:rsidRDefault="00087A4C" w:rsidP="00087A4C">
            <w:pPr>
              <w:spacing w:line="240" w:lineRule="auto"/>
              <w:rPr>
                <w:rFonts w:cs="Times New Roman"/>
                <w:sz w:val="22"/>
                <w:lang w:val="en-US"/>
              </w:rPr>
            </w:pPr>
            <w:r w:rsidRPr="00496028">
              <w:rPr>
                <w:rFonts w:cs="Times New Roman"/>
                <w:sz w:val="22"/>
                <w:lang w:val="en-US"/>
              </w:rPr>
              <w:t>Meta-analysis, MARA, OSMASEM</w:t>
            </w:r>
          </w:p>
        </w:tc>
        <w:tc>
          <w:tcPr>
            <w:tcW w:w="1380" w:type="pct"/>
          </w:tcPr>
          <w:p w14:paraId="53F2F39A" w14:textId="109E4B92" w:rsidR="00087A4C" w:rsidRPr="00496028" w:rsidRDefault="00087A4C" w:rsidP="00087A4C">
            <w:pPr>
              <w:spacing w:line="240" w:lineRule="auto"/>
              <w:rPr>
                <w:rFonts w:cs="Times New Roman"/>
                <w:sz w:val="22"/>
                <w:lang w:val="en-US"/>
              </w:rPr>
            </w:pPr>
            <w:r w:rsidRPr="00496028">
              <w:rPr>
                <w:rFonts w:cs="Times New Roman"/>
                <w:sz w:val="22"/>
                <w:lang w:val="en-US"/>
              </w:rPr>
              <w:t>Network analysis, F</w:t>
            </w:r>
            <w:r w:rsidR="00726F38">
              <w:rPr>
                <w:rFonts w:cs="Times New Roman"/>
                <w:sz w:val="22"/>
                <w:lang w:val="en-US"/>
              </w:rPr>
              <w:t xml:space="preserve">ixed effects (FE) </w:t>
            </w:r>
            <w:r w:rsidRPr="00496028">
              <w:rPr>
                <w:rFonts w:cs="Times New Roman"/>
                <w:sz w:val="22"/>
                <w:lang w:val="en-US"/>
              </w:rPr>
              <w:t>OLS</w:t>
            </w:r>
          </w:p>
        </w:tc>
        <w:tc>
          <w:tcPr>
            <w:tcW w:w="1380" w:type="pct"/>
          </w:tcPr>
          <w:p w14:paraId="62A19CC4" w14:textId="5671FC5F" w:rsidR="00087A4C" w:rsidRPr="00496028" w:rsidRDefault="00087A4C" w:rsidP="00087A4C">
            <w:pPr>
              <w:spacing w:line="240" w:lineRule="auto"/>
              <w:rPr>
                <w:rFonts w:cs="Times New Roman"/>
                <w:sz w:val="22"/>
                <w:lang w:val="en-US"/>
              </w:rPr>
            </w:pPr>
            <w:r w:rsidRPr="00496028">
              <w:rPr>
                <w:rFonts w:cs="Times New Roman"/>
                <w:sz w:val="22"/>
                <w:lang w:val="en-US"/>
              </w:rPr>
              <w:t>NLP, FE-OLS, FE-Negative Binomial Regression, Matching</w:t>
            </w:r>
          </w:p>
        </w:tc>
      </w:tr>
      <w:tr w:rsidR="008955CE" w:rsidRPr="00AA39E4" w14:paraId="542F2051" w14:textId="77777777" w:rsidTr="00394BE7">
        <w:trPr>
          <w:cnfStyle w:val="000000100000" w:firstRow="0" w:lastRow="0" w:firstColumn="0" w:lastColumn="0" w:oddVBand="0" w:evenVBand="0" w:oddHBand="1" w:evenHBand="0" w:firstRowFirstColumn="0" w:firstRowLastColumn="0" w:lastRowFirstColumn="0" w:lastRowLastColumn="0"/>
          <w:trHeight w:val="20"/>
          <w:jc w:val="center"/>
        </w:trPr>
        <w:tc>
          <w:tcPr>
            <w:tcW w:w="860" w:type="pct"/>
            <w:tcBorders>
              <w:top w:val="none" w:sz="0" w:space="0" w:color="auto"/>
              <w:bottom w:val="none" w:sz="0" w:space="0" w:color="auto"/>
            </w:tcBorders>
          </w:tcPr>
          <w:p w14:paraId="3DF5352A" w14:textId="18C1B616" w:rsidR="00087A4C" w:rsidRPr="00496028" w:rsidRDefault="00087A4C" w:rsidP="00087A4C">
            <w:pPr>
              <w:spacing w:line="240" w:lineRule="auto"/>
              <w:rPr>
                <w:rFonts w:cs="Times New Roman"/>
                <w:b/>
                <w:bCs/>
                <w:sz w:val="22"/>
                <w:lang w:val="en-US"/>
              </w:rPr>
            </w:pPr>
            <w:r w:rsidRPr="00496028">
              <w:rPr>
                <w:rFonts w:cs="Times New Roman"/>
                <w:b/>
                <w:bCs/>
                <w:sz w:val="22"/>
              </w:rPr>
              <w:t>Data</w:t>
            </w:r>
          </w:p>
        </w:tc>
        <w:tc>
          <w:tcPr>
            <w:tcW w:w="1380" w:type="pct"/>
            <w:tcBorders>
              <w:top w:val="none" w:sz="0" w:space="0" w:color="auto"/>
              <w:bottom w:val="none" w:sz="0" w:space="0" w:color="auto"/>
            </w:tcBorders>
          </w:tcPr>
          <w:p w14:paraId="0305511F" w14:textId="38F5E4F0" w:rsidR="00087A4C" w:rsidRPr="00496028" w:rsidRDefault="00087A4C" w:rsidP="00087A4C">
            <w:pPr>
              <w:spacing w:line="240" w:lineRule="auto"/>
              <w:rPr>
                <w:rFonts w:cs="Times New Roman"/>
                <w:sz w:val="22"/>
                <w:lang w:val="en-US"/>
              </w:rPr>
            </w:pPr>
            <w:r w:rsidRPr="00496028">
              <w:rPr>
                <w:rFonts w:cs="Times New Roman"/>
                <w:sz w:val="22"/>
                <w:lang w:val="en-US"/>
              </w:rPr>
              <w:t>119 studies, 191 effect sizes representing 1+ million board interlocks</w:t>
            </w:r>
          </w:p>
        </w:tc>
        <w:tc>
          <w:tcPr>
            <w:tcW w:w="1380" w:type="pct"/>
            <w:tcBorders>
              <w:top w:val="none" w:sz="0" w:space="0" w:color="auto"/>
              <w:bottom w:val="none" w:sz="0" w:space="0" w:color="auto"/>
            </w:tcBorders>
          </w:tcPr>
          <w:p w14:paraId="7E05C2F6" w14:textId="3D59845A" w:rsidR="00087A4C" w:rsidRPr="00496028" w:rsidRDefault="00087A4C" w:rsidP="00087A4C">
            <w:pPr>
              <w:spacing w:line="240" w:lineRule="auto"/>
              <w:rPr>
                <w:rFonts w:cs="Times New Roman"/>
                <w:sz w:val="22"/>
                <w:lang w:val="en-US"/>
              </w:rPr>
            </w:pPr>
            <w:r w:rsidRPr="00496028">
              <w:rPr>
                <w:rFonts w:cs="Times New Roman"/>
                <w:sz w:val="22"/>
                <w:lang w:val="en-US"/>
              </w:rPr>
              <w:t>2,102 alliances from 2001 to 2021</w:t>
            </w:r>
          </w:p>
        </w:tc>
        <w:tc>
          <w:tcPr>
            <w:tcW w:w="1380" w:type="pct"/>
            <w:tcBorders>
              <w:top w:val="none" w:sz="0" w:space="0" w:color="auto"/>
              <w:bottom w:val="none" w:sz="0" w:space="0" w:color="auto"/>
            </w:tcBorders>
          </w:tcPr>
          <w:p w14:paraId="3E155A1F" w14:textId="322DDFAF" w:rsidR="00087A4C" w:rsidRPr="00496028" w:rsidRDefault="00087A4C" w:rsidP="00087A4C">
            <w:pPr>
              <w:spacing w:line="240" w:lineRule="auto"/>
              <w:rPr>
                <w:rFonts w:cs="Times New Roman"/>
                <w:sz w:val="22"/>
                <w:lang w:val="en-US"/>
              </w:rPr>
            </w:pPr>
            <w:r w:rsidRPr="00496028">
              <w:rPr>
                <w:rFonts w:cs="Times New Roman"/>
                <w:sz w:val="22"/>
                <w:lang w:val="en-US"/>
              </w:rPr>
              <w:t>243 M&amp;A-deals; 347,279 acquirer reviews, 68,069 target reviews from Glassdoor.com</w:t>
            </w:r>
          </w:p>
        </w:tc>
      </w:tr>
      <w:tr w:rsidR="008955CE" w:rsidRPr="00AA39E4" w14:paraId="62D176F3" w14:textId="77777777" w:rsidTr="00394BE7">
        <w:trPr>
          <w:trHeight w:val="20"/>
          <w:jc w:val="center"/>
        </w:trPr>
        <w:tc>
          <w:tcPr>
            <w:tcW w:w="860" w:type="pct"/>
            <w:hideMark/>
          </w:tcPr>
          <w:p w14:paraId="63944109" w14:textId="07F854BA" w:rsidR="00087A4C" w:rsidRPr="00496028" w:rsidRDefault="00087A4C" w:rsidP="00087A4C">
            <w:pPr>
              <w:spacing w:line="240" w:lineRule="auto"/>
              <w:rPr>
                <w:rFonts w:cs="Times New Roman"/>
                <w:b/>
                <w:bCs/>
                <w:sz w:val="22"/>
                <w:lang w:val="en-US"/>
              </w:rPr>
            </w:pPr>
            <w:r w:rsidRPr="00496028">
              <w:rPr>
                <w:rFonts w:cs="Times New Roman"/>
                <w:b/>
                <w:bCs/>
                <w:sz w:val="22"/>
              </w:rPr>
              <w:t xml:space="preserve">Key </w:t>
            </w:r>
            <w:r w:rsidR="00394BE7">
              <w:rPr>
                <w:rFonts w:cs="Times New Roman"/>
                <w:b/>
                <w:bCs/>
                <w:sz w:val="22"/>
              </w:rPr>
              <w:t>Concepts</w:t>
            </w:r>
          </w:p>
        </w:tc>
        <w:tc>
          <w:tcPr>
            <w:tcW w:w="1380" w:type="pct"/>
            <w:hideMark/>
          </w:tcPr>
          <w:p w14:paraId="498FE922" w14:textId="7A989413" w:rsidR="00087A4C" w:rsidRPr="00496028" w:rsidRDefault="00087A4C" w:rsidP="00087A4C">
            <w:pPr>
              <w:spacing w:line="240" w:lineRule="auto"/>
              <w:rPr>
                <w:rFonts w:cs="Times New Roman"/>
                <w:sz w:val="22"/>
                <w:lang w:val="en-US"/>
              </w:rPr>
            </w:pPr>
            <w:r w:rsidRPr="00496028">
              <w:rPr>
                <w:rFonts w:cs="Times New Roman"/>
                <w:sz w:val="22"/>
                <w:lang w:val="en-US"/>
              </w:rPr>
              <w:t xml:space="preserve">Board interlocks measured via degree centrality; performance via accounting and </w:t>
            </w:r>
            <w:r w:rsidR="00C03FD1" w:rsidRPr="00496028">
              <w:rPr>
                <w:rFonts w:cs="Times New Roman"/>
                <w:sz w:val="22"/>
                <w:lang w:val="en-US"/>
              </w:rPr>
              <w:t xml:space="preserve">market-based </w:t>
            </w:r>
            <w:r w:rsidRPr="00496028">
              <w:rPr>
                <w:rFonts w:cs="Times New Roman"/>
                <w:sz w:val="22"/>
                <w:lang w:val="en-US"/>
              </w:rPr>
              <w:t>metrics</w:t>
            </w:r>
          </w:p>
        </w:tc>
        <w:tc>
          <w:tcPr>
            <w:tcW w:w="1380" w:type="pct"/>
          </w:tcPr>
          <w:p w14:paraId="30EFA8A6" w14:textId="7B0619AC" w:rsidR="00087A4C" w:rsidRPr="00496028" w:rsidRDefault="00087A4C" w:rsidP="00087A4C">
            <w:pPr>
              <w:spacing w:line="240" w:lineRule="auto"/>
              <w:rPr>
                <w:rFonts w:cs="Times New Roman"/>
                <w:sz w:val="22"/>
                <w:lang w:val="en-US"/>
              </w:rPr>
            </w:pPr>
            <w:r w:rsidRPr="00496028">
              <w:rPr>
                <w:rFonts w:cs="Times New Roman"/>
                <w:sz w:val="22"/>
                <w:lang w:val="en-US"/>
              </w:rPr>
              <w:t xml:space="preserve">Board interlocks as direct and indirect ties between alliance partners. Differential benefits with a </w:t>
            </w:r>
            <w:r w:rsidR="00AB5353" w:rsidRPr="00496028">
              <w:rPr>
                <w:rFonts w:cs="Times New Roman"/>
                <w:sz w:val="22"/>
                <w:lang w:val="en-US"/>
              </w:rPr>
              <w:t>market-based</w:t>
            </w:r>
            <w:r w:rsidRPr="00496028">
              <w:rPr>
                <w:rFonts w:cs="Times New Roman"/>
                <w:sz w:val="22"/>
                <w:lang w:val="en-US"/>
              </w:rPr>
              <w:t xml:space="preserve"> measure</w:t>
            </w:r>
          </w:p>
        </w:tc>
        <w:tc>
          <w:tcPr>
            <w:tcW w:w="1380" w:type="pct"/>
          </w:tcPr>
          <w:p w14:paraId="4536CFDF" w14:textId="632B2510" w:rsidR="00087A4C" w:rsidRPr="00496028" w:rsidRDefault="00087A4C" w:rsidP="00087A4C">
            <w:pPr>
              <w:spacing w:line="240" w:lineRule="auto"/>
              <w:rPr>
                <w:rFonts w:cs="Times New Roman"/>
                <w:sz w:val="22"/>
                <w:lang w:val="en-US"/>
              </w:rPr>
            </w:pPr>
            <w:r w:rsidRPr="00496028">
              <w:rPr>
                <w:rFonts w:cs="Times New Roman"/>
                <w:sz w:val="22"/>
                <w:lang w:val="en-US"/>
              </w:rPr>
              <w:t>Organizational cultural distance via CVF dimensions</w:t>
            </w:r>
          </w:p>
        </w:tc>
      </w:tr>
      <w:tr w:rsidR="008955CE" w:rsidRPr="00AA39E4" w14:paraId="625C150C" w14:textId="77777777" w:rsidTr="00394BE7">
        <w:trPr>
          <w:cnfStyle w:val="000000100000" w:firstRow="0" w:lastRow="0" w:firstColumn="0" w:lastColumn="0" w:oddVBand="0" w:evenVBand="0" w:oddHBand="1" w:evenHBand="0" w:firstRowFirstColumn="0" w:firstRowLastColumn="0" w:lastRowFirstColumn="0" w:lastRowLastColumn="0"/>
          <w:trHeight w:val="20"/>
          <w:jc w:val="center"/>
        </w:trPr>
        <w:tc>
          <w:tcPr>
            <w:tcW w:w="860" w:type="pct"/>
            <w:tcBorders>
              <w:top w:val="none" w:sz="0" w:space="0" w:color="auto"/>
              <w:bottom w:val="none" w:sz="0" w:space="0" w:color="auto"/>
            </w:tcBorders>
            <w:hideMark/>
          </w:tcPr>
          <w:p w14:paraId="18CD396C" w14:textId="43C283A0" w:rsidR="00087A4C" w:rsidRPr="00496028" w:rsidRDefault="00087A4C" w:rsidP="00087A4C">
            <w:pPr>
              <w:spacing w:line="240" w:lineRule="auto"/>
              <w:rPr>
                <w:rFonts w:cs="Times New Roman"/>
                <w:b/>
                <w:bCs/>
                <w:sz w:val="22"/>
                <w:lang w:val="en-US"/>
              </w:rPr>
            </w:pPr>
            <w:r w:rsidRPr="00496028">
              <w:rPr>
                <w:rFonts w:cs="Times New Roman"/>
                <w:b/>
                <w:bCs/>
                <w:sz w:val="22"/>
              </w:rPr>
              <w:t>Main Findings</w:t>
            </w:r>
          </w:p>
        </w:tc>
        <w:tc>
          <w:tcPr>
            <w:tcW w:w="1380" w:type="pct"/>
            <w:tcBorders>
              <w:top w:val="none" w:sz="0" w:space="0" w:color="auto"/>
              <w:bottom w:val="none" w:sz="0" w:space="0" w:color="auto"/>
            </w:tcBorders>
            <w:hideMark/>
          </w:tcPr>
          <w:p w14:paraId="4301206D" w14:textId="13574E2D" w:rsidR="00087A4C" w:rsidRPr="00496028" w:rsidRDefault="00087A4C" w:rsidP="00087A4C">
            <w:pPr>
              <w:spacing w:line="240" w:lineRule="auto"/>
              <w:rPr>
                <w:rFonts w:cs="Times New Roman"/>
                <w:sz w:val="22"/>
                <w:lang w:val="en-US"/>
              </w:rPr>
            </w:pPr>
            <w:r w:rsidRPr="00496028">
              <w:rPr>
                <w:rFonts w:cs="Times New Roman"/>
                <w:sz w:val="22"/>
                <w:lang w:val="en-US"/>
              </w:rPr>
              <w:t>Board interlocks positively affect firm performance by enhancing resource access and increasing agency costs. Effects are shaped by power dynamics and the institutional environment.</w:t>
            </w:r>
          </w:p>
        </w:tc>
        <w:tc>
          <w:tcPr>
            <w:tcW w:w="1380" w:type="pct"/>
            <w:tcBorders>
              <w:top w:val="none" w:sz="0" w:space="0" w:color="auto"/>
              <w:bottom w:val="none" w:sz="0" w:space="0" w:color="auto"/>
            </w:tcBorders>
          </w:tcPr>
          <w:p w14:paraId="3AF1DAAF" w14:textId="2BC9A7FA" w:rsidR="00087A4C" w:rsidRPr="00496028" w:rsidRDefault="00087A4C" w:rsidP="00087A4C">
            <w:pPr>
              <w:spacing w:line="240" w:lineRule="auto"/>
              <w:rPr>
                <w:rFonts w:cs="Times New Roman"/>
                <w:sz w:val="22"/>
                <w:lang w:val="en-US"/>
              </w:rPr>
            </w:pPr>
            <w:r w:rsidRPr="00496028">
              <w:rPr>
                <w:rFonts w:cs="Times New Roman"/>
                <w:sz w:val="22"/>
                <w:lang w:val="en-US"/>
              </w:rPr>
              <w:t>Direct and indirect board interlocks facilitate resource appropriation, leading to differential benefits in strategic alliances</w:t>
            </w:r>
          </w:p>
        </w:tc>
        <w:tc>
          <w:tcPr>
            <w:tcW w:w="1380" w:type="pct"/>
            <w:tcBorders>
              <w:top w:val="none" w:sz="0" w:space="0" w:color="auto"/>
              <w:bottom w:val="none" w:sz="0" w:space="0" w:color="auto"/>
            </w:tcBorders>
          </w:tcPr>
          <w:p w14:paraId="331FB47E" w14:textId="395AB772" w:rsidR="00087A4C" w:rsidRPr="00496028" w:rsidRDefault="00087A4C" w:rsidP="00087A4C">
            <w:pPr>
              <w:spacing w:line="240" w:lineRule="auto"/>
              <w:rPr>
                <w:rFonts w:cs="Times New Roman"/>
                <w:sz w:val="22"/>
                <w:lang w:val="en-US"/>
              </w:rPr>
            </w:pPr>
            <w:r w:rsidRPr="00496028">
              <w:rPr>
                <w:rFonts w:cs="Times New Roman"/>
                <w:sz w:val="22"/>
                <w:lang w:val="en-US"/>
              </w:rPr>
              <w:t>Organizational cultural distance negatively impacts post-acquisition performance and innovation, in part due to overestimated synergy potential.</w:t>
            </w:r>
          </w:p>
        </w:tc>
      </w:tr>
      <w:tr w:rsidR="008955CE" w:rsidRPr="00AA39E4" w14:paraId="2346F5DB" w14:textId="77777777" w:rsidTr="00394BE7">
        <w:trPr>
          <w:trHeight w:val="20"/>
          <w:jc w:val="center"/>
        </w:trPr>
        <w:tc>
          <w:tcPr>
            <w:tcW w:w="860" w:type="pct"/>
            <w:hideMark/>
          </w:tcPr>
          <w:p w14:paraId="01A04DF2" w14:textId="613E0AF3" w:rsidR="00087A4C" w:rsidRPr="00496028" w:rsidRDefault="00087A4C" w:rsidP="00087A4C">
            <w:pPr>
              <w:spacing w:line="240" w:lineRule="auto"/>
              <w:rPr>
                <w:rFonts w:cs="Times New Roman"/>
                <w:b/>
                <w:bCs/>
                <w:sz w:val="22"/>
                <w:lang w:val="en-US"/>
              </w:rPr>
            </w:pPr>
            <w:r w:rsidRPr="00496028">
              <w:rPr>
                <w:rFonts w:cs="Times New Roman"/>
                <w:b/>
                <w:bCs/>
                <w:sz w:val="22"/>
              </w:rPr>
              <w:t>Conferences</w:t>
            </w:r>
            <w:r w:rsidR="008955CE" w:rsidRPr="00496028">
              <w:rPr>
                <w:rFonts w:cs="Times New Roman"/>
                <w:b/>
                <w:bCs/>
                <w:sz w:val="22"/>
              </w:rPr>
              <w:t xml:space="preserve"> and </w:t>
            </w:r>
            <w:r w:rsidRPr="00496028">
              <w:rPr>
                <w:rFonts w:cs="Times New Roman"/>
                <w:b/>
                <w:bCs/>
                <w:sz w:val="22"/>
              </w:rPr>
              <w:t>Publications</w:t>
            </w:r>
          </w:p>
        </w:tc>
        <w:tc>
          <w:tcPr>
            <w:tcW w:w="1380" w:type="pct"/>
            <w:hideMark/>
          </w:tcPr>
          <w:p w14:paraId="7DDAF58E" w14:textId="061B7630" w:rsidR="00087A4C" w:rsidRPr="00496028" w:rsidRDefault="00087A4C" w:rsidP="00087A4C">
            <w:pPr>
              <w:spacing w:line="240" w:lineRule="auto"/>
              <w:rPr>
                <w:rFonts w:cs="Times New Roman"/>
                <w:sz w:val="22"/>
                <w:lang w:val="en-US"/>
              </w:rPr>
            </w:pPr>
            <w:r w:rsidRPr="00496028">
              <w:rPr>
                <w:rFonts w:cs="Times New Roman"/>
                <w:sz w:val="22"/>
                <w:lang w:val="en-US"/>
              </w:rPr>
              <w:t>SMS 41st Annual Conference, Journal of Management Studies (JMS)</w:t>
            </w:r>
          </w:p>
        </w:tc>
        <w:tc>
          <w:tcPr>
            <w:tcW w:w="1380" w:type="pct"/>
            <w:hideMark/>
          </w:tcPr>
          <w:p w14:paraId="51CBB575" w14:textId="185827F8" w:rsidR="00087A4C" w:rsidRPr="00496028" w:rsidRDefault="00087A4C" w:rsidP="00087A4C">
            <w:pPr>
              <w:spacing w:line="240" w:lineRule="auto"/>
              <w:rPr>
                <w:rFonts w:cs="Times New Roman"/>
                <w:sz w:val="22"/>
                <w:lang w:val="en-US"/>
              </w:rPr>
            </w:pPr>
            <w:r w:rsidRPr="00496028">
              <w:rPr>
                <w:rFonts w:cs="Times New Roman"/>
                <w:sz w:val="22"/>
                <w:lang w:val="en-US"/>
              </w:rPr>
              <w:t>Strategic Management Journal (SMJ)</w:t>
            </w:r>
          </w:p>
        </w:tc>
        <w:tc>
          <w:tcPr>
            <w:tcW w:w="1380" w:type="pct"/>
            <w:hideMark/>
          </w:tcPr>
          <w:p w14:paraId="0EFD3781" w14:textId="53B08435" w:rsidR="00087A4C" w:rsidRPr="00496028" w:rsidRDefault="00087A4C" w:rsidP="00087A4C">
            <w:pPr>
              <w:spacing w:line="240" w:lineRule="auto"/>
              <w:rPr>
                <w:rFonts w:cs="Times New Roman"/>
                <w:sz w:val="22"/>
                <w:lang w:val="en-US"/>
              </w:rPr>
            </w:pPr>
            <w:r w:rsidRPr="00496028">
              <w:rPr>
                <w:rFonts w:cs="Times New Roman"/>
                <w:sz w:val="22"/>
                <w:lang w:val="en-US"/>
              </w:rPr>
              <w:t>Review of Managerial Science (RMS)</w:t>
            </w:r>
          </w:p>
        </w:tc>
      </w:tr>
      <w:tr w:rsidR="00394BE7" w:rsidRPr="008955CE" w14:paraId="2E729FE1" w14:textId="77777777" w:rsidTr="00394BE7">
        <w:trPr>
          <w:cnfStyle w:val="000000100000" w:firstRow="0" w:lastRow="0" w:firstColumn="0" w:lastColumn="0" w:oddVBand="0" w:evenVBand="0" w:oddHBand="1" w:evenHBand="0" w:firstRowFirstColumn="0" w:firstRowLastColumn="0" w:lastRowFirstColumn="0" w:lastRowLastColumn="0"/>
          <w:trHeight w:val="20"/>
          <w:jc w:val="center"/>
        </w:trPr>
        <w:tc>
          <w:tcPr>
            <w:tcW w:w="860" w:type="pct"/>
            <w:tcBorders>
              <w:top w:val="none" w:sz="0" w:space="0" w:color="auto"/>
              <w:bottom w:val="none" w:sz="0" w:space="0" w:color="auto"/>
            </w:tcBorders>
          </w:tcPr>
          <w:p w14:paraId="30EA01BD" w14:textId="00B8CB7A" w:rsidR="003F34E4" w:rsidRPr="00496028" w:rsidRDefault="003F34E4" w:rsidP="00087A4C">
            <w:pPr>
              <w:spacing w:line="240" w:lineRule="auto"/>
              <w:rPr>
                <w:rFonts w:cs="Times New Roman"/>
                <w:b/>
                <w:bCs/>
                <w:sz w:val="22"/>
              </w:rPr>
            </w:pPr>
            <w:r w:rsidRPr="00496028">
              <w:rPr>
                <w:rFonts w:cs="Times New Roman"/>
                <w:b/>
                <w:bCs/>
                <w:sz w:val="22"/>
              </w:rPr>
              <w:t>VHB-Ranking</w:t>
            </w:r>
          </w:p>
        </w:tc>
        <w:tc>
          <w:tcPr>
            <w:tcW w:w="1380" w:type="pct"/>
            <w:tcBorders>
              <w:top w:val="none" w:sz="0" w:space="0" w:color="auto"/>
              <w:bottom w:val="none" w:sz="0" w:space="0" w:color="auto"/>
            </w:tcBorders>
          </w:tcPr>
          <w:p w14:paraId="1C517F63" w14:textId="006B0800" w:rsidR="003F34E4" w:rsidRPr="00496028" w:rsidRDefault="003F34E4" w:rsidP="00087A4C">
            <w:pPr>
              <w:spacing w:line="240" w:lineRule="auto"/>
              <w:rPr>
                <w:rFonts w:cs="Times New Roman"/>
                <w:sz w:val="22"/>
                <w:lang w:val="en-US"/>
              </w:rPr>
            </w:pPr>
            <w:r w:rsidRPr="00496028">
              <w:rPr>
                <w:rFonts w:cs="Times New Roman"/>
                <w:sz w:val="22"/>
                <w:lang w:val="en-US"/>
              </w:rPr>
              <w:t>A</w:t>
            </w:r>
          </w:p>
        </w:tc>
        <w:tc>
          <w:tcPr>
            <w:tcW w:w="1380" w:type="pct"/>
            <w:tcBorders>
              <w:top w:val="none" w:sz="0" w:space="0" w:color="auto"/>
              <w:bottom w:val="none" w:sz="0" w:space="0" w:color="auto"/>
            </w:tcBorders>
          </w:tcPr>
          <w:p w14:paraId="7D90B6A1" w14:textId="251E9F4D" w:rsidR="003F34E4" w:rsidRPr="00496028" w:rsidRDefault="003F34E4" w:rsidP="00087A4C">
            <w:pPr>
              <w:spacing w:line="240" w:lineRule="auto"/>
              <w:rPr>
                <w:rFonts w:cs="Times New Roman"/>
                <w:sz w:val="22"/>
                <w:lang w:val="en-US"/>
              </w:rPr>
            </w:pPr>
            <w:r w:rsidRPr="00496028">
              <w:rPr>
                <w:rFonts w:cs="Times New Roman"/>
                <w:sz w:val="22"/>
                <w:lang w:val="en-US"/>
              </w:rPr>
              <w:t>A</w:t>
            </w:r>
          </w:p>
        </w:tc>
        <w:tc>
          <w:tcPr>
            <w:tcW w:w="1380" w:type="pct"/>
            <w:tcBorders>
              <w:top w:val="none" w:sz="0" w:space="0" w:color="auto"/>
              <w:bottom w:val="none" w:sz="0" w:space="0" w:color="auto"/>
            </w:tcBorders>
          </w:tcPr>
          <w:p w14:paraId="33BB2B23" w14:textId="22D20266" w:rsidR="003F34E4" w:rsidRPr="00496028" w:rsidRDefault="003F34E4" w:rsidP="00087A4C">
            <w:pPr>
              <w:spacing w:line="240" w:lineRule="auto"/>
              <w:rPr>
                <w:rFonts w:cs="Times New Roman"/>
                <w:sz w:val="22"/>
                <w:lang w:val="en-US"/>
              </w:rPr>
            </w:pPr>
            <w:r w:rsidRPr="00496028">
              <w:rPr>
                <w:rFonts w:cs="Times New Roman"/>
                <w:sz w:val="22"/>
                <w:lang w:val="en-US"/>
              </w:rPr>
              <w:t>B</w:t>
            </w:r>
          </w:p>
        </w:tc>
      </w:tr>
      <w:tr w:rsidR="00394BE7" w:rsidRPr="008955CE" w14:paraId="09D08C72" w14:textId="77777777" w:rsidTr="00394BE7">
        <w:trPr>
          <w:trHeight w:val="20"/>
          <w:jc w:val="center"/>
        </w:trPr>
        <w:tc>
          <w:tcPr>
            <w:tcW w:w="860" w:type="pct"/>
            <w:tcBorders>
              <w:bottom w:val="single" w:sz="4" w:space="0" w:color="auto"/>
            </w:tcBorders>
          </w:tcPr>
          <w:p w14:paraId="12372349" w14:textId="27B8867C" w:rsidR="00087A4C" w:rsidRPr="00496028" w:rsidRDefault="00087A4C" w:rsidP="00087A4C">
            <w:pPr>
              <w:spacing w:line="240" w:lineRule="auto"/>
              <w:rPr>
                <w:rFonts w:cs="Times New Roman"/>
                <w:b/>
                <w:bCs/>
                <w:sz w:val="22"/>
                <w:lang w:val="en-US"/>
              </w:rPr>
            </w:pPr>
            <w:r w:rsidRPr="00496028">
              <w:rPr>
                <w:rFonts w:cs="Times New Roman"/>
                <w:b/>
                <w:bCs/>
                <w:sz w:val="22"/>
              </w:rPr>
              <w:t>Status</w:t>
            </w:r>
          </w:p>
        </w:tc>
        <w:tc>
          <w:tcPr>
            <w:tcW w:w="1380" w:type="pct"/>
            <w:tcBorders>
              <w:bottom w:val="single" w:sz="4" w:space="0" w:color="auto"/>
            </w:tcBorders>
          </w:tcPr>
          <w:p w14:paraId="68516782" w14:textId="08BD433B" w:rsidR="00087A4C" w:rsidRPr="00496028" w:rsidRDefault="00087A4C" w:rsidP="00087A4C">
            <w:pPr>
              <w:spacing w:line="240" w:lineRule="auto"/>
              <w:rPr>
                <w:rFonts w:cs="Times New Roman"/>
                <w:sz w:val="22"/>
                <w:lang w:val="en-US"/>
              </w:rPr>
            </w:pPr>
            <w:r w:rsidRPr="00496028">
              <w:rPr>
                <w:rFonts w:cs="Times New Roman"/>
                <w:sz w:val="22"/>
                <w:lang w:val="en-US"/>
              </w:rPr>
              <w:t>Under Review</w:t>
            </w:r>
          </w:p>
        </w:tc>
        <w:tc>
          <w:tcPr>
            <w:tcW w:w="1380" w:type="pct"/>
            <w:tcBorders>
              <w:bottom w:val="single" w:sz="4" w:space="0" w:color="auto"/>
            </w:tcBorders>
          </w:tcPr>
          <w:p w14:paraId="15FCC4B7" w14:textId="3813DEE1" w:rsidR="00087A4C" w:rsidRPr="00496028" w:rsidRDefault="00087A4C" w:rsidP="00087A4C">
            <w:pPr>
              <w:spacing w:line="240" w:lineRule="auto"/>
              <w:rPr>
                <w:rFonts w:cs="Times New Roman"/>
                <w:sz w:val="22"/>
                <w:lang w:val="en-US"/>
              </w:rPr>
            </w:pPr>
            <w:r w:rsidRPr="00496028">
              <w:rPr>
                <w:rFonts w:cs="Times New Roman"/>
                <w:sz w:val="22"/>
                <w:lang w:val="en-US"/>
              </w:rPr>
              <w:t>Under Review</w:t>
            </w:r>
          </w:p>
        </w:tc>
        <w:tc>
          <w:tcPr>
            <w:tcW w:w="1380" w:type="pct"/>
            <w:tcBorders>
              <w:bottom w:val="single" w:sz="4" w:space="0" w:color="auto"/>
            </w:tcBorders>
          </w:tcPr>
          <w:p w14:paraId="1D1355D5" w14:textId="36D1346F" w:rsidR="00087A4C" w:rsidRPr="00496028" w:rsidRDefault="00087A4C" w:rsidP="00087A4C">
            <w:pPr>
              <w:spacing w:line="240" w:lineRule="auto"/>
              <w:rPr>
                <w:rFonts w:cs="Times New Roman"/>
                <w:sz w:val="22"/>
                <w:lang w:val="en-US"/>
              </w:rPr>
            </w:pPr>
            <w:r w:rsidRPr="00496028">
              <w:rPr>
                <w:rFonts w:cs="Times New Roman"/>
                <w:sz w:val="22"/>
                <w:lang w:val="en-US"/>
              </w:rPr>
              <w:t>Published</w:t>
            </w:r>
          </w:p>
        </w:tc>
      </w:tr>
    </w:tbl>
    <w:p w14:paraId="2911787C" w14:textId="404F9BEA" w:rsidR="00BB3924" w:rsidRDefault="00BB3924">
      <w:pPr>
        <w:spacing w:after="160" w:line="259" w:lineRule="auto"/>
        <w:jc w:val="left"/>
      </w:pPr>
    </w:p>
    <w:p w14:paraId="015905B6" w14:textId="77777777" w:rsidR="00E958CA" w:rsidRDefault="00E958CA" w:rsidP="00E958CA">
      <w:pPr>
        <w:spacing w:line="256" w:lineRule="auto"/>
        <w:jc w:val="left"/>
        <w:sectPr w:rsidR="00E958CA" w:rsidSect="00794C6C">
          <w:endnotePr>
            <w:numFmt w:val="decimal"/>
          </w:endnotePr>
          <w:pgSz w:w="11906" w:h="16838"/>
          <w:pgMar w:top="1417" w:right="1417" w:bottom="1134" w:left="1417" w:header="708" w:footer="567" w:gutter="0"/>
          <w:cols w:space="720"/>
          <w:docGrid w:linePitch="326"/>
        </w:sectPr>
      </w:pPr>
    </w:p>
    <w:p w14:paraId="6829A995" w14:textId="4DD91BB9" w:rsidR="00D03577" w:rsidRDefault="00D03577">
      <w:pPr>
        <w:pStyle w:val="berschrift1"/>
        <w:numPr>
          <w:ilvl w:val="0"/>
          <w:numId w:val="19"/>
        </w:numPr>
        <w:ind w:left="0" w:firstLine="0"/>
        <w:jc w:val="left"/>
        <w:rPr>
          <w:lang w:val="en-US"/>
        </w:rPr>
      </w:pPr>
      <w:bookmarkStart w:id="7" w:name="_Toc180963598"/>
      <w:r w:rsidRPr="009572A7">
        <w:rPr>
          <w:lang w:val="en-US"/>
        </w:rPr>
        <w:lastRenderedPageBreak/>
        <w:t>BOARD</w:t>
      </w:r>
      <w:r w:rsidRPr="00D03577">
        <w:rPr>
          <w:lang w:val="en-US"/>
        </w:rPr>
        <w:t xml:space="preserve"> INTERLOCKS AND FIRM PERFORMANCE: A META-ANALYSIS</w:t>
      </w:r>
      <w:bookmarkEnd w:id="7"/>
    </w:p>
    <w:p w14:paraId="46A3169E" w14:textId="77777777" w:rsidR="00D03577" w:rsidRDefault="00D03577" w:rsidP="00D03577">
      <w:pPr>
        <w:rPr>
          <w:lang w:val="en-US"/>
        </w:rPr>
      </w:pPr>
    </w:p>
    <w:p w14:paraId="2C55EAD3" w14:textId="73D6C3F0" w:rsidR="00D03577" w:rsidRDefault="00D03577" w:rsidP="00D03577">
      <w:pPr>
        <w:spacing w:line="360" w:lineRule="auto"/>
        <w:rPr>
          <w:lang w:val="en-US"/>
        </w:rPr>
      </w:pPr>
      <w:r>
        <w:rPr>
          <w:lang w:val="en-US"/>
        </w:rPr>
        <w:t>Co-authors: Priscilla S. Kraft, Andreas Bausch</w:t>
      </w:r>
    </w:p>
    <w:p w14:paraId="3DC6F3DA" w14:textId="1639B9A3" w:rsidR="00D03577" w:rsidRDefault="00D03577" w:rsidP="00D03577">
      <w:pPr>
        <w:spacing w:line="360" w:lineRule="auto"/>
        <w:rPr>
          <w:lang w:val="en-US"/>
        </w:rPr>
      </w:pPr>
      <w:r>
        <w:rPr>
          <w:lang w:val="en-US"/>
        </w:rPr>
        <w:t>Own share: 70%</w:t>
      </w:r>
    </w:p>
    <w:p w14:paraId="128A7621" w14:textId="77777777" w:rsidR="00D03577" w:rsidRDefault="00D03577" w:rsidP="00D03577">
      <w:pPr>
        <w:rPr>
          <w:lang w:val="en-US"/>
        </w:rPr>
      </w:pPr>
    </w:p>
    <w:p w14:paraId="64721484" w14:textId="3E5A794C" w:rsidR="00D03577" w:rsidRDefault="001D31C7" w:rsidP="00D03577">
      <w:pPr>
        <w:spacing w:line="360" w:lineRule="auto"/>
        <w:rPr>
          <w:lang w:val="en-US"/>
        </w:rPr>
      </w:pPr>
      <w:r w:rsidRPr="001D31C7">
        <w:rPr>
          <w:lang w:val="en-US"/>
        </w:rPr>
        <w:t>This paper was presented on the following refereed conference</w:t>
      </w:r>
      <w:r w:rsidR="00D03577">
        <w:rPr>
          <w:lang w:val="en-US"/>
        </w:rPr>
        <w:t>:</w:t>
      </w:r>
    </w:p>
    <w:p w14:paraId="31337BE8" w14:textId="7AA377FF" w:rsidR="00D03577" w:rsidRDefault="00D03577" w:rsidP="00D03577">
      <w:pPr>
        <w:spacing w:line="360" w:lineRule="auto"/>
        <w:rPr>
          <w:lang w:val="en-US"/>
        </w:rPr>
      </w:pPr>
      <w:r>
        <w:rPr>
          <w:lang w:val="en-US"/>
        </w:rPr>
        <w:tab/>
        <w:t>Strategic Management Society 41</w:t>
      </w:r>
      <w:r w:rsidRPr="00D03577">
        <w:rPr>
          <w:vertAlign w:val="superscript"/>
          <w:lang w:val="en-US"/>
        </w:rPr>
        <w:t>st</w:t>
      </w:r>
      <w:r>
        <w:rPr>
          <w:lang w:val="en-US"/>
        </w:rPr>
        <w:t xml:space="preserve"> Annual Conference, Toronto (2021)</w:t>
      </w:r>
    </w:p>
    <w:p w14:paraId="7CA52014" w14:textId="77777777" w:rsidR="00D03577" w:rsidRDefault="00D03577" w:rsidP="00D03577">
      <w:pPr>
        <w:rPr>
          <w:lang w:val="en-US"/>
        </w:rPr>
      </w:pPr>
    </w:p>
    <w:p w14:paraId="7813F90F" w14:textId="1CC2DD26" w:rsidR="00D03577" w:rsidRDefault="00D03577" w:rsidP="00D03577">
      <w:pPr>
        <w:spacing w:line="360" w:lineRule="auto"/>
        <w:rPr>
          <w:lang w:val="en-US"/>
        </w:rPr>
      </w:pPr>
      <w:r>
        <w:rPr>
          <w:lang w:val="en-US"/>
        </w:rPr>
        <w:t>Awaiting Reviewer Feedback from:</w:t>
      </w:r>
    </w:p>
    <w:p w14:paraId="6DA051C1" w14:textId="074579BC" w:rsidR="00D03577" w:rsidRPr="00D03577" w:rsidRDefault="00D03577" w:rsidP="00D03577">
      <w:pPr>
        <w:spacing w:line="360" w:lineRule="auto"/>
        <w:rPr>
          <w:lang w:val="en-US"/>
        </w:rPr>
      </w:pPr>
      <w:r>
        <w:rPr>
          <w:lang w:val="en-US"/>
        </w:rPr>
        <w:tab/>
      </w:r>
      <w:r w:rsidRPr="004D67EF">
        <w:rPr>
          <w:lang w:val="en-US"/>
        </w:rPr>
        <w:t>Journal of Management Studies</w:t>
      </w:r>
      <w:r>
        <w:rPr>
          <w:lang w:val="en-US"/>
        </w:rPr>
        <w:t>, submitted September 2024</w:t>
      </w:r>
    </w:p>
    <w:p w14:paraId="50077B53" w14:textId="4A130DD2" w:rsidR="007B21A5" w:rsidRDefault="007B21A5">
      <w:pPr>
        <w:spacing w:after="160" w:line="259" w:lineRule="auto"/>
        <w:jc w:val="left"/>
        <w:rPr>
          <w:rFonts w:eastAsiaTheme="majorEastAsia" w:cstheme="majorBidi"/>
          <w:b/>
          <w:caps/>
          <w:szCs w:val="32"/>
          <w:lang w:val="en-US"/>
        </w:rPr>
        <w:sectPr w:rsidR="007B21A5" w:rsidSect="00794C6C">
          <w:headerReference w:type="even" r:id="rId16"/>
          <w:headerReference w:type="default" r:id="rId17"/>
          <w:footerReference w:type="even" r:id="rId18"/>
          <w:footerReference w:type="default" r:id="rId19"/>
          <w:headerReference w:type="first" r:id="rId20"/>
          <w:footerReference w:type="first" r:id="rId21"/>
          <w:endnotePr>
            <w:numFmt w:val="decimal"/>
          </w:endnotePr>
          <w:pgSz w:w="11906" w:h="16838"/>
          <w:pgMar w:top="1417" w:right="1417" w:bottom="1134" w:left="1417" w:header="709" w:footer="709" w:gutter="0"/>
          <w:cols w:space="708"/>
          <w:titlePg/>
          <w:docGrid w:linePitch="360"/>
        </w:sectPr>
      </w:pPr>
    </w:p>
    <w:p w14:paraId="63936EAB" w14:textId="1C69E3CA" w:rsidR="00D943CE" w:rsidRPr="00D03577" w:rsidRDefault="00D943CE" w:rsidP="00D03577">
      <w:pPr>
        <w:pStyle w:val="1fake"/>
      </w:pPr>
      <w:r w:rsidRPr="00D03577">
        <w:lastRenderedPageBreak/>
        <w:t>BOARD INTERLOCKS AND FIRM PERFORMANCE:</w:t>
      </w:r>
      <w:r w:rsidR="00EF4EE3" w:rsidRPr="00D03577">
        <w:t xml:space="preserve"> </w:t>
      </w:r>
      <w:r w:rsidRPr="00D03577">
        <w:t>A META-ANALYSIS</w:t>
      </w:r>
    </w:p>
    <w:p w14:paraId="2A098F22" w14:textId="77777777" w:rsidR="00D943CE" w:rsidRDefault="00D943CE" w:rsidP="00D943CE">
      <w:pPr>
        <w:spacing w:line="240" w:lineRule="auto"/>
        <w:jc w:val="center"/>
        <w:rPr>
          <w:bCs/>
          <w:lang w:val="en-US"/>
        </w:rPr>
      </w:pPr>
    </w:p>
    <w:p w14:paraId="4BC4CC3D" w14:textId="77777777" w:rsidR="00D943CE" w:rsidRPr="000F22FC" w:rsidRDefault="00D943CE" w:rsidP="00D943CE">
      <w:pPr>
        <w:spacing w:line="240" w:lineRule="auto"/>
        <w:jc w:val="center"/>
        <w:rPr>
          <w:bCs/>
          <w:lang w:val="en-US"/>
        </w:rPr>
      </w:pPr>
    </w:p>
    <w:p w14:paraId="57DC2589" w14:textId="77777777" w:rsidR="00D943CE" w:rsidRPr="00EF4EE3" w:rsidRDefault="00D943CE" w:rsidP="00D943CE">
      <w:pPr>
        <w:spacing w:line="240" w:lineRule="auto"/>
        <w:jc w:val="center"/>
        <w:rPr>
          <w:b/>
          <w:lang w:val="en-US"/>
        </w:rPr>
      </w:pPr>
      <w:r w:rsidRPr="00EF4EE3">
        <w:rPr>
          <w:b/>
          <w:lang w:val="en-US"/>
        </w:rPr>
        <w:t>Marius Brede</w:t>
      </w:r>
    </w:p>
    <w:p w14:paraId="0D32AA0A" w14:textId="77777777" w:rsidR="00D943CE" w:rsidRPr="00403DA7" w:rsidRDefault="00D943CE" w:rsidP="00D943CE">
      <w:pPr>
        <w:spacing w:line="240" w:lineRule="auto"/>
        <w:jc w:val="center"/>
        <w:rPr>
          <w:bCs/>
          <w:lang w:val="en-US"/>
        </w:rPr>
      </w:pPr>
      <w:r w:rsidRPr="00403DA7">
        <w:rPr>
          <w:bCs/>
          <w:lang w:val="en-US"/>
        </w:rPr>
        <w:t>University of Giessen,</w:t>
      </w:r>
    </w:p>
    <w:p w14:paraId="6BB1FCD3" w14:textId="77777777" w:rsidR="00D943CE" w:rsidRPr="007A61A4" w:rsidRDefault="00D943CE" w:rsidP="00D943CE">
      <w:pPr>
        <w:spacing w:line="240" w:lineRule="auto"/>
        <w:jc w:val="center"/>
        <w:rPr>
          <w:bCs/>
        </w:rPr>
      </w:pPr>
      <w:r w:rsidRPr="007A61A4">
        <w:rPr>
          <w:bCs/>
        </w:rPr>
        <w:t>Licher Str. 62,</w:t>
      </w:r>
    </w:p>
    <w:p w14:paraId="263D1786" w14:textId="77777777" w:rsidR="00D943CE" w:rsidRPr="007A61A4" w:rsidRDefault="00D943CE" w:rsidP="00D943CE">
      <w:pPr>
        <w:spacing w:line="240" w:lineRule="auto"/>
        <w:jc w:val="center"/>
        <w:rPr>
          <w:bCs/>
        </w:rPr>
      </w:pPr>
      <w:r w:rsidRPr="007A61A4">
        <w:rPr>
          <w:bCs/>
        </w:rPr>
        <w:t>35394 Gießen, Germany</w:t>
      </w:r>
    </w:p>
    <w:p w14:paraId="10BC46AD" w14:textId="1744F187" w:rsidR="00D943CE" w:rsidRPr="007E3F5D" w:rsidRDefault="00D943CE" w:rsidP="00D943CE">
      <w:pPr>
        <w:spacing w:line="240" w:lineRule="auto"/>
        <w:jc w:val="center"/>
        <w:rPr>
          <w:rStyle w:val="Hyperlink"/>
          <w:bCs/>
          <w:color w:val="auto"/>
        </w:rPr>
      </w:pPr>
      <w:r w:rsidRPr="007E3F5D">
        <w:rPr>
          <w:lang w:eastAsia="de-AT"/>
        </w:rPr>
        <w:t>Email</w:t>
      </w:r>
      <w:r w:rsidRPr="007E3F5D">
        <w:rPr>
          <w:bCs/>
        </w:rPr>
        <w:t>: marius.brede@wirtschaft.uni-giessen.de</w:t>
      </w:r>
    </w:p>
    <w:p w14:paraId="21F009E8" w14:textId="77777777" w:rsidR="00D943CE" w:rsidRPr="007A61A4" w:rsidRDefault="00D943CE" w:rsidP="00D943CE">
      <w:pPr>
        <w:spacing w:line="240" w:lineRule="auto"/>
        <w:jc w:val="center"/>
        <w:rPr>
          <w:lang w:eastAsia="de-AT"/>
        </w:rPr>
      </w:pPr>
      <w:r w:rsidRPr="007A61A4">
        <w:rPr>
          <w:lang w:eastAsia="de-AT"/>
        </w:rPr>
        <w:t>Phone: 0049 641 22433</w:t>
      </w:r>
    </w:p>
    <w:p w14:paraId="10B8BF75" w14:textId="77777777" w:rsidR="00D943CE" w:rsidRPr="007A61A4" w:rsidRDefault="00D943CE" w:rsidP="00D943CE">
      <w:pPr>
        <w:spacing w:line="240" w:lineRule="auto"/>
        <w:jc w:val="center"/>
        <w:rPr>
          <w:rStyle w:val="Hyperlink"/>
          <w:bCs/>
          <w:color w:val="auto"/>
        </w:rPr>
      </w:pPr>
      <w:r w:rsidRPr="007A61A4">
        <w:rPr>
          <w:bCs/>
        </w:rPr>
        <w:t>https://orcid.org/0009-0004-6831-6543</w:t>
      </w:r>
    </w:p>
    <w:p w14:paraId="1A95AB7F" w14:textId="77777777" w:rsidR="00D943CE" w:rsidRPr="007A61A4" w:rsidRDefault="00D943CE" w:rsidP="00D943CE">
      <w:pPr>
        <w:spacing w:line="240" w:lineRule="auto"/>
        <w:jc w:val="center"/>
        <w:rPr>
          <w:rStyle w:val="Hyperlink"/>
          <w:bCs/>
          <w:color w:val="auto"/>
        </w:rPr>
      </w:pPr>
    </w:p>
    <w:p w14:paraId="7AE0DF41" w14:textId="77777777" w:rsidR="00D943CE" w:rsidRPr="007A61A4" w:rsidRDefault="00D943CE" w:rsidP="00D943CE">
      <w:pPr>
        <w:spacing w:line="240" w:lineRule="auto"/>
        <w:jc w:val="center"/>
        <w:rPr>
          <w:rStyle w:val="Hyperlink"/>
          <w:bCs/>
          <w:color w:val="auto"/>
        </w:rPr>
      </w:pPr>
    </w:p>
    <w:p w14:paraId="1FE1C2B1" w14:textId="77777777" w:rsidR="00D943CE" w:rsidRPr="007A61A4" w:rsidRDefault="00D943CE" w:rsidP="00D943CE">
      <w:pPr>
        <w:spacing w:line="240" w:lineRule="auto"/>
        <w:jc w:val="center"/>
        <w:rPr>
          <w:rStyle w:val="Hyperlink"/>
          <w:bCs/>
          <w:color w:val="auto"/>
        </w:rPr>
      </w:pPr>
    </w:p>
    <w:p w14:paraId="32F6C05E" w14:textId="77777777" w:rsidR="00D943CE" w:rsidRPr="007A61A4" w:rsidRDefault="00D943CE" w:rsidP="00D943CE">
      <w:pPr>
        <w:spacing w:line="240" w:lineRule="auto"/>
        <w:jc w:val="center"/>
        <w:rPr>
          <w:b/>
        </w:rPr>
      </w:pPr>
      <w:r w:rsidRPr="007A61A4">
        <w:rPr>
          <w:b/>
        </w:rPr>
        <w:t>Priscilla S. Kraft</w:t>
      </w:r>
    </w:p>
    <w:p w14:paraId="3F3E953D" w14:textId="77777777" w:rsidR="00D943CE" w:rsidRPr="007A61A4" w:rsidRDefault="00D943CE" w:rsidP="00D943CE">
      <w:pPr>
        <w:spacing w:line="240" w:lineRule="auto"/>
        <w:jc w:val="center"/>
        <w:rPr>
          <w:bCs/>
          <w:lang w:val="en-US"/>
        </w:rPr>
      </w:pPr>
      <w:r w:rsidRPr="007A61A4">
        <w:rPr>
          <w:bCs/>
          <w:lang w:val="en-US"/>
        </w:rPr>
        <w:t>WHU – Otto Beisheim School of Management,</w:t>
      </w:r>
    </w:p>
    <w:p w14:paraId="5EF01CC0" w14:textId="77777777" w:rsidR="00D943CE" w:rsidRPr="007A61A4" w:rsidRDefault="00D943CE" w:rsidP="00D943CE">
      <w:pPr>
        <w:spacing w:line="240" w:lineRule="auto"/>
        <w:jc w:val="center"/>
        <w:rPr>
          <w:bCs/>
          <w:lang w:val="en-US"/>
        </w:rPr>
      </w:pPr>
      <w:r w:rsidRPr="007A61A4">
        <w:rPr>
          <w:lang w:val="en-US"/>
        </w:rPr>
        <w:t>Burgplatz 2</w:t>
      </w:r>
      <w:r w:rsidRPr="007A61A4">
        <w:rPr>
          <w:bCs/>
          <w:lang w:val="en-US"/>
        </w:rPr>
        <w:t>,</w:t>
      </w:r>
    </w:p>
    <w:p w14:paraId="3C8BD88D" w14:textId="77777777" w:rsidR="00D943CE" w:rsidRPr="007A61A4" w:rsidRDefault="00D943CE" w:rsidP="00D943CE">
      <w:pPr>
        <w:spacing w:line="240" w:lineRule="auto"/>
        <w:jc w:val="center"/>
        <w:rPr>
          <w:bCs/>
          <w:lang w:val="en-US"/>
        </w:rPr>
      </w:pPr>
      <w:r w:rsidRPr="007A61A4">
        <w:rPr>
          <w:bCs/>
          <w:lang w:val="en-US"/>
        </w:rPr>
        <w:t>56179 Vallendar, Germany</w:t>
      </w:r>
    </w:p>
    <w:p w14:paraId="5BFF7B27" w14:textId="53990D91" w:rsidR="00D943CE" w:rsidRPr="007A61A4" w:rsidRDefault="00D943CE" w:rsidP="00D943CE">
      <w:pPr>
        <w:spacing w:line="240" w:lineRule="auto"/>
        <w:jc w:val="center"/>
        <w:rPr>
          <w:rStyle w:val="Hyperlink"/>
          <w:color w:val="auto"/>
          <w:lang w:val="en-US"/>
        </w:rPr>
      </w:pPr>
      <w:r w:rsidRPr="007A61A4">
        <w:rPr>
          <w:lang w:val="en-US" w:eastAsia="de-AT"/>
        </w:rPr>
        <w:t>Email</w:t>
      </w:r>
      <w:r w:rsidRPr="007A61A4">
        <w:rPr>
          <w:bCs/>
          <w:lang w:val="en-US"/>
        </w:rPr>
        <w:t xml:space="preserve">: </w:t>
      </w:r>
      <w:r w:rsidRPr="007A61A4">
        <w:rPr>
          <w:lang w:val="en-US"/>
        </w:rPr>
        <w:t>priscilla.kraft@whu.edu</w:t>
      </w:r>
    </w:p>
    <w:p w14:paraId="73247084" w14:textId="77777777" w:rsidR="00D943CE" w:rsidRPr="007A61A4" w:rsidRDefault="00D943CE" w:rsidP="00D943CE">
      <w:pPr>
        <w:spacing w:line="240" w:lineRule="auto"/>
        <w:jc w:val="center"/>
        <w:rPr>
          <w:lang w:eastAsia="de-AT"/>
        </w:rPr>
      </w:pPr>
      <w:r w:rsidRPr="007A61A4">
        <w:rPr>
          <w:lang w:eastAsia="de-AT"/>
        </w:rPr>
        <w:t>Phone: 0049 261 6509 210</w:t>
      </w:r>
      <w:r w:rsidRPr="007A61A4">
        <w:rPr>
          <w:lang w:eastAsia="de-AT"/>
        </w:rPr>
        <w:br/>
      </w:r>
      <w:hyperlink r:id="rId22" w:history="1">
        <w:r w:rsidRPr="007A61A4">
          <w:rPr>
            <w:lang w:eastAsia="de-AT"/>
          </w:rPr>
          <w:t>https://orcid.org/0000-0003-1141-2353</w:t>
        </w:r>
      </w:hyperlink>
    </w:p>
    <w:p w14:paraId="57FD60A0" w14:textId="77777777" w:rsidR="00D943CE" w:rsidRPr="007A61A4" w:rsidRDefault="00D943CE" w:rsidP="00D943CE">
      <w:pPr>
        <w:spacing w:line="240" w:lineRule="auto"/>
        <w:jc w:val="center"/>
      </w:pPr>
    </w:p>
    <w:p w14:paraId="2E70D0E3" w14:textId="77777777" w:rsidR="00D943CE" w:rsidRPr="007A61A4" w:rsidRDefault="00D943CE" w:rsidP="00D943CE">
      <w:pPr>
        <w:spacing w:line="240" w:lineRule="auto"/>
        <w:jc w:val="center"/>
      </w:pPr>
    </w:p>
    <w:p w14:paraId="390A6A7C" w14:textId="77777777" w:rsidR="00D943CE" w:rsidRPr="007A61A4" w:rsidRDefault="00D943CE" w:rsidP="00D943CE">
      <w:pPr>
        <w:spacing w:line="240" w:lineRule="auto"/>
        <w:jc w:val="center"/>
      </w:pPr>
    </w:p>
    <w:p w14:paraId="5FA3DE9A" w14:textId="77777777" w:rsidR="00D943CE" w:rsidRPr="007A61A4" w:rsidRDefault="00D943CE" w:rsidP="00D943CE">
      <w:pPr>
        <w:spacing w:line="240" w:lineRule="auto"/>
        <w:jc w:val="center"/>
        <w:rPr>
          <w:b/>
        </w:rPr>
      </w:pPr>
      <w:r w:rsidRPr="007A61A4">
        <w:rPr>
          <w:b/>
        </w:rPr>
        <w:t>Andreas Bausch</w:t>
      </w:r>
    </w:p>
    <w:p w14:paraId="2C9FA5B2" w14:textId="77777777" w:rsidR="00D943CE" w:rsidRPr="007A61A4" w:rsidRDefault="00D943CE" w:rsidP="00D943CE">
      <w:pPr>
        <w:spacing w:line="240" w:lineRule="auto"/>
        <w:jc w:val="center"/>
        <w:rPr>
          <w:bCs/>
        </w:rPr>
      </w:pPr>
      <w:r w:rsidRPr="007A61A4">
        <w:rPr>
          <w:bCs/>
        </w:rPr>
        <w:t>University of Giessen,</w:t>
      </w:r>
    </w:p>
    <w:p w14:paraId="03A458C9" w14:textId="77777777" w:rsidR="00D943CE" w:rsidRPr="007A61A4" w:rsidRDefault="00D943CE" w:rsidP="00D943CE">
      <w:pPr>
        <w:spacing w:line="240" w:lineRule="auto"/>
        <w:jc w:val="center"/>
        <w:rPr>
          <w:bCs/>
        </w:rPr>
      </w:pPr>
      <w:r w:rsidRPr="007A61A4">
        <w:rPr>
          <w:bCs/>
        </w:rPr>
        <w:t>Licher Str. 62,</w:t>
      </w:r>
    </w:p>
    <w:p w14:paraId="52EED68F" w14:textId="77777777" w:rsidR="00D943CE" w:rsidRPr="007A61A4" w:rsidRDefault="00D943CE" w:rsidP="00D943CE">
      <w:pPr>
        <w:spacing w:line="240" w:lineRule="auto"/>
        <w:jc w:val="center"/>
        <w:rPr>
          <w:bCs/>
        </w:rPr>
      </w:pPr>
      <w:r w:rsidRPr="007A61A4">
        <w:rPr>
          <w:bCs/>
        </w:rPr>
        <w:t>35394 Gießen, Germany</w:t>
      </w:r>
    </w:p>
    <w:p w14:paraId="2FAA06FD" w14:textId="6C4FFF6D" w:rsidR="00D943CE" w:rsidRPr="00EA1BBD" w:rsidRDefault="00D943CE" w:rsidP="00D943CE">
      <w:pPr>
        <w:spacing w:line="240" w:lineRule="auto"/>
        <w:jc w:val="center"/>
        <w:rPr>
          <w:bCs/>
          <w:lang w:val="en-US"/>
        </w:rPr>
      </w:pPr>
      <w:r w:rsidRPr="007A61A4">
        <w:rPr>
          <w:lang w:val="en-US" w:eastAsia="de-AT"/>
        </w:rPr>
        <w:t>Email</w:t>
      </w:r>
      <w:r w:rsidRPr="007A61A4">
        <w:rPr>
          <w:bCs/>
          <w:lang w:val="en-US"/>
        </w:rPr>
        <w:t>: andreas.bausch@wirtschaft.uni-giessen</w:t>
      </w:r>
      <w:r w:rsidRPr="00BE7B27">
        <w:rPr>
          <w:bCs/>
          <w:lang w:val="en-US"/>
        </w:rPr>
        <w:t>.de</w:t>
      </w:r>
    </w:p>
    <w:p w14:paraId="331EA9E3" w14:textId="7B82A6F2" w:rsidR="003776C7" w:rsidRPr="004F0D7F" w:rsidRDefault="00D943CE" w:rsidP="004F0D7F">
      <w:pPr>
        <w:spacing w:line="240" w:lineRule="auto"/>
        <w:jc w:val="center"/>
        <w:rPr>
          <w:lang w:val="en-US" w:eastAsia="de-AT"/>
        </w:rPr>
      </w:pPr>
      <w:r w:rsidRPr="00352475">
        <w:rPr>
          <w:lang w:val="en-US" w:eastAsia="de-AT"/>
        </w:rPr>
        <w:t>Phone: 0049 641 22431</w:t>
      </w:r>
    </w:p>
    <w:p w14:paraId="5AA87F94" w14:textId="03AD86F2" w:rsidR="009A66C3" w:rsidRDefault="009A66C3" w:rsidP="003776C7">
      <w:pPr>
        <w:rPr>
          <w:rFonts w:cs="Times New Roman"/>
          <w:szCs w:val="24"/>
          <w:lang w:val="en-GB"/>
        </w:rPr>
      </w:pPr>
      <w:r>
        <w:rPr>
          <w:rFonts w:cs="Times New Roman"/>
          <w:szCs w:val="24"/>
          <w:lang w:val="en-GB"/>
        </w:rPr>
        <w:br w:type="page"/>
      </w:r>
    </w:p>
    <w:p w14:paraId="1D85EB99" w14:textId="55277F91" w:rsidR="003E3F6C" w:rsidRPr="00346ED4" w:rsidRDefault="00D03577" w:rsidP="009572A7">
      <w:pPr>
        <w:pStyle w:val="berschrift2"/>
        <w:rPr>
          <w:rStyle w:val="KeinLeerraumZchn"/>
          <w:lang w:val="en-US"/>
        </w:rPr>
      </w:pPr>
      <w:bookmarkStart w:id="8" w:name="_Toc180963599"/>
      <w:r w:rsidRPr="00346ED4">
        <w:rPr>
          <w:rStyle w:val="KeinLeerraumZchn"/>
          <w:lang w:val="en-US"/>
        </w:rPr>
        <w:lastRenderedPageBreak/>
        <w:t>Abstract</w:t>
      </w:r>
      <w:bookmarkEnd w:id="8"/>
    </w:p>
    <w:p w14:paraId="027C4FE1" w14:textId="710014C2" w:rsidR="009A66C3" w:rsidRDefault="00C83C66" w:rsidP="00C83C66">
      <w:pPr>
        <w:ind w:firstLine="708"/>
        <w:rPr>
          <w:lang w:val="en-US" w:eastAsia="de-DE"/>
        </w:rPr>
      </w:pPr>
      <w:r w:rsidRPr="00C83C66">
        <w:rPr>
          <w:lang w:val="en-US" w:eastAsia="de-DE"/>
        </w:rPr>
        <w:t>Despite extensive research on board interlocks, conflicting theoretical predictions and mixed empirical results have hindered a clear understanding of their impact on firm performance. This study extends the literature by conducting a meta-analysis and meta-analytic structural equation modeling (MASEM) to examine how the relationship between board interlocks and performance is mediated by two mechanisms. Drawing on resource dependence and agency theory, we propose that board interlocks can enhance access to valuable resources, which benefits performance, or weaken managerial oversight, which increases agency costs and negatively affects performance. We further argue that the balance of these effects is moderated by board-level factors, such as power dynamics, and firm-level factors, including the institutional environment, which influence how resources from interlocks are integrated into strategic decision making. Our meta-analysis of 119 primary studies and 1,133,014 board interlocks supports these hypotheses</w:t>
      </w:r>
      <w:r w:rsidR="00581B36">
        <w:rPr>
          <w:lang w:val="en-US" w:eastAsia="de-DE"/>
        </w:rPr>
        <w:t xml:space="preserve"> and</w:t>
      </w:r>
      <w:r w:rsidR="00165286" w:rsidRPr="00165286">
        <w:rPr>
          <w:lang w:val="en-US" w:eastAsia="de-DE"/>
        </w:rPr>
        <w:t xml:space="preserve"> provide</w:t>
      </w:r>
      <w:r w:rsidR="00581B36">
        <w:rPr>
          <w:lang w:val="en-US" w:eastAsia="de-DE"/>
        </w:rPr>
        <w:t>s</w:t>
      </w:r>
      <w:r w:rsidR="00165286" w:rsidRPr="00165286">
        <w:rPr>
          <w:lang w:val="en-US" w:eastAsia="de-DE"/>
        </w:rPr>
        <w:t xml:space="preserve"> valuable insights for both future research and corporate governance practice by clarifying the conditions under which board interlocks affect firm performance.</w:t>
      </w:r>
    </w:p>
    <w:p w14:paraId="38D6BB22" w14:textId="77777777" w:rsidR="00C83C66" w:rsidRPr="009A66C3" w:rsidRDefault="00C83C66" w:rsidP="009A66C3">
      <w:pPr>
        <w:rPr>
          <w:rFonts w:cs="Times New Roman"/>
          <w:b/>
          <w:szCs w:val="24"/>
          <w:lang w:val="en-US"/>
        </w:rPr>
      </w:pPr>
    </w:p>
    <w:p w14:paraId="0A2D2CA8" w14:textId="77777777" w:rsidR="00BE7B27" w:rsidRDefault="009A66C3" w:rsidP="00BE7B27">
      <w:pPr>
        <w:jc w:val="left"/>
        <w:rPr>
          <w:shd w:val="clear" w:color="auto" w:fill="FFFFFF"/>
          <w:lang w:val="en-US"/>
        </w:rPr>
      </w:pPr>
      <w:r w:rsidRPr="009A66C3">
        <w:rPr>
          <w:b/>
          <w:lang w:val="en-US"/>
        </w:rPr>
        <w:t xml:space="preserve">Keywords: </w:t>
      </w:r>
      <w:r w:rsidR="00BE7B27" w:rsidRPr="000F22FC">
        <w:rPr>
          <w:shd w:val="clear" w:color="auto" w:fill="FFFFFF"/>
          <w:lang w:val="en-US"/>
        </w:rPr>
        <w:t xml:space="preserve">Board Interlocks, Board of Directors, CEO Power, </w:t>
      </w:r>
      <w:r w:rsidR="00BE7B27">
        <w:rPr>
          <w:shd w:val="clear" w:color="auto" w:fill="FFFFFF"/>
          <w:lang w:val="en-US"/>
        </w:rPr>
        <w:t xml:space="preserve">Firm Performance, </w:t>
      </w:r>
      <w:r w:rsidR="00BE7B27" w:rsidRPr="000F22FC">
        <w:rPr>
          <w:shd w:val="clear" w:color="auto" w:fill="FFFFFF"/>
          <w:lang w:val="en-US"/>
        </w:rPr>
        <w:t>Institutional Environment</w:t>
      </w:r>
      <w:r w:rsidR="00BE7B27">
        <w:rPr>
          <w:shd w:val="clear" w:color="auto" w:fill="FFFFFF"/>
          <w:lang w:val="en-US"/>
        </w:rPr>
        <w:t xml:space="preserve"> </w:t>
      </w:r>
    </w:p>
    <w:p w14:paraId="5C272263" w14:textId="1F0F940F" w:rsidR="00F345A7" w:rsidRPr="0081057F" w:rsidRDefault="00F345A7" w:rsidP="00F345A7">
      <w:pPr>
        <w:jc w:val="left"/>
        <w:rPr>
          <w:bCs/>
          <w:lang w:val="en-US"/>
        </w:rPr>
      </w:pPr>
      <w:r w:rsidRPr="0081057F">
        <w:rPr>
          <w:b/>
          <w:lang w:val="en-US"/>
        </w:rPr>
        <w:t xml:space="preserve">JEL-Codes: </w:t>
      </w:r>
      <w:r w:rsidR="008B519D" w:rsidRPr="0081057F">
        <w:rPr>
          <w:bCs/>
          <w:lang w:val="en-US"/>
        </w:rPr>
        <w:t>M10, L25, L14</w:t>
      </w:r>
    </w:p>
    <w:p w14:paraId="5700FE43" w14:textId="77777777" w:rsidR="00F345A7" w:rsidRPr="0081057F" w:rsidRDefault="00F345A7" w:rsidP="00BE7B27">
      <w:pPr>
        <w:jc w:val="left"/>
        <w:rPr>
          <w:lang w:val="en-US"/>
        </w:rPr>
      </w:pPr>
    </w:p>
    <w:p w14:paraId="76112481" w14:textId="0216E667" w:rsidR="009A66C3" w:rsidRPr="0081057F" w:rsidRDefault="009A66C3" w:rsidP="009A66C3">
      <w:pPr>
        <w:pStyle w:val="KeinLeerraum"/>
        <w:rPr>
          <w:rFonts w:cs="Times New Roman"/>
          <w:szCs w:val="24"/>
          <w:lang w:val="en-US"/>
        </w:rPr>
      </w:pPr>
    </w:p>
    <w:p w14:paraId="0DD8FA6C" w14:textId="76180A66" w:rsidR="009A66C3" w:rsidRPr="0081057F" w:rsidRDefault="009A66C3">
      <w:pPr>
        <w:spacing w:after="160" w:line="259" w:lineRule="auto"/>
        <w:jc w:val="left"/>
        <w:rPr>
          <w:lang w:val="en-US"/>
        </w:rPr>
      </w:pPr>
      <w:r w:rsidRPr="0081057F">
        <w:rPr>
          <w:lang w:val="en-US"/>
        </w:rPr>
        <w:br w:type="page"/>
      </w:r>
    </w:p>
    <w:p w14:paraId="4FB67524" w14:textId="6B4A21CB" w:rsidR="006822EF" w:rsidRPr="006822EF" w:rsidRDefault="00406027" w:rsidP="009572A7">
      <w:pPr>
        <w:pStyle w:val="berschrift2"/>
        <w:rPr>
          <w:lang w:val="en-US"/>
        </w:rPr>
      </w:pPr>
      <w:bookmarkStart w:id="9" w:name="_Toc180963600"/>
      <w:r>
        <w:rPr>
          <w:lang w:val="en-US"/>
        </w:rPr>
        <w:lastRenderedPageBreak/>
        <w:t>Introduction</w:t>
      </w:r>
      <w:bookmarkEnd w:id="9"/>
    </w:p>
    <w:p w14:paraId="25B8D712" w14:textId="77777777" w:rsidR="006822EF" w:rsidRPr="0035554D" w:rsidRDefault="006822EF" w:rsidP="004F19E8">
      <w:pPr>
        <w:pStyle w:val="Paragraph"/>
        <w:ind w:firstLine="708"/>
        <w:jc w:val="both"/>
      </w:pPr>
      <w:bookmarkStart w:id="10" w:name="_Hlk170312839"/>
      <w:r w:rsidRPr="000E4C81">
        <w:t xml:space="preserve">The </w:t>
      </w:r>
      <w:r>
        <w:t>influence</w:t>
      </w:r>
      <w:r w:rsidRPr="000E4C81">
        <w:t xml:space="preserve"> of boards of directors on firm performance has been a subject of extensive research across various disciplines, including management, economics, finance, and sociology, for over 40 years </w:t>
      </w:r>
      <w:r>
        <w:t>(e.g., Mizruchi, 1996; Pfeffer, 1972, 1973; Useem, 1984)</w:t>
      </w:r>
      <w:r w:rsidRPr="0035554D">
        <w:t xml:space="preserve">. </w:t>
      </w:r>
      <w:r w:rsidRPr="000E4C81">
        <w:t xml:space="preserve">A central issue in this </w:t>
      </w:r>
      <w:r>
        <w:t>literature</w:t>
      </w:r>
      <w:r w:rsidRPr="000E4C81">
        <w:t xml:space="preserve"> is how boards can enhance corporate governance by optimizing their composition, organization, and decision-making processes</w:t>
      </w:r>
      <w:r w:rsidRPr="0035554D">
        <w:t xml:space="preserve"> </w:t>
      </w:r>
      <w:r>
        <w:t xml:space="preserve">(e.g., Dalton, Daily, Ellstrand, &amp; Johnson, 1998; Johnson, Daily, &amp; Ellstrand, 1996; Solarino &amp; Boyd, 2023; Zahra &amp; Pearce, 1989). </w:t>
      </w:r>
      <w:r w:rsidRPr="000E4C81">
        <w:t>Within this context, a significant area of inquiry is the network relationships that form when directors serve on the boards of multiple firms, commonly referred to as board interlocks</w:t>
      </w:r>
      <w:r w:rsidRPr="0035554D">
        <w:t xml:space="preserve"> </w:t>
      </w:r>
      <w:r>
        <w:t>(Fich &amp; White, 2005)</w:t>
      </w:r>
      <w:r w:rsidRPr="00103A49">
        <w:t>, and how these network relationships influence firm performance</w:t>
      </w:r>
      <w:r w:rsidRPr="0035554D">
        <w:t xml:space="preserve"> </w:t>
      </w:r>
      <w:r>
        <w:t>(e.g., Filatotchev, Chahine, &amp; Bruton, 2018; Martin, Gözübüyük, &amp; Becerra, 2015; Zona, Gomez-Mejia, &amp; Withers, 2018)</w:t>
      </w:r>
      <w:r w:rsidRPr="0035554D">
        <w:t>.</w:t>
      </w:r>
    </w:p>
    <w:p w14:paraId="3F1FA415" w14:textId="73A284EB" w:rsidR="006822EF" w:rsidRDefault="006822EF" w:rsidP="008E14A8">
      <w:pPr>
        <w:pStyle w:val="Paragraph"/>
        <w:jc w:val="both"/>
      </w:pPr>
      <w:r w:rsidRPr="006E14BA">
        <w:t>However, despite a substantial body of research, prior work has yielded conflicting theoretical predictions and mixed empirical findings regarding the effect of board interlocks on firm performance</w:t>
      </w:r>
      <w:r>
        <w:t xml:space="preserve"> (Lamb &amp; Roundy, 2016; Mizruchi, 1996)</w:t>
      </w:r>
      <w:r w:rsidRPr="0024795C">
        <w:t>.</w:t>
      </w:r>
      <w:r>
        <w:t xml:space="preserve"> </w:t>
      </w:r>
      <w:r w:rsidRPr="000E4C81">
        <w:t>On one hand, resource dependence theory (RDT</w:t>
      </w:r>
      <w:r w:rsidR="004B64EE">
        <w:t xml:space="preserve">; </w:t>
      </w:r>
      <w:r>
        <w:t xml:space="preserve">Pfeffer &amp; Salancik, 1978) </w:t>
      </w:r>
      <w:r w:rsidRPr="000E4C81">
        <w:t xml:space="preserve">posits that board interlocks can positively influence firm performance </w:t>
      </w:r>
      <w:r w:rsidRPr="0024795C">
        <w:t xml:space="preserve">by reducing the firm's dependence on the external environment, securing critical resources, and signaling quality and legitimacy </w:t>
      </w:r>
      <w:r w:rsidRPr="006E14BA">
        <w:t>to other market participants</w:t>
      </w:r>
      <w:r>
        <w:t xml:space="preserve"> (Davis &amp; Cobb, 2010; Hillman, Withers, &amp; Collins, 2009; Pfeffer, 1983)</w:t>
      </w:r>
      <w:r w:rsidRPr="0024795C">
        <w:t xml:space="preserve">. In addition, they help firms monitor the competitive landscape, identify emerging trends, and respond quickly to market changes, thereby facilitating the diffusion of resources and promoting organizational learning </w:t>
      </w:r>
      <w:r>
        <w:t>(Beckman &amp; Haunschild, 2002; Davis, 1991; Useem, 1984)</w:t>
      </w:r>
      <w:r w:rsidRPr="0024795C">
        <w:t xml:space="preserve">. Moreover, board interlocks act as mechanisms of power and control, strengthening firms' strategic interests </w:t>
      </w:r>
      <w:r>
        <w:t>(Knoben &amp; Bakker, 2019; Stearns &amp; Mizruchi, 1993)</w:t>
      </w:r>
      <w:r w:rsidRPr="0024795C">
        <w:t xml:space="preserve">, thus improving firm performance </w:t>
      </w:r>
      <w:r>
        <w:t>(Zona et al., 2018)</w:t>
      </w:r>
      <w:r w:rsidRPr="0024795C">
        <w:t>.</w:t>
      </w:r>
      <w:r>
        <w:t xml:space="preserve"> </w:t>
      </w:r>
    </w:p>
    <w:p w14:paraId="3BE68B9A" w14:textId="77777777" w:rsidR="006822EF" w:rsidRDefault="006822EF" w:rsidP="008E14A8">
      <w:pPr>
        <w:pStyle w:val="Paragraph"/>
        <w:jc w:val="both"/>
      </w:pPr>
      <w:r>
        <w:t>Conversely</w:t>
      </w:r>
      <w:r w:rsidRPr="0024795C">
        <w:t xml:space="preserve">, studies </w:t>
      </w:r>
      <w:r>
        <w:t xml:space="preserve">grounded in </w:t>
      </w:r>
      <w:r w:rsidRPr="0024795C">
        <w:t xml:space="preserve">agency theory </w:t>
      </w:r>
      <w:r>
        <w:t xml:space="preserve">(Fama, 1980; Jensen &amp; Meckling, 1976) </w:t>
      </w:r>
      <w:r w:rsidRPr="00E92B73">
        <w:t xml:space="preserve">point </w:t>
      </w:r>
      <w:r>
        <w:t>out the negative effects of board interlocks</w:t>
      </w:r>
      <w:r w:rsidRPr="00E92B73">
        <w:t xml:space="preserve">, suggesting that the increased workload of holding multiple board positions may lead to busy boards that are less effective in monitoring </w:t>
      </w:r>
      <w:r w:rsidRPr="00E92B73">
        <w:lastRenderedPageBreak/>
        <w:t xml:space="preserve">management. This results in increased agency costs </w:t>
      </w:r>
      <w:r>
        <w:t>(Shivdasani &amp; Yermack, 1999)</w:t>
      </w:r>
      <w:r w:rsidRPr="00E92B73">
        <w:t xml:space="preserve"> and weakened corporate governance </w:t>
      </w:r>
      <w:r>
        <w:t>(Jiraporn, Singh, &amp; Lee, 2009)</w:t>
      </w:r>
      <w:r w:rsidRPr="00022925">
        <w:t>, which ultimately negatively affects firm performance</w:t>
      </w:r>
      <w:r>
        <w:t xml:space="preserve"> (Fich &amp; Shivdasani, 2006; Jiraporn, Kim, &amp; Davidson, 2008)</w:t>
      </w:r>
      <w:r w:rsidRPr="00E92B73">
        <w:t>.</w:t>
      </w:r>
    </w:p>
    <w:p w14:paraId="168661D9" w14:textId="77777777" w:rsidR="006822EF" w:rsidRDefault="006822EF" w:rsidP="008E14A8">
      <w:pPr>
        <w:pStyle w:val="Paragraph"/>
        <w:jc w:val="both"/>
      </w:pPr>
      <w:r w:rsidRPr="00DB4187">
        <w:t xml:space="preserve">Empirical findings on the performance implications of board interlocks reflect this theoretical ambiguity, with some studies reporting positive effects </w:t>
      </w:r>
      <w:r>
        <w:t>(e.g., Filatotchev et al., 2018; Martin et al., 2015; Zona et al., 2018)</w:t>
      </w:r>
      <w:r w:rsidRPr="0024795C">
        <w:t xml:space="preserve">, </w:t>
      </w:r>
      <w:r>
        <w:t>while</w:t>
      </w:r>
      <w:r w:rsidRPr="0024795C">
        <w:t xml:space="preserve"> others find no </w:t>
      </w:r>
      <w:r>
        <w:t>(e.g., Kiel &amp; Nicholson, 2006)</w:t>
      </w:r>
      <w:r w:rsidRPr="0024795C">
        <w:t xml:space="preserve"> or even negative effects </w:t>
      </w:r>
      <w:r>
        <w:t>(e.g., Devos, Prevost, &amp; Puthenpurackal, 2009; Haniffa &amp; Hudaib, 2006)</w:t>
      </w:r>
      <w:r w:rsidRPr="0024795C">
        <w:t>.</w:t>
      </w:r>
      <w:r>
        <w:t xml:space="preserve"> </w:t>
      </w:r>
    </w:p>
    <w:p w14:paraId="3C647F93" w14:textId="77777777" w:rsidR="006822EF" w:rsidRDefault="006822EF" w:rsidP="008E14A8">
      <w:pPr>
        <w:pStyle w:val="Paragraph"/>
        <w:jc w:val="both"/>
      </w:pPr>
      <w:r w:rsidRPr="00FE569A">
        <w:t>A</w:t>
      </w:r>
      <w:r>
        <w:t>nother</w:t>
      </w:r>
      <w:r w:rsidRPr="00FE569A">
        <w:t xml:space="preserve"> critical gap in the literature is the limited understanding of the mechanisms through which board interlocks affect firm performance</w:t>
      </w:r>
      <w:r>
        <w:t xml:space="preserve"> (Lamb &amp; Roundy, 2016) as well as the question of when firms rely on network information in their decision-making processes (Shipilov, Greve, &amp; Rowley, 2010). To extend this stream of research o</w:t>
      </w:r>
      <w:r w:rsidRPr="00584BAA">
        <w:t>ur study aims to explore two key research questions</w:t>
      </w:r>
      <w:r w:rsidRPr="00FE569A">
        <w:t xml:space="preserve">: </w:t>
      </w:r>
      <w:r w:rsidRPr="003D0D6E">
        <w:rPr>
          <w:i/>
          <w:iCs/>
        </w:rPr>
        <w:t xml:space="preserve">Are board interlocks beneficial for firm performance? Through </w:t>
      </w:r>
      <w:r>
        <w:rPr>
          <w:i/>
          <w:iCs/>
        </w:rPr>
        <w:t>which</w:t>
      </w:r>
      <w:r w:rsidRPr="003D0D6E">
        <w:rPr>
          <w:i/>
          <w:iCs/>
        </w:rPr>
        <w:t xml:space="preserve"> mechanisms do board interlocks affect firm performance?</w:t>
      </w:r>
    </w:p>
    <w:p w14:paraId="767EF7A7" w14:textId="0D0F0558" w:rsidR="006822EF" w:rsidRDefault="006822EF" w:rsidP="008E14A8">
      <w:pPr>
        <w:pStyle w:val="Paragraph"/>
        <w:jc w:val="both"/>
      </w:pPr>
      <w:r w:rsidRPr="004A5C8A">
        <w:t xml:space="preserve">Drawing on RDT </w:t>
      </w:r>
      <w:r>
        <w:t xml:space="preserve">(Pfeffer &amp; Salancik, 1978) </w:t>
      </w:r>
      <w:r w:rsidRPr="00E92B73">
        <w:t>and agency theory</w:t>
      </w:r>
      <w:r>
        <w:t xml:space="preserve"> (Jensen &amp; Meckling, 1976)</w:t>
      </w:r>
      <w:r w:rsidRPr="00584BAA">
        <w:t>, we propose two distinct mechanisms.</w:t>
      </w:r>
      <w:r>
        <w:t xml:space="preserve"> </w:t>
      </w:r>
      <w:r w:rsidRPr="008615BD">
        <w:t xml:space="preserve">We theorize that board interlocks can enhance firm performance by improving access to resources, </w:t>
      </w:r>
      <w:r w:rsidRPr="00584BAA">
        <w:t>while also recognizing that they can increase agency costs due to reduced monitoring effectiveness</w:t>
      </w:r>
      <w:r w:rsidRPr="008615BD">
        <w:t xml:space="preserve">. We further theorize that the influence of board interlocks depends on internal </w:t>
      </w:r>
      <w:r w:rsidR="004B64EE">
        <w:t>and</w:t>
      </w:r>
      <w:r w:rsidRPr="008615BD">
        <w:t xml:space="preserve"> external contingencies, such as board power dynamics, in particular the power of the CEO and institutional factors.</w:t>
      </w:r>
    </w:p>
    <w:p w14:paraId="7FEFA5EB" w14:textId="77777777" w:rsidR="006822EF" w:rsidRPr="00FC7962" w:rsidRDefault="006822EF" w:rsidP="008E14A8">
      <w:pPr>
        <w:pStyle w:val="Paragraph"/>
        <w:jc w:val="both"/>
      </w:pPr>
      <w:r>
        <w:t>To</w:t>
      </w:r>
      <w:r w:rsidRPr="00946032">
        <w:t xml:space="preserve"> empirically </w:t>
      </w:r>
      <w:r>
        <w:t>examine</w:t>
      </w:r>
      <w:r w:rsidRPr="00946032">
        <w:t xml:space="preserve"> our predictions</w:t>
      </w:r>
      <w:r>
        <w:t xml:space="preserve">, we conduct a </w:t>
      </w:r>
      <w:r w:rsidRPr="00A90A88">
        <w:t xml:space="preserve">meta-analysis based on 119 primary studies with 191 effect sizes, </w:t>
      </w:r>
      <w:bookmarkStart w:id="11" w:name="_Hlk175686070"/>
      <w:r w:rsidRPr="00A90A88">
        <w:t>representing a total of 1,133,014 board interlocks</w:t>
      </w:r>
      <w:bookmarkEnd w:id="11"/>
      <w:r w:rsidRPr="00A90A88">
        <w:t xml:space="preserve">. </w:t>
      </w:r>
      <w:r>
        <w:t>T</w:t>
      </w:r>
      <w:r w:rsidRPr="00A90A88">
        <w:t>o empirically test our theorized mediation model</w:t>
      </w:r>
      <w:r>
        <w:t>, w</w:t>
      </w:r>
      <w:r w:rsidRPr="00A90A88">
        <w:t>e employ meta-analytic structural equation modeling</w:t>
      </w:r>
      <w:r>
        <w:t xml:space="preserve"> (Combs, Crook, &amp; Rauch, 2019; Viswesvaran &amp; Ones, 1995)</w:t>
      </w:r>
      <w:r w:rsidRPr="00FC7962">
        <w:t>.</w:t>
      </w:r>
    </w:p>
    <w:p w14:paraId="27BD2A13" w14:textId="77777777" w:rsidR="006822EF" w:rsidRDefault="006822EF" w:rsidP="008E14A8">
      <w:pPr>
        <w:pStyle w:val="Paragraph"/>
        <w:jc w:val="both"/>
      </w:pPr>
      <w:r w:rsidRPr="002B5166">
        <w:t xml:space="preserve">Drawing on more than 40 years of empirical research, our study makes several contributions to the literature on board interlocks. First, </w:t>
      </w:r>
      <w:r>
        <w:t>it</w:t>
      </w:r>
      <w:r w:rsidRPr="002B5166">
        <w:t xml:space="preserve"> helps to advance the controversial discussion on the impact of board interlocks on firm performance by providing novel insights </w:t>
      </w:r>
      <w:r w:rsidRPr="002B5166">
        <w:lastRenderedPageBreak/>
        <w:t xml:space="preserve">into two different mechanisms that help to explain how board interlocks can be beneficial or detrimental to firm performance. Building on RDT and agency theory, our results show that board interlocks can enhance the ability of directors to provide resources to management, thereby increasing firm performance. However, they can also increase agency costs due to reduced monitoring effectiveness, </w:t>
      </w:r>
      <w:r>
        <w:t>thereby negatively affecting firm performance</w:t>
      </w:r>
      <w:r w:rsidRPr="002B5166">
        <w:t>. Moreover, our results show that the positive effects of resource provision dominate and that the overall influence of board interlocks is beneficial for firm performance.</w:t>
      </w:r>
    </w:p>
    <w:p w14:paraId="1F03DE91" w14:textId="77777777" w:rsidR="006822EF" w:rsidRDefault="006822EF" w:rsidP="008E14A8">
      <w:pPr>
        <w:pStyle w:val="Paragraph"/>
        <w:jc w:val="both"/>
      </w:pPr>
      <w:r w:rsidRPr="00846C2C">
        <w:t xml:space="preserve">Second, we examine the conditions under which the effects of board interlocks on resource provision and agency costs are particularly pronounced by analyzing key internal and external contingencies. </w:t>
      </w:r>
      <w:r w:rsidRPr="00B73A82">
        <w:t xml:space="preserve">Our results show that CEO power negatively affects the board's ability to provide resources to management. At the same time, it amplifies the negative effects of reduced monitoring, resulting in increased agency costs that cumulatively lead to lower firm performance. </w:t>
      </w:r>
      <w:r w:rsidRPr="00846C2C">
        <w:t>We also examine the role of the formal and informal institutional environment and find that a strong institutional environment that enforces rules and promotes social cohesion positively affects the ability of directors to provide resources to management, ultimately improving firm performance.</w:t>
      </w:r>
    </w:p>
    <w:p w14:paraId="727E14F9" w14:textId="77777777" w:rsidR="006822EF" w:rsidRPr="00E92B73" w:rsidRDefault="006822EF" w:rsidP="008E14A8">
      <w:pPr>
        <w:pStyle w:val="Paragraph"/>
        <w:jc w:val="both"/>
      </w:pPr>
      <w:r w:rsidRPr="00E92B73">
        <w:t>Overall, our research advances the understanding of the complex dynamics of board interlocks and their impact on firm performance, and empirically demonstrates the benefits of an integrated theoretical approach that combines arguments from RDT and agency theory.</w:t>
      </w:r>
    </w:p>
    <w:p w14:paraId="69F78C6A" w14:textId="3A1645F7" w:rsidR="006822EF" w:rsidRPr="006822EF" w:rsidRDefault="00406027" w:rsidP="009572A7">
      <w:pPr>
        <w:pStyle w:val="berschrift2"/>
        <w:rPr>
          <w:lang w:val="en-US"/>
        </w:rPr>
      </w:pPr>
      <w:bookmarkStart w:id="12" w:name="_Toc180963601"/>
      <w:r>
        <w:rPr>
          <w:lang w:val="en-US"/>
        </w:rPr>
        <w:t>Theoretical Background on Board Interlocks and Firm Performance</w:t>
      </w:r>
      <w:bookmarkEnd w:id="12"/>
      <w:r>
        <w:rPr>
          <w:lang w:val="en-US"/>
        </w:rPr>
        <w:t xml:space="preserve"> </w:t>
      </w:r>
      <w:bookmarkStart w:id="13" w:name="_Toc164266980"/>
    </w:p>
    <w:p w14:paraId="58D2B75E" w14:textId="77777777" w:rsidR="006822EF" w:rsidRPr="006822EF" w:rsidRDefault="006822EF" w:rsidP="009572A7">
      <w:pPr>
        <w:pStyle w:val="berschrift3"/>
      </w:pPr>
      <w:r w:rsidRPr="006822EF">
        <w:t xml:space="preserve">Resource Dependence </w:t>
      </w:r>
      <w:bookmarkEnd w:id="13"/>
      <w:r w:rsidRPr="006822EF">
        <w:t>Perspective on Board Interlocks</w:t>
      </w:r>
    </w:p>
    <w:p w14:paraId="2E18260D" w14:textId="77777777" w:rsidR="00AE0A47" w:rsidRDefault="006822EF" w:rsidP="00AE0A47">
      <w:pPr>
        <w:pStyle w:val="Paragraph"/>
        <w:ind w:firstLine="708"/>
        <w:jc w:val="both"/>
      </w:pPr>
      <w:r w:rsidRPr="00E92B73">
        <w:t xml:space="preserve">RDT posits that firms operate as open, interdependent systems in environments with limited access to critical resources </w:t>
      </w:r>
      <w:r>
        <w:t>(Granovetter, 1985; Pfeffer &amp; Salancik, 1978)</w:t>
      </w:r>
      <w:r w:rsidRPr="00E92B73">
        <w:t xml:space="preserve">. Consequently, firms rely on other market participants who have privileged access to these resources, creating interdependent relationships. This dependence allows resource-rich firms to </w:t>
      </w:r>
      <w:r w:rsidRPr="00E92B73">
        <w:lastRenderedPageBreak/>
        <w:t xml:space="preserve">exert influence over resource-dependent firms as they seek to mitigate uncertainties caused by external dependence, thereby formally linking the concepts of power and resources </w:t>
      </w:r>
      <w:r>
        <w:t>(Pfeffer &amp; Salancik, 1978)</w:t>
      </w:r>
      <w:r w:rsidRPr="00E92B73">
        <w:t xml:space="preserve">. </w:t>
      </w:r>
    </w:p>
    <w:p w14:paraId="2C147149" w14:textId="394FE56A" w:rsidR="006822EF" w:rsidRPr="00E92B73" w:rsidRDefault="006822EF" w:rsidP="009F06E2">
      <w:pPr>
        <w:pStyle w:val="Paragraph"/>
        <w:ind w:firstLine="708"/>
        <w:jc w:val="both"/>
      </w:pPr>
      <w:r w:rsidRPr="00E92B73">
        <w:t xml:space="preserve">The board of directors plays a central role in this process by acting as a link between the firm and its environment, providing access to essential resources to the focal firm </w:t>
      </w:r>
      <w:r>
        <w:t>(Pfeffer, 1972, 1973)</w:t>
      </w:r>
      <w:r w:rsidRPr="00E92B73">
        <w:t xml:space="preserve"> and thereby positively influencing firm performance </w:t>
      </w:r>
      <w:r>
        <w:t>(Zahra &amp; Pearce, 1989)</w:t>
      </w:r>
      <w:r w:rsidRPr="00E92B73">
        <w:t>.</w:t>
      </w:r>
      <w:r w:rsidR="009F06E2">
        <w:t xml:space="preserve"> </w:t>
      </w:r>
      <w:r w:rsidRPr="00E92B73">
        <w:t xml:space="preserve">Board interlocks are one key mechanism through which directors can access and transmit these external resources </w:t>
      </w:r>
      <w:r>
        <w:t>(Mizruchi, 1996), affecting firm performance through three distinct mechanisms (Pfeffer &amp; Salancik, 1978):</w:t>
      </w:r>
      <w:r w:rsidRPr="00E92B73">
        <w:t xml:space="preserve"> First, </w:t>
      </w:r>
      <w:r w:rsidR="009F06E2">
        <w:t>board interlocks</w:t>
      </w:r>
      <w:r w:rsidRPr="00E92B73">
        <w:t xml:space="preserve"> allow directors to gain insight into the strategic decisions and outcomes of other firms, enabling them to learn from these experiences and integrate successful strategies at the focal firm </w:t>
      </w:r>
      <w:r>
        <w:t>(Beckman &amp; Haunschild, 2002; Tuschke, Sanders, &amp; Hernandez, 2014)</w:t>
      </w:r>
      <w:r w:rsidRPr="00E92B73">
        <w:t xml:space="preserve">. Second, board interlocks provide a channel for nonpublic information about market developments, helping firms stay informed about their business environment and identify new business opportunities </w:t>
      </w:r>
      <w:r>
        <w:t>(Haunschild &amp; Beckman, 1998; Palmer, Jennings, &amp; Zhou, 1993; Shipilov et al., 2010; Useem, 1982)</w:t>
      </w:r>
      <w:r w:rsidRPr="00E92B73">
        <w:t xml:space="preserve">. Third, the presence of respected individuals on the board, facilitated by board interlocks, increases the firm's legitimacy. This can attract other reputable individuals and signal quality to stakeholders, positively affecting the firm's reputation </w:t>
      </w:r>
      <w:r>
        <w:t>(Certo, 2003; Zajac &amp; Westphal, 1996a)</w:t>
      </w:r>
      <w:r w:rsidRPr="00E92B73">
        <w:t xml:space="preserve">. Together, these effects positively influence performance </w:t>
      </w:r>
      <w:r>
        <w:t>(Kiel &amp; Nicholson, 2006; Martin et al., 2015; Zona et al., 2018)</w:t>
      </w:r>
      <w:r w:rsidRPr="00E92B73">
        <w:t>, leading to the following hypothesis:</w:t>
      </w:r>
    </w:p>
    <w:p w14:paraId="274AC920" w14:textId="77777777" w:rsidR="006822EF" w:rsidRPr="0028705A" w:rsidRDefault="006822EF" w:rsidP="0028705A">
      <w:pPr>
        <w:pStyle w:val="Paragraph"/>
        <w:jc w:val="both"/>
        <w:rPr>
          <w:i/>
          <w:iCs/>
        </w:rPr>
      </w:pPr>
      <w:r w:rsidRPr="0028705A">
        <w:rPr>
          <w:rStyle w:val="normaltextrun"/>
          <w:i/>
          <w:iCs/>
        </w:rPr>
        <w:t>Hypothesis 1a (H1a): Board interlocks are positively associated with firm performance.</w:t>
      </w:r>
    </w:p>
    <w:p w14:paraId="7B128EAA" w14:textId="77777777" w:rsidR="006822EF" w:rsidRPr="006822EF" w:rsidRDefault="006822EF" w:rsidP="009572A7">
      <w:pPr>
        <w:pStyle w:val="berschrift3"/>
      </w:pPr>
      <w:r w:rsidRPr="006822EF">
        <w:t>Agency Theory Perspective on Board Interlocks</w:t>
      </w:r>
    </w:p>
    <w:p w14:paraId="11F7F8E3" w14:textId="77777777" w:rsidR="006822EF" w:rsidRPr="00E92B73" w:rsidRDefault="006822EF" w:rsidP="004F19E8">
      <w:pPr>
        <w:pStyle w:val="Paragraph"/>
        <w:ind w:firstLine="708"/>
        <w:jc w:val="both"/>
      </w:pPr>
      <w:r w:rsidRPr="00E92B73">
        <w:t xml:space="preserve">According to agency theory </w:t>
      </w:r>
      <w:r>
        <w:t>(Fama, 1980; Jensen &amp; Meckling, 1976)</w:t>
      </w:r>
      <w:r w:rsidRPr="00E92B73">
        <w:t xml:space="preserve">, boards of directors are essential for monitoring and supervising management to protect shareholders' interests </w:t>
      </w:r>
      <w:r>
        <w:t>(Berle &amp; Means, 1932; Fama &amp; Jensen, 1983)</w:t>
      </w:r>
      <w:r w:rsidRPr="00E92B73">
        <w:t xml:space="preserve">. Directors ensure that management acts in the best interests of the owners by fulfilling their fiduciary duties and legally mandated </w:t>
      </w:r>
      <w:r w:rsidRPr="00E92B73">
        <w:lastRenderedPageBreak/>
        <w:t xml:space="preserve">oversight responsibilities </w:t>
      </w:r>
      <w:r>
        <w:t>(Johnson et al., 1996; Zahra &amp; Pearce, 1989)</w:t>
      </w:r>
      <w:r w:rsidRPr="00E92B73">
        <w:t xml:space="preserve">. </w:t>
      </w:r>
      <w:r w:rsidRPr="00DD653C">
        <w:t xml:space="preserve">From this perspective, board interlocks are viewed as opportunistic behavior in which directors seek reputational benefits by holding multiple board positions, </w:t>
      </w:r>
      <w:r w:rsidRPr="00936425">
        <w:t>possibly at the expense of shareholder value</w:t>
      </w:r>
      <w:r>
        <w:t xml:space="preserve"> (Lamb &amp; Roundy, 2016; Zajac, 1988).</w:t>
      </w:r>
    </w:p>
    <w:p w14:paraId="7113C9F2" w14:textId="77777777" w:rsidR="006822EF" w:rsidRPr="00E92B73" w:rsidRDefault="006822EF" w:rsidP="008E14A8">
      <w:pPr>
        <w:pStyle w:val="Paragraph"/>
        <w:jc w:val="both"/>
      </w:pPr>
      <w:r w:rsidRPr="00540D1A">
        <w:t xml:space="preserve">The busyness hypothesis </w:t>
      </w:r>
      <w:r>
        <w:t>(Ferris, Jagannathan, &amp; Pritchard, 2003)</w:t>
      </w:r>
      <w:r w:rsidRPr="00E92B73">
        <w:t xml:space="preserve"> </w:t>
      </w:r>
      <w:r w:rsidRPr="003B0D9D">
        <w:t>suggests that directors' limited cognitive capacity and increased workload due to multiple board mandates lead to inadequate fulfillment of their fiduciary duties. It links board interlocks to increased agency costs</w:t>
      </w:r>
      <w:r>
        <w:t xml:space="preserve"> (Beasley, 1996; Shivdasani &amp; Yermack, 1999)</w:t>
      </w:r>
      <w:r w:rsidRPr="00E92B73">
        <w:t xml:space="preserve">, weakened corporate governance </w:t>
      </w:r>
      <w:r>
        <w:t>(Core, Holthausen, &amp; Larcker, 1999; Jiraporn et al., 2009; Kiel &amp; Nicholson, 2006; Min &amp; Chizema, 2018)</w:t>
      </w:r>
      <w:r w:rsidRPr="00E92B73">
        <w:t xml:space="preserve">, and lower firm performance </w:t>
      </w:r>
      <w:r>
        <w:t>(Fich &amp; Shivdasani, 2006; Jiraporn et al., 2009; Jiraporn, Davidson, Ning, &amp; DaDalt, 2008)</w:t>
      </w:r>
      <w:r w:rsidRPr="00E92B73">
        <w:t xml:space="preserve">. </w:t>
      </w:r>
      <w:r w:rsidRPr="00540D1A">
        <w:t>These arguments support the following hypothesis:</w:t>
      </w:r>
    </w:p>
    <w:p w14:paraId="1F372C92" w14:textId="77777777" w:rsidR="006822EF" w:rsidRPr="0028705A" w:rsidRDefault="006822EF" w:rsidP="0028705A">
      <w:pPr>
        <w:pStyle w:val="Paragraph"/>
        <w:jc w:val="both"/>
        <w:rPr>
          <w:rStyle w:val="normaltextrun"/>
          <w:i/>
          <w:iCs/>
        </w:rPr>
      </w:pPr>
      <w:r w:rsidRPr="0028705A">
        <w:rPr>
          <w:rStyle w:val="normaltextrun"/>
          <w:i/>
          <w:iCs/>
        </w:rPr>
        <w:t>Hypothesis 1b (H1b): Board interlocks are negatively associated with firm performance.</w:t>
      </w:r>
    </w:p>
    <w:p w14:paraId="22B5A6FF" w14:textId="77777777" w:rsidR="006822EF" w:rsidRPr="006822EF" w:rsidRDefault="006822EF" w:rsidP="009572A7">
      <w:pPr>
        <w:pStyle w:val="berschrift3"/>
      </w:pPr>
      <w:r w:rsidRPr="006822EF">
        <w:t>The Mediating Effects of Resource Provision and Agency Costs</w:t>
      </w:r>
    </w:p>
    <w:p w14:paraId="2DD442D4" w14:textId="75D14A3A" w:rsidR="006822EF" w:rsidRDefault="006822EF" w:rsidP="008411D3">
      <w:pPr>
        <w:pStyle w:val="Paragraph"/>
        <w:ind w:firstLine="708"/>
        <w:jc w:val="both"/>
        <w:rPr>
          <w:rStyle w:val="berschrift3Zchn"/>
        </w:rPr>
      </w:pPr>
      <w:r w:rsidRPr="00274F66">
        <w:t xml:space="preserve">Based on the two theoretical streams presented, we </w:t>
      </w:r>
      <w:r>
        <w:t>propose that</w:t>
      </w:r>
      <w:r w:rsidRPr="00274F66">
        <w:t xml:space="preserve"> board interlocks affect firm performance through two </w:t>
      </w:r>
      <w:r>
        <w:t>distinct</w:t>
      </w:r>
      <w:r w:rsidRPr="00274F66">
        <w:t xml:space="preserve"> </w:t>
      </w:r>
      <w:r w:rsidR="0058101E">
        <w:t>mediating mechanisms</w:t>
      </w:r>
      <w:r w:rsidRPr="00274F66">
        <w:t xml:space="preserve">: </w:t>
      </w:r>
      <w:r w:rsidR="0058101E">
        <w:t xml:space="preserve">Improved provision of resources and increased agency costs. </w:t>
      </w:r>
    </w:p>
    <w:p w14:paraId="43148FB7" w14:textId="0E85349C" w:rsidR="006822EF" w:rsidRPr="00E92B73" w:rsidRDefault="006822EF" w:rsidP="008E14A8">
      <w:pPr>
        <w:pStyle w:val="Paragraph"/>
        <w:jc w:val="both"/>
      </w:pPr>
      <w:r w:rsidRPr="00E92B73">
        <w:rPr>
          <w:rStyle w:val="berschrift3Zchn"/>
        </w:rPr>
        <w:t>Resource provision.</w:t>
      </w:r>
      <w:r w:rsidRPr="00E92B73">
        <w:t xml:space="preserve"> </w:t>
      </w:r>
      <w:r w:rsidRPr="0050749B">
        <w:t>A central tenet of RDT is that board interlocks enhance firm performance by facilitating the exchange of resources between firms</w:t>
      </w:r>
      <w:r w:rsidRPr="00E92B73">
        <w:t xml:space="preserve"> </w:t>
      </w:r>
      <w:r>
        <w:t>(Haunschild &amp; Beckman, 1998; Mizruchi, 1996)</w:t>
      </w:r>
      <w:r w:rsidRPr="00E92B73">
        <w:t xml:space="preserve">. However, the specific nature of these resources and their impact on firm performance often remains unclear </w:t>
      </w:r>
      <w:r>
        <w:t>(Stinchcombe, Mizruchi, &amp; Schwartz, 1990)</w:t>
      </w:r>
      <w:r w:rsidRPr="00E92B73">
        <w:t xml:space="preserve">. </w:t>
      </w:r>
      <w:r w:rsidRPr="009D4442">
        <w:t xml:space="preserve">To address this gap in the literature, and because research suggests that boards promote firm performance specifically by providing critical resources </w:t>
      </w:r>
      <w:r w:rsidR="008B1EA2">
        <w:t>enabling</w:t>
      </w:r>
      <w:r w:rsidRPr="009D4442">
        <w:t xml:space="preserve"> value-enhancing growth strategies </w:t>
      </w:r>
      <w:r>
        <w:t>(e.g., van Essen, van Oosterhout, &amp; Carney, 2012)</w:t>
      </w:r>
      <w:r w:rsidRPr="00E92B73">
        <w:t xml:space="preserve">, </w:t>
      </w:r>
      <w:r w:rsidRPr="009D4442">
        <w:t xml:space="preserve">we examine the mediating effects of </w:t>
      </w:r>
      <w:r>
        <w:t>various</w:t>
      </w:r>
      <w:r w:rsidRPr="009D4442">
        <w:t xml:space="preserve"> </w:t>
      </w:r>
      <w:r>
        <w:t>internal</w:t>
      </w:r>
      <w:r w:rsidRPr="009D4442">
        <w:t>,</w:t>
      </w:r>
      <w:r>
        <w:t xml:space="preserve"> external</w:t>
      </w:r>
      <w:r w:rsidRPr="009D4442">
        <w:t xml:space="preserve">, and </w:t>
      </w:r>
      <w:r>
        <w:t>c</w:t>
      </w:r>
      <w:r w:rsidRPr="009D4442">
        <w:t xml:space="preserve">ollaborative growth strategies on the </w:t>
      </w:r>
      <w:r>
        <w:t xml:space="preserve">board interlocks-performance </w:t>
      </w:r>
      <w:r w:rsidRPr="009D4442">
        <w:t>relationshi</w:t>
      </w:r>
      <w:r>
        <w:t>p</w:t>
      </w:r>
      <w:r w:rsidRPr="009D4442">
        <w:t>.</w:t>
      </w:r>
    </w:p>
    <w:p w14:paraId="06DA2B03" w14:textId="77777777" w:rsidR="006822EF" w:rsidRPr="00E92B73" w:rsidRDefault="006822EF" w:rsidP="008E14A8">
      <w:pPr>
        <w:pStyle w:val="Paragraph"/>
        <w:jc w:val="both"/>
      </w:pPr>
      <w:r w:rsidRPr="00E92B73">
        <w:lastRenderedPageBreak/>
        <w:t xml:space="preserve">Internal growth strategies involve creating new resources by investing in research and development </w:t>
      </w:r>
      <w:r>
        <w:t>(Penrose, 1959)</w:t>
      </w:r>
      <w:r w:rsidRPr="00E92B73">
        <w:t xml:space="preserve">. External growth strategies involve acquiring external resources, such as through mergers and acquisitions </w:t>
      </w:r>
      <w:r>
        <w:t>(Barney, 1986; Lockett, Wiklund, Davidsson, &amp; Girma, 2011; Rumelt, 2005)</w:t>
      </w:r>
      <w:r w:rsidRPr="00E92B73">
        <w:t xml:space="preserve">. Collaborative growth strategies involve cooperative efforts such as franchising, licensing, alliances, and joint ventures </w:t>
      </w:r>
      <w:r>
        <w:t>(McKelvie &amp; Wiklund, 2010)</w:t>
      </w:r>
      <w:r w:rsidRPr="00E92B73">
        <w:t>.</w:t>
      </w:r>
    </w:p>
    <w:p w14:paraId="7AB0C929" w14:textId="77777777" w:rsidR="006822EF" w:rsidRPr="00E92B73" w:rsidRDefault="006822EF" w:rsidP="008E14A8">
      <w:pPr>
        <w:pStyle w:val="Paragraph"/>
        <w:jc w:val="both"/>
      </w:pPr>
      <w:r w:rsidRPr="00E92B73">
        <w:t xml:space="preserve">Directors can influence the selection as well as the success of these strategies by sharing their experiences with other firms </w:t>
      </w:r>
      <w:r>
        <w:t>(e.g., Baysinger &amp; Hoskisson, 1990; Carpenter &amp; Westphal, 2001; Singh &amp; Delios, 2017)</w:t>
      </w:r>
      <w:r w:rsidRPr="00E92B73">
        <w:t xml:space="preserve"> and using their knowledge to help implement these strategies</w:t>
      </w:r>
      <w:r>
        <w:t xml:space="preserve"> at the focal firm</w:t>
      </w:r>
      <w:r w:rsidRPr="00E92B73">
        <w:t xml:space="preserve"> </w:t>
      </w:r>
      <w:r>
        <w:t>(Westphal &amp; Zajac, 1997)</w:t>
      </w:r>
      <w:r w:rsidRPr="00E92B73">
        <w:t xml:space="preserve">. This includes, but is not limited to, identifying growth opportunities, M&amp;A targets, or potential alliance partners </w:t>
      </w:r>
      <w:r>
        <w:t>(Hendry &amp; Kiel, 2004; Useem, 1984)</w:t>
      </w:r>
      <w:r w:rsidRPr="00E92B73">
        <w:t xml:space="preserve">. Empirical evidence shows that board interlocks are crucial to this ability by providing directors with key information, allowing them to positively contribute to R&amp;D investments </w:t>
      </w:r>
      <w:r>
        <w:t>(e.g., Chuluun, Prevost, &amp; Upadhyay, 2017; Helmers, Patnam, &amp; Rau, 2017)</w:t>
      </w:r>
      <w:r w:rsidRPr="00E92B73">
        <w:t xml:space="preserve">, M&amp;A transactions </w:t>
      </w:r>
      <w:r>
        <w:t>(e.g., Cai &amp; Sevilir, 2012; Haunschild, 1993; Stuart &amp; Yim, 2010)</w:t>
      </w:r>
      <w:r w:rsidRPr="00E92B73">
        <w:t xml:space="preserve">, and strategic alliances </w:t>
      </w:r>
      <w:r>
        <w:t>(e.g., Beckman, Haunschild, &amp; Phillips, 2004; Ni Sullivan &amp; Tang, 2013)</w:t>
      </w:r>
      <w:r w:rsidRPr="00E92B73">
        <w:t xml:space="preserve">. </w:t>
      </w:r>
    </w:p>
    <w:p w14:paraId="6B221723" w14:textId="77777777" w:rsidR="006822EF" w:rsidRPr="00E92B73" w:rsidRDefault="006822EF" w:rsidP="008E14A8">
      <w:pPr>
        <w:pStyle w:val="Paragraph"/>
        <w:jc w:val="both"/>
      </w:pPr>
      <w:r w:rsidRPr="00F42CC7">
        <w:t>Growth strategies, in turn, positively affect firm performance</w:t>
      </w:r>
      <w:r>
        <w:t xml:space="preserve"> (Fowler &amp; Schmidt, 1988; Hill &amp; Snell, 1989; Stuart, 2000)</w:t>
      </w:r>
      <w:r w:rsidRPr="00E92B73">
        <w:t xml:space="preserve">. For instance, internal growth strategies promote continuous innovation and sustainable competitive advantages </w:t>
      </w:r>
      <w:r>
        <w:t>(e.g., Bettis &amp; Hitt, 1995; Teece, 1982)</w:t>
      </w:r>
      <w:r w:rsidRPr="00E92B73">
        <w:t xml:space="preserve">. External growth strategies, such as M&amp;A, provide access to external resources, expand the firm's knowledge base </w:t>
      </w:r>
      <w:r>
        <w:t>(e.g., Drees &amp; Heugens, 2013),</w:t>
      </w:r>
      <w:r w:rsidRPr="00E92B73">
        <w:t xml:space="preserve"> and are generally positively associated with firm performance when the combined returns of the acquiring and target firms are considered </w:t>
      </w:r>
      <w:r>
        <w:t>(Bradley, Desai, &amp; Kim, 1988; Houston, James, &amp; Ryngaert, 2001; Leeth &amp; Borg, 2000)</w:t>
      </w:r>
      <w:r w:rsidRPr="00E92B73">
        <w:t xml:space="preserve">. </w:t>
      </w:r>
      <w:r w:rsidRPr="006A2A1C">
        <w:t>Collaborative growth strategies, such as alliances, help firms acquire resources by pooling competencies or co-developing new resources, which also positively affect firm performance</w:t>
      </w:r>
      <w:r>
        <w:t xml:space="preserve"> (e.g., McKelvie &amp; Wiklund, 2010)</w:t>
      </w:r>
      <w:r w:rsidRPr="00E92B73">
        <w:t xml:space="preserve">. </w:t>
      </w:r>
      <w:r>
        <w:t>Overall, t</w:t>
      </w:r>
      <w:r w:rsidRPr="00E92B73">
        <w:t xml:space="preserve">hese findings suggest that board </w:t>
      </w:r>
      <w:r w:rsidRPr="00E92B73">
        <w:lastRenderedPageBreak/>
        <w:t>interlocks positively influence the success of various growth strategies, thereby improving firm performance</w:t>
      </w:r>
      <w:r>
        <w:t xml:space="preserve"> (e.g., Chen, 2014; Gulati &amp; Westphal, 1999; Haunschild, 1993)</w:t>
      </w:r>
      <w:r w:rsidRPr="00E92B73">
        <w:t>:</w:t>
      </w:r>
    </w:p>
    <w:p w14:paraId="15DE93A0" w14:textId="77777777" w:rsidR="006822EF" w:rsidRPr="0028705A" w:rsidRDefault="006822EF" w:rsidP="0028705A">
      <w:pPr>
        <w:pStyle w:val="Paragraph"/>
        <w:jc w:val="both"/>
        <w:rPr>
          <w:rStyle w:val="normaltextrun"/>
          <w:i/>
          <w:iCs/>
        </w:rPr>
      </w:pPr>
      <w:r w:rsidRPr="0028705A">
        <w:rPr>
          <w:rStyle w:val="normaltextrun"/>
          <w:i/>
          <w:iCs/>
        </w:rPr>
        <w:t>Hypothesis 2a (H2a): The enhanced ability to provide critical resources mediates the relationship between board interlocks and firm performance</w:t>
      </w:r>
    </w:p>
    <w:p w14:paraId="16D228FC" w14:textId="77777777" w:rsidR="006822EF" w:rsidRDefault="006822EF" w:rsidP="008E14A8">
      <w:pPr>
        <w:pStyle w:val="Paragraph"/>
        <w:jc w:val="both"/>
      </w:pPr>
      <w:r w:rsidRPr="00E92B73">
        <w:rPr>
          <w:rStyle w:val="berschrift3Zchn"/>
        </w:rPr>
        <w:t>Agency costs.</w:t>
      </w:r>
      <w:r w:rsidRPr="00E92B73">
        <w:t xml:space="preserve"> </w:t>
      </w:r>
      <w:r w:rsidRPr="000E4A04">
        <w:t xml:space="preserve">Effective corporate governance, particularly regarding board composition, structure, and organization, is critical for firm performance. Numerous studies have demonstrated that good corporate governance is associated with better CEO monitoring, lower CEO compensation, and higher CEO turnover sensitivity, all of which contribute to improved firm performance </w:t>
      </w:r>
      <w:r>
        <w:t>(e.g., Bhatia &amp; Gulati, 2021; Fernández Méndez, Pathan, &amp; Arrondo García, 2015; Goyal &amp; Gulati, 2023; van Essen et al., 2012).</w:t>
      </w:r>
    </w:p>
    <w:p w14:paraId="177B0671" w14:textId="77777777" w:rsidR="006822EF" w:rsidRDefault="006822EF" w:rsidP="008E14A8">
      <w:pPr>
        <w:pStyle w:val="Paragraph"/>
        <w:jc w:val="both"/>
      </w:pPr>
      <w:r w:rsidRPr="00BE316A">
        <w:t>Scholars adopting an agency theory perspective argue that directors often accept multiple board appointments to enhance their personal reputation</w:t>
      </w:r>
      <w:r>
        <w:t xml:space="preserve"> (Jensen &amp; Meckling, 1976; Zajac, 1988),</w:t>
      </w:r>
      <w:r w:rsidRPr="00BE316A">
        <w:t xml:space="preserve"> potentially undermining the effectiveness of board monitoring because the additional responsibilities across firms may dilute a director's attention, leading to less effective governance, higher agency costs, and ultimately lower firm performance </w:t>
      </w:r>
      <w:r>
        <w:t>(e.g., Cashman, Gillan, &amp; Jun, 2012; Fich &amp; Shivdasani, 2006)</w:t>
      </w:r>
      <w:r w:rsidRPr="00E92B73">
        <w:t xml:space="preserve">. </w:t>
      </w:r>
      <w:r w:rsidRPr="00B269F6">
        <w:t>The busyness hypothesis attributes this effect primarily to the fact that directors with multiple mandates face cognitive limitations and time constraints that hinder their ability to thoroughly analyze corporate issues and make well-informed decisions</w:t>
      </w:r>
      <w:r>
        <w:t xml:space="preserve"> (Ferris et al., 2003; Harris &amp; Shimizu, 2004; Perry &amp; Peyer, 2005; Ruigrok, Peck, &amp; Keller, 2006)</w:t>
      </w:r>
      <w:r w:rsidRPr="00E92B73">
        <w:t xml:space="preserve">. </w:t>
      </w:r>
      <w:r>
        <w:t>F</w:t>
      </w:r>
      <w:r w:rsidRPr="00E92B73">
        <w:t xml:space="preserve">or instance, studies suggest that board interlocks are correlated with self-serving CEO behavior, such as increased CEO compensation and reduced CEO turnover </w:t>
      </w:r>
      <w:r>
        <w:t>(e.g., Fich &amp; Shivdasani, 2006; Hallock, 1997)</w:t>
      </w:r>
      <w:r w:rsidRPr="00E92B73">
        <w:t xml:space="preserve">. Moreover, busy boards are related to financial fraud </w:t>
      </w:r>
      <w:r>
        <w:t>(e.g., Beasley, 1996)</w:t>
      </w:r>
      <w:r w:rsidRPr="00E92B73">
        <w:t xml:space="preserve"> </w:t>
      </w:r>
      <w:r w:rsidRPr="003C7B82">
        <w:t xml:space="preserve">and potentially illegal practices such as earnings management </w:t>
      </w:r>
      <w:r>
        <w:t>(e.g., Faleye, Hoitash, &amp; Hoitash, 2011)</w:t>
      </w:r>
      <w:r w:rsidRPr="00E92B73">
        <w:t xml:space="preserve">. </w:t>
      </w:r>
    </w:p>
    <w:p w14:paraId="65B2EE0C" w14:textId="77777777" w:rsidR="006822EF" w:rsidRPr="00E92B73" w:rsidRDefault="006822EF" w:rsidP="008E14A8">
      <w:pPr>
        <w:pStyle w:val="Paragraph"/>
        <w:jc w:val="both"/>
      </w:pPr>
      <w:r w:rsidRPr="001D0307">
        <w:t>When examining the impact of board interlocks on firm performance from an agency perspective, several studies suggest that board interlocks are positively related to agency costs</w:t>
      </w:r>
      <w:r>
        <w:t xml:space="preserve"> </w:t>
      </w:r>
      <w:r>
        <w:lastRenderedPageBreak/>
        <w:t xml:space="preserve">(e.g., Andres, van den Bongard, &amp; Lehmann, 2013; Devos et al., 2009), </w:t>
      </w:r>
      <w:r w:rsidRPr="001D0307">
        <w:t>which negatively affect firm performance. Based on this analysis, we hypothesize</w:t>
      </w:r>
      <w:r>
        <w:t>:</w:t>
      </w:r>
    </w:p>
    <w:p w14:paraId="1C6329C3" w14:textId="77777777" w:rsidR="006822EF" w:rsidRPr="0028705A" w:rsidRDefault="006822EF" w:rsidP="0028705A">
      <w:pPr>
        <w:pStyle w:val="Paragraph"/>
        <w:jc w:val="both"/>
        <w:rPr>
          <w:rStyle w:val="normaltextrun"/>
          <w:i/>
          <w:iCs/>
        </w:rPr>
      </w:pPr>
      <w:r w:rsidRPr="0028705A">
        <w:rPr>
          <w:rStyle w:val="normaltextrun"/>
          <w:i/>
          <w:iCs/>
        </w:rPr>
        <w:t>Hypothesis 2b (H2b): Agency costs, resulting from the reduced monitoring effectiveness of interlocked directors mediate the negative impact of board interlocks on firm performance.</w:t>
      </w:r>
    </w:p>
    <w:p w14:paraId="2345EACB" w14:textId="77777777" w:rsidR="006822EF" w:rsidRPr="006822EF" w:rsidRDefault="006822EF" w:rsidP="009572A7">
      <w:pPr>
        <w:pStyle w:val="berschrift3"/>
      </w:pPr>
      <w:r w:rsidRPr="006822EF">
        <w:t>Moderating Effects of Board Power Relations and the Institutional Environment</w:t>
      </w:r>
    </w:p>
    <w:p w14:paraId="4C4D3620" w14:textId="1C23AA1C" w:rsidR="006822EF" w:rsidRDefault="006822EF" w:rsidP="008E14A8">
      <w:pPr>
        <w:pStyle w:val="Paragraph"/>
        <w:ind w:firstLine="708"/>
        <w:jc w:val="both"/>
      </w:pPr>
      <w:r w:rsidRPr="00E92B73">
        <w:rPr>
          <w:rStyle w:val="berschrift3Zchn"/>
        </w:rPr>
        <w:t>Board power relations.</w:t>
      </w:r>
      <w:bookmarkStart w:id="14" w:name="_Hlk175647292"/>
      <w:r>
        <w:rPr>
          <w:rStyle w:val="berschrift3Zchn"/>
        </w:rPr>
        <w:t xml:space="preserve"> </w:t>
      </w:r>
      <w:bookmarkEnd w:id="14"/>
      <w:r w:rsidRPr="00EB764D">
        <w:t xml:space="preserve">The quality of strategic board decisions is highly dependent on the interaction and discussion among board members </w:t>
      </w:r>
      <w:r>
        <w:t>(Fligstein &amp; Brantley, 1992; Kor, 2006),</w:t>
      </w:r>
      <w:r w:rsidRPr="003E5CC7">
        <w:t xml:space="preserve"> as information exchange has a major impact on the board's ability to align the firm's strategy with the demands of the external business environment</w:t>
      </w:r>
      <w:r>
        <w:t xml:space="preserve"> (Zahra &amp; Pearce, 1989)</w:t>
      </w:r>
      <w:r w:rsidRPr="00E92B73">
        <w:t xml:space="preserve">. </w:t>
      </w:r>
      <w:r>
        <w:t>T</w:t>
      </w:r>
      <w:r w:rsidRPr="00EB764D">
        <w:t xml:space="preserve">he integration of external information and resources </w:t>
      </w:r>
      <w:r>
        <w:t>accessed throug</w:t>
      </w:r>
      <w:r w:rsidRPr="00EB764D">
        <w:t>h board interlocks</w:t>
      </w:r>
      <w:r>
        <w:t xml:space="preserve"> is </w:t>
      </w:r>
      <w:r w:rsidRPr="00DE6C09">
        <w:t xml:space="preserve">particularly valuable to the decision-making </w:t>
      </w:r>
      <w:r w:rsidR="00A87D45" w:rsidRPr="00DE6C09">
        <w:t>process but</w:t>
      </w:r>
      <w:r w:rsidRPr="00DE6C09">
        <w:t xml:space="preserve"> can be significantly influenced </w:t>
      </w:r>
      <w:r w:rsidRPr="00EB764D">
        <w:t>by the power</w:t>
      </w:r>
      <w:r>
        <w:t xml:space="preserve"> of the CEO</w:t>
      </w:r>
      <w:r w:rsidRPr="00F40E59">
        <w:t xml:space="preserve">, defined as </w:t>
      </w:r>
      <w:r w:rsidRPr="0006307F">
        <w:rPr>
          <w:color w:val="000000" w:themeColor="text1"/>
        </w:rPr>
        <w:t>"</w:t>
      </w:r>
      <w:r w:rsidRPr="00A85EC7">
        <w:t>the ability of individual actors to exert their will</w:t>
      </w:r>
      <w:r w:rsidRPr="0006307F">
        <w:rPr>
          <w:color w:val="000000" w:themeColor="text1"/>
        </w:rPr>
        <w:t>"</w:t>
      </w:r>
      <w:r w:rsidRPr="00A85EC7">
        <w:t xml:space="preserve"> </w:t>
      </w:r>
      <w:r>
        <w:t>(Finkelstein, 1992: 506)</w:t>
      </w:r>
      <w:r w:rsidRPr="00E92B73">
        <w:t>.</w:t>
      </w:r>
    </w:p>
    <w:p w14:paraId="4922554C" w14:textId="77777777" w:rsidR="006822EF" w:rsidRDefault="006822EF" w:rsidP="008E14A8">
      <w:pPr>
        <w:pStyle w:val="Paragraph"/>
        <w:ind w:firstLine="708"/>
        <w:jc w:val="both"/>
      </w:pPr>
      <w:r w:rsidRPr="003E5CC7">
        <w:t xml:space="preserve">When the CEO holds significant power, they may dominate the board's strategic decision-making process, thereby limiting the directors' ability to effectively leverage their external resources </w:t>
      </w:r>
      <w:r>
        <w:t>(Hambrick &amp; Finkelstein, 1995; Wu, 2008).</w:t>
      </w:r>
      <w:r w:rsidRPr="004C6BF6">
        <w:t xml:space="preserve"> Powerful CEOs often dominate strategic decisions, reducing the board’s role in shaping firm strategy and leveraging external connections</w:t>
      </w:r>
      <w:r w:rsidRPr="00E92B73">
        <w:t xml:space="preserve"> </w:t>
      </w:r>
      <w:r>
        <w:t>(Golden &amp; Zajac, 2001; Zajac &amp; Westphal, 1996a)</w:t>
      </w:r>
      <w:r w:rsidRPr="00E92B73">
        <w:t xml:space="preserve">. For instance, </w:t>
      </w:r>
      <w:r>
        <w:t>Haynes and Hillman</w:t>
      </w:r>
      <w:r w:rsidRPr="00E92B73">
        <w:t xml:space="preserve"> </w:t>
      </w:r>
      <w:r>
        <w:t>(2010)</w:t>
      </w:r>
      <w:r w:rsidRPr="00E92B73">
        <w:t xml:space="preserve"> find that powerful CEOs are more likely to impose their preferences over those of the board. In addition, </w:t>
      </w:r>
      <w:r>
        <w:t>Chen</w:t>
      </w:r>
      <w:r w:rsidRPr="00E92B73">
        <w:t xml:space="preserve"> </w:t>
      </w:r>
      <w:r>
        <w:t>(2014)</w:t>
      </w:r>
      <w:r w:rsidRPr="00E92B73">
        <w:t xml:space="preserve"> </w:t>
      </w:r>
      <w:r w:rsidRPr="00A85EC7">
        <w:t>shows that CEO power significantly influences directors' willingness to provide ongoing advice and resources, while</w:t>
      </w:r>
      <w:r w:rsidRPr="00E92B73">
        <w:t xml:space="preserve"> </w:t>
      </w:r>
      <w:r>
        <w:t>Johnson, Hoskisson, and Hitt</w:t>
      </w:r>
      <w:r w:rsidRPr="00E92B73">
        <w:t xml:space="preserve"> </w:t>
      </w:r>
      <w:r>
        <w:t>(1993)</w:t>
      </w:r>
      <w:r w:rsidRPr="00E92B73">
        <w:t xml:space="preserve"> </w:t>
      </w:r>
      <w:r w:rsidRPr="00A85EC7">
        <w:t>demonstrate that powerful CEOs inhibit board involvement in strategic decision-making</w:t>
      </w:r>
      <w:r w:rsidRPr="00E92B73">
        <w:t xml:space="preserve">. Similarly, </w:t>
      </w:r>
      <w:r>
        <w:t>Zahra and Pearce</w:t>
      </w:r>
      <w:r w:rsidRPr="00E92B73">
        <w:t xml:space="preserve"> </w:t>
      </w:r>
      <w:r>
        <w:t>(1990)</w:t>
      </w:r>
      <w:r w:rsidRPr="00E92B73">
        <w:t xml:space="preserve"> find that boards are less likely to encourage strategic change when the CEO is powerful. </w:t>
      </w:r>
      <w:r>
        <w:t>Zajac and Westphal</w:t>
      </w:r>
      <w:r w:rsidRPr="00E92B73">
        <w:t xml:space="preserve"> </w:t>
      </w:r>
      <w:r>
        <w:t>(1996b)</w:t>
      </w:r>
      <w:r w:rsidRPr="00E92B73">
        <w:t xml:space="preserve"> </w:t>
      </w:r>
      <w:r w:rsidRPr="00A85EC7">
        <w:t>further argue that powerful CEOs maintain control by excluding active directors and replacing them with more passive ones</w:t>
      </w:r>
      <w:r w:rsidRPr="00E92B73">
        <w:t>.</w:t>
      </w:r>
    </w:p>
    <w:p w14:paraId="452F1F1F" w14:textId="77777777" w:rsidR="006822EF" w:rsidRPr="00E92B73" w:rsidRDefault="006822EF" w:rsidP="008E14A8">
      <w:pPr>
        <w:pStyle w:val="Paragraph"/>
        <w:ind w:firstLine="708"/>
        <w:jc w:val="both"/>
      </w:pPr>
      <w:r w:rsidRPr="00424923">
        <w:lastRenderedPageBreak/>
        <w:t>From an agency perspective, when CEO power is high, the monitoring function of the board may be compromised. For example,</w:t>
      </w:r>
      <w:r>
        <w:t xml:space="preserve"> </w:t>
      </w:r>
      <w:r w:rsidRPr="005268EA">
        <w:t xml:space="preserve">meta-analytic evidence shows that the presence of a powerful CEO also reduces directors' attention to monitoring </w:t>
      </w:r>
      <w:r>
        <w:t>(Tuggle, Sirmon, Reutzel, &amp; Bierman, 2010)</w:t>
      </w:r>
      <w:r w:rsidRPr="00E92B73">
        <w:t xml:space="preserve">. </w:t>
      </w:r>
      <w:r w:rsidRPr="005268EA">
        <w:t xml:space="preserve">Collectively, these findings suggest that boards are less effective at monitoring and providing resources when faced with powerful CEOs. Conversely, when boards are not constrained by a powerful CEO, they engage more actively in discussions, foster more diverse viewpoints, and increase the board's positive contribution to the firm's strategy </w:t>
      </w:r>
      <w:r>
        <w:t>(Zahra &amp; Pearce, 1989)</w:t>
      </w:r>
      <w:r w:rsidRPr="00E92B73">
        <w:t xml:space="preserve">. Based on these arguments, we </w:t>
      </w:r>
      <w:r>
        <w:t>propose</w:t>
      </w:r>
      <w:r w:rsidRPr="00E92B73">
        <w:t>:</w:t>
      </w:r>
    </w:p>
    <w:p w14:paraId="3BC9D249" w14:textId="77777777" w:rsidR="006822EF" w:rsidRPr="0028705A" w:rsidRDefault="006822EF" w:rsidP="0028705A">
      <w:pPr>
        <w:pStyle w:val="Paragraph"/>
        <w:jc w:val="both"/>
        <w:rPr>
          <w:i/>
          <w:iCs/>
        </w:rPr>
      </w:pPr>
      <w:r w:rsidRPr="0028705A">
        <w:rPr>
          <w:i/>
          <w:iCs/>
        </w:rPr>
        <w:t>Hypothesis 3a (H3a): CEO power moderates the relationship between board interlocks and resource provision such that resource provision is lower in the presence of a powerful CEO.</w:t>
      </w:r>
    </w:p>
    <w:p w14:paraId="4895152F" w14:textId="77777777" w:rsidR="006822EF" w:rsidRPr="0028705A" w:rsidRDefault="006822EF" w:rsidP="0028705A">
      <w:pPr>
        <w:pStyle w:val="Paragraph"/>
        <w:jc w:val="both"/>
        <w:rPr>
          <w:i/>
          <w:iCs/>
        </w:rPr>
      </w:pPr>
      <w:r w:rsidRPr="0028705A">
        <w:rPr>
          <w:i/>
          <w:iCs/>
        </w:rPr>
        <w:t>Hypothesis 3b (H3b): CEO power moderates the relationship between board interlocks and agency costs such that agency costs are higher in the presence of a powerful CEO.</w:t>
      </w:r>
    </w:p>
    <w:p w14:paraId="1A5A7DAC" w14:textId="77777777" w:rsidR="006822EF" w:rsidRPr="00944367" w:rsidRDefault="006822EF" w:rsidP="008E14A8">
      <w:pPr>
        <w:pStyle w:val="Paragraph"/>
        <w:jc w:val="both"/>
      </w:pPr>
      <w:r w:rsidRPr="00E92B73">
        <w:rPr>
          <w:rStyle w:val="berschrift3Zchn"/>
        </w:rPr>
        <w:t>Formal institutional environment.</w:t>
      </w:r>
      <w:r w:rsidRPr="00E92B73">
        <w:t xml:space="preserve"> </w:t>
      </w:r>
      <w:bookmarkStart w:id="15" w:name="_Hlk175315981"/>
      <w:r w:rsidRPr="00312F1D">
        <w:t xml:space="preserve">Drawing on institutional theory, which defines </w:t>
      </w:r>
      <w:r w:rsidRPr="00944367">
        <w:t xml:space="preserve">country-level institutions as </w:t>
      </w:r>
      <w:r w:rsidRPr="0006307F">
        <w:rPr>
          <w:color w:val="000000" w:themeColor="text1"/>
        </w:rPr>
        <w:t>"</w:t>
      </w:r>
      <w:r w:rsidRPr="00944367">
        <w:t>humanly devised constraints that structure political, economic, and social interaction</w:t>
      </w:r>
      <w:r w:rsidRPr="0006307F">
        <w:rPr>
          <w:color w:val="000000" w:themeColor="text1"/>
        </w:rPr>
        <w:t>"</w:t>
      </w:r>
      <w:r w:rsidRPr="00944367">
        <w:t xml:space="preserve"> </w:t>
      </w:r>
      <w:r>
        <w:rPr>
          <w:rStyle w:val="ParagraphChar"/>
        </w:rPr>
        <w:t>(North, 1991: 97)</w:t>
      </w:r>
      <w:r w:rsidRPr="00944367">
        <w:t xml:space="preserve">, we argue that these institutions critically influence the capacity of interlocked directors to provide resources and shape their </w:t>
      </w:r>
      <w:r>
        <w:t xml:space="preserve">monitoring </w:t>
      </w:r>
      <w:r w:rsidRPr="00944367">
        <w:t xml:space="preserve">effectiveness </w:t>
      </w:r>
      <w:r>
        <w:rPr>
          <w:rStyle w:val="ParagraphChar"/>
        </w:rPr>
        <w:t>(e.g., Batjargal et al., 2013; Caiazza, Cannella Jr, Phan, &amp; Simoni, 2019)</w:t>
      </w:r>
      <w:r w:rsidRPr="00944367">
        <w:t xml:space="preserve">. Institutions, encompassing both formal laws and informal norms, create predictability, reduce uncertainty, and resolve conflicts </w:t>
      </w:r>
      <w:r>
        <w:rPr>
          <w:rStyle w:val="ParagraphChar"/>
        </w:rPr>
        <w:t>(Dobbin, 1994)</w:t>
      </w:r>
      <w:r w:rsidRPr="00944367">
        <w:t xml:space="preserve">. Moreover, they exert normative pressure on firms to seek social legitimacy to ensure long-term success </w:t>
      </w:r>
      <w:r>
        <w:rPr>
          <w:rStyle w:val="ParagraphChar"/>
        </w:rPr>
        <w:t>(Hamilton &amp; Biggart, 1988)</w:t>
      </w:r>
      <w:r w:rsidRPr="00944367">
        <w:t xml:space="preserve">, thereby shaping their internal decision-making processes </w:t>
      </w:r>
      <w:r>
        <w:rPr>
          <w:rStyle w:val="ParagraphChar"/>
        </w:rPr>
        <w:t>(Caiazza et al., 2019; Hambrick &amp; Finkelstein, 1987)</w:t>
      </w:r>
      <w:r w:rsidRPr="00944367">
        <w:t>.</w:t>
      </w:r>
    </w:p>
    <w:p w14:paraId="1C9401E8" w14:textId="77777777" w:rsidR="006822EF" w:rsidRPr="00944367" w:rsidRDefault="006822EF" w:rsidP="008E14A8">
      <w:pPr>
        <w:pStyle w:val="Paragraph"/>
        <w:jc w:val="both"/>
      </w:pPr>
      <w:r w:rsidRPr="00002680">
        <w:t xml:space="preserve">Formal institutions, encompassing explicit rules, regulations, and legal frameworks enforced by governments or public agencies, </w:t>
      </w:r>
      <w:r>
        <w:t xml:space="preserve">particularly </w:t>
      </w:r>
      <w:r w:rsidRPr="00002680">
        <w:t>govern business practices and social interactions</w:t>
      </w:r>
      <w:r>
        <w:t xml:space="preserve"> (Mantzavinos, 2001; North, 1990), by </w:t>
      </w:r>
      <w:r w:rsidRPr="00002680">
        <w:t>establish</w:t>
      </w:r>
      <w:r>
        <w:t>ing</w:t>
      </w:r>
      <w:r w:rsidRPr="00002680">
        <w:t xml:space="preserve"> the legal boundaries within </w:t>
      </w:r>
      <w:r w:rsidRPr="00002680">
        <w:lastRenderedPageBreak/>
        <w:t>which firms operate, ensuring that transactions are fair, efficient, and predictable</w:t>
      </w:r>
      <w:r>
        <w:t xml:space="preserve"> (Judge, Douglas, &amp; Kutan, 2008; La Porta, Lopez‐De‐Silanes, Shleifer, &amp; Vishny, 1997)</w:t>
      </w:r>
      <w:r w:rsidRPr="00944367">
        <w:t xml:space="preserve">. </w:t>
      </w:r>
      <w:r w:rsidRPr="00002680">
        <w:t xml:space="preserve">In environments with strong formal institutions, corruption is less prevalent, managers are less entrenched </w:t>
      </w:r>
      <w:r>
        <w:t>(Dreher &amp; Herzfeld, 2005)</w:t>
      </w:r>
      <w:r w:rsidRPr="00944367">
        <w:t xml:space="preserve">, and the exploitation of minority shareholders is less common </w:t>
      </w:r>
      <w:r>
        <w:t>(Swaleheen, 2011)</w:t>
      </w:r>
      <w:r w:rsidRPr="00944367">
        <w:t xml:space="preserve"> due to </w:t>
      </w:r>
      <w:r>
        <w:t>stronger</w:t>
      </w:r>
      <w:r w:rsidRPr="00944367">
        <w:t xml:space="preserve"> shareholder rights </w:t>
      </w:r>
      <w:r>
        <w:t>(Williamson &amp; Kerekes, 2011)</w:t>
      </w:r>
      <w:r w:rsidRPr="00944367">
        <w:t xml:space="preserve"> and </w:t>
      </w:r>
      <w:r>
        <w:t xml:space="preserve">increased </w:t>
      </w:r>
      <w:r w:rsidRPr="00944367">
        <w:t xml:space="preserve">board accountability </w:t>
      </w:r>
      <w:r>
        <w:t>(Chen, Chen, &amp; Wei, 2011; Jiraporn, Kim, Davidson, &amp; Singh, 2006)</w:t>
      </w:r>
      <w:r w:rsidRPr="00944367">
        <w:t>.</w:t>
      </w:r>
    </w:p>
    <w:p w14:paraId="7519F3A0" w14:textId="77777777" w:rsidR="006822EF" w:rsidRPr="00B260DC" w:rsidRDefault="006822EF" w:rsidP="008E14A8">
      <w:pPr>
        <w:pStyle w:val="Paragraph"/>
        <w:jc w:val="both"/>
      </w:pPr>
      <w:r w:rsidRPr="00002680">
        <w:t xml:space="preserve">In such stable environments, the clarity and enforceability of rules allow interlocked directors to effectively leverage their network connections to provide the firm with valuable resources, such as capital, strategic partnerships, and market intelligence </w:t>
      </w:r>
      <w:r>
        <w:t>(Caiazza et al., 2019)</w:t>
      </w:r>
      <w:r w:rsidRPr="00944367">
        <w:t xml:space="preserve">. </w:t>
      </w:r>
      <w:r w:rsidRPr="003C7B82">
        <w:t>For instance,</w:t>
      </w:r>
      <w:r w:rsidRPr="00944367">
        <w:t xml:space="preserve"> </w:t>
      </w:r>
      <w:r>
        <w:t>Carpenter and Westphal</w:t>
      </w:r>
      <w:r w:rsidRPr="00944367">
        <w:t xml:space="preserve"> </w:t>
      </w:r>
      <w:r>
        <w:t>(2001)</w:t>
      </w:r>
      <w:r w:rsidRPr="00944367">
        <w:t xml:space="preserve"> </w:t>
      </w:r>
      <w:r w:rsidRPr="00C16608">
        <w:t>found that firms in stable environments compete primarily through the successful implementation of existing strategies, which is particularly beneficial to interlocking directors who can draw on their experience of observing similar strategies in other firms</w:t>
      </w:r>
      <w:r>
        <w:t xml:space="preserve">. </w:t>
      </w:r>
      <w:r w:rsidRPr="00002680">
        <w:t>Conversely, in environments with weak formal institutions</w:t>
      </w:r>
      <w:r>
        <w:t xml:space="preserve">, </w:t>
      </w:r>
      <w:r w:rsidRPr="00002680">
        <w:t>marked by high uncertainty and opaque business practices</w:t>
      </w:r>
      <w:r>
        <w:t xml:space="preserve">, </w:t>
      </w:r>
      <w:r w:rsidRPr="00002680">
        <w:t>effectively mobilizing external resources is more challenging. While some research suggests that social networks may be especially beneficial in such contexts</w:t>
      </w:r>
      <w:r>
        <w:t xml:space="preserve"> (Batjargal et al., 2013)</w:t>
      </w:r>
      <w:r w:rsidRPr="00002680">
        <w:t xml:space="preserve">, providing communication channels and insights into other firms' activities </w:t>
      </w:r>
      <w:r>
        <w:t>(Martin et al., 2015; Useem, 1984)</w:t>
      </w:r>
      <w:r w:rsidRPr="00944367">
        <w:t>,</w:t>
      </w:r>
      <w:r>
        <w:t xml:space="preserve"> </w:t>
      </w:r>
      <w:r w:rsidRPr="00002680">
        <w:t xml:space="preserve">other studies argue that in highly uncertain environments, boards may be less receptive to input from interlocked directors, </w:t>
      </w:r>
      <w:r>
        <w:t>reducing</w:t>
      </w:r>
      <w:r w:rsidRPr="00002680">
        <w:t xml:space="preserve"> their ability to contribute</w:t>
      </w:r>
      <w:r>
        <w:t xml:space="preserve"> (Shropshire, 2010)</w:t>
      </w:r>
      <w:r w:rsidRPr="00944367">
        <w:t>.</w:t>
      </w:r>
    </w:p>
    <w:p w14:paraId="7FA432DD" w14:textId="77777777" w:rsidR="006822EF" w:rsidRPr="00944367" w:rsidRDefault="006822EF" w:rsidP="008E14A8">
      <w:pPr>
        <w:pStyle w:val="Paragraph"/>
        <w:jc w:val="both"/>
      </w:pPr>
      <w:r w:rsidRPr="00C16608">
        <w:t>Formal institutions also shape directors' monitoring effectiveness. Strong formal institutions promote transparency and accountability by imposing higher information and reporting requirements, thereby improving corporate governance</w:t>
      </w:r>
      <w:r>
        <w:t xml:space="preserve"> (e.g., Fauver, Hung, Li, &amp; Taboada, 2017; Leuz, Nanda, &amp; Wysocki, 2003)</w:t>
      </w:r>
      <w:r w:rsidRPr="00944367">
        <w:t xml:space="preserve"> </w:t>
      </w:r>
      <w:r>
        <w:t xml:space="preserve">and </w:t>
      </w:r>
      <w:r w:rsidRPr="00944367">
        <w:t xml:space="preserve">board monitoring </w:t>
      </w:r>
      <w:r>
        <w:t>(e.g., Muravyev, 2024)</w:t>
      </w:r>
      <w:r w:rsidRPr="00944367">
        <w:t xml:space="preserve">. </w:t>
      </w:r>
      <w:r w:rsidRPr="003D75F8">
        <w:t xml:space="preserve">In addition, these environments tend to have lower levels of managerial entrenchment and corruption, which reduces the risk of insiders exploiting minority investors </w:t>
      </w:r>
      <w:r>
        <w:t xml:space="preserve">(Jin &amp; Myers, 2006). </w:t>
      </w:r>
      <w:r w:rsidRPr="003D75F8">
        <w:lastRenderedPageBreak/>
        <w:t>They also have complementary governance mechanisms that support effective monitoring, even in the presence of</w:t>
      </w:r>
      <w:r>
        <w:t xml:space="preserve"> busy</w:t>
      </w:r>
      <w:r w:rsidRPr="003D75F8">
        <w:t xml:space="preserve"> directors </w:t>
      </w:r>
      <w:r>
        <w:t>(Frye, Pham, &amp; Zhang, 2022; Kim &amp; Ozdemir, 2014)</w:t>
      </w:r>
      <w:r w:rsidRPr="00944367">
        <w:t>.</w:t>
      </w:r>
      <w:r>
        <w:t xml:space="preserve"> </w:t>
      </w:r>
      <w:r w:rsidRPr="00002680">
        <w:t>In contrast, weaker institutional environments heighten the need for vigilant board monitoring due to increased uncertainty, corruption, and lower investor protection</w:t>
      </w:r>
      <w:r>
        <w:t xml:space="preserve"> (Francis, Zheng, &amp; Mukherji, 2009; Frye &amp; Pham, 2020; Jin &amp; Myers, 2006; Shleifer &amp; Vishny, 1994), </w:t>
      </w:r>
      <w:r w:rsidRPr="00E52A05">
        <w:t>which places higher demands on directors' monitoring abilities.</w:t>
      </w:r>
      <w:r w:rsidRPr="00002680">
        <w:t xml:space="preserve"> </w:t>
      </w:r>
      <w:r>
        <w:t>However, studies show that in weak institutional environments directors often hold more directorships (Ferris et al., 2003)</w:t>
      </w:r>
      <w:r w:rsidRPr="00944367">
        <w:t xml:space="preserve">, </w:t>
      </w:r>
      <w:r w:rsidRPr="00002680">
        <w:t>which could exacerbate issues of inadequate oversight, increase agency costs, and ultimately harm firm performance</w:t>
      </w:r>
      <w:r w:rsidRPr="00944367">
        <w:t xml:space="preserve"> </w:t>
      </w:r>
      <w:r>
        <w:t>(Fich &amp; Shivdasani, 2006; Latif, Voordeckers, Lambrechts, &amp; Hendriks, 2020)</w:t>
      </w:r>
      <w:r w:rsidRPr="00944367">
        <w:t xml:space="preserve">. </w:t>
      </w:r>
      <w:r>
        <w:t xml:space="preserve">Furthermore, </w:t>
      </w:r>
      <w:r w:rsidRPr="00002680">
        <w:t xml:space="preserve">during periods of high uncertainty, boards reduce the number of </w:t>
      </w:r>
      <w:r>
        <w:t xml:space="preserve">busy </w:t>
      </w:r>
      <w:r w:rsidRPr="00002680">
        <w:t xml:space="preserve">directors to enhance oversight, indicating that heavily interlocked directors may not provide sufficient monitoring </w:t>
      </w:r>
      <w:r>
        <w:t>(Frye et al., 2022)</w:t>
      </w:r>
      <w:r w:rsidRPr="00944367">
        <w:t xml:space="preserve">. </w:t>
      </w:r>
      <w:r w:rsidRPr="00002680">
        <w:t>Empirical studies support this view, showing that in such environments, board interlocks lead to weaker monitoring and poorer firm performance</w:t>
      </w:r>
      <w:r>
        <w:t xml:space="preserve"> (e.g., Hundal, 2016, 2017; Jackling &amp; Johl, 2009; Watkins-Fassler, Rodríguez-Ariza, Fernández-Pérez, &amp; Del Briano-Turrent, 2024)</w:t>
      </w:r>
      <w:r w:rsidRPr="00944367">
        <w:t>.</w:t>
      </w:r>
      <w:bookmarkEnd w:id="15"/>
      <w:r w:rsidRPr="00944367">
        <w:t xml:space="preserve"> Given these dynamics, we hypothesize that the strength of formal institutions not only enhances the capacity of interlocked directors to provide critical external resources but also strengthens their ability to monitor firm management effectively. Therefore, we propose:</w:t>
      </w:r>
    </w:p>
    <w:p w14:paraId="59403E4C" w14:textId="77777777" w:rsidR="006822EF" w:rsidRPr="0028705A" w:rsidRDefault="006822EF" w:rsidP="0028705A">
      <w:pPr>
        <w:pStyle w:val="Paragraph"/>
        <w:jc w:val="both"/>
        <w:rPr>
          <w:i/>
          <w:iCs/>
        </w:rPr>
      </w:pPr>
      <w:r w:rsidRPr="0028705A">
        <w:rPr>
          <w:i/>
          <w:iCs/>
        </w:rPr>
        <w:t>Hypothesis 3c (H3c): The formal institutional environment positively moderates the relationship between board interlocks and resource provision, such that the provision of resources by interlocked directors is more positive in strong formal institutional environments.</w:t>
      </w:r>
    </w:p>
    <w:p w14:paraId="10A2C6C0" w14:textId="77777777" w:rsidR="006822EF" w:rsidRPr="0028705A" w:rsidRDefault="006822EF" w:rsidP="0028705A">
      <w:pPr>
        <w:pStyle w:val="Paragraph"/>
        <w:jc w:val="both"/>
        <w:rPr>
          <w:i/>
          <w:iCs/>
        </w:rPr>
      </w:pPr>
      <w:r w:rsidRPr="0028705A">
        <w:rPr>
          <w:i/>
          <w:iCs/>
        </w:rPr>
        <w:t>Hypothesis 3d (H3d): The formal institutional environment negatively moderates the relationship between board interlocks and agency costs, such that interlocked directors are more effective in monitoring management in strong formal institutional environments.</w:t>
      </w:r>
    </w:p>
    <w:p w14:paraId="4FAF5EC2" w14:textId="77777777" w:rsidR="006822EF" w:rsidRPr="0006307F" w:rsidRDefault="006822EF" w:rsidP="008E14A8">
      <w:pPr>
        <w:pStyle w:val="Paragraph"/>
        <w:jc w:val="both"/>
        <w:rPr>
          <w:color w:val="000000" w:themeColor="text1"/>
        </w:rPr>
      </w:pPr>
      <w:r w:rsidRPr="00E92B73">
        <w:rPr>
          <w:rStyle w:val="berschrift3Zchn"/>
        </w:rPr>
        <w:t>Informal institutional environment.</w:t>
      </w:r>
      <w:r w:rsidRPr="00E92B73">
        <w:t xml:space="preserve"> </w:t>
      </w:r>
      <w:r w:rsidRPr="0006307F">
        <w:rPr>
          <w:color w:val="000000" w:themeColor="text1"/>
        </w:rPr>
        <w:t xml:space="preserve">Informal institutions are "socially shared rules, usually unwritten, that are created, communicated, and enforced outside of officially sanctioned </w:t>
      </w:r>
      <w:r w:rsidRPr="0006307F">
        <w:rPr>
          <w:color w:val="000000" w:themeColor="text1"/>
        </w:rPr>
        <w:lastRenderedPageBreak/>
        <w:t xml:space="preserve">channels" </w:t>
      </w:r>
      <w:r>
        <w:rPr>
          <w:color w:val="000000" w:themeColor="text1"/>
        </w:rPr>
        <w:t>(Helmke &amp; Levitsky, 2004: 727)</w:t>
      </w:r>
      <w:r w:rsidRPr="0006307F">
        <w:rPr>
          <w:color w:val="000000" w:themeColor="text1"/>
        </w:rPr>
        <w:t xml:space="preserve">. They vary from country to country and develop through positive social feedback loops that promote stable patterns of behavior, especially in situations of uncertainty </w:t>
      </w:r>
      <w:r>
        <w:rPr>
          <w:color w:val="000000" w:themeColor="text1"/>
        </w:rPr>
        <w:t>(Crossland &amp; Hambrick, 2007, 2011; Mantzavinos, North, &amp; Shariq, 2004)</w:t>
      </w:r>
      <w:r w:rsidRPr="0006307F">
        <w:rPr>
          <w:color w:val="000000" w:themeColor="text1"/>
        </w:rPr>
        <w:t xml:space="preserve">. Strong informal institutional environments promote a stable social order by creating social expectations and obligations that shape individual behavior and reduce perceived uncertainty </w:t>
      </w:r>
      <w:r>
        <w:rPr>
          <w:color w:val="000000" w:themeColor="text1"/>
        </w:rPr>
        <w:t>(Brinks, 2003; Helmke &amp; Levitsky, 2004; Mantzavinos, 2001)</w:t>
      </w:r>
      <w:r w:rsidRPr="0006307F">
        <w:rPr>
          <w:color w:val="000000" w:themeColor="text1"/>
        </w:rPr>
        <w:t>.</w:t>
      </w:r>
    </w:p>
    <w:p w14:paraId="15D31C5C" w14:textId="77777777" w:rsidR="006822EF" w:rsidRPr="00702F99" w:rsidRDefault="006822EF" w:rsidP="008E14A8">
      <w:pPr>
        <w:pStyle w:val="Paragraph"/>
        <w:jc w:val="both"/>
        <w:rPr>
          <w:color w:val="000000" w:themeColor="text1"/>
        </w:rPr>
      </w:pPr>
      <w:r w:rsidRPr="002C0C2D">
        <w:t>Informal institutions enhance the resource-provision capabilities of interlocked directors by fostering a strong identification with the firm. This encourages directors to diligently perform their duties and share valuable personal experiences, thereby improving strategic decision-making</w:t>
      </w:r>
      <w:r>
        <w:t xml:space="preserve"> </w:t>
      </w:r>
      <w:r>
        <w:rPr>
          <w:color w:val="000000" w:themeColor="text1"/>
        </w:rPr>
        <w:t>(Dore, 1983).</w:t>
      </w:r>
      <w:r w:rsidRPr="0025523A">
        <w:t xml:space="preserve"> </w:t>
      </w:r>
      <w:r w:rsidRPr="002C0C2D">
        <w:rPr>
          <w:color w:val="000000" w:themeColor="text1"/>
        </w:rPr>
        <w:t xml:space="preserve">In cultures with strong informal institutions, directors often feel a heightened sense of obligation to the firm, driven by shared norms and values. </w:t>
      </w:r>
      <w:r w:rsidRPr="00F36815">
        <w:rPr>
          <w:color w:val="000000" w:themeColor="text1"/>
        </w:rPr>
        <w:t xml:space="preserve">This collective sense of duty promotes a homogeneous group identity within the board, which facilitates cooperation </w:t>
      </w:r>
      <w:r>
        <w:rPr>
          <w:color w:val="000000" w:themeColor="text1"/>
        </w:rPr>
        <w:t xml:space="preserve">(Westphal &amp; Bednar, 2005) </w:t>
      </w:r>
      <w:r w:rsidRPr="002C0C2D">
        <w:rPr>
          <w:color w:val="000000" w:themeColor="text1"/>
        </w:rPr>
        <w:t xml:space="preserve">and aligns directors' goals and behaviors with the firm's interests, increasing their commitment to resource provision </w:t>
      </w:r>
      <w:r>
        <w:rPr>
          <w:color w:val="000000" w:themeColor="text1"/>
        </w:rPr>
        <w:t>(Terry &amp; Hogg, 1996; Zhu &amp; Yoshikawa, 2016).</w:t>
      </w:r>
      <w:r w:rsidRPr="0025523A">
        <w:rPr>
          <w:color w:val="000000" w:themeColor="text1"/>
        </w:rPr>
        <w:t xml:space="preserve"> </w:t>
      </w:r>
      <w:r w:rsidRPr="003C7B82">
        <w:rPr>
          <w:color w:val="000000" w:themeColor="text1"/>
        </w:rPr>
        <w:t>For example, in Chinese firms,</w:t>
      </w:r>
      <w:r>
        <w:rPr>
          <w:color w:val="A5A5A5" w:themeColor="accent3"/>
        </w:rPr>
        <w:t xml:space="preserve"> </w:t>
      </w:r>
      <w:r>
        <w:t>Zhang and Merchant</w:t>
      </w:r>
      <w:r w:rsidRPr="00E92B73">
        <w:t xml:space="preserve"> </w:t>
      </w:r>
      <w:r>
        <w:t>(2020)</w:t>
      </w:r>
      <w:r w:rsidRPr="00E92B73">
        <w:t xml:space="preserve"> </w:t>
      </w:r>
      <w:r w:rsidRPr="001E1A53">
        <w:t>analyzed the influence of "guanxi"</w:t>
      </w:r>
      <w:r>
        <w:t>, an important informal institution, defined as</w:t>
      </w:r>
      <w:r w:rsidRPr="001E1A53">
        <w:t xml:space="preserve"> "personal connections between independent economic actors that facilitate the exchange of personal and social transactions"</w:t>
      </w:r>
      <w:r>
        <w:t xml:space="preserve"> (Yeung &amp; Tung, 1996). T</w:t>
      </w:r>
      <w:r w:rsidRPr="001E1A53">
        <w:t xml:space="preserve">hey found that "guanxi" positively impacts </w:t>
      </w:r>
      <w:r w:rsidRPr="00702F99">
        <w:rPr>
          <w:color w:val="000000" w:themeColor="text1"/>
        </w:rPr>
        <w:t>directors' ability to provide resources by enabling access</w:t>
      </w:r>
      <w:r>
        <w:rPr>
          <w:color w:val="000000" w:themeColor="text1"/>
        </w:rPr>
        <w:t xml:space="preserve"> to</w:t>
      </w:r>
      <w:r w:rsidRPr="00702F99">
        <w:rPr>
          <w:color w:val="000000" w:themeColor="text1"/>
        </w:rPr>
        <w:t xml:space="preserve"> reliable and trustworthy network knowledge.</w:t>
      </w:r>
    </w:p>
    <w:p w14:paraId="5EF3ADC4" w14:textId="77777777" w:rsidR="006822EF" w:rsidRDefault="006822EF" w:rsidP="008E14A8">
      <w:pPr>
        <w:pStyle w:val="Paragraph"/>
        <w:jc w:val="both"/>
      </w:pPr>
      <w:r w:rsidRPr="00702F99">
        <w:rPr>
          <w:color w:val="000000" w:themeColor="text1"/>
        </w:rPr>
        <w:t xml:space="preserve">Strong informal institutional environments not only facilitate resource provision </w:t>
      </w:r>
      <w:r w:rsidRPr="001E1A53">
        <w:t>but also enhance board monitoring</w:t>
      </w:r>
      <w:r>
        <w:t xml:space="preserve"> by</w:t>
      </w:r>
      <w:r w:rsidRPr="001E1A53">
        <w:t xml:space="preserve"> creat</w:t>
      </w:r>
      <w:r>
        <w:t>ing</w:t>
      </w:r>
      <w:r w:rsidRPr="001E1A53">
        <w:t xml:space="preserve"> societal expectations that directors are motivated to meet</w:t>
      </w:r>
      <w:r>
        <w:t xml:space="preserve"> (Hillman, Nicholson, &amp; Shropshire, 2008)</w:t>
      </w:r>
      <w:r w:rsidRPr="00B260DC">
        <w:t>.</w:t>
      </w:r>
      <w:r w:rsidRPr="00E92B73">
        <w:t xml:space="preserve"> </w:t>
      </w:r>
      <w:r w:rsidRPr="0006307F">
        <w:t xml:space="preserve">In contexts where informal norms are strong, directors may face significant social pressure to ensure that management actions align with shareholders' interests. This pressure can result in more effective monitoring, as directors are both socially and professionally incentivized to fulfill their </w:t>
      </w:r>
      <w:r>
        <w:t>monitoring</w:t>
      </w:r>
      <w:r w:rsidRPr="0006307F">
        <w:t xml:space="preserve"> role</w:t>
      </w:r>
      <w:r>
        <w:t xml:space="preserve"> (Solarino &amp; Boyd, </w:t>
      </w:r>
      <w:r>
        <w:lastRenderedPageBreak/>
        <w:t>2023).</w:t>
      </w:r>
      <w:r w:rsidRPr="0006307F">
        <w:t xml:space="preserve"> Therefore, in firms embedded in strong informal institutional environments, the presence of interlocked directors is likely to lead to reduced agency costs.</w:t>
      </w:r>
    </w:p>
    <w:p w14:paraId="455E28D2" w14:textId="5CFEF189" w:rsidR="006822EF" w:rsidRDefault="006822EF" w:rsidP="008E14A8">
      <w:pPr>
        <w:pStyle w:val="Paragraph"/>
        <w:jc w:val="both"/>
      </w:pPr>
      <w:r w:rsidRPr="0006307F">
        <w:t xml:space="preserve">Given these insights, it is expected that strong informal institutional environments will amplify the positive effects of board interlocks on interlocked directors' ability to provide resources as well as their ability to monitor management, resulting in a positive moderating effect on the relationship between board interlocks and resource provision and </w:t>
      </w:r>
      <w:r>
        <w:t xml:space="preserve">a negative moderating effect on </w:t>
      </w:r>
      <w:r w:rsidRPr="0006307F">
        <w:t>agency costs. Figure 1 summarizes our research model</w:t>
      </w:r>
      <w:r w:rsidR="008E14A8">
        <w:t>:</w:t>
      </w:r>
    </w:p>
    <w:p w14:paraId="4850DA5A" w14:textId="77777777" w:rsidR="006822EF" w:rsidRPr="0028705A" w:rsidRDefault="006822EF" w:rsidP="0028705A">
      <w:pPr>
        <w:pStyle w:val="Paragraph"/>
        <w:jc w:val="both"/>
        <w:rPr>
          <w:i/>
          <w:iCs/>
        </w:rPr>
      </w:pPr>
      <w:r w:rsidRPr="0028705A">
        <w:rPr>
          <w:i/>
          <w:iCs/>
        </w:rPr>
        <w:t>Hypothesis 3e (H3e): The informal institutional environment positively moderates the relationship between board interlocks and the resource provision, such that the provision of resources by interlocked directors is more positive in strong informal institutional environments.</w:t>
      </w:r>
    </w:p>
    <w:p w14:paraId="60D59545" w14:textId="77777777" w:rsidR="006822EF" w:rsidRPr="0028705A" w:rsidRDefault="006822EF" w:rsidP="0028705A">
      <w:pPr>
        <w:pStyle w:val="Paragraph"/>
        <w:jc w:val="both"/>
        <w:rPr>
          <w:i/>
          <w:iCs/>
        </w:rPr>
      </w:pPr>
      <w:r w:rsidRPr="0028705A">
        <w:rPr>
          <w:i/>
          <w:iCs/>
        </w:rPr>
        <w:t>Hypothesis 3f (H3f): The informal institutional environment negatively moderates the relationship between board interlocks and agency costs, such that interlocked directors are more effective in monitoring management in strong informal institutional environments.</w:t>
      </w:r>
    </w:p>
    <w:p w14:paraId="7CCC6B74" w14:textId="77777777" w:rsidR="006822EF" w:rsidRPr="00E92B73" w:rsidRDefault="006822EF" w:rsidP="00DB6539">
      <w:pPr>
        <w:pStyle w:val="Paragraph"/>
        <w:ind w:firstLine="0"/>
        <w:jc w:val="center"/>
      </w:pPr>
      <w:r w:rsidRPr="00E92B73">
        <w:t>----------------------------------</w:t>
      </w:r>
    </w:p>
    <w:p w14:paraId="494336DA" w14:textId="77777777" w:rsidR="006822EF" w:rsidRPr="00E92B73" w:rsidRDefault="006822EF" w:rsidP="00DB6539">
      <w:pPr>
        <w:pStyle w:val="Paragraph"/>
        <w:ind w:firstLine="0"/>
        <w:jc w:val="center"/>
      </w:pPr>
      <w:r w:rsidRPr="00E92B73">
        <w:t>Insert Figure 1 about here</w:t>
      </w:r>
    </w:p>
    <w:p w14:paraId="329C30D3" w14:textId="77777777" w:rsidR="006822EF" w:rsidRPr="00743AFB" w:rsidRDefault="006822EF" w:rsidP="00DB6539">
      <w:pPr>
        <w:pStyle w:val="Paragraph"/>
        <w:spacing w:after="120"/>
        <w:ind w:firstLine="0"/>
        <w:jc w:val="center"/>
        <w:rPr>
          <w:color w:val="000000" w:themeColor="text1"/>
        </w:rPr>
      </w:pPr>
      <w:r w:rsidRPr="00743AFB">
        <w:rPr>
          <w:color w:val="000000" w:themeColor="text1"/>
        </w:rPr>
        <w:t>-----------------------------------</w:t>
      </w:r>
    </w:p>
    <w:p w14:paraId="6B9CCFD2" w14:textId="33BBC908" w:rsidR="006822EF" w:rsidRPr="006822EF" w:rsidRDefault="00406027" w:rsidP="009572A7">
      <w:pPr>
        <w:pStyle w:val="berschrift2"/>
        <w:rPr>
          <w:lang w:val="en-US"/>
        </w:rPr>
      </w:pPr>
      <w:bookmarkStart w:id="16" w:name="_Toc180963602"/>
      <w:r>
        <w:rPr>
          <w:lang w:val="en-US"/>
        </w:rPr>
        <w:t>Method</w:t>
      </w:r>
      <w:bookmarkEnd w:id="16"/>
    </w:p>
    <w:p w14:paraId="79DD9815" w14:textId="77777777" w:rsidR="006822EF" w:rsidRPr="006822EF" w:rsidRDefault="006822EF" w:rsidP="009572A7">
      <w:pPr>
        <w:pStyle w:val="berschrift3"/>
      </w:pPr>
      <w:r w:rsidRPr="006822EF">
        <w:t>Database development</w:t>
      </w:r>
    </w:p>
    <w:p w14:paraId="452053F1" w14:textId="77777777" w:rsidR="006822EF" w:rsidRPr="00E92B73" w:rsidRDefault="006822EF" w:rsidP="008411D3">
      <w:pPr>
        <w:pStyle w:val="Paragraph"/>
        <w:ind w:firstLine="708"/>
        <w:jc w:val="both"/>
      </w:pPr>
      <w:r>
        <w:t>Following prior</w:t>
      </w:r>
      <w:r w:rsidRPr="00E92B73">
        <w:t xml:space="preserve"> meta-analyses </w:t>
      </w:r>
      <w:r>
        <w:t>(e.g., Holmes et al., 2021; Palm, Kraft, &amp; Kammerlander, 2023)</w:t>
      </w:r>
      <w:r w:rsidRPr="00E92B73">
        <w:t xml:space="preserve">, we employed five search strategies to identify research on board interlocks and firm performance: First, we searched academic databases (Web of Science, Business Source Premier, Google Scholar, EBSCO, SSRN) using </w:t>
      </w:r>
      <w:r>
        <w:t>the following search terms:</w:t>
      </w:r>
      <w:r w:rsidRPr="00E92B73">
        <w:t xml:space="preserve"> </w:t>
      </w:r>
      <w:r w:rsidRPr="00EE4015">
        <w:rPr>
          <w:i/>
          <w:iCs/>
        </w:rPr>
        <w:t xml:space="preserve">"board interlock*", "interlocking directorat*", and "director interlock*", </w:t>
      </w:r>
      <w:r w:rsidRPr="00EE4015">
        <w:t>combined with</w:t>
      </w:r>
      <w:r w:rsidRPr="00EE4015">
        <w:rPr>
          <w:i/>
          <w:iCs/>
        </w:rPr>
        <w:t xml:space="preserve"> "financial performance", "firm performance", "organizational performance", and "organizational outcome*"</w:t>
      </w:r>
      <w:r w:rsidRPr="00EE4015">
        <w:t>.</w:t>
      </w:r>
      <w:r w:rsidRPr="006F738E">
        <w:t xml:space="preserve"> </w:t>
      </w:r>
      <w:r w:rsidRPr="00EC74AA">
        <w:t xml:space="preserve">Second, we reviewed the reference lists of previous review articles </w:t>
      </w:r>
      <w:r>
        <w:t xml:space="preserve">(e.g., Lamb </w:t>
      </w:r>
      <w:r>
        <w:lastRenderedPageBreak/>
        <w:t>&amp; Roundy, 2016; Mizruchi, 1996)</w:t>
      </w:r>
      <w:r w:rsidRPr="006F738E">
        <w:t xml:space="preserve"> to identify further articles. </w:t>
      </w:r>
      <w:r>
        <w:t>Third, w</w:t>
      </w:r>
      <w:r w:rsidRPr="00750E8D">
        <w:t>e searched relevant academic journals (e.g., Academy of Management Journal, Administrative Science Quarterly, Journal of Management, Organization Science, Strategic Management Journal)</w:t>
      </w:r>
      <w:r w:rsidRPr="00EC74AA">
        <w:t>.</w:t>
      </w:r>
      <w:r>
        <w:rPr>
          <w:rStyle w:val="Endnotenzeichen"/>
        </w:rPr>
        <w:endnoteReference w:id="1"/>
      </w:r>
      <w:r w:rsidRPr="00EC74AA">
        <w:t xml:space="preserve"> </w:t>
      </w:r>
      <w:r w:rsidRPr="00FD7199">
        <w:t>Fourth, we searched the ProQuest database for dissertations and reviewed conference proceedings for unpublished papers to reduce the risk of publication bias</w:t>
      </w:r>
      <w:r>
        <w:t xml:space="preserve"> (Rosenthal, 1979)</w:t>
      </w:r>
      <w:r w:rsidRPr="00750E8D">
        <w:t xml:space="preserve">. </w:t>
      </w:r>
      <w:r w:rsidRPr="00FD7199">
        <w:t>Finally, to trace backward and forward references, we used bidirectional snowballing</w:t>
      </w:r>
      <w:r w:rsidRPr="00E92B73">
        <w:t xml:space="preserve"> </w:t>
      </w:r>
      <w:r>
        <w:t>(Hippel, Franke, &amp; Prügl, 2009)</w:t>
      </w:r>
      <w:r w:rsidRPr="00E92B73">
        <w:t xml:space="preserve">. </w:t>
      </w:r>
    </w:p>
    <w:p w14:paraId="04411733" w14:textId="77777777" w:rsidR="006822EF" w:rsidRPr="00E92B73" w:rsidRDefault="006822EF" w:rsidP="008E14A8">
      <w:pPr>
        <w:pStyle w:val="Paragraph"/>
        <w:jc w:val="both"/>
      </w:pPr>
      <w:r w:rsidRPr="005448DA">
        <w:t>Studies had to meet several criteria to be included in the meta-analytic database. First, they needed to empirically investigate the relationship between board interlocks and firm performance. Second, they had to measure board interlocks using the most popular metric, degree centrality. Third, they needed to report a correlation coefficient between board interlocks and firm performance or provide sufficient data for its calculation</w:t>
      </w:r>
      <w:r>
        <w:t xml:space="preserve"> (e.g., </w:t>
      </w:r>
      <w:r w:rsidRPr="005E4723">
        <w:rPr>
          <w:i/>
          <w:iCs/>
        </w:rPr>
        <w:t>t</w:t>
      </w:r>
      <w:r w:rsidRPr="008F61C9">
        <w:t>-statistics</w:t>
      </w:r>
      <w:r>
        <w:t xml:space="preserve">, </w:t>
      </w:r>
      <w:r w:rsidRPr="005E4723">
        <w:rPr>
          <w:i/>
          <w:iCs/>
        </w:rPr>
        <w:t>p</w:t>
      </w:r>
      <w:r>
        <w:t>-values</w:t>
      </w:r>
      <w:r w:rsidRPr="008F61C9">
        <w:t xml:space="preserve"> or </w:t>
      </w:r>
      <w:r w:rsidRPr="001B193F">
        <w:rPr>
          <w:i/>
          <w:iCs/>
        </w:rPr>
        <w:t>Chi</w:t>
      </w:r>
      <w:r w:rsidRPr="008F61C9">
        <w:t>-square</w:t>
      </w:r>
      <w:r>
        <w:t>; Lipsey &amp; Wilson, 2001).</w:t>
      </w:r>
      <w:r>
        <w:rPr>
          <w:rStyle w:val="Endnotenzeichen"/>
        </w:rPr>
        <w:endnoteReference w:id="2"/>
      </w:r>
      <w:r w:rsidRPr="00E92B73">
        <w:t xml:space="preserve"> </w:t>
      </w:r>
      <w:r w:rsidRPr="0056702B">
        <w:t xml:space="preserve">When studies did not report all required information but otherwise met the inclusion criteria, we contacted the study authors. </w:t>
      </w:r>
      <w:r w:rsidRPr="00E92B73">
        <w:t>After identifying relevant studies</w:t>
      </w:r>
      <w:r>
        <w:t xml:space="preserve">, </w:t>
      </w:r>
      <w:r w:rsidRPr="00E92B73">
        <w:t xml:space="preserve">we established a coding protocol </w:t>
      </w:r>
      <w:r>
        <w:t>of the</w:t>
      </w:r>
      <w:r w:rsidRPr="008F61C9">
        <w:t xml:space="preserve"> information to be extracted from the studies</w:t>
      </w:r>
      <w:r>
        <w:t xml:space="preserve"> </w:t>
      </w:r>
      <w:r w:rsidRPr="00E92B73">
        <w:t xml:space="preserve">to minimize </w:t>
      </w:r>
      <w:r>
        <w:t xml:space="preserve">coding </w:t>
      </w:r>
      <w:r w:rsidRPr="00E92B73">
        <w:t xml:space="preserve">errors </w:t>
      </w:r>
      <w:r>
        <w:t>(Lipsey &amp; Wilson, 2009)</w:t>
      </w:r>
      <w:r w:rsidRPr="00E92B73">
        <w:t xml:space="preserve">, which guided the creation of our meta-analytic database </w:t>
      </w:r>
      <w:r>
        <w:t>(Steel, Beugelsdijk, &amp; Aguinis, 2021)</w:t>
      </w:r>
      <w:r w:rsidRPr="00E92B73">
        <w:t xml:space="preserve">. Three independent coders with extensive knowledge of the board interlock literature coded each study, achieving intercoder reliability estimates ranging from α = .92 to α = .96 </w:t>
      </w:r>
      <w:r>
        <w:t>(Cohen, 1960)</w:t>
      </w:r>
      <w:r w:rsidRPr="00E92B73">
        <w:t xml:space="preserve">, indicating high reliability </w:t>
      </w:r>
      <w:r>
        <w:t>(Perreault &amp; Leigh, 1989)</w:t>
      </w:r>
      <w:r w:rsidRPr="00E92B73">
        <w:t>. Remaining concerns were addressed through discussion or review of the primary studies.</w:t>
      </w:r>
    </w:p>
    <w:p w14:paraId="5023C06A" w14:textId="77777777" w:rsidR="006822EF" w:rsidRPr="007E3C9A" w:rsidRDefault="006822EF" w:rsidP="008E14A8">
      <w:pPr>
        <w:pStyle w:val="Paragraph"/>
        <w:jc w:val="both"/>
        <w:rPr>
          <w:color w:val="000000" w:themeColor="text1"/>
        </w:rPr>
      </w:pPr>
      <w:r w:rsidRPr="00A239D9">
        <w:t xml:space="preserve">By December 2023, this process resulted in 191 effect sizes from 119 studies (112 </w:t>
      </w:r>
      <w:r w:rsidRPr="007E3C9A">
        <w:rPr>
          <w:color w:val="000000" w:themeColor="text1"/>
        </w:rPr>
        <w:t>published, 7 unpublished) across 29 countries, encompassing 1,133,014 board interlocks from 1962 to 2022. A detailed overview of the included studies is available in Online Supplement 1.</w:t>
      </w:r>
    </w:p>
    <w:p w14:paraId="069987E4" w14:textId="77777777" w:rsidR="006822EF" w:rsidRPr="009572A7" w:rsidRDefault="006822EF" w:rsidP="009572A7">
      <w:pPr>
        <w:pStyle w:val="berschrift3"/>
      </w:pPr>
      <w:r w:rsidRPr="009572A7">
        <w:lastRenderedPageBreak/>
        <w:t>Variables</w:t>
      </w:r>
    </w:p>
    <w:p w14:paraId="4AFEE016" w14:textId="77777777" w:rsidR="006822EF" w:rsidRPr="00B451B9" w:rsidRDefault="006822EF" w:rsidP="008E14A8">
      <w:pPr>
        <w:pStyle w:val="Paragraph"/>
        <w:jc w:val="both"/>
        <w:rPr>
          <w:color w:val="000000" w:themeColor="text1"/>
        </w:rPr>
      </w:pPr>
      <w:r w:rsidRPr="007E3C9A">
        <w:rPr>
          <w:i/>
          <w:iCs/>
          <w:color w:val="000000" w:themeColor="text1"/>
        </w:rPr>
        <w:t>Independent variable - Board interlocks</w:t>
      </w:r>
      <w:r w:rsidRPr="007E3C9A">
        <w:rPr>
          <w:color w:val="000000" w:themeColor="text1"/>
        </w:rPr>
        <w:t xml:space="preserve">. Research on board interlocks has developed various methods to analyze their effects, with centrality measures from social network analysis being especially </w:t>
      </w:r>
      <w:r>
        <w:rPr>
          <w:color w:val="000000" w:themeColor="text1"/>
        </w:rPr>
        <w:t>popular</w:t>
      </w:r>
      <w:r w:rsidRPr="007E3C9A">
        <w:rPr>
          <w:color w:val="000000" w:themeColor="text1"/>
        </w:rPr>
        <w:t xml:space="preserve"> </w:t>
      </w:r>
      <w:r>
        <w:rPr>
          <w:color w:val="000000" w:themeColor="text1"/>
        </w:rPr>
        <w:t>(Borgatti &amp; Everett, 2006)</w:t>
      </w:r>
      <w:r w:rsidRPr="007E3C9A">
        <w:rPr>
          <w:color w:val="000000" w:themeColor="text1"/>
        </w:rPr>
        <w:t xml:space="preserve">. We focus on degree centrality, which quantifies the number of direct connections a firm has with other firms. For example, if firm A is connected to eight other firms through its directors, it has a degree centrality of eight. This </w:t>
      </w:r>
      <w:r w:rsidRPr="00B451B9">
        <w:rPr>
          <w:color w:val="000000" w:themeColor="text1"/>
        </w:rPr>
        <w:t xml:space="preserve">measure offers insights into a firm's network influence, access to external resources, and exposure to business opportunities </w:t>
      </w:r>
      <w:r>
        <w:rPr>
          <w:color w:val="000000" w:themeColor="text1"/>
        </w:rPr>
        <w:t>(Aktamov &amp; Zhao, 2014; Larcker, So, &amp; Wang, 2013)</w:t>
      </w:r>
      <w:r w:rsidRPr="00B451B9">
        <w:rPr>
          <w:color w:val="000000" w:themeColor="text1"/>
        </w:rPr>
        <w:t>.</w:t>
      </w:r>
    </w:p>
    <w:p w14:paraId="2EE796EB" w14:textId="77777777" w:rsidR="006822EF" w:rsidRPr="00B451B9" w:rsidRDefault="006822EF" w:rsidP="008E14A8">
      <w:pPr>
        <w:pStyle w:val="Paragraph"/>
        <w:jc w:val="both"/>
        <w:rPr>
          <w:color w:val="000000" w:themeColor="text1"/>
        </w:rPr>
      </w:pPr>
      <w:r w:rsidRPr="00B451B9">
        <w:rPr>
          <w:i/>
          <w:iCs/>
          <w:color w:val="000000" w:themeColor="text1"/>
        </w:rPr>
        <w:t>Dependent variable - Firm performance</w:t>
      </w:r>
      <w:r w:rsidRPr="00B451B9">
        <w:rPr>
          <w:color w:val="000000" w:themeColor="text1"/>
        </w:rPr>
        <w:t xml:space="preserve">. Consistent with previous meta-analyses </w:t>
      </w:r>
      <w:r>
        <w:rPr>
          <w:color w:val="000000" w:themeColor="text1"/>
        </w:rPr>
        <w:t>(e.g., Lee &amp; Madhavan, 2010)</w:t>
      </w:r>
      <w:r w:rsidRPr="00B451B9">
        <w:rPr>
          <w:color w:val="000000" w:themeColor="text1"/>
        </w:rPr>
        <w:t>, we assess firm performance using both accounting measures (e.g., ROA, ROI, ROE) and market-based measures (e.g., M/B ratio, Tobin's Q, CAR).</w:t>
      </w:r>
      <w:r>
        <w:rPr>
          <w:rStyle w:val="Endnotenzeichen"/>
          <w:color w:val="000000" w:themeColor="text1"/>
        </w:rPr>
        <w:endnoteReference w:id="3"/>
      </w:r>
      <w:r>
        <w:rPr>
          <w:rStyle w:val="Endnotenzeichen"/>
          <w:color w:val="000000" w:themeColor="text1"/>
        </w:rPr>
        <w:endnoteReference w:id="4"/>
      </w:r>
      <w:r w:rsidRPr="00B451B9">
        <w:rPr>
          <w:color w:val="000000" w:themeColor="text1"/>
        </w:rPr>
        <w:t xml:space="preserve"> When studies report multiple effect sizes, we collect them separately </w:t>
      </w:r>
      <w:r>
        <w:rPr>
          <w:color w:val="000000" w:themeColor="text1"/>
        </w:rPr>
        <w:t>(Cheung, 2014c)</w:t>
      </w:r>
      <w:r w:rsidRPr="00B451B9">
        <w:rPr>
          <w:color w:val="000000" w:themeColor="text1"/>
        </w:rPr>
        <w:t xml:space="preserve">. </w:t>
      </w:r>
    </w:p>
    <w:p w14:paraId="05957091" w14:textId="77777777" w:rsidR="006822EF" w:rsidRPr="0006466D" w:rsidRDefault="006822EF" w:rsidP="008E14A8">
      <w:pPr>
        <w:pStyle w:val="Paragraph"/>
        <w:jc w:val="both"/>
        <w:rPr>
          <w:color w:val="000000" w:themeColor="text1"/>
        </w:rPr>
      </w:pPr>
      <w:r w:rsidRPr="00B451B9">
        <w:rPr>
          <w:i/>
          <w:iCs/>
          <w:color w:val="000000" w:themeColor="text1"/>
        </w:rPr>
        <w:t>Mediator variable – Resource provision</w:t>
      </w:r>
      <w:r w:rsidRPr="00B451B9">
        <w:rPr>
          <w:color w:val="000000" w:themeColor="text1"/>
        </w:rPr>
        <w:t>. To assess the impact of board interlocks on firms' access to key resources as proposed by RDT, we analyze the correlation</w:t>
      </w:r>
      <w:r>
        <w:rPr>
          <w:color w:val="000000" w:themeColor="text1"/>
        </w:rPr>
        <w:t xml:space="preserve"> coefficients</w:t>
      </w:r>
      <w:r w:rsidRPr="00B451B9">
        <w:rPr>
          <w:color w:val="000000" w:themeColor="text1"/>
        </w:rPr>
        <w:t xml:space="preserve"> between board interlocks and different growth strategies. These strategies include internal growth strategies </w:t>
      </w:r>
      <w:r>
        <w:rPr>
          <w:color w:val="000000" w:themeColor="text1"/>
        </w:rPr>
        <w:t>(e.g., Chen, 2014)</w:t>
      </w:r>
      <w:r w:rsidRPr="00B451B9">
        <w:rPr>
          <w:color w:val="000000" w:themeColor="text1"/>
        </w:rPr>
        <w:t xml:space="preserve">, external </w:t>
      </w:r>
      <w:r w:rsidRPr="0006466D">
        <w:rPr>
          <w:color w:val="000000" w:themeColor="text1"/>
        </w:rPr>
        <w:t xml:space="preserve">growth strategies </w:t>
      </w:r>
      <w:r>
        <w:rPr>
          <w:color w:val="000000" w:themeColor="text1"/>
        </w:rPr>
        <w:t>(e.g., Haunschild, 1993)</w:t>
      </w:r>
      <w:r w:rsidRPr="0006466D">
        <w:rPr>
          <w:color w:val="000000" w:themeColor="text1"/>
        </w:rPr>
        <w:t xml:space="preserve">, and collaborative growth strategies </w:t>
      </w:r>
      <w:r>
        <w:rPr>
          <w:color w:val="000000" w:themeColor="text1"/>
        </w:rPr>
        <w:t>(e.g., Beckman et al., 2004)</w:t>
      </w:r>
      <w:r w:rsidRPr="0006466D">
        <w:rPr>
          <w:color w:val="000000" w:themeColor="text1"/>
        </w:rPr>
        <w:t>.</w:t>
      </w:r>
    </w:p>
    <w:p w14:paraId="510C312F" w14:textId="77777777" w:rsidR="006822EF" w:rsidRPr="0006466D" w:rsidRDefault="006822EF" w:rsidP="008E14A8">
      <w:pPr>
        <w:pStyle w:val="Paragraph"/>
        <w:jc w:val="both"/>
        <w:rPr>
          <w:color w:val="000000" w:themeColor="text1"/>
        </w:rPr>
      </w:pPr>
      <w:r w:rsidRPr="0006466D">
        <w:rPr>
          <w:i/>
          <w:iCs/>
          <w:color w:val="000000" w:themeColor="text1"/>
        </w:rPr>
        <w:t>Mediator variable – Agency costs</w:t>
      </w:r>
      <w:r w:rsidRPr="0006466D">
        <w:rPr>
          <w:color w:val="000000" w:themeColor="text1"/>
        </w:rPr>
        <w:t xml:space="preserve">. Agency theory suggests that board interlocks may increase agency costs by reducing the monitoring effectiveness of directors. To test this, we collected correlation coefficients for variables associated with agency conflicts, including higher cash holdings </w:t>
      </w:r>
      <w:r>
        <w:rPr>
          <w:color w:val="000000" w:themeColor="text1"/>
        </w:rPr>
        <w:t>(e.g., Chen, Chen, Schipper, Xu, &amp; Xue, 2012)</w:t>
      </w:r>
      <w:r w:rsidRPr="0006466D">
        <w:rPr>
          <w:color w:val="000000" w:themeColor="text1"/>
        </w:rPr>
        <w:t xml:space="preserve">, increased free cash flow </w:t>
      </w:r>
      <w:r>
        <w:rPr>
          <w:color w:val="000000" w:themeColor="text1"/>
        </w:rPr>
        <w:t>(e.g., Cadenillas &amp; Clark, 2007)</w:t>
      </w:r>
      <w:r w:rsidRPr="0006466D">
        <w:rPr>
          <w:color w:val="000000" w:themeColor="text1"/>
        </w:rPr>
        <w:t xml:space="preserve">, greater diversification </w:t>
      </w:r>
      <w:r>
        <w:rPr>
          <w:color w:val="000000" w:themeColor="text1"/>
        </w:rPr>
        <w:t>(e.g., Staglianò, La Rocca, &amp; La Rocca, 2014)</w:t>
      </w:r>
      <w:r w:rsidRPr="0006466D">
        <w:rPr>
          <w:color w:val="000000" w:themeColor="text1"/>
        </w:rPr>
        <w:t xml:space="preserve">, and elevated CEO compensation </w:t>
      </w:r>
      <w:r>
        <w:rPr>
          <w:color w:val="000000" w:themeColor="text1"/>
        </w:rPr>
        <w:t>(e.g., Boyd, 1994)</w:t>
      </w:r>
      <w:r w:rsidRPr="0006466D">
        <w:rPr>
          <w:color w:val="000000" w:themeColor="text1"/>
        </w:rPr>
        <w:t>.</w:t>
      </w:r>
    </w:p>
    <w:p w14:paraId="5BC7AEFD" w14:textId="77777777" w:rsidR="006822EF" w:rsidRPr="00AF3A38" w:rsidRDefault="006822EF" w:rsidP="008E14A8">
      <w:pPr>
        <w:pStyle w:val="Paragraph"/>
        <w:jc w:val="both"/>
        <w:rPr>
          <w:color w:val="000000" w:themeColor="text1"/>
        </w:rPr>
      </w:pPr>
      <w:r w:rsidRPr="0006466D">
        <w:rPr>
          <w:i/>
          <w:iCs/>
          <w:color w:val="000000" w:themeColor="text1"/>
        </w:rPr>
        <w:t>Moderating variable - CEO power</w:t>
      </w:r>
      <w:r w:rsidRPr="0006466D">
        <w:rPr>
          <w:color w:val="000000" w:themeColor="text1"/>
        </w:rPr>
        <w:t xml:space="preserve">. We assess board power relations through CEO power, a multidimensional concept that includes structural, ownership, expert, and prestige aspects </w:t>
      </w:r>
      <w:r>
        <w:rPr>
          <w:color w:val="000000" w:themeColor="text1"/>
        </w:rPr>
        <w:t>(Finkelstein, 1992)</w:t>
      </w:r>
      <w:r w:rsidRPr="0006466D">
        <w:rPr>
          <w:color w:val="000000" w:themeColor="text1"/>
        </w:rPr>
        <w:t xml:space="preserve">. A powerful CEO can enhance decision-making efficiency and </w:t>
      </w:r>
      <w:r w:rsidRPr="0006466D">
        <w:rPr>
          <w:color w:val="000000" w:themeColor="text1"/>
        </w:rPr>
        <w:lastRenderedPageBreak/>
        <w:t xml:space="preserve">command unity but may also increase agency costs, hinder information sharing, and lead to managerial entrenchment </w:t>
      </w:r>
      <w:r>
        <w:rPr>
          <w:color w:val="000000" w:themeColor="text1"/>
        </w:rPr>
        <w:t>[</w:t>
      </w:r>
      <w:r w:rsidRPr="0006466D">
        <w:rPr>
          <w:color w:val="000000" w:themeColor="text1"/>
        </w:rPr>
        <w:t xml:space="preserve">see </w:t>
      </w:r>
      <w:r>
        <w:rPr>
          <w:color w:val="000000" w:themeColor="text1"/>
        </w:rPr>
        <w:t>Ozgen, Mooney, and Zhou</w:t>
      </w:r>
      <w:r w:rsidRPr="0006466D">
        <w:rPr>
          <w:color w:val="000000" w:themeColor="text1"/>
        </w:rPr>
        <w:t xml:space="preserve"> </w:t>
      </w:r>
      <w:r>
        <w:rPr>
          <w:color w:val="000000" w:themeColor="text1"/>
        </w:rPr>
        <w:t>(2024)</w:t>
      </w:r>
      <w:r w:rsidRPr="0006466D">
        <w:rPr>
          <w:color w:val="000000" w:themeColor="text1"/>
        </w:rPr>
        <w:t xml:space="preserve"> </w:t>
      </w:r>
      <w:r w:rsidRPr="003C7B82">
        <w:rPr>
          <w:color w:val="000000" w:themeColor="text1"/>
        </w:rPr>
        <w:t>for a recent bibliometric analysis and review]</w:t>
      </w:r>
      <w:r w:rsidRPr="0006466D">
        <w:rPr>
          <w:color w:val="000000" w:themeColor="text1"/>
        </w:rPr>
        <w:t xml:space="preserve">. Following </w:t>
      </w:r>
      <w:r>
        <w:rPr>
          <w:color w:val="000000" w:themeColor="text1"/>
        </w:rPr>
        <w:t>Burkhard, Sirén, van Essen, Grichnik, and Shepherd</w:t>
      </w:r>
      <w:r w:rsidRPr="0006466D">
        <w:rPr>
          <w:color w:val="000000" w:themeColor="text1"/>
        </w:rPr>
        <w:t xml:space="preserve"> </w:t>
      </w:r>
      <w:r>
        <w:rPr>
          <w:color w:val="000000" w:themeColor="text1"/>
        </w:rPr>
        <w:t>(2023)</w:t>
      </w:r>
      <w:r w:rsidRPr="0006466D">
        <w:rPr>
          <w:color w:val="000000" w:themeColor="text1"/>
        </w:rPr>
        <w:t xml:space="preserve"> and </w:t>
      </w:r>
      <w:r>
        <w:rPr>
          <w:color w:val="000000" w:themeColor="text1"/>
        </w:rPr>
        <w:t>Zhu and Chen</w:t>
      </w:r>
      <w:r w:rsidRPr="0006466D">
        <w:rPr>
          <w:color w:val="000000" w:themeColor="text1"/>
        </w:rPr>
        <w:t xml:space="preserve"> </w:t>
      </w:r>
      <w:r>
        <w:rPr>
          <w:color w:val="000000" w:themeColor="text1"/>
        </w:rPr>
        <w:t>(2015)</w:t>
      </w:r>
      <w:r w:rsidRPr="0006466D">
        <w:rPr>
          <w:color w:val="000000" w:themeColor="text1"/>
        </w:rPr>
        <w:t>, w</w:t>
      </w:r>
      <w:r w:rsidRPr="00AF3A38">
        <w:rPr>
          <w:color w:val="000000" w:themeColor="text1"/>
        </w:rPr>
        <w:t>e measure CEO power using a composite index that includes CEO duality, board independence, board size, and CEO ownership.</w:t>
      </w:r>
    </w:p>
    <w:p w14:paraId="169114BA" w14:textId="77777777" w:rsidR="006822EF" w:rsidRPr="00AF3A38" w:rsidRDefault="006822EF" w:rsidP="008E14A8">
      <w:pPr>
        <w:pStyle w:val="Paragraph"/>
        <w:jc w:val="both"/>
        <w:rPr>
          <w:color w:val="000000" w:themeColor="text1"/>
        </w:rPr>
      </w:pPr>
      <w:r w:rsidRPr="00AF3A38">
        <w:rPr>
          <w:i/>
          <w:iCs/>
          <w:color w:val="000000" w:themeColor="text1"/>
        </w:rPr>
        <w:t>Moderating variable - Formal national institutions</w:t>
      </w:r>
      <w:r w:rsidRPr="00AF3A38">
        <w:rPr>
          <w:color w:val="000000" w:themeColor="text1"/>
        </w:rPr>
        <w:t xml:space="preserve">. We analyze the moderating effect of formal rules and regulations using a composite index from </w:t>
      </w:r>
      <w:r>
        <w:rPr>
          <w:color w:val="000000" w:themeColor="text1"/>
        </w:rPr>
        <w:t>Crossland and Hambrick</w:t>
      </w:r>
      <w:r w:rsidRPr="00AF3A38">
        <w:rPr>
          <w:color w:val="000000" w:themeColor="text1"/>
        </w:rPr>
        <w:t xml:space="preserve"> </w:t>
      </w:r>
      <w:r>
        <w:rPr>
          <w:color w:val="000000" w:themeColor="text1"/>
        </w:rPr>
        <w:t>(2011)</w:t>
      </w:r>
      <w:r w:rsidRPr="00AF3A38">
        <w:rPr>
          <w:color w:val="000000" w:themeColor="text1"/>
        </w:rPr>
        <w:t xml:space="preserve">, which includes ownership dispersion, legal origin, and employer flexibility. Ownership dispersion data is from </w:t>
      </w:r>
      <w:r>
        <w:rPr>
          <w:color w:val="000000" w:themeColor="text1"/>
        </w:rPr>
        <w:t>La Porta, Lopez‐De‐Silanes, and Shleifer</w:t>
      </w:r>
      <w:r w:rsidRPr="00AF3A38">
        <w:rPr>
          <w:color w:val="000000" w:themeColor="text1"/>
        </w:rPr>
        <w:t xml:space="preserve"> </w:t>
      </w:r>
      <w:r>
        <w:rPr>
          <w:color w:val="000000" w:themeColor="text1"/>
        </w:rPr>
        <w:t>(1999)</w:t>
      </w:r>
      <w:r w:rsidRPr="00AF3A38">
        <w:rPr>
          <w:color w:val="000000" w:themeColor="text1"/>
        </w:rPr>
        <w:t xml:space="preserve">, legal origin classifies countries by common or civil law, and employer flexibility is measured by the employment protection index from </w:t>
      </w:r>
      <w:r>
        <w:rPr>
          <w:color w:val="000000" w:themeColor="text1"/>
        </w:rPr>
        <w:t>Margarita Estevez-Abe, Torben Iversen, and and David Soskice</w:t>
      </w:r>
      <w:r w:rsidRPr="00AF3A38">
        <w:rPr>
          <w:color w:val="000000" w:themeColor="text1"/>
        </w:rPr>
        <w:t xml:space="preserve"> </w:t>
      </w:r>
      <w:r>
        <w:rPr>
          <w:color w:val="000000" w:themeColor="text1"/>
        </w:rPr>
        <w:t>(2001)</w:t>
      </w:r>
      <w:r w:rsidRPr="00AF3A38">
        <w:rPr>
          <w:color w:val="000000" w:themeColor="text1"/>
        </w:rPr>
        <w:t>.</w:t>
      </w:r>
    </w:p>
    <w:p w14:paraId="56D4DDDD" w14:textId="77777777" w:rsidR="006822EF" w:rsidRPr="00CC2D82" w:rsidRDefault="006822EF" w:rsidP="008E14A8">
      <w:pPr>
        <w:pStyle w:val="Paragraph"/>
        <w:jc w:val="both"/>
      </w:pPr>
      <w:r w:rsidRPr="00AF3A38">
        <w:rPr>
          <w:i/>
          <w:iCs/>
          <w:color w:val="000000" w:themeColor="text1"/>
        </w:rPr>
        <w:t>Moderating variable - Informal national institutions</w:t>
      </w:r>
      <w:r w:rsidRPr="00AF3A38">
        <w:rPr>
          <w:color w:val="000000" w:themeColor="text1"/>
        </w:rPr>
        <w:t xml:space="preserve">. Following </w:t>
      </w:r>
      <w:r>
        <w:rPr>
          <w:color w:val="000000" w:themeColor="text1"/>
        </w:rPr>
        <w:t>Crossland and Hambrick</w:t>
      </w:r>
      <w:r w:rsidRPr="00AF3A38">
        <w:rPr>
          <w:color w:val="000000" w:themeColor="text1"/>
        </w:rPr>
        <w:t xml:space="preserve"> </w:t>
      </w:r>
      <w:r>
        <w:rPr>
          <w:color w:val="000000" w:themeColor="text1"/>
        </w:rPr>
        <w:t>(2011)</w:t>
      </w:r>
      <w:r w:rsidRPr="00AF3A38">
        <w:rPr>
          <w:color w:val="000000" w:themeColor="text1"/>
        </w:rPr>
        <w:t xml:space="preserve">, informal institutions are measured using a composite index that incorporates </w:t>
      </w:r>
      <w:r>
        <w:t>Hofstede</w:t>
      </w:r>
      <w:r w:rsidRPr="002D6837">
        <w:t>'s</w:t>
      </w:r>
      <w:r>
        <w:t xml:space="preserve"> (1980) </w:t>
      </w:r>
      <w:r w:rsidRPr="002D6837">
        <w:t>cultural dimensions, including power distance, individualism, and uncertainty avoidance (reverse-coded as uncertainty tolerance)</w:t>
      </w:r>
      <w:r w:rsidRPr="00E756DF">
        <w:t>, as well as</w:t>
      </w:r>
      <w:r>
        <w:t xml:space="preserve"> Gelfand et al.</w:t>
      </w:r>
      <w:r w:rsidRPr="002D6837">
        <w:t>'s</w:t>
      </w:r>
      <w:r>
        <w:t xml:space="preserve"> (2011) </w:t>
      </w:r>
      <w:r w:rsidRPr="002D6837">
        <w:t>national-level cultural tightness index. For countries not included in the original scores, data from</w:t>
      </w:r>
      <w:r>
        <w:t xml:space="preserve"> Uz (2015)</w:t>
      </w:r>
      <w:r w:rsidRPr="002D6837">
        <w:t xml:space="preserve"> were used.</w:t>
      </w:r>
    </w:p>
    <w:p w14:paraId="3F504D43" w14:textId="77777777" w:rsidR="006822EF" w:rsidRDefault="006822EF" w:rsidP="008E14A8">
      <w:pPr>
        <w:pStyle w:val="Paragraph"/>
        <w:jc w:val="both"/>
      </w:pPr>
      <w:r w:rsidRPr="00E92B73">
        <w:rPr>
          <w:i/>
          <w:iCs/>
        </w:rPr>
        <w:t>Control variables</w:t>
      </w:r>
      <w:r w:rsidRPr="00E92B73">
        <w:t xml:space="preserve">. To better isolate the effect of board interlocks, we control for several variables. Firm size is measured by total assets, as larger firms are often more interlocked </w:t>
      </w:r>
      <w:r>
        <w:t>(Zona et al., 2018)</w:t>
      </w:r>
      <w:r w:rsidRPr="00E92B73">
        <w:t xml:space="preserve">. We also control for whether firms are in the technology and financial sectors (0 = no, 1 = yes), due to financial and knowledge dependence driving board interlocks </w:t>
      </w:r>
      <w:r>
        <w:t>(Howard, Withers, &amp; Tihanyi, 2017; Mizruchi &amp; Stearns, 1994)</w:t>
      </w:r>
      <w:r w:rsidRPr="00E92B73">
        <w:t>. Additionally, we control for</w:t>
      </w:r>
      <w:r>
        <w:t xml:space="preserve"> the type of</w:t>
      </w:r>
      <w:r w:rsidRPr="00E92B73">
        <w:t xml:space="preserve"> performance measures (0 = market-based, 1 = accounting-based) as well as the quality of primary studies by including the journal's impact factor </w:t>
      </w:r>
      <w:r>
        <w:t>(Carney, Gedajlovic, Heugens, van Essen, &amp; van Oosterhout, 2011)</w:t>
      </w:r>
      <w:r w:rsidRPr="00E92B73">
        <w:t>. We also use a binary indicator variable indicating whether studies control for endogeneity in their research design (0 = no, 1 = yes</w:t>
      </w:r>
      <w:r>
        <w:t xml:space="preserve">; Kraft, 2022; Palm et </w:t>
      </w:r>
      <w:r>
        <w:lastRenderedPageBreak/>
        <w:t>al., 2023)</w:t>
      </w:r>
      <w:r w:rsidRPr="00E92B73">
        <w:t xml:space="preserve">. </w:t>
      </w:r>
      <w:r w:rsidRPr="00671F82">
        <w:t>Finally, we control for the average sample year to account for changes in network effects over time. Table 1 provides a summary of the main constructs.</w:t>
      </w:r>
    </w:p>
    <w:p w14:paraId="06B0E55A" w14:textId="77777777" w:rsidR="006822EF" w:rsidRPr="00671F82" w:rsidRDefault="006822EF" w:rsidP="00DB6539">
      <w:pPr>
        <w:pStyle w:val="Paragraph"/>
        <w:ind w:firstLine="0"/>
        <w:jc w:val="center"/>
        <w:rPr>
          <w:color w:val="000000" w:themeColor="text1"/>
        </w:rPr>
      </w:pPr>
      <w:r w:rsidRPr="00671F82">
        <w:rPr>
          <w:color w:val="000000" w:themeColor="text1"/>
        </w:rPr>
        <w:t>----------------------------------</w:t>
      </w:r>
    </w:p>
    <w:p w14:paraId="4B5B5149" w14:textId="77777777" w:rsidR="006822EF" w:rsidRPr="00671F82" w:rsidRDefault="006822EF" w:rsidP="00DB6539">
      <w:pPr>
        <w:pStyle w:val="Paragraph"/>
        <w:ind w:firstLine="0"/>
        <w:jc w:val="center"/>
        <w:rPr>
          <w:color w:val="000000" w:themeColor="text1"/>
        </w:rPr>
      </w:pPr>
      <w:r w:rsidRPr="00671F82">
        <w:rPr>
          <w:color w:val="000000" w:themeColor="text1"/>
        </w:rPr>
        <w:t>Insert Table 1 about here</w:t>
      </w:r>
    </w:p>
    <w:p w14:paraId="094A4214" w14:textId="77777777" w:rsidR="006822EF" w:rsidRPr="00743AFB" w:rsidRDefault="006822EF" w:rsidP="00DB6539">
      <w:pPr>
        <w:pStyle w:val="Paragraph"/>
        <w:spacing w:after="120"/>
        <w:ind w:firstLine="0"/>
        <w:jc w:val="center"/>
        <w:rPr>
          <w:color w:val="000000" w:themeColor="text1"/>
        </w:rPr>
      </w:pPr>
      <w:r w:rsidRPr="00743AFB">
        <w:rPr>
          <w:color w:val="000000" w:themeColor="text1"/>
        </w:rPr>
        <w:t>-----------------------------------</w:t>
      </w:r>
    </w:p>
    <w:p w14:paraId="00D5A39B" w14:textId="77777777" w:rsidR="006822EF" w:rsidRPr="009572A7" w:rsidRDefault="006822EF" w:rsidP="009572A7">
      <w:pPr>
        <w:pStyle w:val="berschrift3"/>
      </w:pPr>
      <w:r w:rsidRPr="009572A7">
        <w:t>Meta-Analytic Procedure</w:t>
      </w:r>
    </w:p>
    <w:p w14:paraId="1EF2167A" w14:textId="77777777" w:rsidR="006822EF" w:rsidRDefault="006822EF" w:rsidP="008411D3">
      <w:pPr>
        <w:pStyle w:val="Paragraph"/>
        <w:ind w:firstLine="708"/>
        <w:jc w:val="both"/>
      </w:pPr>
      <w:r w:rsidRPr="00E92B73">
        <w:t xml:space="preserve">In line with recent methodological recommendations </w:t>
      </w:r>
      <w:r>
        <w:t>(Cheung, 2014a; Hox, Moerbeek, &amp; van de Schoot, 2017)</w:t>
      </w:r>
      <w:r w:rsidRPr="00E92B73">
        <w:t xml:space="preserve">, </w:t>
      </w:r>
      <w:r w:rsidRPr="00AB274D">
        <w:t>we employed a three-level random effects meta-analytic approach to</w:t>
      </w:r>
      <w:r w:rsidRPr="00E92B73">
        <w:t xml:space="preserve"> account for </w:t>
      </w:r>
      <w:r w:rsidRPr="00AB274D">
        <w:t>multiple effect sizes contributed by individual studies. This approach evaluates heterogeneity at three levels: Level 1 analyzes individual effect sizes, Level 2 addresses within-study heterogeneity, and Level 3 focuses on between-study heterogeneity. Multilevel methods are increasingly popular in management research due to their ability to manage dependent effect sizes and provide more accurate estimates of heterogeneity compared to traditional methods</w:t>
      </w:r>
      <w:r>
        <w:t xml:space="preserve"> (Cheung, 2014a, 2014c; Fernández-Castilla et al., 2020).</w:t>
      </w:r>
      <w:r w:rsidRPr="00E92B73">
        <w:t xml:space="preserve"> </w:t>
      </w:r>
    </w:p>
    <w:p w14:paraId="4854FD65" w14:textId="77777777" w:rsidR="006822EF" w:rsidRDefault="006822EF" w:rsidP="008E14A8">
      <w:pPr>
        <w:pStyle w:val="Paragraph"/>
        <w:ind w:firstLine="708"/>
        <w:jc w:val="both"/>
      </w:pPr>
      <w:r w:rsidRPr="00AB274D">
        <w:t xml:space="preserve">Consistent with recent meta-analyses in management research </w:t>
      </w:r>
      <w:r>
        <w:t>(e.g., Holmes et al., 2021; Palm et al., 2023)</w:t>
      </w:r>
      <w:r w:rsidRPr="00E92B73">
        <w:t xml:space="preserve">, </w:t>
      </w:r>
      <w:r w:rsidRPr="00AB274D">
        <w:t>we used multiple methods to assess heterogeneity</w:t>
      </w:r>
      <w:r>
        <w:t xml:space="preserve"> of</w:t>
      </w:r>
      <w:r w:rsidRPr="00AB274D">
        <w:t xml:space="preserve"> effect size</w:t>
      </w:r>
      <w:r>
        <w:t>s</w:t>
      </w:r>
      <w:r w:rsidRPr="00AB274D">
        <w:t xml:space="preserve">. Cochran's </w:t>
      </w:r>
      <w:r w:rsidRPr="006F1498">
        <w:rPr>
          <w:i/>
          <w:iCs/>
        </w:rPr>
        <w:t>Q</w:t>
      </w:r>
      <w:r w:rsidRPr="00AB274D">
        <w:t xml:space="preserve"> tests were applied to determine if observed variation exceeded what would be expected from sampling error alone, indicating </w:t>
      </w:r>
      <w:r>
        <w:t>between-</w:t>
      </w:r>
      <w:r w:rsidRPr="00AB274D">
        <w:t>study heterogeneity</w:t>
      </w:r>
      <w:r w:rsidRPr="00E92B73">
        <w:t xml:space="preserve"> </w:t>
      </w:r>
      <w:r>
        <w:t>(Hedges &amp; Olkin, 1985)</w:t>
      </w:r>
      <w:r w:rsidRPr="00E92B73">
        <w:t xml:space="preserve">. </w:t>
      </w:r>
      <w:r w:rsidRPr="006F1498">
        <w:rPr>
          <w:i/>
          <w:iCs/>
        </w:rPr>
        <w:t>I</w:t>
      </w:r>
      <w:r w:rsidRPr="00AB274D">
        <w:t>-squared was used to quantify the magnitude of this heterogeneity</w:t>
      </w:r>
      <w:r>
        <w:t xml:space="preserve"> (Higgins &amp; Thompson, 2002)</w:t>
      </w:r>
      <w:r w:rsidRPr="00E92B73">
        <w:t xml:space="preserve">. </w:t>
      </w:r>
      <w:r w:rsidRPr="00AB274D">
        <w:t>Additionally, we computed 80% confidence ranges (</w:t>
      </w:r>
      <w:r w:rsidRPr="006F1498">
        <w:rPr>
          <w:i/>
          <w:iCs/>
        </w:rPr>
        <w:t>CR</w:t>
      </w:r>
      <w:r w:rsidRPr="00AB274D">
        <w:t>) for the sample size-weighted mean observed effect sizes, where wider intervals suggested the presence of moderators</w:t>
      </w:r>
      <w:r>
        <w:t xml:space="preserve"> (Koslowsky &amp; Sagie, 1993)</w:t>
      </w:r>
      <w:r w:rsidRPr="00E92B73">
        <w:t xml:space="preserve">. </w:t>
      </w:r>
      <w:r w:rsidRPr="00AB274D">
        <w:t>The meta-analysis was conducted using R (version 4.1) with the metafor package (version 2.4)</w:t>
      </w:r>
      <w:r>
        <w:t xml:space="preserve"> by Viechtbauer (2010).</w:t>
      </w:r>
    </w:p>
    <w:p w14:paraId="7F89DE12" w14:textId="77777777" w:rsidR="006822EF" w:rsidRPr="009572A7" w:rsidRDefault="006822EF" w:rsidP="009572A7">
      <w:pPr>
        <w:pStyle w:val="berschrift3"/>
      </w:pPr>
      <w:bookmarkStart w:id="17" w:name="_Toc164267000"/>
      <w:r w:rsidRPr="009572A7">
        <w:t>MASEM Procedure</w:t>
      </w:r>
      <w:bookmarkEnd w:id="17"/>
    </w:p>
    <w:p w14:paraId="671960E8" w14:textId="77777777" w:rsidR="006822EF" w:rsidRPr="00E92B73" w:rsidRDefault="006822EF" w:rsidP="008411D3">
      <w:pPr>
        <w:pStyle w:val="Paragraph"/>
        <w:ind w:firstLine="708"/>
        <w:jc w:val="both"/>
      </w:pPr>
      <w:r w:rsidRPr="00E92B73">
        <w:t xml:space="preserve">To examine the mediating effects of resource provision and agency costs on the relationship between board interlocks and firm performance, we used meta-analytic structural </w:t>
      </w:r>
      <w:r w:rsidRPr="00E92B73">
        <w:lastRenderedPageBreak/>
        <w:t>equation modeling (MASEM)</w:t>
      </w:r>
      <w:r>
        <w:t xml:space="preserve"> following established methodological guidelines (Combs et al., 2019; Viswesvaran &amp; Ones, 1995)</w:t>
      </w:r>
      <w:r w:rsidRPr="00E92B73">
        <w:t xml:space="preserve">. </w:t>
      </w:r>
      <w:r w:rsidRPr="00AB274D">
        <w:t>MASEM combines meta-analysis and structural equation modeling, allowing for the exploration of complex models by synthesizing data from multiple studies</w:t>
      </w:r>
      <w:r w:rsidRPr="00E92B73">
        <w:t xml:space="preserve"> </w:t>
      </w:r>
      <w:r>
        <w:t>(Bergh et al., 2016; Cheung &amp; Chan, 2005)</w:t>
      </w:r>
      <w:r w:rsidRPr="00E92B73">
        <w:t xml:space="preserve">. </w:t>
      </w:r>
      <w:r w:rsidRPr="00AB274D">
        <w:t>Unlike traditional meta-analysis, MASEM enables the examination of complex theoretical models, accounts for sampling covariance, and provides estimates of model parameters, confidence intervals, and standard errors</w:t>
      </w:r>
      <w:r>
        <w:t xml:space="preserve"> (Cheung, 2015; Jak, 2015; Jak &amp; Cheung, 2020)</w:t>
      </w:r>
      <w:r w:rsidRPr="00E92B73">
        <w:t xml:space="preserve">. This has led to its widespread adoption in the research literature </w:t>
      </w:r>
      <w:r>
        <w:t>(Combs et al., 2019; Sheng, Kong, Cortina, &amp; Hou, 2016)</w:t>
      </w:r>
      <w:r w:rsidRPr="00E92B73">
        <w:t>.</w:t>
      </w:r>
    </w:p>
    <w:p w14:paraId="53A79499" w14:textId="77777777" w:rsidR="006822EF" w:rsidRPr="00E92B73" w:rsidRDefault="006822EF" w:rsidP="008E14A8">
      <w:pPr>
        <w:pStyle w:val="Paragraph"/>
        <w:jc w:val="both"/>
      </w:pPr>
      <w:r w:rsidRPr="00AB274D">
        <w:t>MASEM typically involves two steps</w:t>
      </w:r>
      <w:r>
        <w:t xml:space="preserve"> (Viswesvaran &amp; Ones, 1995)</w:t>
      </w:r>
      <w:r w:rsidRPr="00E92B73">
        <w:t xml:space="preserve">. </w:t>
      </w:r>
      <w:r w:rsidRPr="00AB274D">
        <w:t>First, a pooled correlation matrix is estimated using methods like generalized least squares (GLS) or full information maximum likelihood (FIML). Second, a structural equation model is fitted using techniques such as weighted least squares (WLS</w:t>
      </w:r>
      <w:r>
        <w:t>; Browne, 1984; Cheung, 2016)</w:t>
      </w:r>
      <w:r w:rsidRPr="00E92B73">
        <w:t xml:space="preserve">. </w:t>
      </w:r>
      <w:r w:rsidRPr="00AB274D">
        <w:t xml:space="preserve">Although advanced methods like two-stage structural equation modeling (TSSEM) optimize sample sizes, they do not fully exploit the strengths of standard meta-analysis in accounting for study-level variation. Therefore, we adopted a one-stage meta-analytic structural equation modeling (OSMASEM) approach </w:t>
      </w:r>
      <w:r>
        <w:t>(Jak &amp; Cheung, 2020)</w:t>
      </w:r>
      <w:r w:rsidRPr="00E92B73">
        <w:t xml:space="preserve"> for hypothesis testing.</w:t>
      </w:r>
    </w:p>
    <w:p w14:paraId="5EFC9622" w14:textId="77777777" w:rsidR="006822EF" w:rsidRPr="00E92B73" w:rsidRDefault="006822EF" w:rsidP="008E14A8">
      <w:pPr>
        <w:pStyle w:val="Paragraph"/>
        <w:jc w:val="both"/>
      </w:pPr>
      <w:r w:rsidRPr="00E92B73">
        <w:t xml:space="preserve">OSMASEM advances other MASEM </w:t>
      </w:r>
      <w:r w:rsidRPr="00AB274D">
        <w:t>by using a one-stage FIML estimation method that fits structural equation models directly to primary study correlation coefficients. This approach improves the accuracy of explaining study-level heterogeneity and allows for the inclusion of continuous and categorical moderators, increasing analytical flexibility</w:t>
      </w:r>
      <w:r>
        <w:t xml:space="preserve"> (Jak &amp; Cheung, 2020)</w:t>
      </w:r>
      <w:r w:rsidRPr="00E92B73">
        <w:t xml:space="preserve">, which explains its rapid adoption in management research and meta-analyses </w:t>
      </w:r>
      <w:r>
        <w:t>(e.g., Kraft, 2022)</w:t>
      </w:r>
      <w:r w:rsidRPr="00E92B73">
        <w:t xml:space="preserve">. </w:t>
      </w:r>
    </w:p>
    <w:p w14:paraId="17F5E70A" w14:textId="30C13756" w:rsidR="006822EF" w:rsidRPr="00E92B73" w:rsidRDefault="006822EF" w:rsidP="00A8510D">
      <w:pPr>
        <w:pStyle w:val="Paragraph"/>
        <w:jc w:val="both"/>
      </w:pPr>
      <w:r w:rsidRPr="00431513">
        <w:t xml:space="preserve">Throughout the MASEM process, we followed established guidelines </w:t>
      </w:r>
      <w:r>
        <w:t>(e.g., Jak &amp; Cheung, 2020; Jak, Li, Kolbe, Jonge, &amp; Cheung, 2021)</w:t>
      </w:r>
      <w:r w:rsidRPr="00E92B73">
        <w:t xml:space="preserve">. </w:t>
      </w:r>
      <w:r w:rsidRPr="00AB274D">
        <w:t xml:space="preserve">First, we identified key constructs, formulated inclusion criteria, and extracted relevant Pearson correlation coefficients and effect sizes from primary studies. </w:t>
      </w:r>
      <w:r w:rsidRPr="00434146">
        <w:t xml:space="preserve">Because three-level MASEM approaches are not yet available, we </w:t>
      </w:r>
      <w:r w:rsidRPr="00434146">
        <w:lastRenderedPageBreak/>
        <w:t xml:space="preserve">aggregated correlation coefficients representing the same concept within each study to avoid biased estimates due to the violation of statistical independence </w:t>
      </w:r>
      <w:r>
        <w:t>(Cheung &amp; Chan, 2004; Hedges &amp; Olkin, 1985)</w:t>
      </w:r>
      <w:r w:rsidRPr="00E92B73">
        <w:t>.</w:t>
      </w:r>
      <w:r>
        <w:rPr>
          <w:rStyle w:val="Endnotenzeichen"/>
        </w:rPr>
        <w:endnoteReference w:id="5"/>
      </w:r>
      <w:r w:rsidRPr="00E92B73">
        <w:t xml:space="preserve"> </w:t>
      </w:r>
      <w:r w:rsidRPr="00AB274D">
        <w:t xml:space="preserve">To further minimize bias, we ensured that at least 30 primary studies contributed an effect size for each variable pair, as recommended by </w:t>
      </w:r>
      <w:r>
        <w:t>Jak and Cheung</w:t>
      </w:r>
      <w:r w:rsidRPr="00E92B73">
        <w:t xml:space="preserve"> </w:t>
      </w:r>
      <w:r>
        <w:t>(2020)</w:t>
      </w:r>
      <w:r w:rsidRPr="00E92B73">
        <w:t xml:space="preserve">. </w:t>
      </w:r>
      <w:r w:rsidRPr="00AB274D">
        <w:t xml:space="preserve">When analyzing continuous moderators, we standardized all values before analysis. </w:t>
      </w:r>
      <w:r w:rsidRPr="003C7B82">
        <w:t xml:space="preserve">We then tested multiple competing structural equation models </w:t>
      </w:r>
      <w:r>
        <w:t>(Hayes, 2013)</w:t>
      </w:r>
      <w:r w:rsidRPr="00AB274D">
        <w:t xml:space="preserve">, and evaluated model fit using </w:t>
      </w:r>
      <w:r>
        <w:t xml:space="preserve">popular </w:t>
      </w:r>
      <w:r w:rsidRPr="00AB274D">
        <w:t xml:space="preserve">SEM goodness-of-fit statistics </w:t>
      </w:r>
      <w:r>
        <w:t>(Zhang, Dawson, &amp; Kline, 2021)</w:t>
      </w:r>
      <w:r w:rsidRPr="00E92B73">
        <w:t xml:space="preserve">. </w:t>
      </w:r>
      <w:r w:rsidRPr="00AB274D">
        <w:t xml:space="preserve">RMSEA (Root Mean Square Error of Approximation) with values below .06 indicating good fit </w:t>
      </w:r>
      <w:r>
        <w:t>(Hu &amp; Bentler, 1999)</w:t>
      </w:r>
      <w:r w:rsidRPr="00AB274D">
        <w:t>, SRMR (Standardized Root Mean Square Residual) with values below .08 considered acceptable, CFI (Comparative Fit Index) and TLI (Tucker-Lewis Index) with values above .95 indicating good fit</w:t>
      </w:r>
      <w:r>
        <w:t xml:space="preserve"> (Tucker &amp; Lewis, 1973)</w:t>
      </w:r>
      <w:r w:rsidRPr="00E92B73">
        <w:t xml:space="preserve">. The chi-squared statistic assesses differences between observed and model-implied covariance matrices, with nonsignificant values indicating good fit </w:t>
      </w:r>
      <w:r>
        <w:t>(West, Taylor, &amp; Wu, 2012)</w:t>
      </w:r>
      <w:r w:rsidRPr="00E92B73">
        <w:t xml:space="preserve">. </w:t>
      </w:r>
      <w:r w:rsidRPr="00AB274D">
        <w:t>We also tested full versus partial mediation using likelihood-based confidence intervals</w:t>
      </w:r>
      <w:r>
        <w:t xml:space="preserve"> (Cheung, 2009)</w:t>
      </w:r>
      <w:r w:rsidRPr="00E92B73">
        <w:t xml:space="preserve">. </w:t>
      </w:r>
      <w:r w:rsidRPr="00AB274D">
        <w:t>The MASEM analysis was conducted using R (version 4.1) with the metaSEM package (version 1.4)</w:t>
      </w:r>
      <w:r>
        <w:t xml:space="preserve"> by Cheung (2014b)</w:t>
      </w:r>
      <w:r w:rsidRPr="00AB274D">
        <w:t>.</w:t>
      </w:r>
    </w:p>
    <w:p w14:paraId="4FAD21B4" w14:textId="61CEBE25" w:rsidR="006822EF" w:rsidRPr="009572A7" w:rsidRDefault="00406027" w:rsidP="009572A7">
      <w:pPr>
        <w:pStyle w:val="berschrift2"/>
        <w:rPr>
          <w:lang w:val="en-US"/>
        </w:rPr>
      </w:pPr>
      <w:bookmarkStart w:id="18" w:name="_Toc180963603"/>
      <w:r>
        <w:rPr>
          <w:lang w:val="en-US"/>
        </w:rPr>
        <w:t>Results</w:t>
      </w:r>
      <w:bookmarkEnd w:id="18"/>
    </w:p>
    <w:p w14:paraId="3FF2E3A3" w14:textId="77777777" w:rsidR="006822EF" w:rsidRPr="009572A7" w:rsidRDefault="006822EF" w:rsidP="009572A7">
      <w:pPr>
        <w:pStyle w:val="berschrift3"/>
      </w:pPr>
      <w:r w:rsidRPr="009572A7">
        <w:t>Meta-Analytical Results</w:t>
      </w:r>
    </w:p>
    <w:p w14:paraId="6413B79C" w14:textId="41EBC69E" w:rsidR="006822EF" w:rsidRPr="00743AFB" w:rsidRDefault="006822EF" w:rsidP="008411D3">
      <w:pPr>
        <w:pStyle w:val="Paragraph"/>
        <w:ind w:firstLine="708"/>
        <w:jc w:val="both"/>
        <w:rPr>
          <w:color w:val="000000" w:themeColor="text1"/>
        </w:rPr>
      </w:pPr>
      <w:r w:rsidRPr="00743AFB">
        <w:rPr>
          <w:color w:val="000000" w:themeColor="text1"/>
        </w:rPr>
        <w:t>Table 2 presents the main results of our meta-analysis on the relationship between board interlocks and firm performance, showing the mean observed sample size-weighted effect size (</w:t>
      </w:r>
      <w:r w:rsidRPr="00EA41E2">
        <w:rPr>
          <w:i/>
          <w:iCs/>
          <w:color w:val="000000" w:themeColor="text1"/>
        </w:rPr>
        <w:t>r̄</w:t>
      </w:r>
      <w:r w:rsidRPr="00743AFB">
        <w:rPr>
          <w:color w:val="000000" w:themeColor="text1"/>
        </w:rPr>
        <w:t>) and its estimated standard deviation (</w:t>
      </w:r>
      <w:r w:rsidRPr="00743AFB">
        <w:rPr>
          <w:i/>
          <w:iCs/>
          <w:color w:val="000000" w:themeColor="text1"/>
        </w:rPr>
        <w:t>sdr</w:t>
      </w:r>
      <w:r w:rsidRPr="00743AFB">
        <w:rPr>
          <w:color w:val="000000" w:themeColor="text1"/>
        </w:rPr>
        <w:t>), along with the 95% confidence interval (</w:t>
      </w:r>
      <w:r w:rsidRPr="00743AFB">
        <w:rPr>
          <w:i/>
          <w:iCs/>
          <w:color w:val="000000" w:themeColor="text1"/>
        </w:rPr>
        <w:t>CI</w:t>
      </w:r>
      <w:r w:rsidRPr="00743AFB">
        <w:rPr>
          <w:color w:val="000000" w:themeColor="text1"/>
        </w:rPr>
        <w:t>) and 80% confidence range (</w:t>
      </w:r>
      <w:r w:rsidRPr="00743AFB">
        <w:rPr>
          <w:i/>
          <w:iCs/>
          <w:color w:val="000000" w:themeColor="text1"/>
        </w:rPr>
        <w:t>CR</w:t>
      </w:r>
      <w:r w:rsidRPr="00743AFB">
        <w:rPr>
          <w:color w:val="000000" w:themeColor="text1"/>
        </w:rPr>
        <w:t xml:space="preserve">) for </w:t>
      </w:r>
      <w:r w:rsidRPr="00743AFB">
        <w:rPr>
          <w:i/>
          <w:iCs/>
          <w:color w:val="000000" w:themeColor="text1"/>
        </w:rPr>
        <w:t>r̄</w:t>
      </w:r>
      <w:r w:rsidRPr="00743AFB">
        <w:rPr>
          <w:color w:val="000000" w:themeColor="text1"/>
        </w:rPr>
        <w:t xml:space="preserve">. The 95% </w:t>
      </w:r>
      <w:r w:rsidRPr="00743AFB">
        <w:rPr>
          <w:i/>
          <w:iCs/>
          <w:color w:val="000000" w:themeColor="text1"/>
        </w:rPr>
        <w:t>CI</w:t>
      </w:r>
      <w:r w:rsidRPr="00743AFB">
        <w:rPr>
          <w:color w:val="000000" w:themeColor="text1"/>
        </w:rPr>
        <w:t xml:space="preserve"> does not include zero, which allows us to reject the null hypothesis and indicates a significant positive relationship between board interlocks and firm performance (</w:t>
      </w:r>
      <w:r w:rsidRPr="00743AFB">
        <w:rPr>
          <w:i/>
          <w:iCs/>
          <w:color w:val="000000" w:themeColor="text1"/>
        </w:rPr>
        <w:t>b</w:t>
      </w:r>
      <w:r w:rsidRPr="00743AFB">
        <w:rPr>
          <w:color w:val="000000" w:themeColor="text1"/>
        </w:rPr>
        <w:t xml:space="preserve"> = .02, </w:t>
      </w:r>
      <w:r w:rsidRPr="00743AFB">
        <w:rPr>
          <w:i/>
          <w:iCs/>
          <w:color w:val="000000" w:themeColor="text1"/>
        </w:rPr>
        <w:t>p &lt;</w:t>
      </w:r>
      <w:r w:rsidRPr="00743AFB">
        <w:rPr>
          <w:color w:val="000000" w:themeColor="text1"/>
        </w:rPr>
        <w:t xml:space="preserve"> .05), supporting </w:t>
      </w:r>
      <w:r>
        <w:rPr>
          <w:color w:val="000000" w:themeColor="text1"/>
        </w:rPr>
        <w:t xml:space="preserve">Hypothesis </w:t>
      </w:r>
      <w:r w:rsidRPr="00743AFB">
        <w:rPr>
          <w:color w:val="000000" w:themeColor="text1"/>
        </w:rPr>
        <w:t>1a.</w:t>
      </w:r>
    </w:p>
    <w:p w14:paraId="6377BBE1" w14:textId="77777777" w:rsidR="006822EF" w:rsidRPr="00743AFB" w:rsidRDefault="006822EF" w:rsidP="00DB6539">
      <w:pPr>
        <w:pStyle w:val="Paragraph"/>
        <w:ind w:firstLine="0"/>
        <w:jc w:val="center"/>
        <w:rPr>
          <w:color w:val="000000" w:themeColor="text1"/>
        </w:rPr>
      </w:pPr>
      <w:r w:rsidRPr="00743AFB">
        <w:rPr>
          <w:color w:val="000000" w:themeColor="text1"/>
        </w:rPr>
        <w:t>----------------------------------</w:t>
      </w:r>
    </w:p>
    <w:p w14:paraId="036F8946" w14:textId="77777777" w:rsidR="006822EF" w:rsidRPr="00743AFB" w:rsidRDefault="006822EF" w:rsidP="00DB6539">
      <w:pPr>
        <w:pStyle w:val="Paragraph"/>
        <w:ind w:firstLine="0"/>
        <w:jc w:val="center"/>
        <w:rPr>
          <w:color w:val="000000" w:themeColor="text1"/>
        </w:rPr>
      </w:pPr>
      <w:r w:rsidRPr="00743AFB">
        <w:rPr>
          <w:color w:val="000000" w:themeColor="text1"/>
        </w:rPr>
        <w:t>Insert Table 2 about here</w:t>
      </w:r>
    </w:p>
    <w:p w14:paraId="68F1F06F" w14:textId="77777777" w:rsidR="006822EF" w:rsidRPr="00743AFB" w:rsidRDefault="006822EF" w:rsidP="00DB6539">
      <w:pPr>
        <w:pStyle w:val="Paragraph"/>
        <w:spacing w:after="120"/>
        <w:ind w:firstLine="0"/>
        <w:jc w:val="center"/>
        <w:rPr>
          <w:color w:val="000000" w:themeColor="text1"/>
        </w:rPr>
      </w:pPr>
      <w:r w:rsidRPr="00743AFB">
        <w:rPr>
          <w:color w:val="000000" w:themeColor="text1"/>
        </w:rPr>
        <w:t>-----------------------------------</w:t>
      </w:r>
    </w:p>
    <w:p w14:paraId="24A1C065" w14:textId="77777777" w:rsidR="006822EF" w:rsidRPr="00E92B73" w:rsidRDefault="006822EF" w:rsidP="008E14A8">
      <w:pPr>
        <w:pStyle w:val="Paragraph"/>
        <w:jc w:val="both"/>
      </w:pPr>
      <w:r w:rsidRPr="00E92B73">
        <w:lastRenderedPageBreak/>
        <w:t xml:space="preserve">Cochran's </w:t>
      </w:r>
      <w:r w:rsidRPr="00E92B73">
        <w:rPr>
          <w:i/>
          <w:iCs/>
        </w:rPr>
        <w:t>Q</w:t>
      </w:r>
      <w:r w:rsidRPr="00E92B73">
        <w:t xml:space="preserve">-test and </w:t>
      </w:r>
      <w:r w:rsidRPr="00E92B73">
        <w:rPr>
          <w:i/>
          <w:iCs/>
        </w:rPr>
        <w:t>I</w:t>
      </w:r>
      <w:r w:rsidRPr="00E92B73">
        <w:t xml:space="preserve">-squared analyses indicate significant heterogeneity in underlying effect sizes (Higgins &amp; Thompson, 2002). The large 80% </w:t>
      </w:r>
      <w:r w:rsidRPr="00E92B73">
        <w:rPr>
          <w:i/>
          <w:iCs/>
        </w:rPr>
        <w:t>CR</w:t>
      </w:r>
      <w:r w:rsidRPr="00E92B73">
        <w:t xml:space="preserve"> and a </w:t>
      </w:r>
      <w:r w:rsidRPr="00E92B73">
        <w:rPr>
          <w:i/>
          <w:iCs/>
        </w:rPr>
        <w:t>CI</w:t>
      </w:r>
      <w:r w:rsidRPr="00E92B73">
        <w:t xml:space="preserve"> greater than .11 for the relationship between board interlocks and firm performance suggest potential moderators influencing this relationship </w:t>
      </w:r>
      <w:r>
        <w:t>(Koslowsky &amp; Sagie, 1993)</w:t>
      </w:r>
      <w:r w:rsidRPr="00E92B73">
        <w:t xml:space="preserve">. </w:t>
      </w:r>
      <w:r w:rsidRPr="00374C97">
        <w:t>To explore this heterogeneity, we conducted subgroup analyses. The first analysis, based on the type of performance measure, revealed a positive association between board interlocks and firm performance for accounting-based measures (</w:t>
      </w:r>
      <w:r w:rsidRPr="00374C97">
        <w:rPr>
          <w:i/>
          <w:iCs/>
        </w:rPr>
        <w:t>b</w:t>
      </w:r>
      <w:r w:rsidRPr="00374C97">
        <w:t xml:space="preserve"> = .02, </w:t>
      </w:r>
      <w:r w:rsidRPr="00374C97">
        <w:rPr>
          <w:i/>
          <w:iCs/>
        </w:rPr>
        <w:t>p</w:t>
      </w:r>
      <w:r w:rsidRPr="00374C97">
        <w:t xml:space="preserve"> &lt; .05), but not for market-based measures. The second analysis, based on geographic region, found a </w:t>
      </w:r>
      <w:r>
        <w:t>significant</w:t>
      </w:r>
      <w:r w:rsidRPr="00374C97">
        <w:t xml:space="preserve"> positive</w:t>
      </w:r>
      <w:r>
        <w:t xml:space="preserve"> </w:t>
      </w:r>
      <w:r w:rsidRPr="00374C97">
        <w:t xml:space="preserve">relationship in </w:t>
      </w:r>
      <w:r>
        <w:t xml:space="preserve">primary study samples from </w:t>
      </w:r>
      <w:r w:rsidRPr="00374C97">
        <w:t>Asia (</w:t>
      </w:r>
      <w:r w:rsidRPr="00374C97">
        <w:rPr>
          <w:i/>
          <w:iCs/>
        </w:rPr>
        <w:t>b</w:t>
      </w:r>
      <w:r w:rsidRPr="00374C97">
        <w:t xml:space="preserve"> = .02, </w:t>
      </w:r>
      <w:r w:rsidRPr="00374C97">
        <w:rPr>
          <w:i/>
          <w:iCs/>
        </w:rPr>
        <w:t>p</w:t>
      </w:r>
      <w:r w:rsidRPr="00374C97">
        <w:t xml:space="preserve"> &lt; .05), while the results for other regions were inconclusive</w:t>
      </w:r>
      <w:r w:rsidRPr="00E92B73">
        <w:t>.</w:t>
      </w:r>
    </w:p>
    <w:p w14:paraId="6C5EB602" w14:textId="77777777" w:rsidR="006822EF" w:rsidRPr="009572A7" w:rsidRDefault="006822EF" w:rsidP="009572A7">
      <w:pPr>
        <w:pStyle w:val="berschrift3"/>
      </w:pPr>
      <w:bookmarkStart w:id="19" w:name="_Toc164267004"/>
      <w:r w:rsidRPr="009572A7">
        <w:t>MASEM Results</w:t>
      </w:r>
      <w:bookmarkEnd w:id="19"/>
    </w:p>
    <w:p w14:paraId="08796A55" w14:textId="77777777" w:rsidR="006822EF" w:rsidRPr="00743AFB" w:rsidRDefault="006822EF" w:rsidP="008411D3">
      <w:pPr>
        <w:pStyle w:val="Paragraph"/>
        <w:ind w:firstLine="708"/>
        <w:jc w:val="both"/>
        <w:rPr>
          <w:color w:val="000000" w:themeColor="text1"/>
        </w:rPr>
      </w:pPr>
      <w:r w:rsidRPr="00E92B73">
        <w:t xml:space="preserve">Using MASEM, we analyze the mediating effects of resource provision and agency </w:t>
      </w:r>
      <w:r>
        <w:t>conflict</w:t>
      </w:r>
      <w:r w:rsidRPr="00E92B73">
        <w:t xml:space="preserve"> on the relationship between board interlocks and firm performance. Table 3 </w:t>
      </w:r>
      <w:r>
        <w:t>presents the implied pooled meta-</w:t>
      </w:r>
      <w:r w:rsidRPr="00743AFB">
        <w:rPr>
          <w:color w:val="000000" w:themeColor="text1"/>
        </w:rPr>
        <w:t>analytic correlation matrix.</w:t>
      </w:r>
      <w:r>
        <w:rPr>
          <w:rStyle w:val="Endnotenzeichen"/>
          <w:color w:val="000000" w:themeColor="text1"/>
        </w:rPr>
        <w:endnoteReference w:id="6"/>
      </w:r>
      <w:r w:rsidRPr="00743AFB">
        <w:rPr>
          <w:color w:val="000000" w:themeColor="text1"/>
        </w:rPr>
        <w:t xml:space="preserve"> </w:t>
      </w:r>
    </w:p>
    <w:p w14:paraId="34F0FF3E" w14:textId="77777777" w:rsidR="006822EF" w:rsidRPr="00743AFB" w:rsidRDefault="006822EF" w:rsidP="00DB6539">
      <w:pPr>
        <w:pStyle w:val="Paragraph"/>
        <w:ind w:firstLine="0"/>
        <w:jc w:val="center"/>
        <w:rPr>
          <w:color w:val="000000" w:themeColor="text1"/>
        </w:rPr>
      </w:pPr>
      <w:r w:rsidRPr="00743AFB">
        <w:rPr>
          <w:color w:val="000000" w:themeColor="text1"/>
        </w:rPr>
        <w:t>----------------------------------</w:t>
      </w:r>
    </w:p>
    <w:p w14:paraId="1C7CC87D" w14:textId="77777777" w:rsidR="006822EF" w:rsidRPr="00743AFB" w:rsidRDefault="006822EF" w:rsidP="00DB6539">
      <w:pPr>
        <w:pStyle w:val="Paragraph"/>
        <w:ind w:firstLine="0"/>
        <w:jc w:val="center"/>
        <w:rPr>
          <w:color w:val="000000" w:themeColor="text1"/>
        </w:rPr>
      </w:pPr>
      <w:r w:rsidRPr="00743AFB">
        <w:rPr>
          <w:color w:val="000000" w:themeColor="text1"/>
        </w:rPr>
        <w:t>Insert Table 3 about here</w:t>
      </w:r>
    </w:p>
    <w:p w14:paraId="7A242A84" w14:textId="77777777" w:rsidR="006822EF" w:rsidRPr="00743AFB" w:rsidRDefault="006822EF" w:rsidP="00DB6539">
      <w:pPr>
        <w:pStyle w:val="Paragraph"/>
        <w:spacing w:after="120"/>
        <w:ind w:firstLine="0"/>
        <w:jc w:val="center"/>
        <w:rPr>
          <w:color w:val="000000" w:themeColor="text1"/>
        </w:rPr>
      </w:pPr>
      <w:r w:rsidRPr="00743AFB">
        <w:rPr>
          <w:color w:val="000000" w:themeColor="text1"/>
        </w:rPr>
        <w:t>-----------------------------------</w:t>
      </w:r>
    </w:p>
    <w:p w14:paraId="587FF241" w14:textId="77777777" w:rsidR="006822EF" w:rsidRDefault="006822EF" w:rsidP="008E14A8">
      <w:pPr>
        <w:pStyle w:val="Paragraph"/>
        <w:ind w:firstLine="0"/>
        <w:jc w:val="both"/>
        <w:rPr>
          <w:color w:val="000000" w:themeColor="text1"/>
        </w:rPr>
      </w:pPr>
      <w:r w:rsidRPr="00E92B73">
        <w:t xml:space="preserve">Table </w:t>
      </w:r>
      <w:r>
        <w:t>4</w:t>
      </w:r>
      <w:r w:rsidRPr="00E92B73">
        <w:t xml:space="preserve"> shows the results of OSMASEM, indicating a good fit of the model to the data (</w:t>
      </w:r>
      <w:r w:rsidRPr="00E92B73">
        <w:rPr>
          <w:i/>
          <w:iCs/>
        </w:rPr>
        <w:t>χ</w:t>
      </w:r>
      <w:r w:rsidRPr="00E92B73">
        <w:t>²(</w:t>
      </w:r>
      <w:r w:rsidRPr="00E92B73">
        <w:rPr>
          <w:i/>
          <w:iCs/>
        </w:rPr>
        <w:t>23</w:t>
      </w:r>
      <w:r w:rsidRPr="00E92B73">
        <w:t xml:space="preserve">) = 25.88, </w:t>
      </w:r>
      <w:r w:rsidRPr="00E92B73">
        <w:rPr>
          <w:i/>
          <w:iCs/>
        </w:rPr>
        <w:t>p =</w:t>
      </w:r>
      <w:r w:rsidRPr="00E92B73">
        <w:t xml:space="preserve"> .356, </w:t>
      </w:r>
      <w:r w:rsidRPr="00E92B73">
        <w:rPr>
          <w:i/>
          <w:iCs/>
        </w:rPr>
        <w:t>AIC</w:t>
      </w:r>
      <w:r w:rsidRPr="00E92B73">
        <w:t xml:space="preserve"> = -690.93, </w:t>
      </w:r>
      <w:r w:rsidRPr="00E92B73">
        <w:rPr>
          <w:i/>
          <w:iCs/>
        </w:rPr>
        <w:t>BIC</w:t>
      </w:r>
      <w:r w:rsidRPr="00E92B73">
        <w:t xml:space="preserve"> = -329.90, </w:t>
      </w:r>
      <w:r w:rsidRPr="00E92B73">
        <w:rPr>
          <w:i/>
          <w:iCs/>
        </w:rPr>
        <w:t>CFI</w:t>
      </w:r>
      <w:r w:rsidRPr="00E92B73">
        <w:t xml:space="preserve"> = 1.01, </w:t>
      </w:r>
      <w:r w:rsidRPr="00E92B73">
        <w:rPr>
          <w:i/>
          <w:iCs/>
        </w:rPr>
        <w:t>TLI</w:t>
      </w:r>
      <w:r w:rsidRPr="00E92B73">
        <w:t xml:space="preserve"> = 1.00, </w:t>
      </w:r>
      <w:r w:rsidRPr="00E92B73">
        <w:rPr>
          <w:i/>
          <w:iCs/>
        </w:rPr>
        <w:t>RMSEA</w:t>
      </w:r>
      <w:r w:rsidRPr="00E92B73">
        <w:t xml:space="preserve"> = 0 [.000, .002]). Following </w:t>
      </w:r>
      <w:r>
        <w:t>Hayes</w:t>
      </w:r>
      <w:r w:rsidRPr="00E92B73">
        <w:t xml:space="preserve"> </w:t>
      </w:r>
      <w:r>
        <w:t>(2013)</w:t>
      </w:r>
      <w:r w:rsidRPr="00E92B73">
        <w:t>, multiple models were evaluated, including direct, partial, and full mediation models. Comparative analysis revealed that the partial model had a better fit than the direct effects model (</w:t>
      </w:r>
      <w:r w:rsidRPr="0002046C">
        <w:t>Δ</w:t>
      </w:r>
      <w:r w:rsidRPr="00E92B73">
        <w:rPr>
          <w:i/>
          <w:iCs/>
        </w:rPr>
        <w:t>χ</w:t>
      </w:r>
      <w:r w:rsidRPr="00E92B73">
        <w:t xml:space="preserve">² = 155.96, </w:t>
      </w:r>
      <w:r w:rsidRPr="0002046C">
        <w:t>Δ</w:t>
      </w:r>
      <w:r w:rsidRPr="00E92B73">
        <w:rPr>
          <w:i/>
          <w:iCs/>
        </w:rPr>
        <w:t>df</w:t>
      </w:r>
      <w:r w:rsidRPr="00E92B73">
        <w:t xml:space="preserve"> = 5, </w:t>
      </w:r>
      <w:r w:rsidRPr="0002046C">
        <w:t>Δ</w:t>
      </w:r>
      <w:r w:rsidRPr="00E92B73">
        <w:rPr>
          <w:i/>
          <w:iCs/>
        </w:rPr>
        <w:t>AIC</w:t>
      </w:r>
      <w:r w:rsidRPr="00E92B73">
        <w:t xml:space="preserve"> = 145.96, </w:t>
      </w:r>
      <w:r w:rsidRPr="00E92B73">
        <w:rPr>
          <w:i/>
          <w:iCs/>
        </w:rPr>
        <w:t>p &lt;</w:t>
      </w:r>
      <w:r w:rsidRPr="00E92B73">
        <w:t xml:space="preserve"> .001) and the full mediation model (</w:t>
      </w:r>
      <w:r w:rsidRPr="0002046C">
        <w:t>Δ</w:t>
      </w:r>
      <w:r w:rsidRPr="00E92B73">
        <w:rPr>
          <w:i/>
          <w:iCs/>
        </w:rPr>
        <w:t>χ</w:t>
      </w:r>
      <w:r w:rsidRPr="00E92B73">
        <w:t xml:space="preserve">² = 5.44, </w:t>
      </w:r>
      <w:r w:rsidRPr="0002046C">
        <w:t>Δ</w:t>
      </w:r>
      <w:r w:rsidRPr="00E92B73">
        <w:rPr>
          <w:i/>
          <w:iCs/>
        </w:rPr>
        <w:t>df</w:t>
      </w:r>
      <w:r w:rsidRPr="00E92B73">
        <w:t xml:space="preserve"> = 1, </w:t>
      </w:r>
      <w:r w:rsidRPr="0002046C">
        <w:t>Δ</w:t>
      </w:r>
      <w:r w:rsidRPr="00E92B73">
        <w:rPr>
          <w:i/>
          <w:iCs/>
        </w:rPr>
        <w:t>AIC</w:t>
      </w:r>
      <w:r w:rsidRPr="00E92B73">
        <w:t xml:space="preserve"> = 23.56, </w:t>
      </w:r>
      <w:r w:rsidRPr="00E92B73">
        <w:rPr>
          <w:i/>
          <w:iCs/>
        </w:rPr>
        <w:t>p</w:t>
      </w:r>
      <w:r w:rsidRPr="00E92B73">
        <w:t xml:space="preserve"> = .020). The partial model with both moderators, agency costs and resource provision, showed a better fit than partial models with only one moderator, </w:t>
      </w:r>
      <w:r w:rsidRPr="00743AFB">
        <w:rPr>
          <w:color w:val="000000" w:themeColor="text1"/>
        </w:rPr>
        <w:t>such as agency costs (Δ</w:t>
      </w:r>
      <w:r w:rsidRPr="00743AFB">
        <w:rPr>
          <w:i/>
          <w:iCs/>
          <w:color w:val="000000" w:themeColor="text1"/>
        </w:rPr>
        <w:t>χ</w:t>
      </w:r>
      <w:r w:rsidRPr="00743AFB">
        <w:rPr>
          <w:color w:val="000000" w:themeColor="text1"/>
        </w:rPr>
        <w:t>² = 3.45, Δ</w:t>
      </w:r>
      <w:r w:rsidRPr="00743AFB">
        <w:rPr>
          <w:i/>
          <w:iCs/>
          <w:color w:val="000000" w:themeColor="text1"/>
        </w:rPr>
        <w:t>df</w:t>
      </w:r>
      <w:r w:rsidRPr="00743AFB">
        <w:rPr>
          <w:color w:val="000000" w:themeColor="text1"/>
        </w:rPr>
        <w:t xml:space="preserve"> = 1, Δ</w:t>
      </w:r>
      <w:r w:rsidRPr="00743AFB">
        <w:rPr>
          <w:i/>
          <w:iCs/>
          <w:color w:val="000000" w:themeColor="text1"/>
        </w:rPr>
        <w:t>AIC</w:t>
      </w:r>
      <w:r w:rsidRPr="00743AFB">
        <w:rPr>
          <w:color w:val="000000" w:themeColor="text1"/>
        </w:rPr>
        <w:t xml:space="preserve"> = 1.48, </w:t>
      </w:r>
      <w:r w:rsidRPr="00743AFB">
        <w:rPr>
          <w:i/>
          <w:iCs/>
          <w:color w:val="000000" w:themeColor="text1"/>
        </w:rPr>
        <w:t>p</w:t>
      </w:r>
      <w:r w:rsidRPr="00743AFB">
        <w:rPr>
          <w:color w:val="000000" w:themeColor="text1"/>
        </w:rPr>
        <w:t xml:space="preserve"> = .050) or resource provision (Δ</w:t>
      </w:r>
      <w:r w:rsidRPr="00743AFB">
        <w:rPr>
          <w:i/>
          <w:iCs/>
          <w:color w:val="000000" w:themeColor="text1"/>
        </w:rPr>
        <w:t>χ</w:t>
      </w:r>
      <w:r w:rsidRPr="00743AFB">
        <w:rPr>
          <w:color w:val="000000" w:themeColor="text1"/>
        </w:rPr>
        <w:t>² = 10.32, Δ</w:t>
      </w:r>
      <w:r w:rsidRPr="00743AFB">
        <w:rPr>
          <w:i/>
          <w:iCs/>
          <w:color w:val="000000" w:themeColor="text1"/>
        </w:rPr>
        <w:t xml:space="preserve">df </w:t>
      </w:r>
      <w:r w:rsidRPr="00743AFB">
        <w:rPr>
          <w:color w:val="000000" w:themeColor="text1"/>
        </w:rPr>
        <w:t>= 1, Δ</w:t>
      </w:r>
      <w:r w:rsidRPr="00743AFB">
        <w:rPr>
          <w:i/>
          <w:iCs/>
          <w:color w:val="000000" w:themeColor="text1"/>
        </w:rPr>
        <w:t xml:space="preserve">AIC </w:t>
      </w:r>
      <w:r w:rsidRPr="00743AFB">
        <w:rPr>
          <w:color w:val="000000" w:themeColor="text1"/>
        </w:rPr>
        <w:t xml:space="preserve">= 8.32, </w:t>
      </w:r>
      <w:r w:rsidRPr="00743AFB">
        <w:rPr>
          <w:i/>
          <w:iCs/>
          <w:color w:val="000000" w:themeColor="text1"/>
        </w:rPr>
        <w:t>p &lt;</w:t>
      </w:r>
      <w:r w:rsidRPr="00743AFB">
        <w:rPr>
          <w:color w:val="000000" w:themeColor="text1"/>
        </w:rPr>
        <w:t xml:space="preserve"> .001).</w:t>
      </w:r>
    </w:p>
    <w:p w14:paraId="3F7D7B75" w14:textId="77777777" w:rsidR="006822EF" w:rsidRPr="00743AFB" w:rsidRDefault="006822EF" w:rsidP="00DB6539">
      <w:pPr>
        <w:pStyle w:val="Paragraph"/>
        <w:ind w:firstLine="0"/>
        <w:jc w:val="center"/>
        <w:rPr>
          <w:color w:val="000000" w:themeColor="text1"/>
        </w:rPr>
      </w:pPr>
      <w:r w:rsidRPr="00743AFB">
        <w:rPr>
          <w:color w:val="000000" w:themeColor="text1"/>
        </w:rPr>
        <w:t>----------------------------------</w:t>
      </w:r>
    </w:p>
    <w:p w14:paraId="4BF61B28" w14:textId="77777777" w:rsidR="006822EF" w:rsidRPr="00743AFB" w:rsidRDefault="006822EF" w:rsidP="00DB6539">
      <w:pPr>
        <w:pStyle w:val="Paragraph"/>
        <w:ind w:firstLine="0"/>
        <w:jc w:val="center"/>
        <w:rPr>
          <w:color w:val="000000" w:themeColor="text1"/>
        </w:rPr>
      </w:pPr>
      <w:r w:rsidRPr="00743AFB">
        <w:rPr>
          <w:color w:val="000000" w:themeColor="text1"/>
        </w:rPr>
        <w:lastRenderedPageBreak/>
        <w:t>Insert Table 4 about here</w:t>
      </w:r>
    </w:p>
    <w:p w14:paraId="3B7CBDB3" w14:textId="77777777" w:rsidR="006822EF" w:rsidRPr="00743AFB" w:rsidRDefault="006822EF" w:rsidP="00DB6539">
      <w:pPr>
        <w:pStyle w:val="Paragraph"/>
        <w:spacing w:after="120"/>
        <w:ind w:firstLine="0"/>
        <w:jc w:val="center"/>
        <w:rPr>
          <w:color w:val="000000" w:themeColor="text1"/>
        </w:rPr>
      </w:pPr>
      <w:r w:rsidRPr="00743AFB">
        <w:rPr>
          <w:color w:val="000000" w:themeColor="text1"/>
        </w:rPr>
        <w:t>-----------------------------------</w:t>
      </w:r>
    </w:p>
    <w:p w14:paraId="3B8652A5" w14:textId="77777777" w:rsidR="006822EF" w:rsidRDefault="006822EF" w:rsidP="008E14A8">
      <w:pPr>
        <w:pStyle w:val="Paragraph"/>
        <w:jc w:val="both"/>
      </w:pPr>
      <w:r w:rsidRPr="00E92B73">
        <w:t xml:space="preserve">Hypothesis </w:t>
      </w:r>
      <w:r>
        <w:t>2</w:t>
      </w:r>
      <w:r w:rsidRPr="00E92B73">
        <w:t xml:space="preserve">a posits that resource provision mediates the relationship between board interlocks and firm performance. The results in Table </w:t>
      </w:r>
      <w:r>
        <w:t>4</w:t>
      </w:r>
      <w:r w:rsidRPr="00E92B73">
        <w:t xml:space="preserve"> support this hypothesis, showing a positive and significant relationship between board interlocks and resource provision (</w:t>
      </w:r>
      <w:r w:rsidRPr="00E92B73">
        <w:rPr>
          <w:i/>
          <w:iCs/>
        </w:rPr>
        <w:t>b</w:t>
      </w:r>
      <w:r w:rsidRPr="00E92B73">
        <w:t xml:space="preserve"> = .07,</w:t>
      </w:r>
      <w:r w:rsidRPr="00E92B73">
        <w:rPr>
          <w:i/>
          <w:iCs/>
        </w:rPr>
        <w:t xml:space="preserve"> p ≤ </w:t>
      </w:r>
      <w:r w:rsidRPr="00E92B73">
        <w:t>.001) and between resource provision and firm performance (</w:t>
      </w:r>
      <w:r w:rsidRPr="00E92B73">
        <w:rPr>
          <w:i/>
          <w:iCs/>
        </w:rPr>
        <w:t>b</w:t>
      </w:r>
      <w:r w:rsidRPr="00E92B73">
        <w:t xml:space="preserve"> = .06, </w:t>
      </w:r>
      <w:r w:rsidRPr="00E92B73">
        <w:rPr>
          <w:i/>
          <w:iCs/>
        </w:rPr>
        <w:t>p ≤</w:t>
      </w:r>
      <w:r w:rsidRPr="00E92B73">
        <w:t xml:space="preserve"> .05). Analysis of the indirect effect using Wald Chi 95% confidence intervals confirms a positive and significant indirect effect (</w:t>
      </w:r>
      <w:r w:rsidRPr="00E92B73">
        <w:rPr>
          <w:i/>
          <w:iCs/>
        </w:rPr>
        <w:t>b</w:t>
      </w:r>
      <w:r w:rsidRPr="00E92B73">
        <w:t xml:space="preserve"> = .004, 95% </w:t>
      </w:r>
      <w:r w:rsidRPr="00E92B73">
        <w:rPr>
          <w:i/>
          <w:iCs/>
        </w:rPr>
        <w:t>CI</w:t>
      </w:r>
      <w:r w:rsidRPr="00E92B73">
        <w:t xml:space="preserve"> = [.002, .007]), supporting </w:t>
      </w:r>
      <w:r>
        <w:t>Hypothesis 2</w:t>
      </w:r>
      <w:r w:rsidRPr="00E92B73">
        <w:t>a.</w:t>
      </w:r>
      <w:r>
        <w:rPr>
          <w:rStyle w:val="Endnotenzeichen"/>
        </w:rPr>
        <w:endnoteReference w:id="7"/>
      </w:r>
    </w:p>
    <w:p w14:paraId="2B1D5CE2" w14:textId="77777777" w:rsidR="006822EF" w:rsidRDefault="006822EF" w:rsidP="008E14A8">
      <w:pPr>
        <w:pStyle w:val="Paragraph"/>
        <w:jc w:val="both"/>
      </w:pPr>
      <w:r w:rsidRPr="00E92B73">
        <w:t xml:space="preserve">Hypothesis </w:t>
      </w:r>
      <w:r>
        <w:t>2</w:t>
      </w:r>
      <w:r w:rsidRPr="00E92B73">
        <w:t>b proposes that agency costs mediate the relationship between board interlocks and firm performance. The results show a positive and significant relationship between board interlocks and agency costs (</w:t>
      </w:r>
      <w:r w:rsidRPr="00E92B73">
        <w:rPr>
          <w:i/>
          <w:iCs/>
        </w:rPr>
        <w:t>b</w:t>
      </w:r>
      <w:r w:rsidRPr="00E92B73">
        <w:t xml:space="preserve"> = .03, </w:t>
      </w:r>
      <w:r w:rsidRPr="00E92B73">
        <w:rPr>
          <w:i/>
          <w:iCs/>
        </w:rPr>
        <w:t>p ≤</w:t>
      </w:r>
      <w:r w:rsidRPr="00E92B73">
        <w:t xml:space="preserve"> .01) and a </w:t>
      </w:r>
      <w:r>
        <w:t xml:space="preserve">negative yet not significant </w:t>
      </w:r>
      <w:r w:rsidRPr="00E92B73">
        <w:t>relationship between agency costs and firm performance (</w:t>
      </w:r>
      <w:r w:rsidRPr="00E92B73">
        <w:rPr>
          <w:i/>
          <w:iCs/>
        </w:rPr>
        <w:t xml:space="preserve">b </w:t>
      </w:r>
      <w:r w:rsidRPr="00E92B73">
        <w:t xml:space="preserve">= -.04, </w:t>
      </w:r>
      <w:r w:rsidRPr="00E92B73">
        <w:rPr>
          <w:i/>
          <w:iCs/>
        </w:rPr>
        <w:t xml:space="preserve">p </w:t>
      </w:r>
      <w:r>
        <w:rPr>
          <w:i/>
          <w:iCs/>
        </w:rPr>
        <w:t>=</w:t>
      </w:r>
      <w:r w:rsidRPr="00E92B73">
        <w:t xml:space="preserve"> .</w:t>
      </w:r>
      <w:r>
        <w:t>059</w:t>
      </w:r>
      <w:r w:rsidRPr="00E92B73">
        <w:t>). However, testing for mediation using Wald Chi 95% confidence intervals reveals a significant negative indirect effect (</w:t>
      </w:r>
      <w:r w:rsidRPr="00E92B73">
        <w:rPr>
          <w:i/>
          <w:iCs/>
        </w:rPr>
        <w:t xml:space="preserve">b </w:t>
      </w:r>
      <w:r w:rsidRPr="00E92B73">
        <w:t xml:space="preserve">= -.00, 95% </w:t>
      </w:r>
      <w:r w:rsidRPr="00E92B73">
        <w:rPr>
          <w:i/>
          <w:iCs/>
        </w:rPr>
        <w:t>CI</w:t>
      </w:r>
      <w:r w:rsidRPr="00E92B73">
        <w:t xml:space="preserve"> = [-.002, -.000]), supporting </w:t>
      </w:r>
      <w:r>
        <w:t>Hypothesis 2</w:t>
      </w:r>
      <w:r w:rsidRPr="00E92B73">
        <w:t xml:space="preserve">b. </w:t>
      </w:r>
      <w:r>
        <w:t>Analysis of t</w:t>
      </w:r>
      <w:r w:rsidRPr="00E92B73">
        <w:t>he total indirect effect using Wald Chi 95% confidence intervals confirms a positive and significant total indirect effect (</w:t>
      </w:r>
      <w:r w:rsidRPr="00E92B73">
        <w:rPr>
          <w:i/>
          <w:iCs/>
        </w:rPr>
        <w:t>b</w:t>
      </w:r>
      <w:r w:rsidRPr="00E92B73">
        <w:t xml:space="preserve"> = .003, 95% </w:t>
      </w:r>
      <w:r w:rsidRPr="00E92B73">
        <w:rPr>
          <w:i/>
          <w:iCs/>
        </w:rPr>
        <w:t>CI</w:t>
      </w:r>
      <w:r w:rsidRPr="00E92B73">
        <w:t xml:space="preserve"> = [.001, .006]) of board interlocks on firm performance, consistent with our meta-analytic findings. Finally, the direct path effect of board interlocks on firm performance becomes insignificant when mediator variables are included (</w:t>
      </w:r>
      <w:r w:rsidRPr="00E92B73">
        <w:rPr>
          <w:i/>
          <w:iCs/>
        </w:rPr>
        <w:t>b</w:t>
      </w:r>
      <w:r w:rsidRPr="00E92B73">
        <w:t xml:space="preserve"> = .01</w:t>
      </w:r>
      <w:r w:rsidRPr="00E92B73">
        <w:rPr>
          <w:i/>
          <w:iCs/>
        </w:rPr>
        <w:t>, p ≤</w:t>
      </w:r>
      <w:r w:rsidRPr="00E92B73">
        <w:t xml:space="preserve"> .409), indicating full mediation by resource provision and agency costs.</w:t>
      </w:r>
    </w:p>
    <w:p w14:paraId="208114E2" w14:textId="77777777" w:rsidR="006822EF" w:rsidRPr="009572A7" w:rsidRDefault="006822EF" w:rsidP="009572A7">
      <w:pPr>
        <w:pStyle w:val="berschrift3"/>
      </w:pPr>
      <w:bookmarkStart w:id="20" w:name="_Toc164267007"/>
      <w:r w:rsidRPr="009572A7">
        <w:t>OSMASEM Moderation Results</w:t>
      </w:r>
      <w:bookmarkEnd w:id="20"/>
    </w:p>
    <w:p w14:paraId="130AE038" w14:textId="77777777" w:rsidR="006822EF" w:rsidRPr="005E4723" w:rsidRDefault="006822EF" w:rsidP="008411D3">
      <w:pPr>
        <w:pStyle w:val="Paragraph"/>
        <w:ind w:firstLine="708"/>
        <w:jc w:val="both"/>
      </w:pPr>
      <w:r w:rsidRPr="005E4723">
        <w:t xml:space="preserve">To explore how board power relations and the institutional environment </w:t>
      </w:r>
      <w:r>
        <w:t>shape</w:t>
      </w:r>
      <w:r w:rsidRPr="005E4723">
        <w:t xml:space="preserve"> the mediation model, we use a moderated mediation analysis with OSMASEM. This approach examines how these moderating factors influence the balance between interlocking directors' ability to provide resources and their effectiveness in monitoring management, thereby impacting agency costs. The results are summarized in Table 5</w:t>
      </w:r>
      <w:r w:rsidRPr="00F119A2">
        <w:t>.</w:t>
      </w:r>
    </w:p>
    <w:p w14:paraId="23488E13" w14:textId="77777777" w:rsidR="006822EF" w:rsidRPr="005E4723" w:rsidRDefault="006822EF" w:rsidP="00DB6539">
      <w:pPr>
        <w:pStyle w:val="Paragraph"/>
        <w:ind w:firstLine="0"/>
        <w:jc w:val="center"/>
      </w:pPr>
      <w:r w:rsidRPr="005E4723">
        <w:t>----------------------------------</w:t>
      </w:r>
    </w:p>
    <w:p w14:paraId="317F3E8D" w14:textId="77777777" w:rsidR="006822EF" w:rsidRPr="005E4723" w:rsidRDefault="006822EF" w:rsidP="00DB6539">
      <w:pPr>
        <w:pStyle w:val="Paragraph"/>
        <w:ind w:firstLine="0"/>
        <w:jc w:val="center"/>
      </w:pPr>
      <w:r w:rsidRPr="005E4723">
        <w:lastRenderedPageBreak/>
        <w:t>Insert Table 5 about here</w:t>
      </w:r>
    </w:p>
    <w:p w14:paraId="798F8448" w14:textId="77777777" w:rsidR="006822EF" w:rsidRPr="00743AFB" w:rsidRDefault="006822EF" w:rsidP="00DB6539">
      <w:pPr>
        <w:pStyle w:val="Paragraph"/>
        <w:spacing w:after="120"/>
        <w:ind w:firstLine="0"/>
        <w:jc w:val="center"/>
        <w:rPr>
          <w:color w:val="000000" w:themeColor="text1"/>
        </w:rPr>
      </w:pPr>
      <w:r w:rsidRPr="00743AFB">
        <w:rPr>
          <w:color w:val="000000" w:themeColor="text1"/>
        </w:rPr>
        <w:t>-----------------------------------</w:t>
      </w:r>
    </w:p>
    <w:p w14:paraId="11D2AEED" w14:textId="77777777" w:rsidR="006822EF" w:rsidRPr="00E92B73" w:rsidRDefault="006822EF" w:rsidP="008E14A8">
      <w:pPr>
        <w:pStyle w:val="Paragraph"/>
        <w:jc w:val="both"/>
      </w:pPr>
      <w:r w:rsidRPr="00FD5195">
        <w:rPr>
          <w:color w:val="000000" w:themeColor="text1"/>
        </w:rPr>
        <w:t xml:space="preserve">Model 1 examines the moderating effect of CEO power on the </w:t>
      </w:r>
      <w:r w:rsidRPr="00E92B73">
        <w:t>two mediators, resource provision and agency costs. Goodness-of-fit indices confirm a good model fit (</w:t>
      </w:r>
      <w:r w:rsidRPr="00E92B73">
        <w:rPr>
          <w:i/>
          <w:iCs/>
        </w:rPr>
        <w:t>χ²</w:t>
      </w:r>
      <w:r w:rsidRPr="00E92B73">
        <w:t>(</w:t>
      </w:r>
      <w:r w:rsidRPr="00E92B73">
        <w:rPr>
          <w:i/>
          <w:iCs/>
        </w:rPr>
        <w:t>25</w:t>
      </w:r>
      <w:r w:rsidRPr="00E92B73">
        <w:t xml:space="preserve">) = 18.68, </w:t>
      </w:r>
      <w:r w:rsidRPr="00E92B73">
        <w:rPr>
          <w:i/>
          <w:iCs/>
        </w:rPr>
        <w:t xml:space="preserve">p </w:t>
      </w:r>
      <w:r w:rsidRPr="00E92B73">
        <w:t xml:space="preserve">= .812, </w:t>
      </w:r>
      <w:r w:rsidRPr="00E92B73">
        <w:rPr>
          <w:i/>
          <w:iCs/>
        </w:rPr>
        <w:t xml:space="preserve">AIC </w:t>
      </w:r>
      <w:r w:rsidRPr="00E92B73">
        <w:t xml:space="preserve">= -706.83, </w:t>
      </w:r>
      <w:r w:rsidRPr="00E92B73">
        <w:rPr>
          <w:i/>
          <w:iCs/>
        </w:rPr>
        <w:t xml:space="preserve">BIC </w:t>
      </w:r>
      <w:r w:rsidRPr="00E92B73">
        <w:t xml:space="preserve">= -329.01, </w:t>
      </w:r>
      <w:r w:rsidRPr="00E92B73">
        <w:rPr>
          <w:i/>
          <w:iCs/>
        </w:rPr>
        <w:t xml:space="preserve">CFI </w:t>
      </w:r>
      <w:r w:rsidRPr="00E92B73">
        <w:t xml:space="preserve">= 1, </w:t>
      </w:r>
      <w:r w:rsidRPr="00E92B73">
        <w:rPr>
          <w:i/>
          <w:iCs/>
        </w:rPr>
        <w:t>TLI</w:t>
      </w:r>
      <w:r w:rsidRPr="00E92B73">
        <w:t xml:space="preserve"> = .99). </w:t>
      </w:r>
      <w:r>
        <w:t xml:space="preserve">In line with Hypothesis 3a, </w:t>
      </w:r>
      <w:r w:rsidRPr="00E92B73">
        <w:t>CEO power negatively moderates the relationship between board interlocks and resource provision (</w:t>
      </w:r>
      <w:r w:rsidRPr="00E92B73">
        <w:rPr>
          <w:i/>
          <w:iCs/>
        </w:rPr>
        <w:t>b</w:t>
      </w:r>
      <w:r w:rsidRPr="00E92B73">
        <w:t xml:space="preserve"> = -.07, </w:t>
      </w:r>
      <w:r w:rsidRPr="00E92B73">
        <w:rPr>
          <w:i/>
          <w:iCs/>
        </w:rPr>
        <w:t>p</w:t>
      </w:r>
      <w:r w:rsidRPr="00E92B73">
        <w:t xml:space="preserve"> &lt; .001) and positively moderates the relationship between board interlocks and agency costs (</w:t>
      </w:r>
      <w:r w:rsidRPr="00E92B73">
        <w:rPr>
          <w:i/>
          <w:iCs/>
        </w:rPr>
        <w:t>b</w:t>
      </w:r>
      <w:r w:rsidRPr="00E92B73">
        <w:t xml:space="preserve"> = .04, </w:t>
      </w:r>
      <w:r w:rsidRPr="00E92B73">
        <w:rPr>
          <w:i/>
          <w:iCs/>
        </w:rPr>
        <w:t>p</w:t>
      </w:r>
      <w:r w:rsidRPr="00E92B73">
        <w:t xml:space="preserve"> &lt; .001)</w:t>
      </w:r>
      <w:r>
        <w:t>, thereby supporting Hypothesis 3b</w:t>
      </w:r>
      <w:r w:rsidRPr="00E92B73">
        <w:t>. The indirect effect of resource provision is positive and significant (</w:t>
      </w:r>
      <w:r w:rsidRPr="00E92B73">
        <w:rPr>
          <w:i/>
          <w:iCs/>
        </w:rPr>
        <w:t>b</w:t>
      </w:r>
      <w:r w:rsidRPr="00E92B73">
        <w:t xml:space="preserve"> = .003, 95% </w:t>
      </w:r>
      <w:r w:rsidRPr="00E92B73">
        <w:rPr>
          <w:i/>
          <w:iCs/>
        </w:rPr>
        <w:t>CI</w:t>
      </w:r>
      <w:r w:rsidRPr="00E92B73">
        <w:t xml:space="preserve"> = [.000, .001]), while the indirect effect of agency costs is negative and significant (</w:t>
      </w:r>
      <w:r w:rsidRPr="00E92B73">
        <w:rPr>
          <w:i/>
          <w:iCs/>
        </w:rPr>
        <w:t>b</w:t>
      </w:r>
      <w:r w:rsidRPr="00E92B73">
        <w:t xml:space="preserve"> = -.002, 95% </w:t>
      </w:r>
      <w:r w:rsidRPr="00E92B73">
        <w:rPr>
          <w:i/>
          <w:iCs/>
        </w:rPr>
        <w:t>CI</w:t>
      </w:r>
      <w:r w:rsidRPr="00E92B73">
        <w:t xml:space="preserve"> = [-.003, -.001]). The total indirect effect is (</w:t>
      </w:r>
      <w:r w:rsidRPr="00E92B73">
        <w:rPr>
          <w:i/>
          <w:iCs/>
        </w:rPr>
        <w:t>b</w:t>
      </w:r>
      <w:r w:rsidRPr="00E92B73">
        <w:t xml:space="preserve"> = .002, 95% </w:t>
      </w:r>
      <w:r w:rsidRPr="00E92B73">
        <w:rPr>
          <w:i/>
          <w:iCs/>
        </w:rPr>
        <w:t>CI</w:t>
      </w:r>
      <w:r w:rsidRPr="00E92B73">
        <w:t xml:space="preserve"> = [.000, .005]), indicating a reduction in the overall indirect effect of board interlocks on firm performance compared to the main MASEM analysis. A likelihood ratio test comparing the model to the base model without moderators underscores significant influence of CEO power (</w:t>
      </w:r>
      <w:r w:rsidRPr="00670E55">
        <w:t>Δ</w:t>
      </w:r>
      <w:r w:rsidRPr="00E92B73">
        <w:rPr>
          <w:i/>
          <w:iCs/>
        </w:rPr>
        <w:t>χ</w:t>
      </w:r>
      <w:r w:rsidRPr="00E92B73">
        <w:t xml:space="preserve">² = 19.83, </w:t>
      </w:r>
      <w:r w:rsidRPr="00670E55">
        <w:t>Δ</w:t>
      </w:r>
      <w:r w:rsidRPr="00E92B73">
        <w:rPr>
          <w:i/>
          <w:iCs/>
        </w:rPr>
        <w:t xml:space="preserve">df </w:t>
      </w:r>
      <w:r w:rsidRPr="00E92B73">
        <w:t xml:space="preserve">= 2, </w:t>
      </w:r>
      <w:r w:rsidRPr="00E92B73">
        <w:rPr>
          <w:i/>
          <w:iCs/>
        </w:rPr>
        <w:t>p</w:t>
      </w:r>
      <w:r w:rsidRPr="00E92B73">
        <w:t xml:space="preserve"> &lt; .001).</w:t>
      </w:r>
    </w:p>
    <w:p w14:paraId="5A8D7BCF" w14:textId="77777777" w:rsidR="006822EF" w:rsidRPr="00E92B73" w:rsidRDefault="006822EF" w:rsidP="008E14A8">
      <w:pPr>
        <w:pStyle w:val="Paragraph"/>
        <w:jc w:val="both"/>
      </w:pPr>
      <w:r w:rsidRPr="00E92B73">
        <w:t>Model 2 examines the moderating effect of the formal institutional environment. Goodness-of-fit indices confirm a good model fit (</w:t>
      </w:r>
      <w:r w:rsidRPr="00E92B73">
        <w:rPr>
          <w:i/>
          <w:iCs/>
        </w:rPr>
        <w:t>χ</w:t>
      </w:r>
      <w:r w:rsidRPr="00E92B73">
        <w:t xml:space="preserve">²(25) = 18.22, </w:t>
      </w:r>
      <w:r w:rsidRPr="00E92B73">
        <w:rPr>
          <w:i/>
          <w:iCs/>
        </w:rPr>
        <w:t>p</w:t>
      </w:r>
      <w:r w:rsidRPr="00E92B73">
        <w:t xml:space="preserve"> = .833, </w:t>
      </w:r>
      <w:r w:rsidRPr="00E92B73">
        <w:rPr>
          <w:i/>
          <w:iCs/>
        </w:rPr>
        <w:t>AIC</w:t>
      </w:r>
      <w:r w:rsidRPr="00E92B73">
        <w:t xml:space="preserve"> = -704.64, </w:t>
      </w:r>
      <w:r w:rsidRPr="00E92B73">
        <w:rPr>
          <w:i/>
          <w:iCs/>
        </w:rPr>
        <w:t>BIC</w:t>
      </w:r>
      <w:r w:rsidRPr="00E92B73">
        <w:t xml:space="preserve"> = -318.42, </w:t>
      </w:r>
      <w:r w:rsidRPr="00E92B73">
        <w:rPr>
          <w:i/>
          <w:iCs/>
        </w:rPr>
        <w:t>CFI</w:t>
      </w:r>
      <w:r w:rsidRPr="00E92B73">
        <w:t xml:space="preserve"> = 1.09, </w:t>
      </w:r>
      <w:r w:rsidRPr="00E92B73">
        <w:rPr>
          <w:i/>
          <w:iCs/>
        </w:rPr>
        <w:t>TLI</w:t>
      </w:r>
      <w:r w:rsidRPr="00E92B73">
        <w:t xml:space="preserve"> = .99). </w:t>
      </w:r>
      <w:r>
        <w:t>In line with Hypothesis 3c s</w:t>
      </w:r>
      <w:r w:rsidRPr="00E92B73">
        <w:t>trong formal environments positively moderate the relationship between board interlocks and resource provision (</w:t>
      </w:r>
      <w:r w:rsidRPr="00E92B73">
        <w:rPr>
          <w:i/>
          <w:iCs/>
        </w:rPr>
        <w:t>b</w:t>
      </w:r>
      <w:r w:rsidRPr="00E92B73">
        <w:t xml:space="preserve"> = .09, </w:t>
      </w:r>
      <w:r w:rsidRPr="00E92B73">
        <w:rPr>
          <w:i/>
          <w:iCs/>
        </w:rPr>
        <w:t>p</w:t>
      </w:r>
      <w:r w:rsidRPr="00E92B73">
        <w:t xml:space="preserve"> &lt; .001) and negatively moderate the relationship with agency costs (</w:t>
      </w:r>
      <w:r w:rsidRPr="00E92B73">
        <w:rPr>
          <w:i/>
          <w:iCs/>
        </w:rPr>
        <w:t>b</w:t>
      </w:r>
      <w:r w:rsidRPr="00E92B73">
        <w:t xml:space="preserve"> = -.02, </w:t>
      </w:r>
      <w:r w:rsidRPr="00E92B73">
        <w:rPr>
          <w:i/>
          <w:iCs/>
        </w:rPr>
        <w:t>p</w:t>
      </w:r>
      <w:r w:rsidRPr="00E92B73">
        <w:t xml:space="preserve"> </w:t>
      </w:r>
      <w:r>
        <w:t>=</w:t>
      </w:r>
      <w:r w:rsidRPr="00E92B73">
        <w:t xml:space="preserve"> .</w:t>
      </w:r>
      <w:r>
        <w:t>115</w:t>
      </w:r>
      <w:r w:rsidRPr="00E92B73">
        <w:t>)</w:t>
      </w:r>
      <w:r>
        <w:t>, thereby not supporting Hypothesis 3d</w:t>
      </w:r>
      <w:r w:rsidRPr="00E92B73">
        <w:t>. The indirect effects are significant, with resource provision showing a positive effect (</w:t>
      </w:r>
      <w:r w:rsidRPr="00E92B73">
        <w:rPr>
          <w:i/>
          <w:iCs/>
        </w:rPr>
        <w:t>b</w:t>
      </w:r>
      <w:r w:rsidRPr="00E92B73">
        <w:t xml:space="preserve"> = .004, 95% </w:t>
      </w:r>
      <w:r w:rsidRPr="00E92B73">
        <w:rPr>
          <w:i/>
          <w:iCs/>
        </w:rPr>
        <w:t>CI</w:t>
      </w:r>
      <w:r w:rsidRPr="00E92B73">
        <w:t xml:space="preserve"> = [.002, .007]) and agency costs showing a negative effect (</w:t>
      </w:r>
      <w:r w:rsidRPr="00E92B73">
        <w:rPr>
          <w:i/>
          <w:iCs/>
        </w:rPr>
        <w:t>b</w:t>
      </w:r>
      <w:r w:rsidRPr="00E92B73">
        <w:t xml:space="preserve"> = -.000, 95% </w:t>
      </w:r>
      <w:r w:rsidRPr="00E92B73">
        <w:rPr>
          <w:i/>
          <w:iCs/>
        </w:rPr>
        <w:t>CI</w:t>
      </w:r>
      <w:r w:rsidRPr="00E92B73">
        <w:t xml:space="preserve"> = [.000, .000]). The overall indirect effect is (</w:t>
      </w:r>
      <w:r w:rsidRPr="00E92B73">
        <w:rPr>
          <w:i/>
          <w:iCs/>
        </w:rPr>
        <w:t>b</w:t>
      </w:r>
      <w:r w:rsidRPr="00E92B73">
        <w:t xml:space="preserve"> = .003, 95% </w:t>
      </w:r>
      <w:r w:rsidRPr="00E92B73">
        <w:rPr>
          <w:i/>
          <w:iCs/>
        </w:rPr>
        <w:t>CI</w:t>
      </w:r>
      <w:r w:rsidRPr="00E92B73">
        <w:t xml:space="preserve"> = [.001, .006]). Compared to our primary analysis, the formal institutional environment significantly explains a substantial portion of the variance (</w:t>
      </w:r>
      <w:r w:rsidRPr="00670E55">
        <w:t>Δ</w:t>
      </w:r>
      <w:r w:rsidRPr="00E92B73">
        <w:rPr>
          <w:i/>
          <w:iCs/>
        </w:rPr>
        <w:t>χ</w:t>
      </w:r>
      <w:r w:rsidRPr="00E92B73">
        <w:t xml:space="preserve">² = 19.64, </w:t>
      </w:r>
      <w:r w:rsidRPr="00670E55">
        <w:t>Δ</w:t>
      </w:r>
      <w:r w:rsidRPr="00E92B73">
        <w:rPr>
          <w:i/>
          <w:iCs/>
        </w:rPr>
        <w:t>df</w:t>
      </w:r>
      <w:r w:rsidRPr="00E92B73">
        <w:t xml:space="preserve"> = 2, </w:t>
      </w:r>
      <w:r w:rsidRPr="00E92B73">
        <w:rPr>
          <w:i/>
          <w:iCs/>
        </w:rPr>
        <w:t>p</w:t>
      </w:r>
      <w:r w:rsidRPr="00E92B73">
        <w:t xml:space="preserve"> &lt; .001).</w:t>
      </w:r>
    </w:p>
    <w:p w14:paraId="00D39982" w14:textId="77777777" w:rsidR="006822EF" w:rsidRDefault="006822EF" w:rsidP="008E14A8">
      <w:pPr>
        <w:pStyle w:val="Paragraph"/>
        <w:jc w:val="both"/>
      </w:pPr>
      <w:r w:rsidRPr="00E92B73">
        <w:t>Model 3 examines the moderating effect of the informal institutional environment. Goodness-of-fit indices suggest a good model fit (</w:t>
      </w:r>
      <w:r w:rsidRPr="00E92B73">
        <w:rPr>
          <w:i/>
          <w:iCs/>
        </w:rPr>
        <w:t>χ</w:t>
      </w:r>
      <w:r w:rsidRPr="00E92B73">
        <w:t xml:space="preserve">²(25) = 18.22, </w:t>
      </w:r>
      <w:r w:rsidRPr="00E92B73">
        <w:rPr>
          <w:i/>
          <w:iCs/>
        </w:rPr>
        <w:t>p</w:t>
      </w:r>
      <w:r w:rsidRPr="00E92B73">
        <w:t xml:space="preserve"> = .833, </w:t>
      </w:r>
      <w:r w:rsidRPr="00E92B73">
        <w:rPr>
          <w:i/>
          <w:iCs/>
        </w:rPr>
        <w:t>AIC</w:t>
      </w:r>
      <w:r w:rsidRPr="00E92B73">
        <w:t xml:space="preserve"> = -709.44, </w:t>
      </w:r>
      <w:r w:rsidRPr="00E92B73">
        <w:rPr>
          <w:i/>
          <w:iCs/>
        </w:rPr>
        <w:t>BIC</w:t>
      </w:r>
      <w:r w:rsidRPr="00E92B73">
        <w:t xml:space="preserve"> </w:t>
      </w:r>
      <w:r w:rsidRPr="00E92B73">
        <w:lastRenderedPageBreak/>
        <w:t xml:space="preserve">= -323.23, </w:t>
      </w:r>
      <w:r w:rsidRPr="00E92B73">
        <w:rPr>
          <w:i/>
          <w:iCs/>
        </w:rPr>
        <w:t>CFI</w:t>
      </w:r>
      <w:r w:rsidRPr="00E92B73">
        <w:t xml:space="preserve"> = 1.1, </w:t>
      </w:r>
      <w:r w:rsidRPr="00E92B73">
        <w:rPr>
          <w:i/>
          <w:iCs/>
        </w:rPr>
        <w:t>TLI</w:t>
      </w:r>
      <w:r w:rsidRPr="00E92B73">
        <w:t xml:space="preserve"> = .99). </w:t>
      </w:r>
      <w:r>
        <w:t>Supporting Hypothesis 3e, s</w:t>
      </w:r>
      <w:r w:rsidRPr="00E92B73">
        <w:t>trong informal environments positively influence the relationship between board interlocks and resource provision (</w:t>
      </w:r>
      <w:r w:rsidRPr="00E92B73">
        <w:rPr>
          <w:i/>
          <w:iCs/>
        </w:rPr>
        <w:t>b</w:t>
      </w:r>
      <w:r w:rsidRPr="00E92B73">
        <w:t xml:space="preserve"> = .10, </w:t>
      </w:r>
      <w:r w:rsidRPr="00E92B73">
        <w:rPr>
          <w:i/>
          <w:iCs/>
        </w:rPr>
        <w:t>p</w:t>
      </w:r>
      <w:r w:rsidRPr="00E92B73">
        <w:t xml:space="preserve"> &lt; .001) but have a non-significant negative effect on agency costs (</w:t>
      </w:r>
      <w:r w:rsidRPr="00E92B73">
        <w:rPr>
          <w:i/>
          <w:iCs/>
        </w:rPr>
        <w:t>b</w:t>
      </w:r>
      <w:r w:rsidRPr="00E92B73">
        <w:t xml:space="preserve"> = -.02, </w:t>
      </w:r>
      <w:r w:rsidRPr="00E92B73">
        <w:rPr>
          <w:i/>
          <w:iCs/>
        </w:rPr>
        <w:t>p</w:t>
      </w:r>
      <w:r w:rsidRPr="00E92B73">
        <w:t xml:space="preserve"> = .157)</w:t>
      </w:r>
      <w:r>
        <w:t>, thereby not supporting Hypothesis 3f</w:t>
      </w:r>
      <w:r w:rsidRPr="00E92B73">
        <w:t>. Indirect effects confirm significant impacts, with resource provision having a positive effect (</w:t>
      </w:r>
      <w:r w:rsidRPr="00E92B73">
        <w:rPr>
          <w:i/>
          <w:iCs/>
        </w:rPr>
        <w:t>b</w:t>
      </w:r>
      <w:r w:rsidRPr="00E92B73">
        <w:t xml:space="preserve"> = .004, 95% </w:t>
      </w:r>
      <w:r w:rsidRPr="00E92B73">
        <w:rPr>
          <w:i/>
          <w:iCs/>
        </w:rPr>
        <w:t>CI</w:t>
      </w:r>
      <w:r w:rsidRPr="00E92B73">
        <w:t xml:space="preserve"> = [.002, .007]) and agency costs having a negative effect (</w:t>
      </w:r>
      <w:r w:rsidRPr="00E92B73">
        <w:rPr>
          <w:i/>
          <w:iCs/>
        </w:rPr>
        <w:t>b</w:t>
      </w:r>
      <w:r w:rsidRPr="00E92B73">
        <w:t xml:space="preserve"> = -.000, 95% </w:t>
      </w:r>
      <w:r w:rsidRPr="00E92B73">
        <w:rPr>
          <w:i/>
          <w:iCs/>
        </w:rPr>
        <w:t>CI</w:t>
      </w:r>
      <w:r w:rsidRPr="00E92B73">
        <w:t xml:space="preserve"> = [-.000, -.000]). The total indirect effect is (</w:t>
      </w:r>
      <w:r w:rsidRPr="00E92B73">
        <w:rPr>
          <w:i/>
          <w:iCs/>
        </w:rPr>
        <w:t>b</w:t>
      </w:r>
      <w:r w:rsidRPr="00E92B73">
        <w:t xml:space="preserve"> = .004, 95% </w:t>
      </w:r>
      <w:r w:rsidRPr="00E92B73">
        <w:rPr>
          <w:i/>
          <w:iCs/>
        </w:rPr>
        <w:t>CI</w:t>
      </w:r>
      <w:r w:rsidRPr="00E92B73">
        <w:t xml:space="preserve"> = [.001, .007]). A likelihood ratio test confirms that the informal institutional environment explains significantly more variance than our primary analysis (</w:t>
      </w:r>
      <w:r w:rsidRPr="00670E55">
        <w:t>Δ</w:t>
      </w:r>
      <w:r w:rsidRPr="00E92B73">
        <w:rPr>
          <w:i/>
          <w:iCs/>
        </w:rPr>
        <w:t>χ</w:t>
      </w:r>
      <w:r w:rsidRPr="00E92B73">
        <w:t xml:space="preserve">² = 24.45, </w:t>
      </w:r>
      <w:r w:rsidRPr="00670E55">
        <w:t>Δ</w:t>
      </w:r>
      <w:r w:rsidRPr="00E92B73">
        <w:rPr>
          <w:i/>
          <w:iCs/>
        </w:rPr>
        <w:t>df</w:t>
      </w:r>
      <w:r w:rsidRPr="00E92B73">
        <w:t xml:space="preserve"> = 2, </w:t>
      </w:r>
      <w:r w:rsidRPr="00E92B73">
        <w:rPr>
          <w:i/>
          <w:iCs/>
        </w:rPr>
        <w:t>p</w:t>
      </w:r>
      <w:r w:rsidRPr="00E92B73">
        <w:t xml:space="preserve"> &lt; .001).</w:t>
      </w:r>
    </w:p>
    <w:p w14:paraId="50B4B384" w14:textId="77777777" w:rsidR="006822EF" w:rsidRPr="00671F82" w:rsidRDefault="006822EF" w:rsidP="007E4D6F">
      <w:pPr>
        <w:pStyle w:val="Paragraph"/>
        <w:ind w:firstLine="0"/>
        <w:jc w:val="center"/>
        <w:rPr>
          <w:color w:val="000000" w:themeColor="text1"/>
        </w:rPr>
      </w:pPr>
      <w:r w:rsidRPr="00671F82">
        <w:rPr>
          <w:color w:val="000000" w:themeColor="text1"/>
        </w:rPr>
        <w:t>----------------------------------</w:t>
      </w:r>
    </w:p>
    <w:p w14:paraId="3F57BE00" w14:textId="77777777" w:rsidR="006822EF" w:rsidRPr="00671F82" w:rsidRDefault="006822EF" w:rsidP="007E4D6F">
      <w:pPr>
        <w:pStyle w:val="Paragraph"/>
        <w:ind w:firstLine="0"/>
        <w:jc w:val="center"/>
        <w:rPr>
          <w:color w:val="000000" w:themeColor="text1"/>
        </w:rPr>
      </w:pPr>
      <w:r w:rsidRPr="00671F82">
        <w:rPr>
          <w:color w:val="000000" w:themeColor="text1"/>
        </w:rPr>
        <w:t xml:space="preserve">Insert </w:t>
      </w:r>
      <w:r>
        <w:rPr>
          <w:color w:val="000000" w:themeColor="text1"/>
        </w:rPr>
        <w:t>Figure 2</w:t>
      </w:r>
      <w:r w:rsidRPr="00671F82">
        <w:rPr>
          <w:color w:val="000000" w:themeColor="text1"/>
        </w:rPr>
        <w:t xml:space="preserve"> about here</w:t>
      </w:r>
    </w:p>
    <w:p w14:paraId="2420CC49" w14:textId="77777777" w:rsidR="006822EF" w:rsidRPr="00743AFB" w:rsidRDefault="006822EF" w:rsidP="007E4D6F">
      <w:pPr>
        <w:pStyle w:val="Paragraph"/>
        <w:spacing w:after="120"/>
        <w:ind w:firstLine="0"/>
        <w:jc w:val="center"/>
        <w:rPr>
          <w:color w:val="000000" w:themeColor="text1"/>
        </w:rPr>
      </w:pPr>
      <w:r w:rsidRPr="00743AFB">
        <w:rPr>
          <w:color w:val="000000" w:themeColor="text1"/>
        </w:rPr>
        <w:t>-----------------------------------</w:t>
      </w:r>
    </w:p>
    <w:p w14:paraId="3F851238" w14:textId="7FD9FB0C" w:rsidR="006822EF" w:rsidRPr="009572A7" w:rsidRDefault="00406027" w:rsidP="009572A7">
      <w:pPr>
        <w:pStyle w:val="berschrift2"/>
        <w:rPr>
          <w:lang w:val="en-US"/>
        </w:rPr>
      </w:pPr>
      <w:bookmarkStart w:id="21" w:name="_Toc180963604"/>
      <w:bookmarkStart w:id="22" w:name="_Toc471385902"/>
      <w:r>
        <w:rPr>
          <w:lang w:val="en-US"/>
        </w:rPr>
        <w:t>Post Hoc Analysis</w:t>
      </w:r>
      <w:bookmarkEnd w:id="21"/>
    </w:p>
    <w:p w14:paraId="6F18CDE0" w14:textId="77777777" w:rsidR="006822EF" w:rsidRDefault="006822EF" w:rsidP="009572A7">
      <w:pPr>
        <w:pStyle w:val="berschrift3"/>
      </w:pPr>
      <w:bookmarkStart w:id="23" w:name="_Toc164267006"/>
      <w:r>
        <w:t>Impact of Power Relations and Institutional Environment on the Interlock-Performance Link</w:t>
      </w:r>
    </w:p>
    <w:p w14:paraId="259EFAEB" w14:textId="5745A5A5" w:rsidR="006822EF" w:rsidRPr="002931D2" w:rsidRDefault="006822EF" w:rsidP="008411D3">
      <w:pPr>
        <w:pStyle w:val="Paragraph"/>
        <w:ind w:firstLine="708"/>
        <w:jc w:val="both"/>
        <w:rPr>
          <w:color w:val="000000" w:themeColor="text1"/>
        </w:rPr>
      </w:pPr>
      <w:r w:rsidRPr="00563549">
        <w:rPr>
          <w:color w:val="000000" w:themeColor="text1"/>
        </w:rPr>
        <w:t>To gain a</w:t>
      </w:r>
      <w:r>
        <w:rPr>
          <w:color w:val="000000" w:themeColor="text1"/>
        </w:rPr>
        <w:t xml:space="preserve"> more</w:t>
      </w:r>
      <w:r w:rsidRPr="00563549">
        <w:rPr>
          <w:color w:val="000000" w:themeColor="text1"/>
        </w:rPr>
        <w:t xml:space="preserve"> comprehensive understanding of how power relations and a firm's institutional environment influence the relationship between board interlocks and firm performance, we employed a mixed-effects multilevel meta-analytic regression analysis (multilevel-MARA). </w:t>
      </w:r>
      <w:r w:rsidRPr="00552211">
        <w:rPr>
          <w:color w:val="000000" w:themeColor="text1"/>
        </w:rPr>
        <w:t xml:space="preserve">Following established procedures </w:t>
      </w:r>
      <w:r w:rsidRPr="002B715B">
        <w:rPr>
          <w:color w:val="000000" w:themeColor="text1"/>
        </w:rPr>
        <w:t xml:space="preserve">(e.g., Holmes et al., 2021) </w:t>
      </w:r>
      <w:r w:rsidRPr="00433B5D">
        <w:rPr>
          <w:color w:val="000000" w:themeColor="text1"/>
        </w:rPr>
        <w:t xml:space="preserve">and adhering to recent guidelines </w:t>
      </w:r>
      <w:r w:rsidRPr="002B715B">
        <w:rPr>
          <w:color w:val="000000" w:themeColor="text1"/>
        </w:rPr>
        <w:t xml:space="preserve">(e.g., Gonzalez-Mulé &amp; Aguinis, 2018). </w:t>
      </w:r>
      <w:r w:rsidR="008411D3">
        <w:rPr>
          <w:color w:val="000000" w:themeColor="text1"/>
        </w:rPr>
        <w:t>R</w:t>
      </w:r>
      <w:r w:rsidRPr="00460A42">
        <w:rPr>
          <w:color w:val="000000" w:themeColor="text1"/>
        </w:rPr>
        <w:t>esults are detailed in Table 6.</w:t>
      </w:r>
    </w:p>
    <w:p w14:paraId="5F0CDC9D" w14:textId="77777777" w:rsidR="006822EF" w:rsidRPr="00FD5195" w:rsidRDefault="006822EF" w:rsidP="007E4D6F">
      <w:pPr>
        <w:pStyle w:val="Paragraph"/>
        <w:ind w:firstLine="0"/>
        <w:jc w:val="center"/>
        <w:rPr>
          <w:color w:val="000000" w:themeColor="text1"/>
        </w:rPr>
      </w:pPr>
      <w:r w:rsidRPr="00FD5195">
        <w:rPr>
          <w:color w:val="000000" w:themeColor="text1"/>
        </w:rPr>
        <w:t>----------------------------------</w:t>
      </w:r>
    </w:p>
    <w:p w14:paraId="0B786BAC" w14:textId="77777777" w:rsidR="006822EF" w:rsidRPr="00FD5195" w:rsidRDefault="006822EF" w:rsidP="007E4D6F">
      <w:pPr>
        <w:pStyle w:val="Paragraph"/>
        <w:ind w:firstLine="0"/>
        <w:jc w:val="center"/>
        <w:rPr>
          <w:color w:val="000000" w:themeColor="text1"/>
        </w:rPr>
      </w:pPr>
      <w:r w:rsidRPr="00FD5195">
        <w:rPr>
          <w:color w:val="000000" w:themeColor="text1"/>
        </w:rPr>
        <w:t xml:space="preserve">Insert Table </w:t>
      </w:r>
      <w:r>
        <w:rPr>
          <w:color w:val="000000" w:themeColor="text1"/>
        </w:rPr>
        <w:t>6</w:t>
      </w:r>
      <w:r w:rsidRPr="00FD5195">
        <w:rPr>
          <w:color w:val="000000" w:themeColor="text1"/>
        </w:rPr>
        <w:t xml:space="preserve"> about here</w:t>
      </w:r>
    </w:p>
    <w:p w14:paraId="25C769E5" w14:textId="77777777" w:rsidR="006822EF" w:rsidRPr="00743AFB" w:rsidRDefault="006822EF" w:rsidP="007E4D6F">
      <w:pPr>
        <w:pStyle w:val="Paragraph"/>
        <w:spacing w:after="120"/>
        <w:ind w:firstLine="0"/>
        <w:jc w:val="center"/>
        <w:rPr>
          <w:color w:val="000000" w:themeColor="text1"/>
        </w:rPr>
      </w:pPr>
      <w:r w:rsidRPr="00743AFB">
        <w:rPr>
          <w:color w:val="000000" w:themeColor="text1"/>
        </w:rPr>
        <w:t>-----------------------------------</w:t>
      </w:r>
    </w:p>
    <w:p w14:paraId="6E3649CF" w14:textId="77777777" w:rsidR="006822EF" w:rsidRPr="00090A86" w:rsidRDefault="006822EF" w:rsidP="008E14A8">
      <w:pPr>
        <w:pStyle w:val="Paragraph"/>
        <w:jc w:val="both"/>
      </w:pPr>
      <w:r w:rsidRPr="00090A86">
        <w:t>Model 4, which includes all control variables at the firm, industry, and study levels, serves as our baseline. The heterogeneity test statistic (Q) from this model is used to assess changes in heterogeneity in the subsequent models (</w:t>
      </w:r>
      <w:r w:rsidRPr="00090A86">
        <w:rPr>
          <w:lang w:val="de-DE"/>
        </w:rPr>
        <w:t>Δ</w:t>
      </w:r>
      <w:r w:rsidRPr="00090A86">
        <w:t>Q).</w:t>
      </w:r>
      <w:r>
        <w:t xml:space="preserve"> </w:t>
      </w:r>
      <w:r w:rsidRPr="00090A86">
        <w:t xml:space="preserve">Model 5 tests the moderating effect </w:t>
      </w:r>
      <w:r w:rsidRPr="00090A86">
        <w:lastRenderedPageBreak/>
        <w:t>of CEO power on the relationship between board interlocks and firm performance. The significant negative effect (</w:t>
      </w:r>
      <w:r w:rsidRPr="00090A86">
        <w:rPr>
          <w:i/>
          <w:iCs/>
        </w:rPr>
        <w:t>b</w:t>
      </w:r>
      <w:r w:rsidRPr="00090A86">
        <w:t xml:space="preserve"> = -.04, </w:t>
      </w:r>
      <w:r w:rsidRPr="00090A86">
        <w:rPr>
          <w:i/>
          <w:iCs/>
        </w:rPr>
        <w:t>p</w:t>
      </w:r>
      <w:r w:rsidRPr="00090A86">
        <w:t xml:space="preserve"> &lt; .001) suggests that stronger CEO power diminishes the positive impact of board interlocks on firm performance. In contrast, Model 6 reveals that formal national institutions positively moderate this relationship (</w:t>
      </w:r>
      <w:r w:rsidRPr="00090A86">
        <w:rPr>
          <w:i/>
          <w:iCs/>
        </w:rPr>
        <w:t>b</w:t>
      </w:r>
      <w:r w:rsidRPr="00090A86">
        <w:t xml:space="preserve"> = .02, </w:t>
      </w:r>
      <w:r w:rsidRPr="00090A86">
        <w:rPr>
          <w:i/>
          <w:iCs/>
        </w:rPr>
        <w:t>p</w:t>
      </w:r>
      <w:r w:rsidRPr="00090A86">
        <w:t xml:space="preserve"> &lt; .05), implying that in environments with stricter rules and regulations, board interlocks contribute more positively to firm performance. Similarly, Model 7 shows that informal national institutions, such as socially shared norms, enhance this positive impact (</w:t>
      </w:r>
      <w:r w:rsidRPr="00090A86">
        <w:rPr>
          <w:i/>
          <w:iCs/>
        </w:rPr>
        <w:t>b</w:t>
      </w:r>
      <w:r w:rsidRPr="00090A86">
        <w:t xml:space="preserve"> = .07, </w:t>
      </w:r>
      <w:r w:rsidRPr="00090A86">
        <w:rPr>
          <w:i/>
          <w:iCs/>
        </w:rPr>
        <w:t>p</w:t>
      </w:r>
      <w:r w:rsidRPr="00090A86">
        <w:t xml:space="preserve"> &lt; .01). Finally, Model 8, which integrates all moderating variables, confirms the distinct effects of each, solidifying our understanding of how these factors interact with board interlocks to influence firm performance.</w:t>
      </w:r>
    </w:p>
    <w:bookmarkEnd w:id="23"/>
    <w:p w14:paraId="33BA7F50" w14:textId="77777777" w:rsidR="006822EF" w:rsidRPr="009572A7" w:rsidRDefault="006822EF" w:rsidP="009572A7">
      <w:pPr>
        <w:pStyle w:val="berschrift3"/>
      </w:pPr>
      <w:r w:rsidRPr="009572A7">
        <w:t>Impact of Individual CEO Power Dimensions on the Interlock-Performance link</w:t>
      </w:r>
    </w:p>
    <w:p w14:paraId="14B2F64F" w14:textId="77777777" w:rsidR="006822EF" w:rsidRPr="00E92B73" w:rsidRDefault="006822EF" w:rsidP="008411D3">
      <w:pPr>
        <w:pStyle w:val="Paragraph"/>
        <w:ind w:firstLine="708"/>
        <w:jc w:val="both"/>
      </w:pPr>
      <w:r w:rsidRPr="005F6330">
        <w:t>To further explore the negative moderating effect of CEO power, we conducted a post hoc analysis focusing on its sub-dimensions as described by</w:t>
      </w:r>
      <w:r>
        <w:t xml:space="preserve"> Finkelstein</w:t>
      </w:r>
      <w:r w:rsidRPr="00E92B73">
        <w:t xml:space="preserve"> </w:t>
      </w:r>
      <w:r>
        <w:t>(1992)</w:t>
      </w:r>
      <w:r w:rsidRPr="00E92B73">
        <w:t xml:space="preserve">. The summarized results are presented in Table </w:t>
      </w:r>
      <w:r>
        <w:t>7</w:t>
      </w:r>
      <w:r w:rsidRPr="00E92B73">
        <w:t>.</w:t>
      </w:r>
    </w:p>
    <w:p w14:paraId="309FEACC" w14:textId="77777777" w:rsidR="006822EF" w:rsidRPr="00FD5195" w:rsidRDefault="006822EF" w:rsidP="007E4D6F">
      <w:pPr>
        <w:pStyle w:val="Paragraph"/>
        <w:ind w:firstLine="0"/>
        <w:jc w:val="center"/>
        <w:rPr>
          <w:color w:val="000000" w:themeColor="text1"/>
        </w:rPr>
      </w:pPr>
      <w:r w:rsidRPr="00FD5195">
        <w:rPr>
          <w:color w:val="000000" w:themeColor="text1"/>
        </w:rPr>
        <w:t>----------------------------------</w:t>
      </w:r>
    </w:p>
    <w:p w14:paraId="01FF737F" w14:textId="77777777" w:rsidR="006822EF" w:rsidRPr="00FD5195" w:rsidRDefault="006822EF" w:rsidP="007E4D6F">
      <w:pPr>
        <w:pStyle w:val="Paragraph"/>
        <w:ind w:firstLine="0"/>
        <w:jc w:val="center"/>
        <w:rPr>
          <w:color w:val="000000" w:themeColor="text1"/>
        </w:rPr>
      </w:pPr>
      <w:r w:rsidRPr="00FD5195">
        <w:rPr>
          <w:color w:val="000000" w:themeColor="text1"/>
        </w:rPr>
        <w:t xml:space="preserve">Insert Table </w:t>
      </w:r>
      <w:r>
        <w:rPr>
          <w:color w:val="000000" w:themeColor="text1"/>
        </w:rPr>
        <w:t>7</w:t>
      </w:r>
      <w:r w:rsidRPr="00FD5195">
        <w:rPr>
          <w:color w:val="000000" w:themeColor="text1"/>
        </w:rPr>
        <w:t xml:space="preserve"> about here</w:t>
      </w:r>
    </w:p>
    <w:p w14:paraId="3FFE8B61" w14:textId="77777777" w:rsidR="006822EF" w:rsidRPr="00743AFB" w:rsidRDefault="006822EF" w:rsidP="007E4D6F">
      <w:pPr>
        <w:pStyle w:val="Paragraph"/>
        <w:spacing w:after="120"/>
        <w:ind w:firstLine="0"/>
        <w:jc w:val="center"/>
        <w:rPr>
          <w:color w:val="000000" w:themeColor="text1"/>
        </w:rPr>
      </w:pPr>
      <w:r w:rsidRPr="00743AFB">
        <w:rPr>
          <w:color w:val="000000" w:themeColor="text1"/>
        </w:rPr>
        <w:t>-----------------------------------</w:t>
      </w:r>
    </w:p>
    <w:p w14:paraId="2335E395" w14:textId="77777777" w:rsidR="006822EF" w:rsidRPr="005F6330" w:rsidRDefault="006822EF" w:rsidP="008E14A8">
      <w:pPr>
        <w:pStyle w:val="Paragraph"/>
        <w:jc w:val="both"/>
      </w:pPr>
      <w:r w:rsidRPr="005F6330">
        <w:t>Model 9 serves as the baseline for estimating heterogeneity and benchmarking goodness-of-fit indices in subsequent analyses. Model 10 assesses CEO structural power, defined as the CEO's authority and influence within the organizational structure. The results show that structural power has a significant negative effect on the relationship between board interlocks and firm performance (</w:t>
      </w:r>
      <w:r w:rsidRPr="005F6330">
        <w:rPr>
          <w:i/>
          <w:iCs/>
        </w:rPr>
        <w:t>b</w:t>
      </w:r>
      <w:r w:rsidRPr="005F6330">
        <w:t xml:space="preserve"> = -.03, </w:t>
      </w:r>
      <w:r w:rsidRPr="005F6330">
        <w:rPr>
          <w:i/>
          <w:iCs/>
        </w:rPr>
        <w:t>p</w:t>
      </w:r>
      <w:r w:rsidRPr="005F6330">
        <w:t xml:space="preserve"> &lt; .001). Model 11 examines CEO ownership power, which, shows no significant effect (</w:t>
      </w:r>
      <w:r w:rsidRPr="005F6330">
        <w:rPr>
          <w:i/>
          <w:iCs/>
        </w:rPr>
        <w:t>b</w:t>
      </w:r>
      <w:r w:rsidRPr="005F6330">
        <w:t xml:space="preserve"> = .00, </w:t>
      </w:r>
      <w:r w:rsidRPr="005F6330">
        <w:rPr>
          <w:i/>
          <w:iCs/>
        </w:rPr>
        <w:t>p</w:t>
      </w:r>
      <w:r w:rsidRPr="005F6330">
        <w:t xml:space="preserve"> = .802). Model 12 investigates CEO expert power, revealing a significant negative </w:t>
      </w:r>
      <w:r>
        <w:t xml:space="preserve">moderating </w:t>
      </w:r>
      <w:r w:rsidRPr="005F6330">
        <w:t>effect (</w:t>
      </w:r>
      <w:r w:rsidRPr="005F6330">
        <w:rPr>
          <w:i/>
          <w:iCs/>
        </w:rPr>
        <w:t>b</w:t>
      </w:r>
      <w:r w:rsidRPr="005F6330">
        <w:t xml:space="preserve"> = -.02, </w:t>
      </w:r>
      <w:r w:rsidRPr="005F6330">
        <w:rPr>
          <w:i/>
          <w:iCs/>
        </w:rPr>
        <w:t>p</w:t>
      </w:r>
      <w:r w:rsidRPr="005F6330">
        <w:t xml:space="preserve"> &lt; .05), </w:t>
      </w:r>
      <w:r w:rsidRPr="008608B9">
        <w:t>suggesting that high levels of experience and knowledge may lead to a reduced openness to adopting external network knowledge from board interlocks</w:t>
      </w:r>
      <w:r w:rsidRPr="005F6330">
        <w:t xml:space="preserve">. </w:t>
      </w:r>
      <w:r w:rsidRPr="008608B9">
        <w:t xml:space="preserve">Finally, Model 13, which incorporates all </w:t>
      </w:r>
      <w:r w:rsidRPr="008608B9">
        <w:lastRenderedPageBreak/>
        <w:t>dimensions of CEO power, suggests that the negative moderating effect is primarily driven by CEO structural power, which remains significant when accounting for all sub-dimensions</w:t>
      </w:r>
      <w:r w:rsidRPr="005F6330">
        <w:t>.</w:t>
      </w:r>
    </w:p>
    <w:p w14:paraId="65687F5A" w14:textId="77777777" w:rsidR="006822EF" w:rsidRPr="009572A7" w:rsidRDefault="006822EF" w:rsidP="009572A7">
      <w:pPr>
        <w:pStyle w:val="berschrift3"/>
      </w:pPr>
      <w:r w:rsidRPr="009572A7">
        <w:t>Publication Bias</w:t>
      </w:r>
    </w:p>
    <w:p w14:paraId="74EA90AF" w14:textId="77777777" w:rsidR="006822EF" w:rsidRPr="00E92B73" w:rsidRDefault="006822EF" w:rsidP="008411D3">
      <w:pPr>
        <w:pStyle w:val="Paragraph"/>
        <w:ind w:firstLine="708"/>
        <w:jc w:val="both"/>
      </w:pPr>
      <w:r w:rsidRPr="000A6D99">
        <w:t>To assess the robustness of our analysis against publication bias, we applied several established methods</w:t>
      </w:r>
      <w:r>
        <w:t xml:space="preserve"> (e.g., Tehrani &amp; Yamini, 2020)</w:t>
      </w:r>
      <w:r w:rsidRPr="00E92B73">
        <w:t>.</w:t>
      </w:r>
      <w:r w:rsidRPr="003C7B82">
        <w:t xml:space="preserve"> First, the Kendall rank correlation test </w:t>
      </w:r>
      <w:r>
        <w:t>(Begg &amp; Mazumdar, 1994; Dear &amp; Begg, 1992)</w:t>
      </w:r>
      <w:r w:rsidRPr="00E92B73">
        <w:t xml:space="preserve"> </w:t>
      </w:r>
      <w:r>
        <w:t>i</w:t>
      </w:r>
      <w:r w:rsidRPr="000A6D99">
        <w:t>ndicated no significant funnel plot asymmetry</w:t>
      </w:r>
      <w:r>
        <w:t xml:space="preserve"> </w:t>
      </w:r>
      <w:r w:rsidRPr="00E92B73">
        <w:t xml:space="preserve">(e.g., board interlocks - firm performance: </w:t>
      </w:r>
      <w:r w:rsidRPr="00E92B73">
        <w:rPr>
          <w:i/>
          <w:iCs/>
        </w:rPr>
        <w:t>τb</w:t>
      </w:r>
      <w:r w:rsidRPr="00E92B73">
        <w:t xml:space="preserve"> = -.00, </w:t>
      </w:r>
      <w:r w:rsidRPr="00E92B73">
        <w:rPr>
          <w:i/>
          <w:iCs/>
        </w:rPr>
        <w:t>p</w:t>
      </w:r>
      <w:r w:rsidRPr="00E92B73">
        <w:t xml:space="preserve"> = .97). </w:t>
      </w:r>
      <w:r w:rsidRPr="00B03725">
        <w:t xml:space="preserve">Second, Egger's test also showed no significant asymmetry in effect size distribution </w:t>
      </w:r>
      <w:r w:rsidRPr="00E92B73">
        <w:t xml:space="preserve">(e.g., board interlocks - firm performance: </w:t>
      </w:r>
      <w:r w:rsidRPr="00E92B73">
        <w:rPr>
          <w:i/>
          <w:iCs/>
        </w:rPr>
        <w:t>p</w:t>
      </w:r>
      <w:r w:rsidRPr="00E92B73">
        <w:t xml:space="preserve"> = .89),</w:t>
      </w:r>
      <w:r w:rsidRPr="00B03725">
        <w:t xml:space="preserve"> further supporting the absence of bias. Lastly, Rosenberg's fail-safe N indicated that 2,496 additional null-result studies would be required to alter our findings significantly </w:t>
      </w:r>
      <w:r w:rsidRPr="00E92B73">
        <w:t xml:space="preserve">(e.g., board interlocks - firm performance: 11,949). </w:t>
      </w:r>
      <w:r w:rsidRPr="003C7B82">
        <w:t xml:space="preserve">Based on these results and following </w:t>
      </w:r>
      <w:r>
        <w:t>Rothstein and Bushman</w:t>
      </w:r>
      <w:r w:rsidRPr="00E92B73">
        <w:t xml:space="preserve"> </w:t>
      </w:r>
      <w:r>
        <w:t>(2012)</w:t>
      </w:r>
      <w:r w:rsidRPr="00B03725">
        <w:t>, we conclude that publication bias does not significantly affect our analysis</w:t>
      </w:r>
      <w:r w:rsidRPr="00E92B73">
        <w:t>.</w:t>
      </w:r>
    </w:p>
    <w:p w14:paraId="65BD867A" w14:textId="77777777" w:rsidR="006822EF" w:rsidRPr="009572A7" w:rsidRDefault="006822EF" w:rsidP="009572A7">
      <w:pPr>
        <w:pStyle w:val="berschrift3"/>
      </w:pPr>
      <w:r w:rsidRPr="009572A7">
        <w:t>Endogeneity</w:t>
      </w:r>
    </w:p>
    <w:p w14:paraId="32DCEEBB" w14:textId="5F3B7450" w:rsidR="006822EF" w:rsidRDefault="006822EF" w:rsidP="008411D3">
      <w:pPr>
        <w:pStyle w:val="Paragraph"/>
        <w:ind w:firstLine="708"/>
        <w:jc w:val="both"/>
      </w:pPr>
      <w:r w:rsidRPr="00E92B73">
        <w:t xml:space="preserve">To address endogeneity concerns, we </w:t>
      </w:r>
      <w:r w:rsidR="00C90C0A">
        <w:t>again followed prior meta-analyses</w:t>
      </w:r>
      <w:r w:rsidRPr="00E92B73">
        <w:t xml:space="preserve"> </w:t>
      </w:r>
      <w:r>
        <w:t>(e.g., Palm et al., 2023)</w:t>
      </w:r>
      <w:r w:rsidRPr="00E92B73">
        <w:t xml:space="preserve"> and performed a subgroup analysis on primary studies that accounted for endogeneity in their </w:t>
      </w:r>
      <w:r>
        <w:t xml:space="preserve">research </w:t>
      </w:r>
      <w:r w:rsidRPr="00E92B73">
        <w:t>designs. This analysis confirmed the results of our main analysis, showing a positive and statistically significant relationship between board interlocks and firm performance (</w:t>
      </w:r>
      <w:r w:rsidRPr="00E92B73">
        <w:rPr>
          <w:i/>
          <w:iCs/>
        </w:rPr>
        <w:t>b</w:t>
      </w:r>
      <w:r w:rsidRPr="00E92B73">
        <w:t xml:space="preserve"> = 0.02, </w:t>
      </w:r>
      <w:r w:rsidRPr="00E92B73">
        <w:rPr>
          <w:i/>
          <w:iCs/>
        </w:rPr>
        <w:t>p</w:t>
      </w:r>
      <w:r w:rsidRPr="00E92B73">
        <w:t xml:space="preserve"> &lt; .01). This demonstrates that endogeneity-adjusted studies consistently indicate a </w:t>
      </w:r>
      <w:r>
        <w:t xml:space="preserve">significant </w:t>
      </w:r>
      <w:r w:rsidRPr="00E92B73">
        <w:t>positive effect.</w:t>
      </w:r>
    </w:p>
    <w:p w14:paraId="60BF51CD" w14:textId="77777777" w:rsidR="006822EF" w:rsidRPr="009572A7" w:rsidRDefault="006822EF" w:rsidP="009572A7">
      <w:pPr>
        <w:pStyle w:val="berschrift3"/>
      </w:pPr>
      <w:r w:rsidRPr="009572A7">
        <w:t>Sample Overlap</w:t>
      </w:r>
    </w:p>
    <w:p w14:paraId="26B20575" w14:textId="77777777" w:rsidR="006822EF" w:rsidRDefault="006822EF" w:rsidP="008411D3">
      <w:pPr>
        <w:pStyle w:val="Paragraph"/>
        <w:ind w:firstLine="708"/>
        <w:jc w:val="both"/>
      </w:pPr>
      <w:r w:rsidRPr="00FB647D">
        <w:t>To address concerns about sample overlap</w:t>
      </w:r>
      <w:r>
        <w:t xml:space="preserve"> in the primary studies</w:t>
      </w:r>
      <w:r w:rsidRPr="00FB647D">
        <w:t xml:space="preserve">, we conducted a robustness test using the Generalized Weights (GW) estimator </w:t>
      </w:r>
      <w:r>
        <w:t>(Bom &amp; Rachinger, 2020)</w:t>
      </w:r>
      <w:r w:rsidRPr="00FB647D">
        <w:t xml:space="preserve">, which adjusts for temporal and spatial aggregation across studies. </w:t>
      </w:r>
      <w:r w:rsidRPr="00281B45">
        <w:t>The results showed that the effect of board interlocks on firm performance</w:t>
      </w:r>
      <w:r>
        <w:t xml:space="preserve"> </w:t>
      </w:r>
      <w:r w:rsidRPr="00FB647D">
        <w:t xml:space="preserve">remained significant, </w:t>
      </w:r>
      <w:r w:rsidRPr="00FB647D">
        <w:rPr>
          <w:i/>
          <w:iCs/>
        </w:rPr>
        <w:t>b</w:t>
      </w:r>
      <w:r w:rsidRPr="00FB647D">
        <w:t xml:space="preserve"> =</w:t>
      </w:r>
      <w:r>
        <w:t xml:space="preserve"> </w:t>
      </w:r>
      <w:r w:rsidRPr="00FB647D">
        <w:t>.0178 (</w:t>
      </w:r>
      <w:r w:rsidRPr="00FB647D">
        <w:rPr>
          <w:i/>
          <w:iCs/>
        </w:rPr>
        <w:t>SE</w:t>
      </w:r>
      <w:r w:rsidRPr="00FB647D">
        <w:t xml:space="preserve"> = .0067),</w:t>
      </w:r>
      <w:r w:rsidRPr="00FB647D">
        <w:rPr>
          <w:i/>
          <w:iCs/>
        </w:rPr>
        <w:t xml:space="preserve"> t</w:t>
      </w:r>
      <w:r w:rsidRPr="00FB647D">
        <w:t>(118)</w:t>
      </w:r>
      <w:r>
        <w:t xml:space="preserve"> </w:t>
      </w:r>
      <w:r w:rsidRPr="00FB647D">
        <w:t>=</w:t>
      </w:r>
      <w:r>
        <w:t xml:space="preserve"> </w:t>
      </w:r>
      <w:r w:rsidRPr="00FB647D">
        <w:t xml:space="preserve">2.66, </w:t>
      </w:r>
      <w:r w:rsidRPr="00FB647D">
        <w:rPr>
          <w:i/>
          <w:iCs/>
        </w:rPr>
        <w:t>p</w:t>
      </w:r>
      <w:r>
        <w:rPr>
          <w:i/>
          <w:iCs/>
        </w:rPr>
        <w:t xml:space="preserve"> </w:t>
      </w:r>
      <w:r w:rsidRPr="00FB647D">
        <w:t>=</w:t>
      </w:r>
      <w:r>
        <w:t xml:space="preserve"> </w:t>
      </w:r>
      <w:r w:rsidRPr="00FB647D">
        <w:t>.0088</w:t>
      </w:r>
      <w:r>
        <w:t xml:space="preserve">, demonstrating </w:t>
      </w:r>
      <w:r w:rsidRPr="0033504C">
        <w:t xml:space="preserve">the robustness of the primary meta-analytic results and </w:t>
      </w:r>
      <w:r w:rsidRPr="0033504C">
        <w:lastRenderedPageBreak/>
        <w:t>suggest</w:t>
      </w:r>
      <w:r>
        <w:t>ing</w:t>
      </w:r>
      <w:r w:rsidRPr="0033504C">
        <w:t xml:space="preserve"> that sample overlap in years and countries does not affect the </w:t>
      </w:r>
      <w:r w:rsidRPr="00FB647D">
        <w:t>conclusions</w:t>
      </w:r>
      <w:r>
        <w:t xml:space="preserve"> of the primary analysis</w:t>
      </w:r>
      <w:r w:rsidRPr="00FB647D">
        <w:t>.</w:t>
      </w:r>
    </w:p>
    <w:p w14:paraId="16882722" w14:textId="77777777" w:rsidR="006822EF" w:rsidRPr="009572A7" w:rsidRDefault="006822EF" w:rsidP="009572A7">
      <w:pPr>
        <w:pStyle w:val="berschrift3"/>
      </w:pPr>
      <w:r w:rsidRPr="009572A7">
        <w:t>Methodological Bias</w:t>
      </w:r>
    </w:p>
    <w:p w14:paraId="0051FDBA" w14:textId="77777777" w:rsidR="006822EF" w:rsidRDefault="006822EF" w:rsidP="008411D3">
      <w:pPr>
        <w:pStyle w:val="Paragraph"/>
        <w:ind w:firstLine="708"/>
        <w:jc w:val="both"/>
      </w:pPr>
      <w:r w:rsidRPr="00281B45">
        <w:t>To assess the sensitivity of our results to the choice of analytical method, we used TSSEM (Cheung and Chan, 2005), including only firm size as the primary control due to TSSEM's limitations in handling continuous study-level controls. The pooled TSSEM correlation matrix is presented in Online Supplement 2. The results are presented in Online Supplement 3.</w:t>
      </w:r>
    </w:p>
    <w:p w14:paraId="647F68CA" w14:textId="77777777" w:rsidR="006822EF" w:rsidRDefault="006822EF" w:rsidP="008E14A8">
      <w:pPr>
        <w:pStyle w:val="Paragraph"/>
        <w:jc w:val="both"/>
      </w:pPr>
      <w:r w:rsidRPr="00B549AD">
        <w:t>The TSSEM model fit the data well (χ²(1) = .05, p = .823, AIC = -1.95, BIC = -13.43, CFI = .99, TLI = 1.00, RMSEA = 0 [0, 0], SRMR &lt; .01). The relationship between board interlocks and resource provision was positive and significant (</w:t>
      </w:r>
      <w:r w:rsidRPr="005E4723">
        <w:rPr>
          <w:i/>
          <w:iCs/>
        </w:rPr>
        <w:t>b</w:t>
      </w:r>
      <w:r w:rsidRPr="00B549AD">
        <w:t xml:space="preserve"> = .07, </w:t>
      </w:r>
      <w:r w:rsidRPr="005E4723">
        <w:rPr>
          <w:i/>
          <w:iCs/>
        </w:rPr>
        <w:t>p</w:t>
      </w:r>
      <w:r w:rsidRPr="00B549AD">
        <w:t xml:space="preserve"> &lt; .001), as was the relationship between resource provision and firm performance (</w:t>
      </w:r>
      <w:r w:rsidRPr="005E4723">
        <w:rPr>
          <w:i/>
          <w:iCs/>
        </w:rPr>
        <w:t>b</w:t>
      </w:r>
      <w:r w:rsidRPr="00B549AD">
        <w:t xml:space="preserve"> = .04, </w:t>
      </w:r>
      <w:r w:rsidRPr="005E4723">
        <w:rPr>
          <w:i/>
          <w:iCs/>
        </w:rPr>
        <w:t>p</w:t>
      </w:r>
      <w:r w:rsidRPr="00B549AD">
        <w:t xml:space="preserve"> = .016). The significant indirect effect of resource provision (</w:t>
      </w:r>
      <w:r w:rsidRPr="005E4723">
        <w:rPr>
          <w:i/>
          <w:iCs/>
        </w:rPr>
        <w:t>b</w:t>
      </w:r>
      <w:r w:rsidRPr="00B549AD">
        <w:t xml:space="preserve"> = .002, 95% </w:t>
      </w:r>
      <w:r w:rsidRPr="005E4723">
        <w:rPr>
          <w:i/>
          <w:iCs/>
        </w:rPr>
        <w:t>CI</w:t>
      </w:r>
      <w:r w:rsidRPr="00B549AD">
        <w:t xml:space="preserve"> = [0, .003]) suggests mediation between board interlocks and firm performance. Similarly, the relationship between board interlocks and agency costs was positive and significant (</w:t>
      </w:r>
      <w:r w:rsidRPr="005E4723">
        <w:rPr>
          <w:i/>
          <w:iCs/>
        </w:rPr>
        <w:t>b</w:t>
      </w:r>
      <w:r w:rsidRPr="00B549AD">
        <w:t xml:space="preserve"> = .04, </w:t>
      </w:r>
      <w:r w:rsidRPr="005E4723">
        <w:rPr>
          <w:i/>
          <w:iCs/>
        </w:rPr>
        <w:t>p</w:t>
      </w:r>
      <w:r w:rsidRPr="00B549AD">
        <w:t xml:space="preserve"> &lt; .001), while agency costs negatively affected firm performance (</w:t>
      </w:r>
      <w:r w:rsidRPr="005E4723">
        <w:rPr>
          <w:i/>
          <w:iCs/>
        </w:rPr>
        <w:t>b</w:t>
      </w:r>
      <w:r w:rsidRPr="00B549AD">
        <w:t xml:space="preserve"> = -.04, </w:t>
      </w:r>
      <w:r w:rsidRPr="005E4723">
        <w:rPr>
          <w:i/>
          <w:iCs/>
        </w:rPr>
        <w:t>p</w:t>
      </w:r>
      <w:r w:rsidRPr="00B549AD">
        <w:t xml:space="preserve"> = .077). The significant indirect effect of agency costs (</w:t>
      </w:r>
      <w:r w:rsidRPr="005E4723">
        <w:rPr>
          <w:i/>
          <w:iCs/>
        </w:rPr>
        <w:t>b</w:t>
      </w:r>
      <w:r w:rsidRPr="00B549AD">
        <w:t xml:space="preserve"> = -.002, 95% </w:t>
      </w:r>
      <w:r w:rsidRPr="005E4723">
        <w:rPr>
          <w:i/>
          <w:iCs/>
        </w:rPr>
        <w:t>CI</w:t>
      </w:r>
      <w:r w:rsidRPr="00B549AD">
        <w:t xml:space="preserve"> = [-.003, -.001]) also suggests mediation. When accounting for mediators, the direct effect of board interlocks on performance became insignificant </w:t>
      </w:r>
    </w:p>
    <w:p w14:paraId="06E3EB46" w14:textId="77777777" w:rsidR="006822EF" w:rsidRPr="00B549AD" w:rsidRDefault="006822EF" w:rsidP="008E14A8">
      <w:pPr>
        <w:pStyle w:val="Paragraph"/>
        <w:jc w:val="both"/>
      </w:pPr>
      <w:r w:rsidRPr="00B549AD">
        <w:t>Overall, TSSEM results align with our main analysis, confirming that resource provision and agency costs fully mediate the relationship between board interlocks and firm performance.</w:t>
      </w:r>
    </w:p>
    <w:p w14:paraId="66036AE4" w14:textId="79AA0D20" w:rsidR="006822EF" w:rsidRPr="009572A7" w:rsidRDefault="00406027" w:rsidP="00406027">
      <w:pPr>
        <w:pStyle w:val="berschrift2"/>
        <w:rPr>
          <w:lang w:val="en-US"/>
        </w:rPr>
      </w:pPr>
      <w:bookmarkStart w:id="24" w:name="_Toc180963605"/>
      <w:bookmarkEnd w:id="22"/>
      <w:r>
        <w:rPr>
          <w:lang w:val="en-US"/>
        </w:rPr>
        <w:t>Discussion</w:t>
      </w:r>
      <w:bookmarkEnd w:id="24"/>
    </w:p>
    <w:p w14:paraId="2C289DBF" w14:textId="77777777" w:rsidR="006822EF" w:rsidRPr="009572A7" w:rsidRDefault="006822EF" w:rsidP="009572A7">
      <w:pPr>
        <w:pStyle w:val="berschrift3"/>
      </w:pPr>
      <w:r w:rsidRPr="009572A7">
        <w:t>Summary of Results</w:t>
      </w:r>
    </w:p>
    <w:p w14:paraId="6DFAFAC1" w14:textId="77777777" w:rsidR="00C90C0A" w:rsidRDefault="00C90C0A" w:rsidP="00C90C0A">
      <w:pPr>
        <w:pStyle w:val="Paragraph"/>
        <w:ind w:firstLine="708"/>
        <w:jc w:val="both"/>
      </w:pPr>
      <w:r w:rsidRPr="00C90C0A">
        <w:t xml:space="preserve">This meta-analysis aimed to address two key questions that have long been debated in the literature </w:t>
      </w:r>
      <w:r w:rsidR="006822EF" w:rsidRPr="00DA032B">
        <w:t xml:space="preserve">on board interlocks: "What do board interlocks do?" </w:t>
      </w:r>
      <w:r w:rsidR="006822EF">
        <w:t>(Mizruchi, 1996)</w:t>
      </w:r>
      <w:r w:rsidR="006822EF" w:rsidRPr="00DA032B">
        <w:t xml:space="preserve"> and "When do interlocks matter?" </w:t>
      </w:r>
      <w:r w:rsidR="006822EF">
        <w:t>(Haunschild &amp; Beckman, 1998)</w:t>
      </w:r>
      <w:r w:rsidR="006822EF" w:rsidRPr="0063102A">
        <w:t>.</w:t>
      </w:r>
      <w:r w:rsidR="006822EF">
        <w:t xml:space="preserve"> </w:t>
      </w:r>
      <w:r w:rsidR="006822EF" w:rsidRPr="0063102A">
        <w:t xml:space="preserve">We specifically examined the impact of board interlocks on firm performance, along with </w:t>
      </w:r>
      <w:r w:rsidR="006822EF">
        <w:t>key</w:t>
      </w:r>
      <w:r w:rsidR="006822EF" w:rsidRPr="0063102A">
        <w:t xml:space="preserve"> mediating and moderating factors. By </w:t>
      </w:r>
      <w:r w:rsidR="006822EF" w:rsidRPr="0063102A">
        <w:lastRenderedPageBreak/>
        <w:t>integrating</w:t>
      </w:r>
      <w:r w:rsidR="006822EF">
        <w:t xml:space="preserve"> RDT </w:t>
      </w:r>
      <w:r w:rsidR="006822EF" w:rsidRPr="0063102A">
        <w:t>and agency theory, we developed and tested a model that captures both the positive effects of resource provision and the negative effects of increased agency costs. Our aim was to provide a more comprehensive understanding of how board interlocks influence firm performance under various conditions.</w:t>
      </w:r>
      <w:r w:rsidR="006822EF">
        <w:t xml:space="preserve"> </w:t>
      </w:r>
      <w:r w:rsidR="006822EF" w:rsidRPr="00E812C6">
        <w:t xml:space="preserve">Our results indicate that board interlocks generally have a positive and statistically significant effect on firm performance. </w:t>
      </w:r>
      <w:r w:rsidR="006822EF">
        <w:t>Using</w:t>
      </w:r>
      <w:r w:rsidR="006822EF" w:rsidRPr="00E812C6">
        <w:t xml:space="preserve"> MASEM, we tested the mediating effects of two key mechanisms: directors' enhanced ability to provide resources, consistent with </w:t>
      </w:r>
      <w:r w:rsidR="006822EF">
        <w:t>RDT</w:t>
      </w:r>
      <w:r w:rsidR="006822EF" w:rsidRPr="00E812C6">
        <w:t>, and increased agency costs due to reduced monitoring effectiveness, as suggested by agency theory. The findings reveal that both resource provision and agency costs fully mediate the relationship between board interlocks and firm performance. This confirms the core principles of both theories and highlights the value of an integrative approach that considers these dual effects.</w:t>
      </w:r>
    </w:p>
    <w:p w14:paraId="6A5EEE75" w14:textId="490C6F43" w:rsidR="006822EF" w:rsidRDefault="006822EF" w:rsidP="00C90C0A">
      <w:pPr>
        <w:pStyle w:val="Paragraph"/>
        <w:ind w:firstLine="708"/>
        <w:jc w:val="both"/>
      </w:pPr>
      <w:r w:rsidRPr="00E812C6">
        <w:t xml:space="preserve">To further investigate the conditions under which board interlocks matter </w:t>
      </w:r>
      <w:r>
        <w:t>(e.g., Haunschild &amp; Beckman, 1998)</w:t>
      </w:r>
      <w:r w:rsidRPr="00DA032B">
        <w:t>,</w:t>
      </w:r>
      <w:r w:rsidRPr="00E812C6">
        <w:t xml:space="preserve"> we analyzed two key contingencies: board power dynamics and the institutional environment. Our moderation analysis </w:t>
      </w:r>
      <w:r w:rsidR="00C90C0A">
        <w:t>show</w:t>
      </w:r>
      <w:r w:rsidRPr="00E812C6">
        <w:t xml:space="preserve"> that CEO power negatively affects directors' ability to provide resources while increasing agency costs. This aligns with previous research indicating that powerful CEOs often dominate strategic decision-making, undermine directors' expertise</w:t>
      </w:r>
      <w:r>
        <w:t xml:space="preserve"> (e.g., Zajac &amp; Westphal, 1996b)</w:t>
      </w:r>
      <w:r w:rsidRPr="00E812C6">
        <w:t>, and reduce the board's monitoring effectiveness</w:t>
      </w:r>
      <w:r w:rsidRPr="00DA032B">
        <w:t xml:space="preserve"> </w:t>
      </w:r>
      <w:r>
        <w:t>(e.g., Ozgen et al., 2024)</w:t>
      </w:r>
      <w:r w:rsidRPr="00DA032B">
        <w:t>.</w:t>
      </w:r>
      <w:r w:rsidRPr="00E812C6">
        <w:t xml:space="preserve"> </w:t>
      </w:r>
      <w:r w:rsidR="00467564" w:rsidRPr="00467564">
        <w:t>A post hoc analysis shows that these dynamics lead to a negative moderating effect of CEO power on the relationship between board interlocks and performance, driven primarily by CEO structural power</w:t>
      </w:r>
      <w:r w:rsidR="00467564">
        <w:t xml:space="preserve"> </w:t>
      </w:r>
      <w:r w:rsidRPr="002802B8">
        <w:t>(Finkelstein, 1992).</w:t>
      </w:r>
    </w:p>
    <w:p w14:paraId="56EEF364" w14:textId="1CA8062C" w:rsidR="006822EF" w:rsidRPr="00DA032B" w:rsidRDefault="00467564" w:rsidP="008E14A8">
      <w:pPr>
        <w:pStyle w:val="Paragraph"/>
        <w:ind w:firstLine="708"/>
        <w:jc w:val="both"/>
      </w:pPr>
      <w:r w:rsidRPr="00467564">
        <w:t>Our analysis of the institutional environment reveals that strong formal and informal institutional environments positively moderate the relationship between board interlocks and directors' ability to provide key resources. However, we do not find a significant moderating effect of the institutional environment on agency costs</w:t>
      </w:r>
      <w:r w:rsidR="006822EF" w:rsidRPr="00E812C6">
        <w:t xml:space="preserve">. A post hoc analysis confirms that the institutional environment positively influences the relationship between board interlocks and </w:t>
      </w:r>
      <w:r w:rsidR="006822EF" w:rsidRPr="00E812C6">
        <w:lastRenderedPageBreak/>
        <w:t xml:space="preserve">firm performance, with the informal environment having a more pronounced impact than the formal one, echoing findings </w:t>
      </w:r>
      <w:r w:rsidR="006822EF" w:rsidRPr="00DA032B">
        <w:t>by</w:t>
      </w:r>
      <w:r w:rsidR="006822EF" w:rsidRPr="002802B8">
        <w:t xml:space="preserve"> Solarino and Boyd (2023).</w:t>
      </w:r>
    </w:p>
    <w:p w14:paraId="27FC2AF5" w14:textId="77777777" w:rsidR="006822EF" w:rsidRPr="009572A7" w:rsidRDefault="006822EF" w:rsidP="009572A7">
      <w:pPr>
        <w:pStyle w:val="berschrift3"/>
      </w:pPr>
      <w:r w:rsidRPr="009572A7">
        <w:t>Implications for Research</w:t>
      </w:r>
    </w:p>
    <w:p w14:paraId="1008B480" w14:textId="77777777" w:rsidR="006822EF" w:rsidRPr="00E92B73" w:rsidRDefault="006822EF" w:rsidP="008411D3">
      <w:pPr>
        <w:pStyle w:val="Paragraph"/>
        <w:ind w:firstLine="708"/>
        <w:jc w:val="both"/>
      </w:pPr>
      <w:r w:rsidRPr="00CD2E6C">
        <w:t xml:space="preserve">Our findings have important implications for future research on board interlocks. First, they underscore the benefits of an integrated theoretical perspective that combines different </w:t>
      </w:r>
      <w:r>
        <w:t xml:space="preserve">theoretical </w:t>
      </w:r>
      <w:r w:rsidRPr="00CD2E6C">
        <w:t xml:space="preserve">frameworks </w:t>
      </w:r>
      <w:r>
        <w:t>(e.g., Zona et al., 2018)</w:t>
      </w:r>
      <w:r w:rsidRPr="00E92B73">
        <w:t>.</w:t>
      </w:r>
      <w:r w:rsidRPr="009524EE">
        <w:t xml:space="preserve"> </w:t>
      </w:r>
      <w:r>
        <w:t>Fu</w:t>
      </w:r>
      <w:r w:rsidRPr="00CD2E6C">
        <w:t xml:space="preserve">ture research should therefore consider both resource-based and agency-theoretical influences to better understand the mechanisms behind and effects of board interlocks. This approach allows for a more nuanced analysis of the complex dynamics surrounding board interlocks. Second, our results show that the effects of board interlocks are not confined by geographic boundaries but are influenced by broader institutional factors </w:t>
      </w:r>
      <w:r>
        <w:t>(Caiazza et al., 2019)</w:t>
      </w:r>
      <w:r w:rsidRPr="00E92B73">
        <w:t xml:space="preserve">. </w:t>
      </w:r>
      <w:r w:rsidRPr="00CD2E6C">
        <w:t>Future research should explore additional cross-country moderators that could influence whether agency costs or resource provision dominate. Cultural differences, regulatory frameworks, and industry-specific factors may all play significant roles. Investigating these factors further could help identify conditions under which board interlocks are particularly beneficial or detrimental.</w:t>
      </w:r>
      <w:r>
        <w:t xml:space="preserve"> </w:t>
      </w:r>
      <w:r w:rsidRPr="00CD2E6C">
        <w:t>Third, researchers should employ multiple measures to examine the effects of board interlocks to avoid bias. Combining accounting-based and market-based measures can provide a more comprehensive understanding of these effects and help explain the heterogeneity of results. Longitudinal studies that track the impacts over extended periods could also offer valuable insights into the long-term effects of board interlocks</w:t>
      </w:r>
      <w:r>
        <w:t xml:space="preserve"> (Daily, 1997; Mizruchi &amp; Stearns, 1994)</w:t>
      </w:r>
      <w:r w:rsidRPr="00E92B73">
        <w:t>.</w:t>
      </w:r>
    </w:p>
    <w:p w14:paraId="39014E85" w14:textId="77777777" w:rsidR="006822EF" w:rsidRPr="009572A7" w:rsidRDefault="006822EF" w:rsidP="009572A7">
      <w:pPr>
        <w:pStyle w:val="berschrift3"/>
      </w:pPr>
      <w:r w:rsidRPr="009572A7">
        <w:t>Practical Implications</w:t>
      </w:r>
    </w:p>
    <w:p w14:paraId="022E0AC1" w14:textId="77777777" w:rsidR="006822EF" w:rsidRPr="00E92B73" w:rsidRDefault="006822EF" w:rsidP="008411D3">
      <w:pPr>
        <w:pStyle w:val="Paragraph"/>
        <w:ind w:firstLine="708"/>
        <w:jc w:val="both"/>
      </w:pPr>
      <w:r w:rsidRPr="00CD2E6C">
        <w:t xml:space="preserve">The results of our study have significant implications for management. First, practitioners should promote knowledge and information exchange among board members to maximize the positive effects of board interlocks. This includes maintaining a balanced board composition, ensuring that all members are actively involved in decision-making and can effectively contribute resources </w:t>
      </w:r>
      <w:r>
        <w:t>(e.g., Combs, Ketchen, Perryman, &amp; Donahue, 2007).</w:t>
      </w:r>
      <w:r w:rsidRPr="00CD2E6C">
        <w:t xml:space="preserve"> Second, </w:t>
      </w:r>
      <w:r w:rsidRPr="00CD2E6C">
        <w:lastRenderedPageBreak/>
        <w:t xml:space="preserve">a strong institutional environment enhances the positive effects of board interlocks. Therefore, practitioners should take active steps to promote compliance and ethical standards within the board, creating a climate that encourages directors to fulfill their fiduciary duties and share their experiences </w:t>
      </w:r>
      <w:r>
        <w:t>(Solarino &amp; Boyd, 2023)</w:t>
      </w:r>
      <w:r w:rsidRPr="00E92B73">
        <w:t xml:space="preserve">. </w:t>
      </w:r>
      <w:r w:rsidRPr="00CD2E6C">
        <w:t>Third, practitioners should be aware that board interlocks are particularly related to accounting performance measures. Understanding this relationship can help companies better quantify the benefits of interorganizational relationships when designing internal measurement systems and performance indicators</w:t>
      </w:r>
      <w:r w:rsidRPr="00E92B73">
        <w:t>.</w:t>
      </w:r>
    </w:p>
    <w:p w14:paraId="3B5F37B3" w14:textId="77777777" w:rsidR="006822EF" w:rsidRPr="009572A7" w:rsidRDefault="006822EF" w:rsidP="009572A7">
      <w:pPr>
        <w:pStyle w:val="berschrift3"/>
      </w:pPr>
      <w:r w:rsidRPr="009572A7">
        <w:t>Limitations and Future Research</w:t>
      </w:r>
    </w:p>
    <w:p w14:paraId="4EE8A09A" w14:textId="77777777" w:rsidR="006822EF" w:rsidRDefault="006822EF" w:rsidP="008411D3">
      <w:pPr>
        <w:pStyle w:val="Paragraph"/>
        <w:ind w:firstLine="708"/>
        <w:jc w:val="both"/>
      </w:pPr>
      <w:r w:rsidRPr="00CD2E6C">
        <w:t xml:space="preserve">While this study makes a significant contribution to the field of board interlocks research, it has limitations. For example, our meta-analysis focuses on "degree centrality," which measures the number of network connections. Future meta-analytic research should examine other relevant network measures, such as the presence of structural holes, which may positively affect firm performance </w:t>
      </w:r>
      <w:r>
        <w:t>(e.g., Burt, 1983; Wang, Lu, Kweh, Nourani, &amp; Hong, 2021)</w:t>
      </w:r>
      <w:r w:rsidRPr="00E92B73">
        <w:t xml:space="preserve">. </w:t>
      </w:r>
      <w:r w:rsidRPr="00CD2E6C">
        <w:t xml:space="preserve">Additionally, the ongoing debate about whether the effects of board interlocks are influenced by endogeneity remains crucial </w:t>
      </w:r>
      <w:r>
        <w:t>(Helmers et al., 2017)</w:t>
      </w:r>
      <w:r w:rsidRPr="00E92B73">
        <w:t xml:space="preserve">. </w:t>
      </w:r>
      <w:r w:rsidRPr="00CD2E6C">
        <w:t xml:space="preserve">Despite our efforts to mitigate endogeneity through subgroup analysis, we cannot entirely rule out its influence </w:t>
      </w:r>
      <w:r w:rsidRPr="00E92B73">
        <w:t xml:space="preserve">(Bergh et al., 2015; Connelly et al., 2015). </w:t>
      </w:r>
      <w:r w:rsidRPr="00CD2E6C">
        <w:t>Future studies should consider (quasi-)</w:t>
      </w:r>
      <w:r>
        <w:t xml:space="preserve"> </w:t>
      </w:r>
      <w:r w:rsidRPr="00CD2E6C">
        <w:t xml:space="preserve">experimental designs to rigorously investigate these effects and </w:t>
      </w:r>
      <w:r>
        <w:t xml:space="preserve">more </w:t>
      </w:r>
      <w:r w:rsidRPr="00CD2E6C">
        <w:t>clearly identify causal relationships</w:t>
      </w:r>
      <w:r w:rsidRPr="00E92B73">
        <w:t xml:space="preserve">. </w:t>
      </w:r>
      <w:r w:rsidRPr="00CD2E6C">
        <w:t>Finally, current methodological limitations may also affect our results. The lack of approaches for conducting a three-stage MASEM means that our findings may contain some information loss due to the aggregation of performance variables. Future research should aim to develop more sophisticated methods to overcome these limitations and provide a more nuanced understanding of the impact of board interlocks on firm performance. Overall, this study offers valuable insights into the complex dynamics of board interlocks and lays the groundwork for further research in this important area.</w:t>
      </w:r>
    </w:p>
    <w:p w14:paraId="5DD59914" w14:textId="1938C053" w:rsidR="006822EF" w:rsidRPr="009572A7" w:rsidRDefault="006822EF" w:rsidP="009572A7">
      <w:pPr>
        <w:pStyle w:val="berschrift2"/>
        <w:rPr>
          <w:lang w:val="en-US"/>
        </w:rPr>
      </w:pPr>
      <w:r w:rsidRPr="00EA20D1">
        <w:rPr>
          <w:lang w:val="en-US"/>
        </w:rPr>
        <w:br w:type="page"/>
      </w:r>
      <w:bookmarkStart w:id="25" w:name="_Toc180963606"/>
      <w:r w:rsidR="00406027">
        <w:rPr>
          <w:lang w:val="en-US"/>
        </w:rPr>
        <w:lastRenderedPageBreak/>
        <w:t>Notes</w:t>
      </w:r>
      <w:bookmarkEnd w:id="25"/>
    </w:p>
    <w:p w14:paraId="665E8BB3" w14:textId="77777777" w:rsidR="006822EF" w:rsidRPr="001D6052" w:rsidRDefault="006822EF" w:rsidP="006822EF">
      <w:pPr>
        <w:rPr>
          <w:lang w:val="en-US"/>
        </w:rPr>
        <w:sectPr w:rsidR="006822EF" w:rsidRPr="001D6052" w:rsidSect="00794C6C">
          <w:endnotePr>
            <w:numFmt w:val="decimal"/>
          </w:endnotePr>
          <w:pgSz w:w="11906" w:h="16838"/>
          <w:pgMar w:top="1417" w:right="1417" w:bottom="1134" w:left="1417" w:header="709" w:footer="709" w:gutter="0"/>
          <w:cols w:space="708"/>
          <w:titlePg/>
          <w:docGrid w:linePitch="360"/>
        </w:sectPr>
      </w:pPr>
    </w:p>
    <w:p w14:paraId="54224065" w14:textId="1C9145DC" w:rsidR="006822EF" w:rsidRPr="00346ED4" w:rsidRDefault="00406027" w:rsidP="009572A7">
      <w:pPr>
        <w:pStyle w:val="berschrift2"/>
        <w:rPr>
          <w:lang w:val="en-US"/>
        </w:rPr>
      </w:pPr>
      <w:bookmarkStart w:id="26" w:name="_Toc180963607"/>
      <w:bookmarkEnd w:id="10"/>
      <w:r w:rsidRPr="00346ED4">
        <w:rPr>
          <w:lang w:val="en-US"/>
        </w:rPr>
        <w:lastRenderedPageBreak/>
        <w:t>References</w:t>
      </w:r>
      <w:bookmarkEnd w:id="26"/>
    </w:p>
    <w:p w14:paraId="410D51E3" w14:textId="77777777" w:rsidR="006822EF" w:rsidRPr="00DC1187" w:rsidRDefault="006822EF" w:rsidP="00010489">
      <w:pPr>
        <w:pStyle w:val="CitaviBibliographyEntry"/>
        <w:spacing w:after="12"/>
        <w:ind w:hanging="284"/>
        <w:jc w:val="both"/>
      </w:pPr>
      <w:bookmarkStart w:id="27" w:name="_CTVL001b301dc9ec69442f29e8cb1794ffff018"/>
      <w:r w:rsidRPr="00DC1187">
        <w:t>Aktamov, S., &amp; Zhao, Y. 2014. Impact of Network Centrality Positions on Innovation Performance of the Firm: Evidence from China Automobile Industry.</w:t>
      </w:r>
      <w:bookmarkEnd w:id="27"/>
      <w:r w:rsidRPr="00DC1187">
        <w:t xml:space="preserve"> </w:t>
      </w:r>
      <w:r w:rsidRPr="00DC1187">
        <w:rPr>
          <w:i/>
        </w:rPr>
        <w:t>Business Management and Strategy</w:t>
      </w:r>
      <w:r w:rsidRPr="00DC1187">
        <w:t>, 5: 164.</w:t>
      </w:r>
    </w:p>
    <w:p w14:paraId="370B3A39" w14:textId="77777777" w:rsidR="006822EF" w:rsidRPr="00DC1187" w:rsidRDefault="006822EF" w:rsidP="00010489">
      <w:pPr>
        <w:pStyle w:val="CitaviBibliographyEntry"/>
        <w:spacing w:after="12"/>
        <w:ind w:hanging="284"/>
        <w:jc w:val="both"/>
      </w:pPr>
      <w:bookmarkStart w:id="28" w:name="_CTVL001e9dc6fae207740bcbb9f32e7b04235c6"/>
      <w:r w:rsidRPr="00CE03DC">
        <w:t xml:space="preserve">Andres, C., van den Bongard, I., &amp; Lehmann, M. 2013. </w:t>
      </w:r>
      <w:r w:rsidRPr="00DC1187">
        <w:t>Is Busy Really Busy? Board Governance Revisited.</w:t>
      </w:r>
      <w:bookmarkEnd w:id="28"/>
      <w:r w:rsidRPr="00DC1187">
        <w:t xml:space="preserve"> </w:t>
      </w:r>
      <w:r w:rsidRPr="00DC1187">
        <w:rPr>
          <w:i/>
        </w:rPr>
        <w:t>Journal of Business Finance &amp; Accounting</w:t>
      </w:r>
      <w:r w:rsidRPr="00DC1187">
        <w:t>, 40: 1221-1246.</w:t>
      </w:r>
    </w:p>
    <w:p w14:paraId="44C55E7E" w14:textId="77777777" w:rsidR="006822EF" w:rsidRPr="00DC1187" w:rsidRDefault="006822EF" w:rsidP="00010489">
      <w:pPr>
        <w:pStyle w:val="CitaviBibliographyEntry"/>
        <w:spacing w:after="12"/>
        <w:ind w:hanging="284"/>
        <w:jc w:val="both"/>
      </w:pPr>
      <w:bookmarkStart w:id="29" w:name="_CTVL001d3a7e5b431ad467ba8b3f47c484e359f"/>
      <w:r w:rsidRPr="00DC1187">
        <w:t>Barney, J. B. 1986. Strategic Factor Markets: Expectations, Luck, and Business Strategy.</w:t>
      </w:r>
      <w:bookmarkEnd w:id="29"/>
      <w:r w:rsidRPr="00DC1187">
        <w:t xml:space="preserve"> </w:t>
      </w:r>
      <w:r w:rsidRPr="00DC1187">
        <w:rPr>
          <w:i/>
        </w:rPr>
        <w:t>Management Science</w:t>
      </w:r>
      <w:r w:rsidRPr="00DC1187">
        <w:t>, 32: 1231-1241.</w:t>
      </w:r>
    </w:p>
    <w:p w14:paraId="62C6F40B" w14:textId="77777777" w:rsidR="006822EF" w:rsidRPr="00DC1187" w:rsidRDefault="006822EF" w:rsidP="00010489">
      <w:pPr>
        <w:pStyle w:val="CitaviBibliographyEntry"/>
        <w:spacing w:after="12"/>
        <w:ind w:hanging="284"/>
        <w:jc w:val="both"/>
      </w:pPr>
      <w:bookmarkStart w:id="30" w:name="_CTVL001ac7fb3c01fb74342a2ace7d8dff66f93"/>
      <w:r w:rsidRPr="00DC1187">
        <w:t>Batjargal, B., Hitt, M. A., Tsui, A. S., Arregle, J.-L., Webb, J. W., &amp; Miller, T. L. 2013. Institutional Polycentrism, Entrepreneurs</w:t>
      </w:r>
      <w:r>
        <w:t>’</w:t>
      </w:r>
      <w:r w:rsidRPr="00DC1187">
        <w:t xml:space="preserve"> Social Networks, and New Venture Growth.</w:t>
      </w:r>
      <w:bookmarkEnd w:id="30"/>
      <w:r w:rsidRPr="00DC1187">
        <w:t xml:space="preserve"> </w:t>
      </w:r>
      <w:r w:rsidRPr="00DC1187">
        <w:rPr>
          <w:i/>
        </w:rPr>
        <w:t>Academy of Management Journal</w:t>
      </w:r>
      <w:r w:rsidRPr="00DC1187">
        <w:t>, 56: 1024-1049.</w:t>
      </w:r>
    </w:p>
    <w:p w14:paraId="058D35E6" w14:textId="77777777" w:rsidR="006822EF" w:rsidRPr="00DC1187" w:rsidRDefault="006822EF" w:rsidP="00010489">
      <w:pPr>
        <w:pStyle w:val="CitaviBibliographyEntry"/>
        <w:spacing w:after="12"/>
        <w:ind w:hanging="284"/>
        <w:jc w:val="both"/>
      </w:pPr>
      <w:bookmarkStart w:id="31" w:name="_CTVL00165cd03960476470d87285605ac83b598"/>
      <w:r w:rsidRPr="00DC1187">
        <w:t>Baysinger, B., &amp; Hoskisson, R. E. 1990. The Composition of Boards of Directors and Strategic Control: Effects on Corporate Strategy.</w:t>
      </w:r>
      <w:bookmarkEnd w:id="31"/>
      <w:r w:rsidRPr="00DC1187">
        <w:t xml:space="preserve"> </w:t>
      </w:r>
      <w:r w:rsidRPr="00DC1187">
        <w:rPr>
          <w:i/>
        </w:rPr>
        <w:t>The Academy of Management Review</w:t>
      </w:r>
      <w:r w:rsidRPr="00DC1187">
        <w:t>, 15: 72.</w:t>
      </w:r>
    </w:p>
    <w:p w14:paraId="15595B40" w14:textId="77777777" w:rsidR="006822EF" w:rsidRPr="00DC1187" w:rsidRDefault="006822EF" w:rsidP="00010489">
      <w:pPr>
        <w:pStyle w:val="CitaviBibliographyEntry"/>
        <w:spacing w:after="12"/>
        <w:ind w:hanging="284"/>
        <w:jc w:val="both"/>
      </w:pPr>
      <w:bookmarkStart w:id="32" w:name="_CTVL001a4c3b670bda94459843c43404900cd51"/>
      <w:r w:rsidRPr="00DC1187">
        <w:t>Beasley, M. S. 1996. An Empirical Analysis of the Relation Between the Board of Director Composition and Financial Statement Fraud.</w:t>
      </w:r>
      <w:bookmarkEnd w:id="32"/>
      <w:r w:rsidRPr="00DC1187">
        <w:t xml:space="preserve"> </w:t>
      </w:r>
      <w:r w:rsidRPr="00DC1187">
        <w:rPr>
          <w:i/>
        </w:rPr>
        <w:t>Accounting Review</w:t>
      </w:r>
      <w:r w:rsidRPr="00DC1187">
        <w:t>, 71: 443-465.</w:t>
      </w:r>
    </w:p>
    <w:p w14:paraId="200E5D8D" w14:textId="77777777" w:rsidR="006822EF" w:rsidRPr="00DC1187" w:rsidRDefault="006822EF" w:rsidP="00010489">
      <w:pPr>
        <w:pStyle w:val="CitaviBibliographyEntry"/>
        <w:spacing w:after="12"/>
        <w:ind w:hanging="284"/>
        <w:jc w:val="both"/>
      </w:pPr>
      <w:bookmarkStart w:id="33" w:name="_CTVL00173ed417ece2f44e89e91509c42b016c0"/>
      <w:r w:rsidRPr="00DC1187">
        <w:t>Beckman, C. M., &amp; Haunschild, P. R. 2002. Network Learning: The Effects of Partners</w:t>
      </w:r>
      <w:r>
        <w:t>’</w:t>
      </w:r>
      <w:r w:rsidRPr="00DC1187">
        <w:t xml:space="preserve"> Heterogeneity of Experience on Corporate Acquisitions.</w:t>
      </w:r>
      <w:bookmarkEnd w:id="33"/>
      <w:r w:rsidRPr="00DC1187">
        <w:t xml:space="preserve"> </w:t>
      </w:r>
      <w:r w:rsidRPr="00DC1187">
        <w:rPr>
          <w:i/>
        </w:rPr>
        <w:t>Administrative Science Quarterly</w:t>
      </w:r>
      <w:r w:rsidRPr="00DC1187">
        <w:t>, 47: 92-124.</w:t>
      </w:r>
    </w:p>
    <w:p w14:paraId="62279FA5" w14:textId="77777777" w:rsidR="006822EF" w:rsidRPr="00DC1187" w:rsidRDefault="006822EF" w:rsidP="00010489">
      <w:pPr>
        <w:pStyle w:val="CitaviBibliographyEntry"/>
        <w:spacing w:after="12"/>
        <w:ind w:hanging="284"/>
        <w:jc w:val="both"/>
      </w:pPr>
      <w:bookmarkStart w:id="34" w:name="_CTVL001d00e259bf6d24501b35ea3d14d255588"/>
      <w:r w:rsidRPr="00DC1187">
        <w:t>Beckman, C. M., Haunschild, P. R., &amp; Phillips, D. J. 2004. Friends or Strangers? Firm-Specific Uncertainty, Market Uncertainty, and Network Partner Selection.</w:t>
      </w:r>
      <w:bookmarkEnd w:id="34"/>
      <w:r w:rsidRPr="00DC1187">
        <w:t xml:space="preserve"> </w:t>
      </w:r>
      <w:r w:rsidRPr="00DC1187">
        <w:rPr>
          <w:i/>
        </w:rPr>
        <w:t>Organization Science</w:t>
      </w:r>
      <w:r w:rsidRPr="00DC1187">
        <w:t>, 15: 259-275.</w:t>
      </w:r>
    </w:p>
    <w:p w14:paraId="25246A57" w14:textId="77777777" w:rsidR="006822EF" w:rsidRPr="00DC1187" w:rsidRDefault="006822EF" w:rsidP="00010489">
      <w:pPr>
        <w:pStyle w:val="CitaviBibliographyEntry"/>
        <w:spacing w:after="12"/>
        <w:ind w:hanging="284"/>
        <w:jc w:val="both"/>
      </w:pPr>
      <w:bookmarkStart w:id="35" w:name="_CTVL0011e75acee17784041894fbf3e03ac8429"/>
      <w:r w:rsidRPr="0056702B">
        <w:t xml:space="preserve">Begg, C. B., &amp; Mazumdar, M. 1994. </w:t>
      </w:r>
      <w:r w:rsidRPr="00DC1187">
        <w:t>Operating Characteristics of a Rank Correlation Test for Publication Bias.</w:t>
      </w:r>
      <w:bookmarkEnd w:id="35"/>
      <w:r w:rsidRPr="00DC1187">
        <w:t xml:space="preserve"> </w:t>
      </w:r>
      <w:r w:rsidRPr="00DC1187">
        <w:rPr>
          <w:i/>
        </w:rPr>
        <w:t>Biometrics</w:t>
      </w:r>
      <w:r w:rsidRPr="00DC1187">
        <w:t>, 50: 1088.</w:t>
      </w:r>
    </w:p>
    <w:p w14:paraId="01104694" w14:textId="77777777" w:rsidR="006822EF" w:rsidRPr="00DC1187" w:rsidRDefault="006822EF" w:rsidP="00010489">
      <w:pPr>
        <w:pStyle w:val="CitaviBibliographyEntry"/>
        <w:spacing w:after="12"/>
        <w:ind w:hanging="284"/>
        <w:jc w:val="both"/>
      </w:pPr>
      <w:bookmarkStart w:id="36" w:name="_CTVL0013ed63ec9317e4728921734302a0e0a17"/>
      <w:r w:rsidRPr="00DC1187">
        <w:t>Berger, P. G., Ofek, E. L., &amp; Yermack, D. 1997. Managerial Entrenchment and Capital Structure Decisions.</w:t>
      </w:r>
      <w:bookmarkEnd w:id="36"/>
      <w:r w:rsidRPr="00DC1187">
        <w:t xml:space="preserve"> </w:t>
      </w:r>
      <w:r w:rsidRPr="00DC1187">
        <w:rPr>
          <w:i/>
        </w:rPr>
        <w:t>The Journal of Finance</w:t>
      </w:r>
      <w:r w:rsidRPr="00DC1187">
        <w:t>, 52: 1411-1438.</w:t>
      </w:r>
    </w:p>
    <w:p w14:paraId="68704D5E" w14:textId="77777777" w:rsidR="006822EF" w:rsidRPr="00DC1187" w:rsidRDefault="006822EF" w:rsidP="00010489">
      <w:pPr>
        <w:pStyle w:val="CitaviBibliographyEntry"/>
        <w:spacing w:after="12"/>
        <w:ind w:hanging="284"/>
        <w:jc w:val="both"/>
      </w:pPr>
      <w:bookmarkStart w:id="37" w:name="_CTVL001961f677eee08435480b387cfa29f2cd7"/>
      <w:r w:rsidRPr="00DC1187">
        <w:lastRenderedPageBreak/>
        <w:t>Bergh, D. D., Aguinis, H., Heavey, C., Ketchen, D. J., Boyd, B. K., Su, P., Lau, C. L. L., &amp; Joo, H. 2016. Using meta‐analytic structural equation modeling to advance strategic management research: Guidelines and an empirical illustration via the strategic leadership‐performance relationship.</w:t>
      </w:r>
      <w:bookmarkEnd w:id="37"/>
      <w:r w:rsidRPr="00DC1187">
        <w:t xml:space="preserve"> </w:t>
      </w:r>
      <w:r w:rsidRPr="00DC1187">
        <w:rPr>
          <w:i/>
        </w:rPr>
        <w:t>Strategic Management Journal</w:t>
      </w:r>
      <w:r w:rsidRPr="00DC1187">
        <w:t>, 37: 477-497.</w:t>
      </w:r>
    </w:p>
    <w:p w14:paraId="3754F26E" w14:textId="77777777" w:rsidR="006822EF" w:rsidRPr="00DC1187" w:rsidRDefault="006822EF" w:rsidP="00010489">
      <w:pPr>
        <w:pStyle w:val="CitaviBibliographyEntry"/>
        <w:spacing w:after="12"/>
        <w:ind w:hanging="284"/>
        <w:jc w:val="both"/>
      </w:pPr>
      <w:bookmarkStart w:id="38" w:name="_CTVL0012717f8d3cf144534b6d49e39bfd538bc"/>
      <w:r w:rsidRPr="00DC1187">
        <w:t>Berle, A. A., &amp; Means, G. C. 1932.</w:t>
      </w:r>
      <w:bookmarkEnd w:id="38"/>
      <w:r w:rsidRPr="00DC1187">
        <w:t xml:space="preserve"> </w:t>
      </w:r>
      <w:r w:rsidRPr="00DC1187">
        <w:rPr>
          <w:i/>
        </w:rPr>
        <w:t>The modern corporation and private property</w:t>
      </w:r>
      <w:r w:rsidRPr="00DC1187">
        <w:t>. New York: The Macmillan Company.</w:t>
      </w:r>
    </w:p>
    <w:p w14:paraId="50E53EC0" w14:textId="77777777" w:rsidR="006822EF" w:rsidRPr="00DC1187" w:rsidRDefault="006822EF" w:rsidP="00010489">
      <w:pPr>
        <w:pStyle w:val="CitaviBibliographyEntry"/>
        <w:spacing w:after="12"/>
        <w:ind w:hanging="284"/>
        <w:jc w:val="both"/>
      </w:pPr>
      <w:bookmarkStart w:id="39" w:name="_CTVL0011b3f574e843d49ccb9e9f557762762cd"/>
      <w:r w:rsidRPr="00DC1187">
        <w:t>Bettis, R. A., &amp; Hitt, M. A. 1995. The new competitive landscape.</w:t>
      </w:r>
      <w:bookmarkEnd w:id="39"/>
      <w:r w:rsidRPr="00DC1187">
        <w:t xml:space="preserve"> </w:t>
      </w:r>
      <w:r w:rsidRPr="00DC1187">
        <w:rPr>
          <w:i/>
        </w:rPr>
        <w:t>Strategic Management Journal</w:t>
      </w:r>
      <w:r w:rsidRPr="00DC1187">
        <w:t>, 16: 7-19.</w:t>
      </w:r>
    </w:p>
    <w:p w14:paraId="05A52EF5" w14:textId="77777777" w:rsidR="006822EF" w:rsidRPr="00DC1187" w:rsidRDefault="006822EF" w:rsidP="00010489">
      <w:pPr>
        <w:pStyle w:val="CitaviBibliographyEntry"/>
        <w:spacing w:after="12"/>
        <w:ind w:hanging="284"/>
        <w:jc w:val="both"/>
      </w:pPr>
      <w:bookmarkStart w:id="40" w:name="_CTVL001ca0a3cfe1ff44dc0a9feeb27587562de"/>
      <w:r w:rsidRPr="00DC1187">
        <w:t>Bhatia, M., &amp; Gulati, R. 2021. Board governance and bank performance: A meta- analysis.</w:t>
      </w:r>
      <w:bookmarkEnd w:id="40"/>
      <w:r w:rsidRPr="00DC1187">
        <w:t xml:space="preserve"> </w:t>
      </w:r>
      <w:r w:rsidRPr="00DC1187">
        <w:rPr>
          <w:i/>
        </w:rPr>
        <w:t>Research in International Business and Finance</w:t>
      </w:r>
      <w:r w:rsidRPr="00DC1187">
        <w:t>, 58: 101425.</w:t>
      </w:r>
    </w:p>
    <w:p w14:paraId="2D07335D" w14:textId="77777777" w:rsidR="006822EF" w:rsidRPr="00DC1187" w:rsidRDefault="006822EF" w:rsidP="00010489">
      <w:pPr>
        <w:pStyle w:val="CitaviBibliographyEntry"/>
        <w:spacing w:after="12"/>
        <w:ind w:hanging="284"/>
        <w:jc w:val="both"/>
      </w:pPr>
      <w:bookmarkStart w:id="41" w:name="_CTVL001be299484387f44d485309cdf79bc3a2e"/>
      <w:r w:rsidRPr="00DC1187">
        <w:t>Borgatti, S. P., &amp; Everett, M. G. 2006. A Graph-theoretic perspective on centrality.</w:t>
      </w:r>
      <w:bookmarkEnd w:id="41"/>
      <w:r w:rsidRPr="00DC1187">
        <w:t xml:space="preserve"> </w:t>
      </w:r>
      <w:r w:rsidRPr="00DC1187">
        <w:rPr>
          <w:i/>
        </w:rPr>
        <w:t>Social Networks</w:t>
      </w:r>
      <w:r w:rsidRPr="00DC1187">
        <w:t>, 28: 466-484.</w:t>
      </w:r>
    </w:p>
    <w:p w14:paraId="084A3FC5" w14:textId="77777777" w:rsidR="006822EF" w:rsidRPr="00DC1187" w:rsidRDefault="006822EF" w:rsidP="00010489">
      <w:pPr>
        <w:pStyle w:val="CitaviBibliographyEntry"/>
        <w:spacing w:after="12"/>
        <w:ind w:hanging="284"/>
        <w:jc w:val="both"/>
      </w:pPr>
      <w:bookmarkStart w:id="42" w:name="_CTVL001649749d55c4d499194bce81e5209fefe"/>
      <w:r w:rsidRPr="00DC1187">
        <w:t>Boyd, B. K. 1994. Board control and ceo compensation.</w:t>
      </w:r>
      <w:bookmarkEnd w:id="42"/>
      <w:r w:rsidRPr="00DC1187">
        <w:t xml:space="preserve"> </w:t>
      </w:r>
      <w:r w:rsidRPr="00DC1187">
        <w:rPr>
          <w:i/>
        </w:rPr>
        <w:t>Strategic Management Journal</w:t>
      </w:r>
      <w:r w:rsidRPr="00DC1187">
        <w:t>, 15: 335-344.</w:t>
      </w:r>
    </w:p>
    <w:p w14:paraId="237D18E6" w14:textId="77777777" w:rsidR="006822EF" w:rsidRPr="00DC1187" w:rsidRDefault="006822EF" w:rsidP="00010489">
      <w:pPr>
        <w:pStyle w:val="CitaviBibliographyEntry"/>
        <w:spacing w:after="12"/>
        <w:ind w:hanging="284"/>
        <w:jc w:val="both"/>
      </w:pPr>
      <w:bookmarkStart w:id="43" w:name="_CTVL001d985f25e26e8475abbc29180daa2f9fe"/>
      <w:r w:rsidRPr="00DC1187">
        <w:t>Bradley, M., Desai, A., &amp; Kim, E. 1988. Synergistic gains from corporate acquisitions and their division between the stockholders of target and acquiring firms.</w:t>
      </w:r>
      <w:bookmarkEnd w:id="43"/>
      <w:r w:rsidRPr="00DC1187">
        <w:t xml:space="preserve"> </w:t>
      </w:r>
      <w:r w:rsidRPr="00DC1187">
        <w:rPr>
          <w:i/>
        </w:rPr>
        <w:t>Journal of Financial Economics</w:t>
      </w:r>
      <w:r w:rsidRPr="00DC1187">
        <w:t>, 21: 3-40.</w:t>
      </w:r>
    </w:p>
    <w:p w14:paraId="1130E91A" w14:textId="77777777" w:rsidR="006822EF" w:rsidRPr="00DC1187" w:rsidRDefault="006822EF" w:rsidP="00010489">
      <w:pPr>
        <w:pStyle w:val="CitaviBibliographyEntry"/>
        <w:spacing w:after="12"/>
        <w:ind w:hanging="284"/>
        <w:jc w:val="both"/>
      </w:pPr>
      <w:bookmarkStart w:id="44" w:name="_CTVL00176a6404f80ad4f5a8e6d74e5d7e2a26d"/>
      <w:r w:rsidRPr="00DC1187">
        <w:t>Brinks, D. M. 2003. Informal Institutions and the Rule of Law: The Judicial Response to State Killings in Buenos Aires and Sao Paulo in the 1990s.</w:t>
      </w:r>
      <w:bookmarkEnd w:id="44"/>
      <w:r w:rsidRPr="00DC1187">
        <w:t xml:space="preserve"> </w:t>
      </w:r>
      <w:r w:rsidRPr="00DC1187">
        <w:rPr>
          <w:i/>
        </w:rPr>
        <w:t>Comparative Politics</w:t>
      </w:r>
      <w:r w:rsidRPr="00DC1187">
        <w:t>, 36: 1.</w:t>
      </w:r>
    </w:p>
    <w:p w14:paraId="1C6B511B" w14:textId="77777777" w:rsidR="006822EF" w:rsidRPr="00DC1187" w:rsidRDefault="006822EF" w:rsidP="00010489">
      <w:pPr>
        <w:pStyle w:val="CitaviBibliographyEntry"/>
        <w:spacing w:after="12"/>
        <w:ind w:hanging="284"/>
        <w:jc w:val="both"/>
      </w:pPr>
      <w:bookmarkStart w:id="45" w:name="_CTVL001823379a4d9544b1baa4092c149812ea0"/>
      <w:r w:rsidRPr="00DC1187">
        <w:t>Browne, M. W. 1984. Asymptotically distribution-free methods for the analysis of covariance structures.</w:t>
      </w:r>
      <w:bookmarkEnd w:id="45"/>
      <w:r w:rsidRPr="00DC1187">
        <w:t xml:space="preserve"> </w:t>
      </w:r>
      <w:r w:rsidRPr="00DC1187">
        <w:rPr>
          <w:i/>
        </w:rPr>
        <w:t>The British journal of mathematical and statistical psychology</w:t>
      </w:r>
      <w:r w:rsidRPr="00DC1187">
        <w:t>, 37 (Pt 1): 62-83.</w:t>
      </w:r>
    </w:p>
    <w:p w14:paraId="5C13374C" w14:textId="77777777" w:rsidR="006822EF" w:rsidRPr="00DC1187" w:rsidRDefault="006822EF" w:rsidP="00010489">
      <w:pPr>
        <w:pStyle w:val="CitaviBibliographyEntry"/>
        <w:spacing w:after="12"/>
        <w:ind w:hanging="284"/>
        <w:jc w:val="both"/>
      </w:pPr>
      <w:bookmarkStart w:id="46" w:name="_CTVL001af42b80ac6c84341aebbc27eeab5928b"/>
      <w:r w:rsidRPr="00CE03DC">
        <w:t xml:space="preserve">Burkhard, B., Sirén, C., van Essen, M., Grichnik, D., &amp; Shepherd, D. A. 2023. </w:t>
      </w:r>
      <w:r w:rsidRPr="00DC1187">
        <w:t>Nothing Ventured, Nothing Gained: A Meta-Analysis of CEO Overconfidence, Strategic Risk Taking, and Performance.</w:t>
      </w:r>
      <w:bookmarkEnd w:id="46"/>
      <w:r w:rsidRPr="00DC1187">
        <w:t xml:space="preserve"> </w:t>
      </w:r>
      <w:r w:rsidRPr="00DC1187">
        <w:rPr>
          <w:i/>
        </w:rPr>
        <w:t>Journal of Management</w:t>
      </w:r>
      <w:r w:rsidRPr="00DC1187">
        <w:t>, 49: 2629-2666.</w:t>
      </w:r>
    </w:p>
    <w:p w14:paraId="683D4B2E" w14:textId="77777777" w:rsidR="006822EF" w:rsidRPr="00DC1187" w:rsidRDefault="006822EF" w:rsidP="00010489">
      <w:pPr>
        <w:pStyle w:val="CitaviBibliographyEntry"/>
        <w:spacing w:after="12"/>
        <w:ind w:hanging="284"/>
        <w:jc w:val="both"/>
      </w:pPr>
      <w:bookmarkStart w:id="47" w:name="_CTVL001126f99027ca84caebaacef8d6672d6f2"/>
      <w:r w:rsidRPr="00DC1187">
        <w:t>Burt, R. S. 1983. Firms, directors and time in the directorate tie market.</w:t>
      </w:r>
      <w:bookmarkEnd w:id="47"/>
      <w:r w:rsidRPr="00DC1187">
        <w:t xml:space="preserve"> </w:t>
      </w:r>
      <w:r w:rsidRPr="00DC1187">
        <w:rPr>
          <w:i/>
        </w:rPr>
        <w:t>Social Networks</w:t>
      </w:r>
      <w:r w:rsidRPr="00DC1187">
        <w:t>, 5: 13-49.</w:t>
      </w:r>
    </w:p>
    <w:p w14:paraId="127A051F" w14:textId="77777777" w:rsidR="006822EF" w:rsidRPr="00DC1187" w:rsidRDefault="006822EF" w:rsidP="00010489">
      <w:pPr>
        <w:pStyle w:val="CitaviBibliographyEntry"/>
        <w:spacing w:after="12"/>
        <w:ind w:hanging="284"/>
        <w:jc w:val="both"/>
      </w:pPr>
      <w:bookmarkStart w:id="48" w:name="_CTVL001cdb0c2479f604b8897cec942dc1dac78"/>
      <w:r w:rsidRPr="00DC1187">
        <w:lastRenderedPageBreak/>
        <w:t>Cadenillas, A., &amp; Clark, S. P. 2007. Free Cash Flow and Managerial Entrenchment: A Continuous-Time Stochastic Control-Theoretic Model.</w:t>
      </w:r>
      <w:bookmarkEnd w:id="48"/>
      <w:r w:rsidRPr="00DC1187">
        <w:t xml:space="preserve"> </w:t>
      </w:r>
      <w:r w:rsidRPr="00DC1187">
        <w:rPr>
          <w:i/>
        </w:rPr>
        <w:t>The B.E. Journal of Theoretical Economics</w:t>
      </w:r>
      <w:r w:rsidRPr="00DC1187">
        <w:t>, 7.</w:t>
      </w:r>
    </w:p>
    <w:p w14:paraId="6E232ED5" w14:textId="77777777" w:rsidR="006822EF" w:rsidRPr="00DC1187" w:rsidRDefault="006822EF" w:rsidP="00010489">
      <w:pPr>
        <w:pStyle w:val="CitaviBibliographyEntry"/>
        <w:spacing w:after="12"/>
        <w:ind w:hanging="284"/>
        <w:jc w:val="both"/>
      </w:pPr>
      <w:bookmarkStart w:id="49" w:name="_CTVL0010072eb2ce83541afa352f81bd08004bd"/>
      <w:r w:rsidRPr="00DC1187">
        <w:t>Cai, Y., &amp; Sevilir, M. 2012. Board connections and M&amp;A transactions.</w:t>
      </w:r>
      <w:bookmarkEnd w:id="49"/>
      <w:r w:rsidRPr="00DC1187">
        <w:t xml:space="preserve"> </w:t>
      </w:r>
      <w:r w:rsidRPr="00DC1187">
        <w:rPr>
          <w:i/>
        </w:rPr>
        <w:t>Journal of Financial Economics</w:t>
      </w:r>
      <w:r w:rsidRPr="00DC1187">
        <w:t>, 103: 327-349.</w:t>
      </w:r>
    </w:p>
    <w:p w14:paraId="56C88089" w14:textId="77777777" w:rsidR="006822EF" w:rsidRPr="00DC1187" w:rsidRDefault="006822EF" w:rsidP="00010489">
      <w:pPr>
        <w:pStyle w:val="CitaviBibliographyEntry"/>
        <w:spacing w:after="12"/>
        <w:ind w:hanging="284"/>
        <w:jc w:val="both"/>
      </w:pPr>
      <w:bookmarkStart w:id="50" w:name="_CTVL00166623c04a102412982b79219529b1fd3"/>
      <w:r w:rsidRPr="00DC1187">
        <w:t>Caiazza, R., Cannella Jr, A. A., Phan, P. H., &amp; Simoni, M. 2019. An Institutional Contingency Perspective of Interlocking Directorates.</w:t>
      </w:r>
      <w:bookmarkEnd w:id="50"/>
      <w:r w:rsidRPr="00DC1187">
        <w:t xml:space="preserve"> </w:t>
      </w:r>
      <w:r w:rsidRPr="00DC1187">
        <w:rPr>
          <w:i/>
        </w:rPr>
        <w:t>International Journal of Management Reviews</w:t>
      </w:r>
      <w:r w:rsidRPr="00DC1187">
        <w:t>, 21: 277-293.</w:t>
      </w:r>
    </w:p>
    <w:p w14:paraId="64F7FBFB" w14:textId="77777777" w:rsidR="006822EF" w:rsidRPr="00DC1187" w:rsidRDefault="006822EF" w:rsidP="00010489">
      <w:pPr>
        <w:pStyle w:val="CitaviBibliographyEntry"/>
        <w:spacing w:after="12"/>
        <w:ind w:hanging="284"/>
        <w:jc w:val="both"/>
      </w:pPr>
      <w:bookmarkStart w:id="51" w:name="_CTVL001b7717ad1af2c4bd5a1c02aa3cbaa9d7b"/>
      <w:r w:rsidRPr="00DC1187">
        <w:t>Carney, M., Gedajlovic, E. R., Heugens, P. P. M. A. R., van Essen, M., &amp; van Oosterhout, J. 2011. Business Group Affiliation, Performance, Context, and Strategy: A Meta-analysis.</w:t>
      </w:r>
      <w:bookmarkEnd w:id="51"/>
      <w:r w:rsidRPr="00DC1187">
        <w:t xml:space="preserve"> </w:t>
      </w:r>
      <w:r w:rsidRPr="00DC1187">
        <w:rPr>
          <w:i/>
        </w:rPr>
        <w:t>Academy of Management Journal</w:t>
      </w:r>
      <w:r w:rsidRPr="00DC1187">
        <w:t>, 54: 437-460.</w:t>
      </w:r>
    </w:p>
    <w:p w14:paraId="188AC1D3" w14:textId="77777777" w:rsidR="006822EF" w:rsidRPr="00DC1187" w:rsidRDefault="006822EF" w:rsidP="00010489">
      <w:pPr>
        <w:pStyle w:val="CitaviBibliographyEntry"/>
        <w:spacing w:after="12"/>
        <w:ind w:hanging="284"/>
        <w:jc w:val="both"/>
      </w:pPr>
      <w:bookmarkStart w:id="52" w:name="_CTVL001bad51156083b4af7bb65a9d861dbc7b5"/>
      <w:r w:rsidRPr="00CE03DC">
        <w:t xml:space="preserve">Carpenter, M. A., &amp; Westphal, J. D. 2001. </w:t>
      </w:r>
      <w:r w:rsidRPr="00DC1187">
        <w:t>The Strategic Context of External Network Ties: Examining the Impact of Director Appointments on Board Involvement in Strategic Decision Making.</w:t>
      </w:r>
      <w:bookmarkEnd w:id="52"/>
      <w:r w:rsidRPr="00DC1187">
        <w:t xml:space="preserve"> </w:t>
      </w:r>
      <w:r w:rsidRPr="00DC1187">
        <w:rPr>
          <w:i/>
        </w:rPr>
        <w:t>Academy of Management Journal</w:t>
      </w:r>
      <w:r w:rsidRPr="00DC1187">
        <w:t>, 44: 639-660.</w:t>
      </w:r>
    </w:p>
    <w:p w14:paraId="1E3A75E0" w14:textId="77777777" w:rsidR="006822EF" w:rsidRPr="00DC1187" w:rsidRDefault="006822EF" w:rsidP="00010489">
      <w:pPr>
        <w:pStyle w:val="CitaviBibliographyEntry"/>
        <w:spacing w:after="12"/>
        <w:ind w:hanging="284"/>
        <w:jc w:val="both"/>
      </w:pPr>
      <w:bookmarkStart w:id="53" w:name="_CTVL0013f9ac32d432346aeb752bbe09fbcc761"/>
      <w:r w:rsidRPr="00CE03DC">
        <w:t xml:space="preserve">Cashman, G. D., Gillan, S. L., &amp; Jun, C. 2012. </w:t>
      </w:r>
      <w:r w:rsidRPr="00DC1187">
        <w:t>Going overboard? On busy directors and firm value.</w:t>
      </w:r>
      <w:bookmarkEnd w:id="53"/>
      <w:r w:rsidRPr="00DC1187">
        <w:t xml:space="preserve"> </w:t>
      </w:r>
      <w:r w:rsidRPr="00DC1187">
        <w:rPr>
          <w:i/>
        </w:rPr>
        <w:t>Journal of Banking &amp; Finance</w:t>
      </w:r>
      <w:r w:rsidRPr="00DC1187">
        <w:t>, 36: 3248-3259.</w:t>
      </w:r>
    </w:p>
    <w:p w14:paraId="43C8CB05" w14:textId="77777777" w:rsidR="006822EF" w:rsidRPr="00DC1187" w:rsidRDefault="006822EF" w:rsidP="00010489">
      <w:pPr>
        <w:pStyle w:val="CitaviBibliographyEntry"/>
        <w:spacing w:after="12"/>
        <w:ind w:hanging="284"/>
        <w:jc w:val="both"/>
      </w:pPr>
      <w:bookmarkStart w:id="54" w:name="_CTVL0017eaf4cb15f30472c9b62bf738e0ba140"/>
      <w:r w:rsidRPr="00DC1187">
        <w:t>Certo, S. T. 2003. Influencing Initial Public Offering Investors with Prestige: Signaling with Board Structures.</w:t>
      </w:r>
      <w:bookmarkEnd w:id="54"/>
      <w:r w:rsidRPr="00DC1187">
        <w:t xml:space="preserve"> </w:t>
      </w:r>
      <w:r w:rsidRPr="00DC1187">
        <w:rPr>
          <w:i/>
        </w:rPr>
        <w:t>The Academy of Management Review</w:t>
      </w:r>
      <w:r w:rsidRPr="00DC1187">
        <w:t>, 28: 432.</w:t>
      </w:r>
    </w:p>
    <w:p w14:paraId="092164F3" w14:textId="77777777" w:rsidR="006822EF" w:rsidRPr="00DC1187" w:rsidRDefault="006822EF" w:rsidP="00010489">
      <w:pPr>
        <w:pStyle w:val="CitaviBibliographyEntry"/>
        <w:spacing w:after="12"/>
        <w:ind w:hanging="284"/>
        <w:jc w:val="both"/>
      </w:pPr>
      <w:bookmarkStart w:id="55" w:name="_CTVL00109ab3e116c3f4d0da0f3d51b33416d52"/>
      <w:r w:rsidRPr="00DC1187">
        <w:t>Chen, H.-L. 2014. Board Capital, CEO Power and R&amp;D Investment in Electronics Firms.</w:t>
      </w:r>
      <w:bookmarkEnd w:id="55"/>
      <w:r w:rsidRPr="00DC1187">
        <w:t xml:space="preserve"> </w:t>
      </w:r>
      <w:r w:rsidRPr="00DC1187">
        <w:rPr>
          <w:i/>
        </w:rPr>
        <w:t>Corporate Governance: An International Review</w:t>
      </w:r>
      <w:r w:rsidRPr="00DC1187">
        <w:t>, 22: 422-436.</w:t>
      </w:r>
    </w:p>
    <w:p w14:paraId="612A617E" w14:textId="77777777" w:rsidR="006822EF" w:rsidRPr="00DC1187" w:rsidRDefault="006822EF" w:rsidP="00010489">
      <w:pPr>
        <w:pStyle w:val="CitaviBibliographyEntry"/>
        <w:spacing w:after="12"/>
        <w:ind w:hanging="284"/>
        <w:jc w:val="both"/>
      </w:pPr>
      <w:bookmarkStart w:id="56" w:name="_CTVL001b4d57bdcd71942a8b0fe2d2059f9a7c7"/>
      <w:r w:rsidRPr="00DC1187">
        <w:t>Chen, K. C. W., Chen, Z., &amp; Wei, K. C. J. 2011. Agency Costs of Free Cash Flow and the Effect of Shareholder Rights on the Implied Cost of Equity Capital.</w:t>
      </w:r>
      <w:bookmarkEnd w:id="56"/>
      <w:r w:rsidRPr="00DC1187">
        <w:t xml:space="preserve"> </w:t>
      </w:r>
      <w:r w:rsidRPr="00DC1187">
        <w:rPr>
          <w:i/>
        </w:rPr>
        <w:t>Journal of Financial and Quantitative Analysis</w:t>
      </w:r>
      <w:r w:rsidRPr="00DC1187">
        <w:t>, 46: 171-207.</w:t>
      </w:r>
    </w:p>
    <w:p w14:paraId="31EB06DA" w14:textId="77777777" w:rsidR="006822EF" w:rsidRPr="00DC1187" w:rsidRDefault="006822EF" w:rsidP="00010489">
      <w:pPr>
        <w:pStyle w:val="CitaviBibliographyEntry"/>
        <w:spacing w:after="12"/>
        <w:ind w:hanging="284"/>
        <w:jc w:val="both"/>
      </w:pPr>
      <w:bookmarkStart w:id="57" w:name="_CTVL001811d4a2655f048c7a526929c33093555"/>
      <w:r w:rsidRPr="00CE03DC">
        <w:t xml:space="preserve">Chen, Q., Chen, X., Schipper, K., Xu, Y., &amp; Xue, J. 2012. </w:t>
      </w:r>
      <w:r w:rsidRPr="00DC1187">
        <w:t>The Sensitivity of Corporate Cash Holdings to Corporate Governance.</w:t>
      </w:r>
      <w:bookmarkEnd w:id="57"/>
      <w:r w:rsidRPr="00DC1187">
        <w:t xml:space="preserve"> </w:t>
      </w:r>
      <w:r w:rsidRPr="00DC1187">
        <w:rPr>
          <w:i/>
        </w:rPr>
        <w:t>Review of Financial Studies</w:t>
      </w:r>
      <w:r w:rsidRPr="00DC1187">
        <w:t>, 25: 3610-3644.</w:t>
      </w:r>
    </w:p>
    <w:p w14:paraId="20729823" w14:textId="77777777" w:rsidR="006822EF" w:rsidRPr="00DC1187" w:rsidRDefault="006822EF" w:rsidP="00010489">
      <w:pPr>
        <w:pStyle w:val="CitaviBibliographyEntry"/>
        <w:spacing w:after="12"/>
        <w:ind w:hanging="284"/>
        <w:jc w:val="both"/>
      </w:pPr>
      <w:bookmarkStart w:id="58" w:name="_CTVL001d2c6bfb78ca249c19825303f6cd2f8f2"/>
      <w:r w:rsidRPr="00DC1187">
        <w:lastRenderedPageBreak/>
        <w:t>Cheung, M. W.-L. 2009. Comparison of methods for constructing confidence intervals of standardized indirect effects.</w:t>
      </w:r>
      <w:bookmarkEnd w:id="58"/>
      <w:r w:rsidRPr="00DC1187">
        <w:t xml:space="preserve"> </w:t>
      </w:r>
      <w:r w:rsidRPr="00DC1187">
        <w:rPr>
          <w:i/>
        </w:rPr>
        <w:t>Behavior research methods</w:t>
      </w:r>
      <w:r w:rsidRPr="00DC1187">
        <w:t>, 41: 425-438.</w:t>
      </w:r>
    </w:p>
    <w:p w14:paraId="6743405E" w14:textId="77777777" w:rsidR="006822EF" w:rsidRPr="00DC1187" w:rsidRDefault="006822EF" w:rsidP="00010489">
      <w:pPr>
        <w:pStyle w:val="CitaviBibliographyEntry"/>
        <w:spacing w:after="12"/>
        <w:ind w:hanging="284"/>
        <w:jc w:val="both"/>
      </w:pPr>
      <w:bookmarkStart w:id="59" w:name="_CTVL001e589a3426ce248c69e986650feb9b24e"/>
      <w:r w:rsidRPr="00CE03DC">
        <w:t xml:space="preserve">Cheung, M. W.-L. 2014a. </w:t>
      </w:r>
      <w:r w:rsidRPr="00DC1187">
        <w:t>Fixed- and random-effects meta-analytic structural equation modeling: examples and analyses in R.</w:t>
      </w:r>
      <w:bookmarkEnd w:id="59"/>
      <w:r w:rsidRPr="00DC1187">
        <w:t xml:space="preserve"> </w:t>
      </w:r>
      <w:r w:rsidRPr="00DC1187">
        <w:rPr>
          <w:i/>
        </w:rPr>
        <w:t>Behavior research methods</w:t>
      </w:r>
      <w:r w:rsidRPr="00DC1187">
        <w:t>, 46: 29-40.</w:t>
      </w:r>
    </w:p>
    <w:p w14:paraId="1A094532" w14:textId="77777777" w:rsidR="006822EF" w:rsidRPr="00DC1187" w:rsidRDefault="006822EF" w:rsidP="00010489">
      <w:pPr>
        <w:pStyle w:val="CitaviBibliographyEntry"/>
        <w:spacing w:after="12"/>
        <w:ind w:hanging="284"/>
        <w:jc w:val="both"/>
      </w:pPr>
      <w:bookmarkStart w:id="60" w:name="_CTVL0017657ae061f1a4a64abc0a95084c4e294"/>
      <w:r w:rsidRPr="00DC1187">
        <w:t>Cheung, M. W.-L. 2014b. metaSEM: an R package for meta-analysis using structural equation modeling.</w:t>
      </w:r>
      <w:bookmarkEnd w:id="60"/>
      <w:r w:rsidRPr="00DC1187">
        <w:t xml:space="preserve"> </w:t>
      </w:r>
      <w:r w:rsidRPr="00DC1187">
        <w:rPr>
          <w:i/>
        </w:rPr>
        <w:t>Frontiers in psychology</w:t>
      </w:r>
      <w:r w:rsidRPr="00DC1187">
        <w:t>, 5: 1521.</w:t>
      </w:r>
    </w:p>
    <w:p w14:paraId="70B049FB" w14:textId="77777777" w:rsidR="006822EF" w:rsidRPr="00DC1187" w:rsidRDefault="006822EF" w:rsidP="00010489">
      <w:pPr>
        <w:pStyle w:val="CitaviBibliographyEntry"/>
        <w:spacing w:after="12"/>
        <w:ind w:hanging="284"/>
        <w:jc w:val="both"/>
      </w:pPr>
      <w:bookmarkStart w:id="61" w:name="_CTVL001219e870066774d2c9b169f437ac736ff"/>
      <w:r w:rsidRPr="00CE03DC">
        <w:t xml:space="preserve">Cheung, M. W.-L. 2014c. </w:t>
      </w:r>
      <w:r w:rsidRPr="00DC1187">
        <w:t>Modeling dependent effect sizes with three-level meta-analyses: a structural equation modeling approach.</w:t>
      </w:r>
      <w:bookmarkEnd w:id="61"/>
      <w:r w:rsidRPr="00DC1187">
        <w:t xml:space="preserve"> </w:t>
      </w:r>
      <w:r w:rsidRPr="00DC1187">
        <w:rPr>
          <w:i/>
        </w:rPr>
        <w:t>Psychological methods</w:t>
      </w:r>
      <w:r w:rsidRPr="00DC1187">
        <w:t>, 19: 211-229.</w:t>
      </w:r>
    </w:p>
    <w:p w14:paraId="36131294" w14:textId="77777777" w:rsidR="006822EF" w:rsidRPr="00DC1187" w:rsidRDefault="006822EF" w:rsidP="00010489">
      <w:pPr>
        <w:pStyle w:val="CitaviBibliographyEntry"/>
        <w:spacing w:after="12"/>
        <w:ind w:hanging="284"/>
        <w:jc w:val="both"/>
      </w:pPr>
      <w:bookmarkStart w:id="62" w:name="_CTVL001c77d7c4b462943279c5cb48d43d6914a"/>
      <w:r w:rsidRPr="00DC1187">
        <w:t>Cheung, M. W.-L. 2015.</w:t>
      </w:r>
      <w:bookmarkEnd w:id="62"/>
      <w:r w:rsidRPr="00DC1187">
        <w:t xml:space="preserve"> </w:t>
      </w:r>
      <w:r w:rsidRPr="00DC1187">
        <w:rPr>
          <w:i/>
        </w:rPr>
        <w:t>Meta-Analysis: A Structural Equation Modeling Approach</w:t>
      </w:r>
      <w:r w:rsidRPr="00DC1187">
        <w:t>: Wiley.</w:t>
      </w:r>
    </w:p>
    <w:p w14:paraId="14BC7CED" w14:textId="77777777" w:rsidR="006822EF" w:rsidRPr="00DC1187" w:rsidRDefault="006822EF" w:rsidP="00010489">
      <w:pPr>
        <w:pStyle w:val="CitaviBibliographyEntry"/>
        <w:spacing w:after="12"/>
        <w:ind w:hanging="284"/>
        <w:jc w:val="both"/>
      </w:pPr>
      <w:bookmarkStart w:id="63" w:name="_CTVL0015553c2b132254cc68890fc21a0f0ae06"/>
      <w:r w:rsidRPr="00DC1187">
        <w:t>Cheung, M. W.-L. 2016. Meta-Analytic Structural Equation Modeling. In R. J. Aldag (Ed.),</w:t>
      </w:r>
      <w:bookmarkEnd w:id="63"/>
      <w:r w:rsidRPr="00DC1187">
        <w:t xml:space="preserve"> </w:t>
      </w:r>
      <w:r w:rsidRPr="00DC1187">
        <w:rPr>
          <w:i/>
        </w:rPr>
        <w:t>Oxford research encyclopedias</w:t>
      </w:r>
      <w:r w:rsidRPr="00DC1187">
        <w:t>. Oxford: Oxford University Press.</w:t>
      </w:r>
    </w:p>
    <w:p w14:paraId="1E115CAD" w14:textId="77777777" w:rsidR="006822EF" w:rsidRPr="00DC1187" w:rsidRDefault="006822EF" w:rsidP="00010489">
      <w:pPr>
        <w:pStyle w:val="CitaviBibliographyEntry"/>
        <w:spacing w:after="12"/>
        <w:ind w:hanging="284"/>
        <w:jc w:val="both"/>
      </w:pPr>
      <w:bookmarkStart w:id="64" w:name="_CTVL00101980ca984d24b1ba5f5034644ae8d78"/>
      <w:r w:rsidRPr="00DC1187">
        <w:t>Cheung, M. W.-L., &amp; Chan, W. 2005. Meta-analytic structural equation modeling: a two-stage approach.</w:t>
      </w:r>
      <w:bookmarkEnd w:id="64"/>
      <w:r w:rsidRPr="00DC1187">
        <w:t xml:space="preserve"> </w:t>
      </w:r>
      <w:r w:rsidRPr="00DC1187">
        <w:rPr>
          <w:i/>
        </w:rPr>
        <w:t>Psychological methods</w:t>
      </w:r>
      <w:r w:rsidRPr="00DC1187">
        <w:t>, 10: 40-64.</w:t>
      </w:r>
    </w:p>
    <w:p w14:paraId="1B1D24C1" w14:textId="77777777" w:rsidR="006822EF" w:rsidRPr="00DC1187" w:rsidRDefault="006822EF" w:rsidP="00010489">
      <w:pPr>
        <w:pStyle w:val="CitaviBibliographyEntry"/>
        <w:spacing w:after="12"/>
        <w:ind w:hanging="284"/>
        <w:jc w:val="both"/>
      </w:pPr>
      <w:bookmarkStart w:id="65" w:name="_CTVL001430878974daa4bc5a0704f19835d5ff4"/>
      <w:r w:rsidRPr="00DC1187">
        <w:t>Cheung, S. F., &amp; Chan, D. K.-S. 2004. Dependent effect sizes in meta-analysis: incorporating the degree of interdependence.</w:t>
      </w:r>
      <w:bookmarkEnd w:id="65"/>
      <w:r w:rsidRPr="00DC1187">
        <w:t xml:space="preserve"> </w:t>
      </w:r>
      <w:r w:rsidRPr="00DC1187">
        <w:rPr>
          <w:i/>
        </w:rPr>
        <w:t>Journal of Applied Psychology</w:t>
      </w:r>
      <w:r w:rsidRPr="00DC1187">
        <w:t>, 89: 780-791.</w:t>
      </w:r>
    </w:p>
    <w:p w14:paraId="4817B3AA" w14:textId="77777777" w:rsidR="006822EF" w:rsidRPr="00DC1187" w:rsidRDefault="006822EF" w:rsidP="00010489">
      <w:pPr>
        <w:pStyle w:val="CitaviBibliographyEntry"/>
        <w:spacing w:after="12"/>
        <w:ind w:hanging="284"/>
        <w:jc w:val="both"/>
      </w:pPr>
      <w:bookmarkStart w:id="66" w:name="_CTVL001b403c150ba514a20a281257a57fed624"/>
      <w:r w:rsidRPr="00DC1187">
        <w:t>Chuluun, T., Prevost, A., &amp; Upadhyay, A. 2017. Firm network structure and innovation.</w:t>
      </w:r>
      <w:bookmarkEnd w:id="66"/>
      <w:r w:rsidRPr="00DC1187">
        <w:t xml:space="preserve"> </w:t>
      </w:r>
      <w:r w:rsidRPr="00DC1187">
        <w:rPr>
          <w:i/>
        </w:rPr>
        <w:t>Journal of Corporate Finance</w:t>
      </w:r>
      <w:r w:rsidRPr="00DC1187">
        <w:t>, 44: 193-214.</w:t>
      </w:r>
    </w:p>
    <w:p w14:paraId="50545966" w14:textId="77777777" w:rsidR="006822EF" w:rsidRPr="00DC1187" w:rsidRDefault="006822EF" w:rsidP="00010489">
      <w:pPr>
        <w:pStyle w:val="CitaviBibliographyEntry"/>
        <w:spacing w:after="12"/>
        <w:ind w:hanging="284"/>
        <w:jc w:val="both"/>
      </w:pPr>
      <w:bookmarkStart w:id="67" w:name="_CTVL0012e7b9165b4c247bb907245dd77a56b6b"/>
      <w:r w:rsidRPr="00DC1187">
        <w:t>Cohen, J. 1960.</w:t>
      </w:r>
      <w:bookmarkEnd w:id="67"/>
      <w:r w:rsidRPr="00DC1187">
        <w:t xml:space="preserve"> </w:t>
      </w:r>
      <w:r w:rsidRPr="00DC1187">
        <w:rPr>
          <w:i/>
        </w:rPr>
        <w:t>A Coefficient of Agreement for Nominal Scales</w:t>
      </w:r>
      <w:r w:rsidRPr="00DC1187">
        <w:t xml:space="preserve">. : Vol. </w:t>
      </w:r>
      <w:r w:rsidRPr="00DC1187">
        <w:rPr>
          <w:i/>
        </w:rPr>
        <w:t>20</w:t>
      </w:r>
      <w:r w:rsidRPr="00DC1187">
        <w:t>.</w:t>
      </w:r>
    </w:p>
    <w:p w14:paraId="4EF67353" w14:textId="77777777" w:rsidR="006822EF" w:rsidRPr="00DC1187" w:rsidRDefault="006822EF" w:rsidP="00010489">
      <w:pPr>
        <w:pStyle w:val="CitaviBibliographyEntry"/>
        <w:spacing w:after="12"/>
        <w:ind w:hanging="284"/>
        <w:jc w:val="both"/>
      </w:pPr>
      <w:bookmarkStart w:id="68" w:name="_CTVL0015c9ddbef92cf4ceb99c261b89e35f068"/>
      <w:r w:rsidRPr="00DC1187">
        <w:t>Combs, J. G., Crook, T. R., &amp; Rauch, A. 2019. Meta‐Analytic Research in Management: Contemporary Approaches, Unresolved Controversies, and Rising Standards.</w:t>
      </w:r>
      <w:bookmarkEnd w:id="68"/>
      <w:r w:rsidRPr="00DC1187">
        <w:t xml:space="preserve"> </w:t>
      </w:r>
      <w:r w:rsidRPr="00DC1187">
        <w:rPr>
          <w:i/>
        </w:rPr>
        <w:t>Journal of Management Studies</w:t>
      </w:r>
      <w:r w:rsidRPr="00DC1187">
        <w:t>, 56: 1-18.</w:t>
      </w:r>
    </w:p>
    <w:p w14:paraId="5FB305C0" w14:textId="77777777" w:rsidR="006822EF" w:rsidRPr="00DC1187" w:rsidRDefault="006822EF" w:rsidP="00010489">
      <w:pPr>
        <w:pStyle w:val="CitaviBibliographyEntry"/>
        <w:spacing w:after="12"/>
        <w:ind w:hanging="284"/>
        <w:jc w:val="both"/>
      </w:pPr>
      <w:bookmarkStart w:id="69" w:name="_CTVL001391536ac88ea4c5b807c9c286f2b1f3f"/>
      <w:r w:rsidRPr="00DC1187">
        <w:t xml:space="preserve">Combs, J. G., Ketchen, D. J., Perryman, A. A., &amp; Donahue, M. S. 2007. The Moderating Effect of CEO Power on the Board Composition–Firm Performance Relationship </w:t>
      </w:r>
      <w:bookmarkEnd w:id="69"/>
      <w:r w:rsidRPr="00DC1187">
        <w:t xml:space="preserve"> </w:t>
      </w:r>
      <w:r w:rsidRPr="00DC1187">
        <w:rPr>
          <w:i/>
        </w:rPr>
        <w:t>Journal of Management Studies</w:t>
      </w:r>
      <w:r w:rsidRPr="00DC1187">
        <w:t>, 44: 1299-1323.</w:t>
      </w:r>
    </w:p>
    <w:p w14:paraId="71F08557" w14:textId="77777777" w:rsidR="006822EF" w:rsidRPr="00DC1187" w:rsidRDefault="006822EF" w:rsidP="00010489">
      <w:pPr>
        <w:pStyle w:val="CitaviBibliographyEntry"/>
        <w:spacing w:after="12"/>
        <w:ind w:hanging="284"/>
        <w:jc w:val="both"/>
      </w:pPr>
      <w:bookmarkStart w:id="70" w:name="_CTVL0019c0a43e86931488eb5b5fa9b26e66ecf"/>
      <w:r w:rsidRPr="00DC1187">
        <w:lastRenderedPageBreak/>
        <w:t>Cordeiro, J. J. 1993. The role of director interlocks, governance, and management incentives in explaining stockholder gains from Joint Ventures.</w:t>
      </w:r>
      <w:bookmarkEnd w:id="70"/>
      <w:r w:rsidRPr="00DC1187">
        <w:t xml:space="preserve"> </w:t>
      </w:r>
      <w:r w:rsidRPr="00DC1187">
        <w:rPr>
          <w:i/>
        </w:rPr>
        <w:t>Academy of Management Proceedings</w:t>
      </w:r>
      <w:r w:rsidRPr="00DC1187">
        <w:t>, 1993: 12-16.</w:t>
      </w:r>
    </w:p>
    <w:p w14:paraId="33385EB5" w14:textId="77777777" w:rsidR="006822EF" w:rsidRPr="00DC1187" w:rsidRDefault="006822EF" w:rsidP="00010489">
      <w:pPr>
        <w:pStyle w:val="CitaviBibliographyEntry"/>
        <w:spacing w:after="12"/>
        <w:ind w:hanging="284"/>
        <w:jc w:val="both"/>
      </w:pPr>
      <w:bookmarkStart w:id="71" w:name="_CTVL0014a4db89d2a374a95b8cbf81e802cab75"/>
      <w:r w:rsidRPr="00DC1187">
        <w:t>Core, J. E., Holthausen, R. W., &amp; Larcker, D. F. 1999. Corporate governance, chief executive officer compensation, and firm performance.</w:t>
      </w:r>
      <w:bookmarkEnd w:id="71"/>
      <w:r w:rsidRPr="00DC1187">
        <w:t xml:space="preserve"> </w:t>
      </w:r>
      <w:r w:rsidRPr="00DC1187">
        <w:rPr>
          <w:i/>
        </w:rPr>
        <w:t>Journal of Financial Economics</w:t>
      </w:r>
      <w:r w:rsidRPr="00DC1187">
        <w:t>, 51: 371-406.</w:t>
      </w:r>
    </w:p>
    <w:p w14:paraId="14960239" w14:textId="77777777" w:rsidR="006822EF" w:rsidRPr="00DC1187" w:rsidRDefault="006822EF" w:rsidP="00010489">
      <w:pPr>
        <w:pStyle w:val="CitaviBibliographyEntry"/>
        <w:spacing w:after="12"/>
        <w:ind w:hanging="284"/>
        <w:jc w:val="both"/>
      </w:pPr>
      <w:bookmarkStart w:id="72" w:name="_CTVL001bea44bd9738947e8b07a47158f9c0243"/>
      <w:r w:rsidRPr="00DC1187">
        <w:t>Couzoff, P., Banerjee, S., &amp; Pawlina, G. 2022. Effectiveness of monitoring, managerial entrenchment, and corporate cash holdings.</w:t>
      </w:r>
      <w:bookmarkEnd w:id="72"/>
      <w:r w:rsidRPr="00DC1187">
        <w:t xml:space="preserve"> </w:t>
      </w:r>
      <w:r w:rsidRPr="00DC1187">
        <w:rPr>
          <w:i/>
        </w:rPr>
        <w:t>Journal of Corporate Finance</w:t>
      </w:r>
      <w:r w:rsidRPr="00DC1187">
        <w:t>, 77: 102258.</w:t>
      </w:r>
    </w:p>
    <w:p w14:paraId="59E00E96" w14:textId="77777777" w:rsidR="006822EF" w:rsidRPr="00DC1187" w:rsidRDefault="006822EF" w:rsidP="00010489">
      <w:pPr>
        <w:pStyle w:val="CitaviBibliographyEntry"/>
        <w:spacing w:after="12"/>
        <w:ind w:hanging="284"/>
        <w:jc w:val="both"/>
      </w:pPr>
      <w:bookmarkStart w:id="73" w:name="_CTVL00123df2cdf09894624aaf23fada0c2457f"/>
      <w:r w:rsidRPr="00DC1187">
        <w:t>Crossland, C., &amp; Hambrick, D. C. 2007. How national systems differ in their constraints on corporate executives: a study of CEO effects in three countries.</w:t>
      </w:r>
      <w:bookmarkEnd w:id="73"/>
      <w:r w:rsidRPr="00DC1187">
        <w:t xml:space="preserve"> </w:t>
      </w:r>
      <w:r w:rsidRPr="00DC1187">
        <w:rPr>
          <w:i/>
        </w:rPr>
        <w:t>Strategic Management Journal</w:t>
      </w:r>
      <w:r w:rsidRPr="00DC1187">
        <w:t>, 28: 767-789.</w:t>
      </w:r>
    </w:p>
    <w:p w14:paraId="039C6E15" w14:textId="77777777" w:rsidR="006822EF" w:rsidRPr="00DC1187" w:rsidRDefault="006822EF" w:rsidP="00010489">
      <w:pPr>
        <w:pStyle w:val="CitaviBibliographyEntry"/>
        <w:spacing w:after="12"/>
        <w:ind w:hanging="284"/>
        <w:jc w:val="both"/>
      </w:pPr>
      <w:bookmarkStart w:id="74" w:name="_CTVL0013252571df04f451bad0793557feb3412"/>
      <w:r w:rsidRPr="00DC1187">
        <w:t>Crossland, C., &amp; Hambrick, D. C. 2011. Differences in managerial discretion across countries: how nation‐level institutions affect the degree to which ceos matter.</w:t>
      </w:r>
      <w:bookmarkEnd w:id="74"/>
      <w:r w:rsidRPr="00DC1187">
        <w:t xml:space="preserve"> </w:t>
      </w:r>
      <w:r w:rsidRPr="00DC1187">
        <w:rPr>
          <w:i/>
        </w:rPr>
        <w:t>Strategic Management Journal</w:t>
      </w:r>
      <w:r w:rsidRPr="00DC1187">
        <w:t>, 32: 797-819.</w:t>
      </w:r>
    </w:p>
    <w:p w14:paraId="2337CA16" w14:textId="77777777" w:rsidR="006822EF" w:rsidRPr="00DC1187" w:rsidRDefault="006822EF" w:rsidP="00010489">
      <w:pPr>
        <w:pStyle w:val="CitaviBibliographyEntry"/>
        <w:spacing w:after="12"/>
        <w:ind w:hanging="284"/>
        <w:jc w:val="both"/>
      </w:pPr>
      <w:bookmarkStart w:id="75" w:name="_CTVL001618ba915e4da49a397f40a421b4290b8"/>
      <w:r w:rsidRPr="00DC1187">
        <w:t>Daily, C. 1997. Sources of CEO power and firm financial performance: A longitudinal assessment.</w:t>
      </w:r>
      <w:bookmarkEnd w:id="75"/>
      <w:r w:rsidRPr="00DC1187">
        <w:t xml:space="preserve"> </w:t>
      </w:r>
      <w:r w:rsidRPr="00DC1187">
        <w:rPr>
          <w:i/>
        </w:rPr>
        <w:t>Journal of Management</w:t>
      </w:r>
      <w:r w:rsidRPr="00DC1187">
        <w:t>, 23: 97-117.</w:t>
      </w:r>
    </w:p>
    <w:p w14:paraId="2E507926" w14:textId="77777777" w:rsidR="006822EF" w:rsidRPr="00DC1187" w:rsidRDefault="006822EF" w:rsidP="00010489">
      <w:pPr>
        <w:pStyle w:val="CitaviBibliographyEntry"/>
        <w:spacing w:after="12"/>
        <w:ind w:hanging="284"/>
        <w:jc w:val="both"/>
      </w:pPr>
      <w:bookmarkStart w:id="76" w:name="_CTVL001ebf0c0f0c75a4c01be93a7856c1c9883"/>
      <w:r w:rsidRPr="00DC1187">
        <w:t>Dalton, D. R., Daily, C. M., Ellstrand, A. E., &amp; Johnson, J. L. 1998. Meta-analytic reviews of board composition, leadership structure, and financial performance.</w:t>
      </w:r>
      <w:bookmarkEnd w:id="76"/>
      <w:r w:rsidRPr="00DC1187">
        <w:t xml:space="preserve"> </w:t>
      </w:r>
      <w:r w:rsidRPr="00DC1187">
        <w:rPr>
          <w:i/>
        </w:rPr>
        <w:t>Strategic Management Journal</w:t>
      </w:r>
      <w:r w:rsidRPr="00DC1187">
        <w:t>, 19: 269-290.</w:t>
      </w:r>
    </w:p>
    <w:p w14:paraId="60446166" w14:textId="77777777" w:rsidR="006822EF" w:rsidRPr="00DC1187" w:rsidRDefault="006822EF" w:rsidP="00010489">
      <w:pPr>
        <w:pStyle w:val="CitaviBibliographyEntry"/>
        <w:spacing w:after="12"/>
        <w:ind w:hanging="284"/>
        <w:jc w:val="both"/>
      </w:pPr>
      <w:bookmarkStart w:id="77" w:name="_CTVL001cb57fabff7ef4efe9e38a92cc7cb58e8"/>
      <w:r w:rsidRPr="00DC1187">
        <w:t>Davis, G. F. 1991. Agents without Principles? The Spread of the Poison Pill through the Intercorporate Network.</w:t>
      </w:r>
      <w:bookmarkEnd w:id="77"/>
      <w:r w:rsidRPr="00DC1187">
        <w:t xml:space="preserve"> </w:t>
      </w:r>
      <w:r w:rsidRPr="00DC1187">
        <w:rPr>
          <w:i/>
        </w:rPr>
        <w:t>Administrative Science Quarterly</w:t>
      </w:r>
      <w:r w:rsidRPr="00DC1187">
        <w:t>, 36: 583.</w:t>
      </w:r>
    </w:p>
    <w:p w14:paraId="3A59618B" w14:textId="77777777" w:rsidR="006822EF" w:rsidRPr="00DC1187" w:rsidRDefault="006822EF" w:rsidP="00010489">
      <w:pPr>
        <w:pStyle w:val="CitaviBibliographyEntry"/>
        <w:spacing w:after="12"/>
        <w:ind w:hanging="284"/>
        <w:jc w:val="both"/>
      </w:pPr>
      <w:bookmarkStart w:id="78" w:name="_CTVL001d24638c98fef4f0a9f9b33a92e14c8fd"/>
      <w:r w:rsidRPr="00DC1187">
        <w:t>Davis, G. F., &amp; Cobb, J. A. 2010. Chapter 2 Resource dependence theory: Past and future. In C. Bird Schoonhoven &amp; F. Dobbin (Eds.),</w:t>
      </w:r>
      <w:bookmarkEnd w:id="78"/>
      <w:r w:rsidRPr="00DC1187">
        <w:t xml:space="preserve"> </w:t>
      </w:r>
      <w:r w:rsidRPr="00DC1187">
        <w:rPr>
          <w:i/>
        </w:rPr>
        <w:t>Stanford</w:t>
      </w:r>
      <w:r>
        <w:rPr>
          <w:i/>
        </w:rPr>
        <w:t>’</w:t>
      </w:r>
      <w:r w:rsidRPr="00DC1187">
        <w:rPr>
          <w:i/>
        </w:rPr>
        <w:t xml:space="preserve">s Organization Theory Renaissance, 1970–2000: </w:t>
      </w:r>
      <w:r w:rsidRPr="00DC1187">
        <w:t>21-42. Emerald Group Publishing Limited.</w:t>
      </w:r>
    </w:p>
    <w:p w14:paraId="11FFE305" w14:textId="77777777" w:rsidR="006822EF" w:rsidRPr="00DC1187" w:rsidRDefault="006822EF" w:rsidP="00010489">
      <w:pPr>
        <w:pStyle w:val="CitaviBibliographyEntry"/>
        <w:spacing w:after="12"/>
        <w:ind w:hanging="284"/>
        <w:jc w:val="both"/>
      </w:pPr>
      <w:bookmarkStart w:id="79" w:name="_CTVL0018e8f70e26f5c478fafda582d04590214"/>
      <w:r w:rsidRPr="00DC1187">
        <w:t>Dear, K. B. G., &amp; Begg, C. B. 1992. An Approach for Assessing Publication Bias Prior to Performing a Meta-Analysis.</w:t>
      </w:r>
      <w:bookmarkEnd w:id="79"/>
      <w:r w:rsidRPr="00DC1187">
        <w:t xml:space="preserve"> </w:t>
      </w:r>
      <w:r w:rsidRPr="00DC1187">
        <w:rPr>
          <w:i/>
        </w:rPr>
        <w:t>Statistical Science</w:t>
      </w:r>
      <w:r w:rsidRPr="00DC1187">
        <w:t>, 7.</w:t>
      </w:r>
    </w:p>
    <w:p w14:paraId="20B50245" w14:textId="77777777" w:rsidR="006822EF" w:rsidRPr="00DC1187" w:rsidRDefault="006822EF" w:rsidP="00010489">
      <w:pPr>
        <w:pStyle w:val="CitaviBibliographyEntry"/>
        <w:spacing w:after="12"/>
        <w:ind w:hanging="284"/>
        <w:jc w:val="both"/>
      </w:pPr>
      <w:bookmarkStart w:id="80" w:name="_CTVL00137c622437a9a4118ae9fa264b2e33cb5"/>
      <w:r w:rsidRPr="00DC1187">
        <w:lastRenderedPageBreak/>
        <w:t>Devos, E., Prevost, A., &amp; Puthenpurackal, J. 2009. Are Interlocked Directors Effective Monitors?</w:t>
      </w:r>
      <w:bookmarkEnd w:id="80"/>
      <w:r w:rsidRPr="00DC1187">
        <w:t xml:space="preserve"> </w:t>
      </w:r>
      <w:r w:rsidRPr="00DC1187">
        <w:rPr>
          <w:i/>
        </w:rPr>
        <w:t>Financial Management</w:t>
      </w:r>
      <w:r w:rsidRPr="00DC1187">
        <w:t>, 38: 861-887.</w:t>
      </w:r>
    </w:p>
    <w:p w14:paraId="5B24E788" w14:textId="77777777" w:rsidR="006822EF" w:rsidRPr="00DC1187" w:rsidRDefault="006822EF" w:rsidP="00010489">
      <w:pPr>
        <w:pStyle w:val="CitaviBibliographyEntry"/>
        <w:spacing w:after="12"/>
        <w:ind w:hanging="284"/>
        <w:jc w:val="both"/>
      </w:pPr>
      <w:bookmarkStart w:id="81" w:name="_CTVL001a0bea97110644959be803ec63af38b1e"/>
      <w:r w:rsidRPr="00DC1187">
        <w:t>Dobbin, F. 1994.</w:t>
      </w:r>
      <w:bookmarkEnd w:id="81"/>
      <w:r w:rsidRPr="00DC1187">
        <w:t xml:space="preserve"> </w:t>
      </w:r>
      <w:r w:rsidRPr="00DC1187">
        <w:rPr>
          <w:i/>
        </w:rPr>
        <w:t xml:space="preserve">Forging industrial policy: The United States, Britain and France in the railway age </w:t>
      </w:r>
      <w:r w:rsidRPr="00DC1187">
        <w:t>(1. publ). Cambridge: Cambridge Univ. Press.</w:t>
      </w:r>
    </w:p>
    <w:p w14:paraId="31D33DC6" w14:textId="77777777" w:rsidR="006822EF" w:rsidRPr="00DC1187" w:rsidRDefault="006822EF" w:rsidP="00010489">
      <w:pPr>
        <w:pStyle w:val="CitaviBibliographyEntry"/>
        <w:spacing w:after="12"/>
        <w:ind w:hanging="284"/>
        <w:jc w:val="both"/>
      </w:pPr>
      <w:bookmarkStart w:id="82" w:name="_CTVL001e5bfba51562f4189b2df205a3d66f744"/>
      <w:r w:rsidRPr="00DC1187">
        <w:t>Dore, R. 1983. Goodwill and the Spirit of Market Capitalism.</w:t>
      </w:r>
      <w:bookmarkEnd w:id="82"/>
      <w:r w:rsidRPr="00DC1187">
        <w:t xml:space="preserve"> </w:t>
      </w:r>
      <w:r w:rsidRPr="00DC1187">
        <w:rPr>
          <w:i/>
        </w:rPr>
        <w:t>The British Journal of Sociology</w:t>
      </w:r>
      <w:r w:rsidRPr="00DC1187">
        <w:t>, 34: 459.</w:t>
      </w:r>
    </w:p>
    <w:p w14:paraId="0FF5A7F4" w14:textId="77777777" w:rsidR="006822EF" w:rsidRPr="00DC1187" w:rsidRDefault="006822EF" w:rsidP="00010489">
      <w:pPr>
        <w:pStyle w:val="CitaviBibliographyEntry"/>
        <w:spacing w:after="12"/>
        <w:ind w:hanging="284"/>
        <w:jc w:val="both"/>
      </w:pPr>
      <w:bookmarkStart w:id="83" w:name="_CTVL0019b351254883544a095976cbfe1b3dd78"/>
      <w:r w:rsidRPr="009572A7">
        <w:rPr>
          <w:lang w:val="de-DE"/>
        </w:rPr>
        <w:t xml:space="preserve">Drees, J. M., &amp; Heugens, P. P. M. A. R. 2013. </w:t>
      </w:r>
      <w:r w:rsidRPr="00DC1187">
        <w:t>Synthesizing and Extending Resource Dependence Theory.</w:t>
      </w:r>
      <w:bookmarkEnd w:id="83"/>
      <w:r w:rsidRPr="00DC1187">
        <w:t xml:space="preserve"> </w:t>
      </w:r>
      <w:r w:rsidRPr="00DC1187">
        <w:rPr>
          <w:i/>
        </w:rPr>
        <w:t>Journal of Management</w:t>
      </w:r>
      <w:r w:rsidRPr="00DC1187">
        <w:t>, 39: 1666-1698.</w:t>
      </w:r>
    </w:p>
    <w:p w14:paraId="5E38F901" w14:textId="77777777" w:rsidR="006822EF" w:rsidRPr="00DC1187" w:rsidRDefault="006822EF" w:rsidP="00010489">
      <w:pPr>
        <w:pStyle w:val="CitaviBibliographyEntry"/>
        <w:spacing w:after="12"/>
        <w:ind w:hanging="284"/>
        <w:jc w:val="both"/>
      </w:pPr>
      <w:bookmarkStart w:id="84" w:name="_CTVL001d4a92d7fa9bb47fcbc2ba12425cc0579"/>
      <w:r w:rsidRPr="00DC1187">
        <w:t>Dreher, A., &amp; Herzfeld, T. 2005. The Economic Costs of Corruption: A Survey and New Evidence.</w:t>
      </w:r>
      <w:bookmarkEnd w:id="84"/>
      <w:r w:rsidRPr="00DC1187">
        <w:t xml:space="preserve"> </w:t>
      </w:r>
      <w:r w:rsidRPr="00DC1187">
        <w:rPr>
          <w:i/>
        </w:rPr>
        <w:t xml:space="preserve">SSRN Electronic Journal. </w:t>
      </w:r>
      <w:r w:rsidRPr="00DC1187">
        <w:t xml:space="preserve">doi:10.2139/ssrn.734184 </w:t>
      </w:r>
    </w:p>
    <w:p w14:paraId="4AB59280" w14:textId="77777777" w:rsidR="006822EF" w:rsidRPr="00DC1187" w:rsidRDefault="006822EF" w:rsidP="00010489">
      <w:pPr>
        <w:pStyle w:val="CitaviBibliographyEntry"/>
        <w:spacing w:after="12"/>
        <w:ind w:hanging="284"/>
        <w:jc w:val="both"/>
      </w:pPr>
      <w:bookmarkStart w:id="85" w:name="_CTVL001e11a89e92b194023be6f39a7a0cc12be"/>
      <w:r w:rsidRPr="00DC1187">
        <w:t>Faleye, O., Hoitash, R., &amp; Hoitash, U. 2011. The costs of intense board monitoring.</w:t>
      </w:r>
      <w:bookmarkEnd w:id="85"/>
      <w:r w:rsidRPr="00DC1187">
        <w:t xml:space="preserve"> </w:t>
      </w:r>
      <w:r w:rsidRPr="00DC1187">
        <w:rPr>
          <w:i/>
        </w:rPr>
        <w:t>Journal of Financial Economics</w:t>
      </w:r>
      <w:r w:rsidRPr="00DC1187">
        <w:t>, 101: 160-181.</w:t>
      </w:r>
    </w:p>
    <w:p w14:paraId="32C20AFF" w14:textId="77777777" w:rsidR="006822EF" w:rsidRPr="00DC1187" w:rsidRDefault="006822EF" w:rsidP="00010489">
      <w:pPr>
        <w:pStyle w:val="CitaviBibliographyEntry"/>
        <w:spacing w:after="12"/>
        <w:ind w:hanging="284"/>
        <w:jc w:val="both"/>
      </w:pPr>
      <w:bookmarkStart w:id="86" w:name="_CTVL001b3ab798312cb4af080183530867b4e0b"/>
      <w:r w:rsidRPr="00DC1187">
        <w:t>Fama, E. F. 1980. Agency Problems and the Theory of the Firm.</w:t>
      </w:r>
      <w:bookmarkEnd w:id="86"/>
      <w:r w:rsidRPr="00DC1187">
        <w:t xml:space="preserve"> </w:t>
      </w:r>
      <w:r w:rsidRPr="00DC1187">
        <w:rPr>
          <w:i/>
        </w:rPr>
        <w:t>Journal of Political Economy</w:t>
      </w:r>
      <w:r w:rsidRPr="00DC1187">
        <w:t>, 88: 288-307.</w:t>
      </w:r>
    </w:p>
    <w:p w14:paraId="592CB1F3" w14:textId="77777777" w:rsidR="006822EF" w:rsidRPr="00DC1187" w:rsidRDefault="006822EF" w:rsidP="00010489">
      <w:pPr>
        <w:pStyle w:val="CitaviBibliographyEntry"/>
        <w:spacing w:after="12"/>
        <w:ind w:hanging="284"/>
        <w:jc w:val="both"/>
      </w:pPr>
      <w:bookmarkStart w:id="87" w:name="_CTVL001229163b5f9cd4a24bce21a310ac3740c"/>
      <w:r w:rsidRPr="00DC1187">
        <w:t>Fama, E. F., &amp; Jensen, M. C. 1983. Separation of Ownership and Control.</w:t>
      </w:r>
      <w:bookmarkEnd w:id="87"/>
      <w:r w:rsidRPr="00DC1187">
        <w:t xml:space="preserve"> </w:t>
      </w:r>
      <w:r w:rsidRPr="00DC1187">
        <w:rPr>
          <w:i/>
        </w:rPr>
        <w:t>The Journal of Law and Economics</w:t>
      </w:r>
      <w:r w:rsidRPr="00DC1187">
        <w:t>, 26: 301-325.</w:t>
      </w:r>
    </w:p>
    <w:p w14:paraId="22B3A4E6" w14:textId="77777777" w:rsidR="006822EF" w:rsidRPr="00DC1187" w:rsidRDefault="006822EF" w:rsidP="00010489">
      <w:pPr>
        <w:pStyle w:val="CitaviBibliographyEntry"/>
        <w:spacing w:after="12"/>
        <w:ind w:hanging="284"/>
        <w:jc w:val="both"/>
      </w:pPr>
      <w:bookmarkStart w:id="88" w:name="_CTVL001b260dd5160ec4d31908153bcbcb299c9"/>
      <w:r w:rsidRPr="00DC1187">
        <w:t>Fauver, L., Hung, M., Li, X., &amp; Taboada, A. G. 2017. Board reforms and firm value: Worldwide evidence.</w:t>
      </w:r>
      <w:bookmarkEnd w:id="88"/>
      <w:r w:rsidRPr="00DC1187">
        <w:t xml:space="preserve"> </w:t>
      </w:r>
      <w:r w:rsidRPr="00DC1187">
        <w:rPr>
          <w:i/>
        </w:rPr>
        <w:t>Journal of Financial Economics</w:t>
      </w:r>
      <w:r w:rsidRPr="00DC1187">
        <w:t>, 125: 120-142.</w:t>
      </w:r>
    </w:p>
    <w:p w14:paraId="60C9DB6D" w14:textId="77777777" w:rsidR="006822EF" w:rsidRPr="00DC1187" w:rsidRDefault="006822EF" w:rsidP="00010489">
      <w:pPr>
        <w:pStyle w:val="CitaviBibliographyEntry"/>
        <w:spacing w:after="12"/>
        <w:ind w:hanging="284"/>
        <w:jc w:val="both"/>
      </w:pPr>
      <w:bookmarkStart w:id="89" w:name="_CTVL00163672462660e4864bbb22fc6481b6904"/>
      <w:r w:rsidRPr="00DC1187">
        <w:t>Fernández Méndez, C., Pathan, S., &amp; Arrondo García, R. 2015. Monitoring capabilities of busy and overlap directors: Evidence from Australia.</w:t>
      </w:r>
      <w:bookmarkEnd w:id="89"/>
      <w:r w:rsidRPr="00DC1187">
        <w:t xml:space="preserve"> </w:t>
      </w:r>
      <w:r w:rsidRPr="00DC1187">
        <w:rPr>
          <w:i/>
        </w:rPr>
        <w:t>Pacific-Basin Finance Journal</w:t>
      </w:r>
      <w:r w:rsidRPr="00DC1187">
        <w:t>, 35: 444-469.</w:t>
      </w:r>
    </w:p>
    <w:p w14:paraId="3AF3D690" w14:textId="77777777" w:rsidR="006822EF" w:rsidRPr="00DC1187" w:rsidRDefault="006822EF" w:rsidP="00010489">
      <w:pPr>
        <w:pStyle w:val="CitaviBibliographyEntry"/>
        <w:spacing w:after="12"/>
        <w:ind w:hanging="284"/>
        <w:jc w:val="both"/>
      </w:pPr>
      <w:bookmarkStart w:id="90" w:name="_CTVL0016290b8e90d7f483ca183dafc16d9ab1c"/>
      <w:r w:rsidRPr="00DC1187">
        <w:t>Fernández-Castilla, B., Jamshidi, L., Declercq, L., Beretvas, S. N., Onghena, P., &amp; van den Noortgate, W. 2020. The application of meta-analytic (multi-level) models with multiple random effects: A systematic review.</w:t>
      </w:r>
      <w:bookmarkEnd w:id="90"/>
      <w:r w:rsidRPr="00DC1187">
        <w:t xml:space="preserve"> </w:t>
      </w:r>
      <w:r w:rsidRPr="00DC1187">
        <w:rPr>
          <w:i/>
        </w:rPr>
        <w:t>Behavior research methods</w:t>
      </w:r>
      <w:r w:rsidRPr="00DC1187">
        <w:t>, 52: 2031-2052.</w:t>
      </w:r>
    </w:p>
    <w:p w14:paraId="377B36B8" w14:textId="77777777" w:rsidR="006822EF" w:rsidRPr="00DC1187" w:rsidRDefault="006822EF" w:rsidP="00010489">
      <w:pPr>
        <w:pStyle w:val="CitaviBibliographyEntry"/>
        <w:spacing w:after="12"/>
        <w:ind w:hanging="284"/>
        <w:jc w:val="both"/>
      </w:pPr>
      <w:bookmarkStart w:id="91" w:name="_CTVL0015ad0247c2b104f22a413ae225df42e3e"/>
      <w:r w:rsidRPr="00DC1187">
        <w:lastRenderedPageBreak/>
        <w:t>Ferris, S. P., Jagannathan, M., &amp; Pritchard, A. C. 2003. Too Busy to Mind the Business? Monitoring by Directors with Multiple Board Appointments.</w:t>
      </w:r>
      <w:bookmarkEnd w:id="91"/>
      <w:r w:rsidRPr="00DC1187">
        <w:t xml:space="preserve"> </w:t>
      </w:r>
      <w:r w:rsidRPr="00DC1187">
        <w:rPr>
          <w:i/>
        </w:rPr>
        <w:t>The Journal of Finance</w:t>
      </w:r>
      <w:r w:rsidRPr="00DC1187">
        <w:t>, 58: 1087-1111.</w:t>
      </w:r>
    </w:p>
    <w:p w14:paraId="0CEEF39C" w14:textId="77777777" w:rsidR="006822EF" w:rsidRPr="00DC1187" w:rsidRDefault="006822EF" w:rsidP="00010489">
      <w:pPr>
        <w:pStyle w:val="CitaviBibliographyEntry"/>
        <w:spacing w:after="12"/>
        <w:ind w:hanging="284"/>
        <w:jc w:val="both"/>
      </w:pPr>
      <w:bookmarkStart w:id="92" w:name="_CTVL001400439ce01b54c3c828970069194a8b5"/>
      <w:r w:rsidRPr="009572A7">
        <w:rPr>
          <w:lang w:val="de-DE"/>
        </w:rPr>
        <w:t xml:space="preserve">Fich, E. M., &amp; Shivdasani, A. 2006. </w:t>
      </w:r>
      <w:r w:rsidRPr="00DC1187">
        <w:t>Are Busy Boards Effective Monitors?</w:t>
      </w:r>
      <w:bookmarkEnd w:id="92"/>
      <w:r w:rsidRPr="00DC1187">
        <w:t xml:space="preserve"> </w:t>
      </w:r>
      <w:r w:rsidRPr="00DC1187">
        <w:rPr>
          <w:i/>
        </w:rPr>
        <w:t>The Journal of Finance</w:t>
      </w:r>
      <w:r w:rsidRPr="00DC1187">
        <w:t>, 61: 689-724.</w:t>
      </w:r>
    </w:p>
    <w:p w14:paraId="46045514" w14:textId="77777777" w:rsidR="006822EF" w:rsidRPr="00DC1187" w:rsidRDefault="006822EF" w:rsidP="00010489">
      <w:pPr>
        <w:pStyle w:val="CitaviBibliographyEntry"/>
        <w:spacing w:after="12"/>
        <w:ind w:hanging="284"/>
        <w:jc w:val="both"/>
      </w:pPr>
      <w:bookmarkStart w:id="93" w:name="_CTVL001ba585ebdaf8445cab3facc5a92311086"/>
      <w:r w:rsidRPr="00DC1187">
        <w:t>Fich, E. M., &amp; White, L. J. 2005. Why do CEOs reciprocally sit on each other</w:t>
      </w:r>
      <w:r>
        <w:t>’</w:t>
      </w:r>
      <w:r w:rsidRPr="00DC1187">
        <w:t>s boards?</w:t>
      </w:r>
      <w:bookmarkEnd w:id="93"/>
      <w:r w:rsidRPr="00DC1187">
        <w:t xml:space="preserve"> </w:t>
      </w:r>
      <w:r w:rsidRPr="00DC1187">
        <w:rPr>
          <w:i/>
        </w:rPr>
        <w:t>Journal of Corporate Finance</w:t>
      </w:r>
      <w:r w:rsidRPr="00DC1187">
        <w:t>, 11: 175-195.</w:t>
      </w:r>
    </w:p>
    <w:p w14:paraId="2F40BCF4" w14:textId="77777777" w:rsidR="006822EF" w:rsidRPr="00DC1187" w:rsidRDefault="006822EF" w:rsidP="00010489">
      <w:pPr>
        <w:pStyle w:val="CitaviBibliographyEntry"/>
        <w:spacing w:after="12"/>
        <w:ind w:hanging="284"/>
        <w:jc w:val="both"/>
      </w:pPr>
      <w:bookmarkStart w:id="94" w:name="_CTVL001a517c8202cae442789fbf9450fe292c0"/>
      <w:r w:rsidRPr="00DC1187">
        <w:t>Filatotchev, I., Chahine, S., &amp; Bruton, G. D. 2018. Board Interlocks and Initial Public Offering Performance in the United States and the United Kingdom: An Institutional Perspective.</w:t>
      </w:r>
      <w:bookmarkEnd w:id="94"/>
      <w:r w:rsidRPr="00DC1187">
        <w:t xml:space="preserve"> </w:t>
      </w:r>
      <w:r w:rsidRPr="00DC1187">
        <w:rPr>
          <w:i/>
        </w:rPr>
        <w:t>Journal of Management</w:t>
      </w:r>
      <w:r w:rsidRPr="00DC1187">
        <w:t>, 44: 1620-1650.</w:t>
      </w:r>
    </w:p>
    <w:p w14:paraId="619DAA90" w14:textId="77777777" w:rsidR="006822EF" w:rsidRPr="00DC1187" w:rsidRDefault="006822EF" w:rsidP="00010489">
      <w:pPr>
        <w:pStyle w:val="CitaviBibliographyEntry"/>
        <w:spacing w:after="12"/>
        <w:ind w:hanging="284"/>
        <w:jc w:val="both"/>
      </w:pPr>
      <w:bookmarkStart w:id="95" w:name="_CTVL001c55bd5bf6b82450ca69a8a9d029a1be2"/>
      <w:r w:rsidRPr="00DC1187">
        <w:t>Finkelstein, S. 1992. Power in top management teams: dimensions, measurement, and validation.</w:t>
      </w:r>
      <w:bookmarkEnd w:id="95"/>
      <w:r w:rsidRPr="00DC1187">
        <w:t xml:space="preserve"> </w:t>
      </w:r>
      <w:r w:rsidRPr="00DC1187">
        <w:rPr>
          <w:i/>
        </w:rPr>
        <w:t>Academy of Management Journal</w:t>
      </w:r>
      <w:r w:rsidRPr="00DC1187">
        <w:t>, 35: 505-538.</w:t>
      </w:r>
    </w:p>
    <w:p w14:paraId="78A552EA" w14:textId="77777777" w:rsidR="006822EF" w:rsidRPr="00DC1187" w:rsidRDefault="006822EF" w:rsidP="00010489">
      <w:pPr>
        <w:pStyle w:val="CitaviBibliographyEntry"/>
        <w:spacing w:after="12"/>
        <w:ind w:hanging="284"/>
        <w:jc w:val="both"/>
      </w:pPr>
      <w:bookmarkStart w:id="96" w:name="_CTVL00142934ce005164eedb265c4e75724792e"/>
      <w:r w:rsidRPr="00DC1187">
        <w:t>Fligstein, N., &amp; Brantley, P. 1992. Bank Control, Owner Control, or Organizational Dynamics: Who Controls the Large Modern Corporation?</w:t>
      </w:r>
      <w:bookmarkEnd w:id="96"/>
      <w:r w:rsidRPr="00DC1187">
        <w:t xml:space="preserve"> </w:t>
      </w:r>
      <w:r w:rsidRPr="00DC1187">
        <w:rPr>
          <w:i/>
        </w:rPr>
        <w:t>American Journal of Sociology</w:t>
      </w:r>
      <w:r w:rsidRPr="00DC1187">
        <w:t>, 98: 280-307.</w:t>
      </w:r>
    </w:p>
    <w:p w14:paraId="796ADDD4" w14:textId="77777777" w:rsidR="006822EF" w:rsidRPr="00DC1187" w:rsidRDefault="006822EF" w:rsidP="00010489">
      <w:pPr>
        <w:pStyle w:val="CitaviBibliographyEntry"/>
        <w:spacing w:after="12"/>
        <w:ind w:hanging="284"/>
        <w:jc w:val="both"/>
      </w:pPr>
      <w:bookmarkStart w:id="97" w:name="_CTVL001227cf2c851864e06a078dbc5ab620344"/>
      <w:r w:rsidRPr="00DC1187">
        <w:t>Fowler, K. L., &amp; Schmidt, D. R. 1988. Tender offers, acquisition, and subsequent performance in manufacturing firms.</w:t>
      </w:r>
      <w:bookmarkEnd w:id="97"/>
      <w:r w:rsidRPr="00DC1187">
        <w:t xml:space="preserve"> </w:t>
      </w:r>
      <w:r w:rsidRPr="00DC1187">
        <w:rPr>
          <w:i/>
        </w:rPr>
        <w:t>Academy of Management Journal</w:t>
      </w:r>
      <w:r w:rsidRPr="00DC1187">
        <w:t>, 31: 962-974.</w:t>
      </w:r>
    </w:p>
    <w:p w14:paraId="13CD13EA" w14:textId="77777777" w:rsidR="006822EF" w:rsidRPr="00DC1187" w:rsidRDefault="006822EF" w:rsidP="00010489">
      <w:pPr>
        <w:pStyle w:val="CitaviBibliographyEntry"/>
        <w:spacing w:after="12"/>
        <w:ind w:hanging="284"/>
        <w:jc w:val="both"/>
      </w:pPr>
      <w:bookmarkStart w:id="98" w:name="_CTVL00186f3ae6328c54987b668e11388d3ae0e"/>
      <w:r w:rsidRPr="00DC1187">
        <w:t>Francis, J., Zheng, C., &amp; Mukherji, A. 2009. An Institutional Perspective on Foreign Direct Investment.</w:t>
      </w:r>
      <w:bookmarkEnd w:id="98"/>
      <w:r w:rsidRPr="00DC1187">
        <w:t xml:space="preserve"> </w:t>
      </w:r>
      <w:r w:rsidRPr="00DC1187">
        <w:rPr>
          <w:i/>
        </w:rPr>
        <w:t>Management International Review</w:t>
      </w:r>
      <w:r w:rsidRPr="00DC1187">
        <w:t>, 49: 565-583.</w:t>
      </w:r>
    </w:p>
    <w:p w14:paraId="3D81C243" w14:textId="77777777" w:rsidR="006822EF" w:rsidRPr="00DC1187" w:rsidRDefault="006822EF" w:rsidP="00010489">
      <w:pPr>
        <w:pStyle w:val="CitaviBibliographyEntry"/>
        <w:spacing w:after="12"/>
        <w:ind w:hanging="284"/>
        <w:jc w:val="both"/>
      </w:pPr>
      <w:bookmarkStart w:id="99" w:name="_CTVL001f1556e0c81b34b88bbdf1fe91bc86af8"/>
      <w:r w:rsidRPr="00DC1187">
        <w:t>Frye, M. B., &amp; Pham, D. T. 2020. Economic Policy Uncertainty and Board Monitoring: Evidence From Ceo Turnovers.</w:t>
      </w:r>
      <w:bookmarkEnd w:id="99"/>
      <w:r w:rsidRPr="00DC1187">
        <w:t xml:space="preserve"> </w:t>
      </w:r>
      <w:r w:rsidRPr="00DC1187">
        <w:rPr>
          <w:i/>
        </w:rPr>
        <w:t>Journal of Financial Research</w:t>
      </w:r>
      <w:r w:rsidRPr="00DC1187">
        <w:t>, 43: 675-703.</w:t>
      </w:r>
    </w:p>
    <w:p w14:paraId="36065E68" w14:textId="77777777" w:rsidR="006822EF" w:rsidRPr="00DC1187" w:rsidRDefault="006822EF" w:rsidP="00010489">
      <w:pPr>
        <w:pStyle w:val="CitaviBibliographyEntry"/>
        <w:spacing w:after="12"/>
        <w:ind w:hanging="284"/>
        <w:jc w:val="both"/>
      </w:pPr>
      <w:bookmarkStart w:id="100" w:name="_CTVL0011a9bb181347744308eb76e70af036a97"/>
      <w:r w:rsidRPr="00DC1187">
        <w:t>Frye, M. B., Pham, D. T., &amp; Zhang, R. 2022. Board monitoring and advising trade‐offs amidst economic policy uncertainty.</w:t>
      </w:r>
      <w:bookmarkEnd w:id="100"/>
      <w:r w:rsidRPr="00DC1187">
        <w:t xml:space="preserve"> </w:t>
      </w:r>
      <w:r w:rsidRPr="00DC1187">
        <w:rPr>
          <w:i/>
        </w:rPr>
        <w:t>Financial Review</w:t>
      </w:r>
      <w:r w:rsidRPr="00DC1187">
        <w:t>, 57: 5-26.</w:t>
      </w:r>
    </w:p>
    <w:p w14:paraId="2D607BFF" w14:textId="77777777" w:rsidR="006822EF" w:rsidRPr="00DC1187" w:rsidRDefault="006822EF" w:rsidP="00010489">
      <w:pPr>
        <w:pStyle w:val="CitaviBibliographyEntry"/>
        <w:spacing w:after="12"/>
        <w:ind w:hanging="284"/>
        <w:jc w:val="both"/>
      </w:pPr>
      <w:bookmarkStart w:id="101" w:name="_CTVL001cbddb2c26b89424f9d072b59a95e1a6c"/>
      <w:r w:rsidRPr="00DC1187">
        <w:t>Gelfand, M. J., Raver, J. L., Nishii, L., Leslie, L. M., Lun, J., Lim, B. C., Duan, L., Almaliach, A., Ang, S., Arnadottir, J., Aycan, Z., Boehnke, K., Boski, P., Cabecinhas, R., Chan, D., Chhokar, J., D</w:t>
      </w:r>
      <w:r>
        <w:t>’</w:t>
      </w:r>
      <w:r w:rsidRPr="00DC1187">
        <w:t xml:space="preserve">Amato, A., Subirats Ferrer, M., Fischlmayr, I. C., Fischer, R., Fülöp, M., Georgas, J., Kashima, E. S., Kashima, Y., Kim, K., Lempereur, A., Marquez, P., Othman, </w:t>
      </w:r>
      <w:r w:rsidRPr="00DC1187">
        <w:lastRenderedPageBreak/>
        <w:t>R., Overlaet, B., Panagiotopoulou, P., Peltzer, K., Perez-Florizno, L. R., Ponomarenko, L., Realo, A., Schei, V., Schmitt, M., Smith, P. B., Soomro, N., Szabo, E., Taveesin, N., Toyama, M., van de Vliert, E., Vohra, N., Ward, C., &amp; Yamaguchi, S. 2011. Differences between tight and loose cultures: a 33-nation study.</w:t>
      </w:r>
      <w:bookmarkEnd w:id="101"/>
      <w:r w:rsidRPr="00DC1187">
        <w:t xml:space="preserve"> </w:t>
      </w:r>
      <w:r w:rsidRPr="00DC1187">
        <w:rPr>
          <w:i/>
        </w:rPr>
        <w:t>Science (New York, N.Y.)</w:t>
      </w:r>
      <w:r w:rsidRPr="00DC1187">
        <w:t>, 332: 1100-1104.</w:t>
      </w:r>
    </w:p>
    <w:p w14:paraId="6981B2A9" w14:textId="77777777" w:rsidR="006822EF" w:rsidRPr="00DC1187" w:rsidRDefault="006822EF" w:rsidP="00010489">
      <w:pPr>
        <w:pStyle w:val="CitaviBibliographyEntry"/>
        <w:spacing w:after="12"/>
        <w:ind w:hanging="284"/>
        <w:jc w:val="both"/>
      </w:pPr>
      <w:bookmarkStart w:id="102" w:name="_CTVL001862242a134f847c69eb50e70ed201b64"/>
      <w:r w:rsidRPr="009572A7">
        <w:rPr>
          <w:lang w:val="de-DE"/>
        </w:rPr>
        <w:t xml:space="preserve">Golden, B. R., &amp; Zajac, E. J. 2001. </w:t>
      </w:r>
      <w:r w:rsidRPr="00DC1187">
        <w:t>When will boards influence strategy? inclination × power = strategic change.</w:t>
      </w:r>
      <w:bookmarkEnd w:id="102"/>
      <w:r w:rsidRPr="00DC1187">
        <w:t xml:space="preserve"> </w:t>
      </w:r>
      <w:r w:rsidRPr="00DC1187">
        <w:rPr>
          <w:i/>
        </w:rPr>
        <w:t>Strategic Management Journal</w:t>
      </w:r>
      <w:r w:rsidRPr="00DC1187">
        <w:t>, 22: 1087-1111.</w:t>
      </w:r>
    </w:p>
    <w:p w14:paraId="2FAFF31C" w14:textId="77777777" w:rsidR="006822EF" w:rsidRPr="00DC1187" w:rsidRDefault="006822EF" w:rsidP="00010489">
      <w:pPr>
        <w:pStyle w:val="CitaviBibliographyEntry"/>
        <w:spacing w:after="12"/>
        <w:ind w:hanging="284"/>
        <w:jc w:val="both"/>
      </w:pPr>
      <w:bookmarkStart w:id="103" w:name="_CTVL001007151565c5c49ceb4a556105b33b508"/>
      <w:r w:rsidRPr="00DC1187">
        <w:t>Gonzalez-Mulé, E., &amp; Aguinis, H. 2018. Advancing Theory by Assessing Boundary Conditions With Metaregression: A Critical Review and Best-Practice Recommendations.</w:t>
      </w:r>
      <w:bookmarkEnd w:id="103"/>
      <w:r w:rsidRPr="00DC1187">
        <w:t xml:space="preserve"> </w:t>
      </w:r>
      <w:r w:rsidRPr="00DC1187">
        <w:rPr>
          <w:i/>
        </w:rPr>
        <w:t>Journal of Management</w:t>
      </w:r>
      <w:r w:rsidRPr="00DC1187">
        <w:t>, 44: 2246-2273.</w:t>
      </w:r>
    </w:p>
    <w:p w14:paraId="0C0E3A5D" w14:textId="77777777" w:rsidR="006822EF" w:rsidRPr="00DC1187" w:rsidRDefault="006822EF" w:rsidP="00010489">
      <w:pPr>
        <w:pStyle w:val="CitaviBibliographyEntry"/>
        <w:spacing w:after="12"/>
        <w:ind w:hanging="284"/>
        <w:jc w:val="both"/>
      </w:pPr>
      <w:bookmarkStart w:id="104" w:name="_CTVL00169ac7f1f016b413eb6b9179503529197"/>
      <w:r w:rsidRPr="00DC1187">
        <w:t>Goyal, B., &amp; Gulati, R. 2023. Do board and audit governance matters for insurer performance? A meta-analytical review.</w:t>
      </w:r>
      <w:bookmarkEnd w:id="104"/>
      <w:r w:rsidRPr="00DC1187">
        <w:t xml:space="preserve"> </w:t>
      </w:r>
      <w:r w:rsidRPr="00DC1187">
        <w:rPr>
          <w:i/>
        </w:rPr>
        <w:t>DECISION</w:t>
      </w:r>
      <w:r w:rsidRPr="00DC1187">
        <w:t>, 50: 285-319.</w:t>
      </w:r>
    </w:p>
    <w:p w14:paraId="18E1B650" w14:textId="77777777" w:rsidR="006822EF" w:rsidRPr="00DC1187" w:rsidRDefault="006822EF" w:rsidP="00010489">
      <w:pPr>
        <w:pStyle w:val="CitaviBibliographyEntry"/>
        <w:spacing w:after="12"/>
        <w:ind w:hanging="284"/>
        <w:jc w:val="both"/>
      </w:pPr>
      <w:bookmarkStart w:id="105" w:name="_CTVL00125d608d09c4f40aebdf420bff4d102a2"/>
      <w:r w:rsidRPr="00DC1187">
        <w:t>Granovetter, M. 1985. Economic Action and Social Structure: The Problem of Embeddedness.</w:t>
      </w:r>
      <w:bookmarkEnd w:id="105"/>
      <w:r w:rsidRPr="00DC1187">
        <w:t xml:space="preserve"> </w:t>
      </w:r>
      <w:r w:rsidRPr="00DC1187">
        <w:rPr>
          <w:i/>
        </w:rPr>
        <w:t>American Journal of Sociology</w:t>
      </w:r>
      <w:r w:rsidRPr="00DC1187">
        <w:t>, 91: 481-510.</w:t>
      </w:r>
    </w:p>
    <w:p w14:paraId="261BDB34" w14:textId="77777777" w:rsidR="006822EF" w:rsidRPr="00DC1187" w:rsidRDefault="006822EF" w:rsidP="00010489">
      <w:pPr>
        <w:pStyle w:val="CitaviBibliographyEntry"/>
        <w:spacing w:after="12"/>
        <w:ind w:hanging="284"/>
        <w:jc w:val="both"/>
      </w:pPr>
      <w:bookmarkStart w:id="106" w:name="_CTVL0017eeb960cf579429daaf28a2e6aed6ea9"/>
      <w:r w:rsidRPr="00DC1187">
        <w:t>Gulati, R., &amp; Westphal, J. D. 1999. Cooperative or Controlling? The Effects of CEO-Board Relations and the Content of Interlocks on the Formation of Joint Ventures.</w:t>
      </w:r>
      <w:bookmarkEnd w:id="106"/>
      <w:r w:rsidRPr="00DC1187">
        <w:t xml:space="preserve"> </w:t>
      </w:r>
      <w:r w:rsidRPr="00DC1187">
        <w:rPr>
          <w:i/>
        </w:rPr>
        <w:t>Administrative Science Quarterly</w:t>
      </w:r>
      <w:r w:rsidRPr="00DC1187">
        <w:t>, 44: 473-506.</w:t>
      </w:r>
    </w:p>
    <w:p w14:paraId="15B51FF4" w14:textId="77777777" w:rsidR="006822EF" w:rsidRPr="00DC1187" w:rsidRDefault="006822EF" w:rsidP="00010489">
      <w:pPr>
        <w:pStyle w:val="CitaviBibliographyEntry"/>
        <w:spacing w:after="12"/>
        <w:ind w:hanging="284"/>
        <w:jc w:val="both"/>
      </w:pPr>
      <w:bookmarkStart w:id="107" w:name="_CTVL001037302b14ce14ca5b2119faf055f7931"/>
      <w:r w:rsidRPr="00DC1187">
        <w:t>Hallock, K. F. 1997. Reciprocally Interlocking Boards of Directors and Executive Compensation.</w:t>
      </w:r>
      <w:bookmarkEnd w:id="107"/>
      <w:r w:rsidRPr="00DC1187">
        <w:t xml:space="preserve"> </w:t>
      </w:r>
      <w:r w:rsidRPr="00DC1187">
        <w:rPr>
          <w:i/>
        </w:rPr>
        <w:t>Journal of Financial and Quantitative Analysis</w:t>
      </w:r>
      <w:r w:rsidRPr="00DC1187">
        <w:t>, 32: 331.</w:t>
      </w:r>
    </w:p>
    <w:p w14:paraId="609780BF" w14:textId="77777777" w:rsidR="006822EF" w:rsidRPr="00DC1187" w:rsidRDefault="006822EF" w:rsidP="00010489">
      <w:pPr>
        <w:pStyle w:val="CitaviBibliographyEntry"/>
        <w:spacing w:after="12"/>
        <w:ind w:hanging="284"/>
        <w:jc w:val="both"/>
      </w:pPr>
      <w:bookmarkStart w:id="108" w:name="_CTVL0012808de989a164692bbadb6a1bf3aa12b"/>
      <w:r w:rsidRPr="00CE03DC">
        <w:t xml:space="preserve">Hambrick, D. C., &amp; Finkelstein, S. 1987. </w:t>
      </w:r>
      <w:r w:rsidRPr="00DC1187">
        <w:t>Managerial discretion – a bridge between polar views of organizational outcomes.</w:t>
      </w:r>
      <w:bookmarkEnd w:id="108"/>
      <w:r w:rsidRPr="00DC1187">
        <w:t xml:space="preserve"> </w:t>
      </w:r>
      <w:r w:rsidRPr="00DC1187">
        <w:rPr>
          <w:i/>
        </w:rPr>
        <w:t>Research in Organizational Behavior</w:t>
      </w:r>
      <w:r w:rsidRPr="00DC1187">
        <w:t>, 9: 369-406.</w:t>
      </w:r>
    </w:p>
    <w:p w14:paraId="2F330690" w14:textId="77777777" w:rsidR="006822EF" w:rsidRPr="00DC1187" w:rsidRDefault="006822EF" w:rsidP="00010489">
      <w:pPr>
        <w:pStyle w:val="CitaviBibliographyEntry"/>
        <w:spacing w:after="12"/>
        <w:ind w:hanging="284"/>
        <w:jc w:val="both"/>
      </w:pPr>
      <w:bookmarkStart w:id="109" w:name="_CTVL001832fe96824334db89758e93ca3e0c6ce"/>
      <w:r w:rsidRPr="00DC1187">
        <w:t>Hambrick, D. C., &amp; Finkelstein, S. 1995. The effects of ownership structure on conditions at the top: The case of CEO pay raises.</w:t>
      </w:r>
      <w:bookmarkEnd w:id="109"/>
      <w:r w:rsidRPr="00DC1187">
        <w:t xml:space="preserve"> </w:t>
      </w:r>
      <w:r w:rsidRPr="00DC1187">
        <w:rPr>
          <w:i/>
        </w:rPr>
        <w:t>Strategic Management Journal</w:t>
      </w:r>
      <w:r w:rsidRPr="00DC1187">
        <w:t>, 16: 175-193.</w:t>
      </w:r>
    </w:p>
    <w:p w14:paraId="538FA0B9" w14:textId="77777777" w:rsidR="006822EF" w:rsidRPr="00DC1187" w:rsidRDefault="006822EF" w:rsidP="00010489">
      <w:pPr>
        <w:pStyle w:val="CitaviBibliographyEntry"/>
        <w:spacing w:after="12"/>
        <w:ind w:hanging="284"/>
        <w:jc w:val="both"/>
      </w:pPr>
      <w:bookmarkStart w:id="110" w:name="_CTVL001614741df7c4e4a49af61abfb9396e551"/>
      <w:r w:rsidRPr="00DC1187">
        <w:t>Hamilton, G. G., &amp; Biggart, N. W. 1988. Market, Culture, and Authority: A Comparative Analysis of Management and Organization in the Far East.</w:t>
      </w:r>
      <w:bookmarkEnd w:id="110"/>
      <w:r w:rsidRPr="00DC1187">
        <w:t xml:space="preserve"> </w:t>
      </w:r>
      <w:r w:rsidRPr="00DC1187">
        <w:rPr>
          <w:i/>
        </w:rPr>
        <w:t>American Journal of Sociology</w:t>
      </w:r>
      <w:r w:rsidRPr="00DC1187">
        <w:t>, 94: S52-S94.</w:t>
      </w:r>
    </w:p>
    <w:p w14:paraId="4815ADF3" w14:textId="77777777" w:rsidR="006822EF" w:rsidRPr="00DC1187" w:rsidRDefault="006822EF" w:rsidP="00010489">
      <w:pPr>
        <w:pStyle w:val="CitaviBibliographyEntry"/>
        <w:spacing w:after="12"/>
        <w:ind w:hanging="284"/>
        <w:jc w:val="both"/>
      </w:pPr>
      <w:bookmarkStart w:id="111" w:name="_CTVL0011fbd184b1c99487c883260846556362f"/>
      <w:r w:rsidRPr="00DC1187">
        <w:lastRenderedPageBreak/>
        <w:t>Haniffa, R., &amp; Hudaib, M. 2006. Corporate Governance Structure and Performance of Malaysian Listed Companies.</w:t>
      </w:r>
      <w:bookmarkEnd w:id="111"/>
      <w:r w:rsidRPr="00DC1187">
        <w:t xml:space="preserve"> </w:t>
      </w:r>
      <w:r w:rsidRPr="00DC1187">
        <w:rPr>
          <w:i/>
        </w:rPr>
        <w:t>Journal of Business Finance &amp; Accounting</w:t>
      </w:r>
      <w:r w:rsidRPr="00DC1187">
        <w:t>, 33: 1034-1062.</w:t>
      </w:r>
    </w:p>
    <w:p w14:paraId="02BF2DD4" w14:textId="77777777" w:rsidR="006822EF" w:rsidRPr="00DC1187" w:rsidRDefault="006822EF" w:rsidP="00010489">
      <w:pPr>
        <w:pStyle w:val="CitaviBibliographyEntry"/>
        <w:spacing w:after="12"/>
        <w:ind w:hanging="284"/>
        <w:jc w:val="both"/>
      </w:pPr>
      <w:bookmarkStart w:id="112" w:name="_CTVL00165de7afd0bc2448892fbb1165e954d3e"/>
      <w:r w:rsidRPr="00DC1187">
        <w:t>Harris, I. C., &amp; Shimizu, K. 2004. Too Busy To Serve? An Examination of the Influence of Overboarded Directors.</w:t>
      </w:r>
      <w:bookmarkEnd w:id="112"/>
      <w:r w:rsidRPr="00DC1187">
        <w:t xml:space="preserve"> </w:t>
      </w:r>
      <w:r w:rsidRPr="00DC1187">
        <w:rPr>
          <w:i/>
        </w:rPr>
        <w:t>Journal of Management Studies</w:t>
      </w:r>
      <w:r w:rsidRPr="00DC1187">
        <w:t>, 41: 775-798.</w:t>
      </w:r>
    </w:p>
    <w:p w14:paraId="7B4DDCBA" w14:textId="77777777" w:rsidR="006822EF" w:rsidRPr="00DC1187" w:rsidRDefault="006822EF" w:rsidP="00010489">
      <w:pPr>
        <w:pStyle w:val="CitaviBibliographyEntry"/>
        <w:spacing w:after="12"/>
        <w:ind w:hanging="284"/>
        <w:jc w:val="both"/>
      </w:pPr>
      <w:bookmarkStart w:id="113" w:name="_CTVL001468daed4b422443681ca08ee8133d69f"/>
      <w:r w:rsidRPr="00DC1187">
        <w:t>Haunschild, P. R. 1993. Interorganizational Imitation: The Impact of Interlocks on Corporate Acquisition Activity.</w:t>
      </w:r>
      <w:bookmarkEnd w:id="113"/>
      <w:r w:rsidRPr="00DC1187">
        <w:t xml:space="preserve"> </w:t>
      </w:r>
      <w:r w:rsidRPr="00DC1187">
        <w:rPr>
          <w:i/>
        </w:rPr>
        <w:t>Administrative Science Quarterly</w:t>
      </w:r>
      <w:r w:rsidRPr="00DC1187">
        <w:t>, 38: 564.</w:t>
      </w:r>
    </w:p>
    <w:p w14:paraId="7519CD0C" w14:textId="77777777" w:rsidR="006822EF" w:rsidRPr="00DC1187" w:rsidRDefault="006822EF" w:rsidP="00010489">
      <w:pPr>
        <w:pStyle w:val="CitaviBibliographyEntry"/>
        <w:spacing w:after="12"/>
        <w:ind w:hanging="284"/>
        <w:jc w:val="both"/>
      </w:pPr>
      <w:bookmarkStart w:id="114" w:name="_CTVL001092482e06fc84cd986c76f50e32f55e5"/>
      <w:r w:rsidRPr="000D5844">
        <w:t xml:space="preserve">Haunschild, P. R., &amp; Beckman, C. M. 1998. </w:t>
      </w:r>
      <w:r w:rsidRPr="00DC1187">
        <w:t>When Do Interlocks Matter?: Alternate Sources of Information and Interlock Influence.</w:t>
      </w:r>
      <w:bookmarkEnd w:id="114"/>
      <w:r w:rsidRPr="00DC1187">
        <w:t xml:space="preserve"> </w:t>
      </w:r>
      <w:r w:rsidRPr="00DC1187">
        <w:rPr>
          <w:i/>
        </w:rPr>
        <w:t>Administrative Science Quarterly</w:t>
      </w:r>
      <w:r w:rsidRPr="00DC1187">
        <w:t>, 43: 815.</w:t>
      </w:r>
    </w:p>
    <w:p w14:paraId="79DC317A" w14:textId="77777777" w:rsidR="006822EF" w:rsidRPr="00DC1187" w:rsidRDefault="006822EF" w:rsidP="00010489">
      <w:pPr>
        <w:pStyle w:val="CitaviBibliographyEntry"/>
        <w:spacing w:after="12"/>
        <w:ind w:hanging="284"/>
        <w:jc w:val="both"/>
      </w:pPr>
      <w:bookmarkStart w:id="115" w:name="_CTVL0012f4479d48bd445c1b5c26b0238ed44ed"/>
      <w:r w:rsidRPr="00DC1187">
        <w:t>Hayes, A. F. 2013.</w:t>
      </w:r>
      <w:bookmarkEnd w:id="115"/>
      <w:r w:rsidRPr="00DC1187">
        <w:t xml:space="preserve"> </w:t>
      </w:r>
      <w:r w:rsidRPr="00DC1187">
        <w:rPr>
          <w:i/>
        </w:rPr>
        <w:t xml:space="preserve">Introduction to mediation, moderation, and conditional process analysis: A regression-based approach: Introduction to mediation, moderation, and conditional process analysis: A regression-based approach, </w:t>
      </w:r>
      <w:r w:rsidRPr="00DC1187">
        <w:t>Guilford Press, New York, NY, US.</w:t>
      </w:r>
    </w:p>
    <w:p w14:paraId="0F6319B9" w14:textId="77777777" w:rsidR="006822EF" w:rsidRPr="00DC1187" w:rsidRDefault="006822EF" w:rsidP="00010489">
      <w:pPr>
        <w:pStyle w:val="CitaviBibliographyEntry"/>
        <w:spacing w:after="12"/>
        <w:ind w:hanging="284"/>
        <w:jc w:val="both"/>
      </w:pPr>
      <w:bookmarkStart w:id="116" w:name="_CTVL001de441a3b9cfa42f4b360d97e802ccc9d"/>
      <w:r w:rsidRPr="00DC1187">
        <w:t>Haynes, K. T., &amp; Hillman, A. 2010. The effect of board capital and CEO power on strategic change.</w:t>
      </w:r>
      <w:bookmarkEnd w:id="116"/>
      <w:r w:rsidRPr="00DC1187">
        <w:t xml:space="preserve"> </w:t>
      </w:r>
      <w:r w:rsidRPr="00DC1187">
        <w:rPr>
          <w:i/>
        </w:rPr>
        <w:t>Strategic Management Journal</w:t>
      </w:r>
      <w:r w:rsidRPr="00DC1187">
        <w:t>, 31: 1145-1163.</w:t>
      </w:r>
    </w:p>
    <w:p w14:paraId="67DE802F" w14:textId="77777777" w:rsidR="006822EF" w:rsidRPr="00DC1187" w:rsidRDefault="006822EF" w:rsidP="00010489">
      <w:pPr>
        <w:pStyle w:val="CitaviBibliographyEntry"/>
        <w:spacing w:after="12"/>
        <w:ind w:hanging="284"/>
        <w:jc w:val="both"/>
      </w:pPr>
      <w:bookmarkStart w:id="117" w:name="_CTVL00118127fd69b2d484085ace7107ffd23f0"/>
      <w:r w:rsidRPr="00DC1187">
        <w:t>Hedges, L. V., &amp; Olkin, I. 1985.</w:t>
      </w:r>
      <w:bookmarkEnd w:id="117"/>
      <w:r w:rsidRPr="00DC1187">
        <w:t xml:space="preserve"> </w:t>
      </w:r>
      <w:r w:rsidRPr="00DC1187">
        <w:rPr>
          <w:i/>
        </w:rPr>
        <w:t>Statistical methods for meta-analysis</w:t>
      </w:r>
      <w:r w:rsidRPr="00DC1187">
        <w:t>. Orlando: Academic Press.</w:t>
      </w:r>
    </w:p>
    <w:p w14:paraId="5DE86AD5" w14:textId="77777777" w:rsidR="006822EF" w:rsidRPr="00DC1187" w:rsidRDefault="006822EF" w:rsidP="00010489">
      <w:pPr>
        <w:pStyle w:val="CitaviBibliographyEntry"/>
        <w:spacing w:after="12"/>
        <w:ind w:hanging="284"/>
        <w:jc w:val="both"/>
      </w:pPr>
      <w:bookmarkStart w:id="118" w:name="_CTVL001722d63003b16474684ac2ba70cf1843c"/>
      <w:r w:rsidRPr="00DC1187">
        <w:t>Helmers, C., Patnam, M., &amp; Rau, P. R. 2017. Do board interlocks increase innovation? Evidence from a corporate governance reform in India.</w:t>
      </w:r>
      <w:bookmarkEnd w:id="118"/>
      <w:r w:rsidRPr="00DC1187">
        <w:t xml:space="preserve"> </w:t>
      </w:r>
      <w:r w:rsidRPr="00DC1187">
        <w:rPr>
          <w:i/>
        </w:rPr>
        <w:t>Journal of Banking &amp; Finance</w:t>
      </w:r>
      <w:r w:rsidRPr="00DC1187">
        <w:t>, 80: 51-70.</w:t>
      </w:r>
    </w:p>
    <w:p w14:paraId="38574C77" w14:textId="77777777" w:rsidR="006822EF" w:rsidRPr="00DC1187" w:rsidRDefault="006822EF" w:rsidP="00010489">
      <w:pPr>
        <w:pStyle w:val="CitaviBibliographyEntry"/>
        <w:spacing w:after="12"/>
        <w:ind w:hanging="284"/>
        <w:jc w:val="both"/>
      </w:pPr>
      <w:bookmarkStart w:id="119" w:name="_CTVL00105c78e43284b489fa242bc34b34c27b6"/>
      <w:r w:rsidRPr="00DC1187">
        <w:t>Helmke, G., &amp; Levitsky, S. 2004. Informal Institutions and Comparative Politics: A Research Agenda.</w:t>
      </w:r>
      <w:bookmarkEnd w:id="119"/>
      <w:r w:rsidRPr="00DC1187">
        <w:t xml:space="preserve"> </w:t>
      </w:r>
      <w:r w:rsidRPr="00DC1187">
        <w:rPr>
          <w:i/>
        </w:rPr>
        <w:t>Perspectives on Politics</w:t>
      </w:r>
      <w:r w:rsidRPr="00DC1187">
        <w:t>, 2: 725-740.</w:t>
      </w:r>
    </w:p>
    <w:p w14:paraId="081D37F7" w14:textId="77777777" w:rsidR="006822EF" w:rsidRPr="00DC1187" w:rsidRDefault="006822EF" w:rsidP="00010489">
      <w:pPr>
        <w:pStyle w:val="CitaviBibliographyEntry"/>
        <w:spacing w:after="12"/>
        <w:ind w:hanging="284"/>
        <w:jc w:val="both"/>
      </w:pPr>
      <w:bookmarkStart w:id="120" w:name="_CTVL001e9f7208925b24efbbe05420b8637175b"/>
      <w:r w:rsidRPr="00CE03DC">
        <w:t xml:space="preserve">Hendry, K., &amp; Kiel, G. C. 2004. </w:t>
      </w:r>
      <w:r w:rsidRPr="00DC1187">
        <w:t>The Role of the Board in Firm Strategy: integrating agency and organisational control perspectives.</w:t>
      </w:r>
      <w:bookmarkEnd w:id="120"/>
      <w:r w:rsidRPr="00DC1187">
        <w:t xml:space="preserve"> </w:t>
      </w:r>
      <w:r w:rsidRPr="00DC1187">
        <w:rPr>
          <w:i/>
        </w:rPr>
        <w:t>Corporate Governance: An International Review</w:t>
      </w:r>
      <w:r w:rsidRPr="00DC1187">
        <w:t>, 12: 500-520.</w:t>
      </w:r>
    </w:p>
    <w:p w14:paraId="63F8C430" w14:textId="77777777" w:rsidR="006822EF" w:rsidRPr="00DC1187" w:rsidRDefault="006822EF" w:rsidP="00010489">
      <w:pPr>
        <w:pStyle w:val="CitaviBibliographyEntry"/>
        <w:spacing w:after="12"/>
        <w:ind w:hanging="284"/>
        <w:jc w:val="both"/>
      </w:pPr>
      <w:bookmarkStart w:id="121" w:name="_CTVL001a4ee22ea38c34b6385217a4b4e2f5250"/>
      <w:r w:rsidRPr="00DC1187">
        <w:t>Higgins, J. P. T., &amp; Thompson, S. G. 2002. Quantifying heterogeneity in a meta-analysis.</w:t>
      </w:r>
      <w:bookmarkEnd w:id="121"/>
      <w:r w:rsidRPr="00DC1187">
        <w:t xml:space="preserve"> </w:t>
      </w:r>
      <w:r w:rsidRPr="00DC1187">
        <w:rPr>
          <w:i/>
        </w:rPr>
        <w:t>Statistics in medicine</w:t>
      </w:r>
      <w:r w:rsidRPr="00DC1187">
        <w:t>, 21: 1539-1558.</w:t>
      </w:r>
    </w:p>
    <w:p w14:paraId="598B4DE3" w14:textId="77777777" w:rsidR="006822EF" w:rsidRPr="00DC1187" w:rsidRDefault="006822EF" w:rsidP="00010489">
      <w:pPr>
        <w:pStyle w:val="CitaviBibliographyEntry"/>
        <w:spacing w:after="12"/>
        <w:ind w:hanging="284"/>
        <w:jc w:val="both"/>
      </w:pPr>
      <w:bookmarkStart w:id="122" w:name="_CTVL00195ec28caa2f8439ba94c10c183c275b6"/>
      <w:r w:rsidRPr="00DC1187">
        <w:lastRenderedPageBreak/>
        <w:t>Hill, C. W. L., &amp; Snell, S. A. 1989. Effects of Ownership Structure and Control on Corporate Productivity.</w:t>
      </w:r>
      <w:bookmarkEnd w:id="122"/>
      <w:r w:rsidRPr="00DC1187">
        <w:t xml:space="preserve"> </w:t>
      </w:r>
      <w:r w:rsidRPr="00DC1187">
        <w:rPr>
          <w:i/>
        </w:rPr>
        <w:t>Academy of Management Journal</w:t>
      </w:r>
      <w:r w:rsidRPr="00DC1187">
        <w:t>, 32: 25-46.</w:t>
      </w:r>
    </w:p>
    <w:p w14:paraId="5037DF3F" w14:textId="77777777" w:rsidR="006822EF" w:rsidRPr="00DC1187" w:rsidRDefault="006822EF" w:rsidP="00010489">
      <w:pPr>
        <w:pStyle w:val="CitaviBibliographyEntry"/>
        <w:spacing w:after="12"/>
        <w:ind w:hanging="284"/>
        <w:jc w:val="both"/>
      </w:pPr>
      <w:bookmarkStart w:id="123" w:name="_CTVL001685302df2be3466b922b7f418228004a"/>
      <w:r w:rsidRPr="00DC1187">
        <w:t>Hillman, A. J., Nicholson, G., &amp; Shropshire, C. 2008. Directors</w:t>
      </w:r>
      <w:r>
        <w:t>’</w:t>
      </w:r>
      <w:r w:rsidRPr="00DC1187">
        <w:t xml:space="preserve"> Multiple Identities, Identification, and Board Monitoring and Resource Provision.</w:t>
      </w:r>
      <w:bookmarkEnd w:id="123"/>
      <w:r w:rsidRPr="00DC1187">
        <w:t xml:space="preserve"> </w:t>
      </w:r>
      <w:r w:rsidRPr="00DC1187">
        <w:rPr>
          <w:i/>
        </w:rPr>
        <w:t>Organization Science</w:t>
      </w:r>
      <w:r w:rsidRPr="00DC1187">
        <w:t>, 19: 441-456.</w:t>
      </w:r>
    </w:p>
    <w:p w14:paraId="0A7C4F4E" w14:textId="77777777" w:rsidR="006822EF" w:rsidRPr="00DC1187" w:rsidRDefault="006822EF" w:rsidP="00010489">
      <w:pPr>
        <w:pStyle w:val="CitaviBibliographyEntry"/>
        <w:spacing w:after="12"/>
        <w:ind w:hanging="284"/>
        <w:jc w:val="both"/>
      </w:pPr>
      <w:bookmarkStart w:id="124" w:name="_CTVL0010120c530cfce4fa199057f6cc82479a8"/>
      <w:r w:rsidRPr="00DC1187">
        <w:t>Hillman, A. J., Withers, M. C., &amp; Collins, B. J. 2009. Resource Dependence Theory: A Review.</w:t>
      </w:r>
      <w:bookmarkEnd w:id="124"/>
      <w:r w:rsidRPr="00DC1187">
        <w:t xml:space="preserve"> </w:t>
      </w:r>
      <w:r w:rsidRPr="00DC1187">
        <w:rPr>
          <w:i/>
        </w:rPr>
        <w:t>Journal of Management</w:t>
      </w:r>
      <w:r w:rsidRPr="00DC1187">
        <w:t>, 35: 1404-1427.</w:t>
      </w:r>
    </w:p>
    <w:p w14:paraId="5DFB0786" w14:textId="77777777" w:rsidR="006822EF" w:rsidRPr="00DC1187" w:rsidRDefault="006822EF" w:rsidP="00010489">
      <w:pPr>
        <w:pStyle w:val="CitaviBibliographyEntry"/>
        <w:spacing w:after="12"/>
        <w:ind w:hanging="284"/>
        <w:jc w:val="both"/>
      </w:pPr>
      <w:bookmarkStart w:id="125" w:name="_CTVL001567a36ae10494a46b69096804889b417"/>
      <w:r w:rsidRPr="00CE03DC">
        <w:t xml:space="preserve">Hippel, E. von, Franke, N., &amp; Prügl, R. 2009. </w:t>
      </w:r>
      <w:r w:rsidRPr="00DC1187">
        <w:t>“Pyramiding: Efficient search for rare subjects”.</w:t>
      </w:r>
      <w:bookmarkEnd w:id="125"/>
      <w:r w:rsidRPr="00DC1187">
        <w:t xml:space="preserve"> </w:t>
      </w:r>
      <w:r w:rsidRPr="00DC1187">
        <w:rPr>
          <w:i/>
        </w:rPr>
        <w:t>Research Policy</w:t>
      </w:r>
      <w:r w:rsidRPr="00DC1187">
        <w:t>, 38: 1397-1406.</w:t>
      </w:r>
    </w:p>
    <w:p w14:paraId="025C959F" w14:textId="77777777" w:rsidR="006822EF" w:rsidRPr="00DC1187" w:rsidRDefault="006822EF" w:rsidP="00010489">
      <w:pPr>
        <w:pStyle w:val="CitaviBibliographyEntry"/>
        <w:spacing w:after="12"/>
        <w:ind w:hanging="284"/>
        <w:jc w:val="both"/>
      </w:pPr>
      <w:bookmarkStart w:id="126" w:name="_CTVL00198960cfadec844f6b510fb7d35d67474"/>
      <w:r w:rsidRPr="00DC1187">
        <w:t>Hofstede, G. 1980. Culture and Organizations.</w:t>
      </w:r>
      <w:bookmarkEnd w:id="126"/>
      <w:r w:rsidRPr="00DC1187">
        <w:t xml:space="preserve"> </w:t>
      </w:r>
      <w:r w:rsidRPr="00DC1187">
        <w:rPr>
          <w:i/>
        </w:rPr>
        <w:t>International Studies of Management &amp; Organization</w:t>
      </w:r>
      <w:r w:rsidRPr="00DC1187">
        <w:t>, 10: 15-41.</w:t>
      </w:r>
    </w:p>
    <w:p w14:paraId="34E4A47E" w14:textId="77777777" w:rsidR="006822EF" w:rsidRPr="00DC1187" w:rsidRDefault="006822EF" w:rsidP="00010489">
      <w:pPr>
        <w:pStyle w:val="CitaviBibliographyEntry"/>
        <w:spacing w:after="12"/>
        <w:ind w:hanging="284"/>
        <w:jc w:val="both"/>
      </w:pPr>
      <w:bookmarkStart w:id="127" w:name="_CTVL001722c9ba6d9604095ac87449d66bcb283"/>
      <w:r w:rsidRPr="00DC1187">
        <w:t>Holmes, O., Jiang, K., Avery, D. R., McKay, P. F., Oh, I.-S., &amp; Tillman, C. J. 2021. A Meta-Analysis Integrating 25 Years of Diversity Climate Research.</w:t>
      </w:r>
      <w:bookmarkEnd w:id="127"/>
      <w:r w:rsidRPr="00DC1187">
        <w:t xml:space="preserve"> </w:t>
      </w:r>
      <w:r w:rsidRPr="00DC1187">
        <w:rPr>
          <w:i/>
        </w:rPr>
        <w:t>Journal of Management</w:t>
      </w:r>
      <w:r w:rsidRPr="00DC1187">
        <w:t>, 47: 1357-1382.</w:t>
      </w:r>
    </w:p>
    <w:p w14:paraId="4287444D" w14:textId="77777777" w:rsidR="006822EF" w:rsidRPr="00DC1187" w:rsidRDefault="006822EF" w:rsidP="00010489">
      <w:pPr>
        <w:pStyle w:val="CitaviBibliographyEntry"/>
        <w:spacing w:after="12"/>
        <w:ind w:hanging="284"/>
        <w:jc w:val="both"/>
      </w:pPr>
      <w:bookmarkStart w:id="128" w:name="_CTVL00174cd0a83308045ee883da441f8879c93"/>
      <w:r w:rsidRPr="00DC1187">
        <w:t>Houston, J. F., James, C. M., &amp; Ryngaert, M. D. 2001. Where do merger gains come from? Bank mergers from the perspective of insiders and outsiders.</w:t>
      </w:r>
      <w:bookmarkEnd w:id="128"/>
      <w:r w:rsidRPr="00DC1187">
        <w:t xml:space="preserve"> </w:t>
      </w:r>
      <w:r w:rsidRPr="00DC1187">
        <w:rPr>
          <w:i/>
        </w:rPr>
        <w:t>Journal of Financial Economics</w:t>
      </w:r>
      <w:r w:rsidRPr="00DC1187">
        <w:t>, 60: 285-331.</w:t>
      </w:r>
    </w:p>
    <w:p w14:paraId="5A54163D" w14:textId="77777777" w:rsidR="006822EF" w:rsidRPr="00DC1187" w:rsidRDefault="006822EF" w:rsidP="00010489">
      <w:pPr>
        <w:pStyle w:val="CitaviBibliographyEntry"/>
        <w:spacing w:after="12"/>
        <w:ind w:hanging="284"/>
        <w:jc w:val="both"/>
      </w:pPr>
      <w:bookmarkStart w:id="129" w:name="_CTVL001e7f521d07cc24a8b90870ad7e8cbf84f"/>
      <w:r w:rsidRPr="00DC1187">
        <w:t>Howard, M. D., Withers, M. C., &amp; Tihanyi, L. 2017. Knowledge Dependence and the Formation of Director Interlocks.</w:t>
      </w:r>
      <w:bookmarkEnd w:id="129"/>
      <w:r w:rsidRPr="00DC1187">
        <w:t xml:space="preserve"> </w:t>
      </w:r>
      <w:r w:rsidRPr="00DC1187">
        <w:rPr>
          <w:i/>
        </w:rPr>
        <w:t>Academy of Management Journal</w:t>
      </w:r>
      <w:r w:rsidRPr="00DC1187">
        <w:t>, 60: 1986-2013.</w:t>
      </w:r>
    </w:p>
    <w:p w14:paraId="66E5FAF3" w14:textId="77777777" w:rsidR="006822EF" w:rsidRPr="00DC1187" w:rsidRDefault="006822EF" w:rsidP="00010489">
      <w:pPr>
        <w:pStyle w:val="CitaviBibliographyEntry"/>
        <w:spacing w:after="12"/>
        <w:ind w:hanging="284"/>
        <w:jc w:val="both"/>
      </w:pPr>
      <w:bookmarkStart w:id="130" w:name="_CTVL0018988d4f985bb471cbc75647c05ccd0f7"/>
      <w:r w:rsidRPr="00DC1187">
        <w:t>Hox, J. J., Moerbeek, M., &amp; van de Schoot, R. 2017.</w:t>
      </w:r>
      <w:bookmarkEnd w:id="130"/>
      <w:r w:rsidRPr="00DC1187">
        <w:t xml:space="preserve"> </w:t>
      </w:r>
      <w:r w:rsidRPr="00DC1187">
        <w:rPr>
          <w:i/>
        </w:rPr>
        <w:t>Multilevel Analysis</w:t>
      </w:r>
      <w:r w:rsidRPr="00DC1187">
        <w:t>. New York: Routledge.</w:t>
      </w:r>
    </w:p>
    <w:p w14:paraId="1FD91F7C" w14:textId="77777777" w:rsidR="006822EF" w:rsidRPr="00DC1187" w:rsidRDefault="006822EF" w:rsidP="00010489">
      <w:pPr>
        <w:pStyle w:val="CitaviBibliographyEntry"/>
        <w:spacing w:after="12"/>
        <w:ind w:hanging="284"/>
        <w:jc w:val="both"/>
      </w:pPr>
      <w:bookmarkStart w:id="131" w:name="_CTVL0018416f3805f5d4e2688bad1934959bac0"/>
      <w:r w:rsidRPr="009572A7">
        <w:rPr>
          <w:lang w:val="de-DE"/>
        </w:rPr>
        <w:t xml:space="preserve">Hu, L., &amp; Bentler, P. M. 1999. </w:t>
      </w:r>
      <w:r w:rsidRPr="00DC1187">
        <w:t>Cutoff criteria for fit indexes in covariance structure analysis: Conventional criteria versus new alternatives.</w:t>
      </w:r>
      <w:bookmarkEnd w:id="131"/>
      <w:r w:rsidRPr="00DC1187">
        <w:t xml:space="preserve"> </w:t>
      </w:r>
      <w:r w:rsidRPr="00DC1187">
        <w:rPr>
          <w:i/>
        </w:rPr>
        <w:t>Structural Equation Modeling: A Multidisciplinary Journal</w:t>
      </w:r>
      <w:r w:rsidRPr="00DC1187">
        <w:t>, 6: 1-55.</w:t>
      </w:r>
    </w:p>
    <w:p w14:paraId="67999E67" w14:textId="77777777" w:rsidR="006822EF" w:rsidRPr="00DC1187" w:rsidRDefault="006822EF" w:rsidP="00010489">
      <w:pPr>
        <w:pStyle w:val="CitaviBibliographyEntry"/>
        <w:spacing w:after="12"/>
        <w:ind w:hanging="284"/>
        <w:jc w:val="both"/>
      </w:pPr>
      <w:bookmarkStart w:id="132" w:name="_CTVL0010280706061224ffc8d25090f68322245"/>
      <w:r w:rsidRPr="00DC1187">
        <w:t>Hundal, S. 2016. Busyness of audit committee directors and quality of financial information in India.</w:t>
      </w:r>
      <w:bookmarkEnd w:id="132"/>
      <w:r w:rsidRPr="00DC1187">
        <w:t xml:space="preserve"> </w:t>
      </w:r>
      <w:r w:rsidRPr="00DC1187">
        <w:rPr>
          <w:i/>
        </w:rPr>
        <w:t>International Journal of Business Governance and Ethics</w:t>
      </w:r>
      <w:r w:rsidRPr="00DC1187">
        <w:t>, 11: 335.</w:t>
      </w:r>
    </w:p>
    <w:p w14:paraId="0B5EC4C4" w14:textId="77777777" w:rsidR="006822EF" w:rsidRPr="00DC1187" w:rsidRDefault="006822EF" w:rsidP="00010489">
      <w:pPr>
        <w:pStyle w:val="CitaviBibliographyEntry"/>
        <w:spacing w:after="12"/>
        <w:ind w:hanging="284"/>
        <w:jc w:val="both"/>
      </w:pPr>
      <w:bookmarkStart w:id="133" w:name="_CTVL00196dc33d34cbe4245826e53cf1b059f1c"/>
      <w:r w:rsidRPr="00DC1187">
        <w:lastRenderedPageBreak/>
        <w:t>Hundal, S. 2017. Multiple directorships of corporate boards and firm performance in India.</w:t>
      </w:r>
      <w:bookmarkEnd w:id="133"/>
      <w:r w:rsidRPr="00DC1187">
        <w:t xml:space="preserve"> </w:t>
      </w:r>
      <w:r w:rsidRPr="00DC1187">
        <w:rPr>
          <w:i/>
        </w:rPr>
        <w:t>Corporate Ownership and Control</w:t>
      </w:r>
      <w:r w:rsidRPr="00DC1187">
        <w:t>, 14: 150-164.</w:t>
      </w:r>
    </w:p>
    <w:p w14:paraId="4DAF4388" w14:textId="77777777" w:rsidR="006822EF" w:rsidRPr="00DC1187" w:rsidRDefault="006822EF" w:rsidP="00010489">
      <w:pPr>
        <w:pStyle w:val="CitaviBibliographyEntry"/>
        <w:spacing w:after="12"/>
        <w:ind w:hanging="284"/>
        <w:jc w:val="both"/>
      </w:pPr>
      <w:bookmarkStart w:id="134" w:name="_CTVL00111903a05e2cb41dc81356162671062e7"/>
      <w:r w:rsidRPr="00DC1187">
        <w:t>Jackling, B., &amp; Johl, S. 2009. Board Structure and Firm Performance: Evidence from India</w:t>
      </w:r>
      <w:r>
        <w:t>’</w:t>
      </w:r>
      <w:r w:rsidRPr="00DC1187">
        <w:t>s Top Companies.</w:t>
      </w:r>
      <w:bookmarkEnd w:id="134"/>
      <w:r w:rsidRPr="00DC1187">
        <w:t xml:space="preserve"> </w:t>
      </w:r>
      <w:r w:rsidRPr="00DC1187">
        <w:rPr>
          <w:i/>
        </w:rPr>
        <w:t>Corporate Governance: An International Review</w:t>
      </w:r>
      <w:r w:rsidRPr="00DC1187">
        <w:t>, 17: 492-509.</w:t>
      </w:r>
    </w:p>
    <w:p w14:paraId="57BE9850" w14:textId="77777777" w:rsidR="006822EF" w:rsidRPr="00DC1187" w:rsidRDefault="006822EF" w:rsidP="00010489">
      <w:pPr>
        <w:pStyle w:val="CitaviBibliographyEntry"/>
        <w:spacing w:after="12"/>
        <w:ind w:hanging="284"/>
        <w:jc w:val="both"/>
      </w:pPr>
      <w:bookmarkStart w:id="135" w:name="_CTVL00165c2594d02f540c9b136a250e44f9e14"/>
      <w:r w:rsidRPr="00DC1187">
        <w:t>Jak, S. 2015. Introduction to Meta-Analysis and Structural Equation Modeling. In S. Jak (Ed.),</w:t>
      </w:r>
      <w:bookmarkEnd w:id="135"/>
      <w:r w:rsidRPr="00DC1187">
        <w:t xml:space="preserve"> </w:t>
      </w:r>
      <w:r w:rsidRPr="00DC1187">
        <w:rPr>
          <w:i/>
        </w:rPr>
        <w:t xml:space="preserve">Meta-Analytic Structural Equation Modelling: </w:t>
      </w:r>
      <w:r w:rsidRPr="00DC1187">
        <w:t>1-14. Cham: Springer International Publishing.</w:t>
      </w:r>
    </w:p>
    <w:p w14:paraId="45E62215" w14:textId="77777777" w:rsidR="006822EF" w:rsidRPr="00DC1187" w:rsidRDefault="006822EF" w:rsidP="00010489">
      <w:pPr>
        <w:pStyle w:val="CitaviBibliographyEntry"/>
        <w:spacing w:after="12"/>
        <w:ind w:hanging="284"/>
        <w:jc w:val="both"/>
      </w:pPr>
      <w:bookmarkStart w:id="136" w:name="_CTVL0016ef5db99b3504fbd97a2b3ca8f5e6f12"/>
      <w:r w:rsidRPr="009572A7">
        <w:rPr>
          <w:lang w:val="de-DE"/>
        </w:rPr>
        <w:t xml:space="preserve">Jak, S., &amp; Cheung, M. W.-L. 2020. </w:t>
      </w:r>
      <w:r w:rsidRPr="00DC1187">
        <w:t>Meta-analytic structural equation modeling with moderating effects on SEM parameters.</w:t>
      </w:r>
      <w:bookmarkEnd w:id="136"/>
      <w:r w:rsidRPr="00DC1187">
        <w:t xml:space="preserve"> </w:t>
      </w:r>
      <w:r w:rsidRPr="00DC1187">
        <w:rPr>
          <w:i/>
        </w:rPr>
        <w:t>Psychological methods</w:t>
      </w:r>
      <w:r w:rsidRPr="00DC1187">
        <w:t>, 25: 430-455.</w:t>
      </w:r>
    </w:p>
    <w:p w14:paraId="28B6647C" w14:textId="77777777" w:rsidR="006822EF" w:rsidRPr="00DC1187" w:rsidRDefault="006822EF" w:rsidP="00010489">
      <w:pPr>
        <w:pStyle w:val="CitaviBibliographyEntry"/>
        <w:spacing w:after="12"/>
        <w:ind w:hanging="284"/>
        <w:jc w:val="both"/>
      </w:pPr>
      <w:bookmarkStart w:id="137" w:name="_CTVL0010a466d09a65e4d9d8f6f5103c283a574"/>
      <w:r w:rsidRPr="00CE03DC">
        <w:t xml:space="preserve">Jak, S., Li, H., Kolbe, L., Jonge, H. de, &amp; Cheung, M. W.-L. 2021. </w:t>
      </w:r>
      <w:r w:rsidRPr="00DC1187">
        <w:t>Meta-analytic structural equation modeling made easy: A tutorial and web application for one-stage MASEM.</w:t>
      </w:r>
      <w:bookmarkEnd w:id="137"/>
      <w:r w:rsidRPr="00DC1187">
        <w:t xml:space="preserve"> </w:t>
      </w:r>
      <w:r w:rsidRPr="00DC1187">
        <w:rPr>
          <w:i/>
        </w:rPr>
        <w:t>Research synthesis methods</w:t>
      </w:r>
      <w:r w:rsidRPr="00DC1187">
        <w:t>, 12: 590-606.</w:t>
      </w:r>
    </w:p>
    <w:p w14:paraId="7839AF40" w14:textId="77777777" w:rsidR="006822EF" w:rsidRPr="00DC1187" w:rsidRDefault="006822EF" w:rsidP="00010489">
      <w:pPr>
        <w:pStyle w:val="CitaviBibliographyEntry"/>
        <w:spacing w:after="12"/>
        <w:ind w:hanging="284"/>
        <w:jc w:val="both"/>
      </w:pPr>
      <w:bookmarkStart w:id="138" w:name="_CTVL001d4dbcfcc24eb498a838ee1c8c9c8f7da"/>
      <w:r w:rsidRPr="00CE03DC">
        <w:t xml:space="preserve">Jensen, M. C., &amp; Meckling, W. H. 1976. </w:t>
      </w:r>
      <w:r w:rsidRPr="00DC1187">
        <w:t>Theory of the firm: Managerial behavior, agency costs and ownership structure.</w:t>
      </w:r>
      <w:bookmarkEnd w:id="138"/>
      <w:r w:rsidRPr="00DC1187">
        <w:t xml:space="preserve"> </w:t>
      </w:r>
      <w:r w:rsidRPr="00DC1187">
        <w:rPr>
          <w:i/>
        </w:rPr>
        <w:t>Journal of Financial Economics</w:t>
      </w:r>
      <w:r w:rsidRPr="00DC1187">
        <w:t>, 3: 305-360.</w:t>
      </w:r>
    </w:p>
    <w:p w14:paraId="58053205" w14:textId="77777777" w:rsidR="006822EF" w:rsidRPr="00DC1187" w:rsidRDefault="006822EF" w:rsidP="00010489">
      <w:pPr>
        <w:pStyle w:val="CitaviBibliographyEntry"/>
        <w:spacing w:after="12"/>
        <w:ind w:hanging="284"/>
        <w:jc w:val="both"/>
      </w:pPr>
      <w:bookmarkStart w:id="139" w:name="_CTVL001ea892e7e46c247fcbb510b4188ab051a"/>
      <w:r w:rsidRPr="00DC1187">
        <w:t>Jin, L., &amp; Myers, S. 2006. R2 around the world: New theory and new tests</w:t>
      </w:r>
      <w:r w:rsidRPr="00DC1187">
        <w:rPr>
          <w:rFonts w:ascii="Segoe UI Symbol" w:hAnsi="Segoe UI Symbol" w:cs="Segoe UI Symbol"/>
        </w:rPr>
        <w:t>☆</w:t>
      </w:r>
      <w:r w:rsidRPr="00DC1187">
        <w:t>.</w:t>
      </w:r>
      <w:bookmarkEnd w:id="139"/>
      <w:r w:rsidRPr="00DC1187">
        <w:t xml:space="preserve"> </w:t>
      </w:r>
      <w:r w:rsidRPr="00DC1187">
        <w:rPr>
          <w:i/>
        </w:rPr>
        <w:t>Journal of Financial Economics</w:t>
      </w:r>
      <w:r w:rsidRPr="00DC1187">
        <w:t>, 79: 257-292.</w:t>
      </w:r>
    </w:p>
    <w:p w14:paraId="5A5CC8C0" w14:textId="77777777" w:rsidR="006822EF" w:rsidRPr="00DC1187" w:rsidRDefault="006822EF" w:rsidP="00010489">
      <w:pPr>
        <w:pStyle w:val="CitaviBibliographyEntry"/>
        <w:spacing w:after="12"/>
        <w:ind w:hanging="284"/>
        <w:jc w:val="both"/>
      </w:pPr>
      <w:bookmarkStart w:id="140" w:name="_CTVL00126c01136ca6f4ba5949144675c705b7d"/>
      <w:r w:rsidRPr="00DC1187">
        <w:t>Jiraporn, P., Davidson, W. N., Ning, Y., &amp; DaDalt, P. J. 2008. Too Busy to Show Up? An Analysis of Directors</w:t>
      </w:r>
      <w:r>
        <w:t>’</w:t>
      </w:r>
      <w:r w:rsidRPr="00DC1187">
        <w:t xml:space="preserve"> Absences.</w:t>
      </w:r>
      <w:bookmarkEnd w:id="140"/>
      <w:r w:rsidRPr="00DC1187">
        <w:t xml:space="preserve"> </w:t>
      </w:r>
      <w:r w:rsidRPr="00DC1187">
        <w:rPr>
          <w:i/>
        </w:rPr>
        <w:t xml:space="preserve">SSRN Electronic Journal. </w:t>
      </w:r>
      <w:r w:rsidRPr="00DC1187">
        <w:t xml:space="preserve">doi:10.2139/ssrn.1254642 </w:t>
      </w:r>
    </w:p>
    <w:p w14:paraId="348E4CE9" w14:textId="77777777" w:rsidR="006822EF" w:rsidRPr="00DC1187" w:rsidRDefault="006822EF" w:rsidP="00010489">
      <w:pPr>
        <w:pStyle w:val="CitaviBibliographyEntry"/>
        <w:spacing w:after="12"/>
        <w:ind w:hanging="284"/>
        <w:jc w:val="both"/>
      </w:pPr>
      <w:bookmarkStart w:id="141" w:name="_CTVL0012820f764a09e4267aaa6ce18ff228e34"/>
      <w:r w:rsidRPr="009572A7">
        <w:rPr>
          <w:lang w:val="de-DE"/>
        </w:rPr>
        <w:t xml:space="preserve">Jiraporn, P., Kim, Y. S., &amp; Davidson, W. N. 2008. </w:t>
      </w:r>
      <w:r w:rsidRPr="00DC1187">
        <w:t>Multiple directorships and corporate diversification.</w:t>
      </w:r>
      <w:bookmarkEnd w:id="141"/>
      <w:r w:rsidRPr="00DC1187">
        <w:t xml:space="preserve"> </w:t>
      </w:r>
      <w:r w:rsidRPr="00DC1187">
        <w:rPr>
          <w:i/>
        </w:rPr>
        <w:t>Journal of Empirical Finance</w:t>
      </w:r>
      <w:r w:rsidRPr="00DC1187">
        <w:t>, 15: 418-435.</w:t>
      </w:r>
    </w:p>
    <w:p w14:paraId="52295458" w14:textId="77777777" w:rsidR="006822EF" w:rsidRPr="00DC1187" w:rsidRDefault="006822EF" w:rsidP="00010489">
      <w:pPr>
        <w:pStyle w:val="CitaviBibliographyEntry"/>
        <w:spacing w:after="12"/>
        <w:ind w:hanging="284"/>
        <w:jc w:val="both"/>
      </w:pPr>
      <w:bookmarkStart w:id="142" w:name="_CTVL001d4fcc842936943d8b0571d24ac4f5697"/>
      <w:r w:rsidRPr="00DC1187">
        <w:t>Jiraporn, P., Kim, Y. S., Davidson, W. N., &amp; Singh, M. 2006. Corporate governance, shareholder rights and firm diversification: An empirical analysis.</w:t>
      </w:r>
      <w:bookmarkEnd w:id="142"/>
      <w:r w:rsidRPr="00DC1187">
        <w:t xml:space="preserve"> </w:t>
      </w:r>
      <w:r w:rsidRPr="00DC1187">
        <w:rPr>
          <w:i/>
        </w:rPr>
        <w:t>Journal of Banking &amp; Finance</w:t>
      </w:r>
      <w:r w:rsidRPr="00DC1187">
        <w:t>, 30: 947-963.</w:t>
      </w:r>
    </w:p>
    <w:p w14:paraId="16959BAC" w14:textId="77777777" w:rsidR="006822EF" w:rsidRPr="00DC1187" w:rsidRDefault="006822EF" w:rsidP="00010489">
      <w:pPr>
        <w:pStyle w:val="CitaviBibliographyEntry"/>
        <w:spacing w:after="12"/>
        <w:ind w:hanging="284"/>
        <w:jc w:val="both"/>
      </w:pPr>
      <w:bookmarkStart w:id="143" w:name="_CTVL001a50dbf54f8964d2591907afbf4f2a9b1"/>
      <w:r w:rsidRPr="00CE03DC">
        <w:t xml:space="preserve">Jiraporn, P., Singh, M., &amp; Lee, C. I. 2009. </w:t>
      </w:r>
      <w:r w:rsidRPr="00DC1187">
        <w:t>Ineffective corporate governance: Director busyness and board committee memberships.</w:t>
      </w:r>
      <w:bookmarkEnd w:id="143"/>
      <w:r w:rsidRPr="00DC1187">
        <w:t xml:space="preserve"> </w:t>
      </w:r>
      <w:r w:rsidRPr="00DC1187">
        <w:rPr>
          <w:i/>
        </w:rPr>
        <w:t>Journal of Banking &amp; Finance</w:t>
      </w:r>
      <w:r w:rsidRPr="00DC1187">
        <w:t>, 33: 819-828.</w:t>
      </w:r>
    </w:p>
    <w:p w14:paraId="0481D7F3" w14:textId="77777777" w:rsidR="006822EF" w:rsidRPr="00DC1187" w:rsidRDefault="006822EF" w:rsidP="00010489">
      <w:pPr>
        <w:pStyle w:val="CitaviBibliographyEntry"/>
        <w:spacing w:after="12"/>
        <w:ind w:hanging="284"/>
        <w:jc w:val="both"/>
      </w:pPr>
      <w:bookmarkStart w:id="144" w:name="_CTVL001f116e2fff9364f5885e1e12e06a763dd"/>
      <w:r w:rsidRPr="00DC1187">
        <w:lastRenderedPageBreak/>
        <w:t>Johnson, J. L., Daily, C. M., &amp; Ellstrand, A. E. 1996. Boards of Directors: A Review and Research Agenda.</w:t>
      </w:r>
      <w:bookmarkEnd w:id="144"/>
      <w:r w:rsidRPr="00DC1187">
        <w:t xml:space="preserve"> </w:t>
      </w:r>
      <w:r w:rsidRPr="00DC1187">
        <w:rPr>
          <w:i/>
        </w:rPr>
        <w:t>Journal of Management</w:t>
      </w:r>
      <w:r w:rsidRPr="00DC1187">
        <w:t>, 22: 409-438.</w:t>
      </w:r>
    </w:p>
    <w:p w14:paraId="04463D2E" w14:textId="77777777" w:rsidR="006822EF" w:rsidRPr="00DC1187" w:rsidRDefault="006822EF" w:rsidP="00010489">
      <w:pPr>
        <w:pStyle w:val="CitaviBibliographyEntry"/>
        <w:spacing w:after="12"/>
        <w:ind w:hanging="284"/>
        <w:jc w:val="both"/>
      </w:pPr>
      <w:bookmarkStart w:id="145" w:name="_CTVL00134ed955504e14fe0b50f5ee525734f5c"/>
      <w:r w:rsidRPr="00DC1187">
        <w:t>Johnson, R. A., Hoskisson, R. E., &amp; Hitt, M. A. 1993. Board of director involvement in restructuring: The effects of board versus managerial controls and characteristics.</w:t>
      </w:r>
      <w:bookmarkEnd w:id="145"/>
      <w:r w:rsidRPr="00DC1187">
        <w:t xml:space="preserve"> </w:t>
      </w:r>
      <w:r w:rsidRPr="00DC1187">
        <w:rPr>
          <w:i/>
        </w:rPr>
        <w:t>Strategic Management Journal</w:t>
      </w:r>
      <w:r w:rsidRPr="00DC1187">
        <w:t>, 14: 33-50.</w:t>
      </w:r>
    </w:p>
    <w:p w14:paraId="15A5AE28" w14:textId="77777777" w:rsidR="006822EF" w:rsidRPr="00DC1187" w:rsidRDefault="006822EF" w:rsidP="00010489">
      <w:pPr>
        <w:pStyle w:val="CitaviBibliographyEntry"/>
        <w:spacing w:after="12"/>
        <w:ind w:hanging="284"/>
        <w:jc w:val="both"/>
      </w:pPr>
      <w:bookmarkStart w:id="146" w:name="_CTVL0010b34308bdd6543059218aa33a7f46bde"/>
      <w:r w:rsidRPr="00DC1187">
        <w:t>Judge, W. Q., Douglas, T. J., &amp; Kutan, A. M. 2008. Institutional Antecedents of Corporate Governance Legitimacy.</w:t>
      </w:r>
      <w:bookmarkEnd w:id="146"/>
      <w:r w:rsidRPr="00DC1187">
        <w:t xml:space="preserve"> </w:t>
      </w:r>
      <w:r w:rsidRPr="00DC1187">
        <w:rPr>
          <w:i/>
        </w:rPr>
        <w:t>Journal of Management</w:t>
      </w:r>
      <w:r w:rsidRPr="00DC1187">
        <w:t>, 34: 765-785.</w:t>
      </w:r>
    </w:p>
    <w:p w14:paraId="101700F6" w14:textId="77777777" w:rsidR="006822EF" w:rsidRPr="00DC1187" w:rsidRDefault="006822EF" w:rsidP="00010489">
      <w:pPr>
        <w:pStyle w:val="CitaviBibliographyEntry"/>
        <w:spacing w:after="12"/>
        <w:ind w:hanging="284"/>
        <w:jc w:val="both"/>
      </w:pPr>
      <w:bookmarkStart w:id="147" w:name="_CTVL0016c60a2109b80480c9da9a29c0c33b9bc"/>
      <w:r w:rsidRPr="00CE03DC">
        <w:t xml:space="preserve">Kalcheva, I., &amp; Lins, K. V. 2007. </w:t>
      </w:r>
      <w:r w:rsidRPr="00DC1187">
        <w:t>International Evidence on Cash Holdings and Expected Managerial Agency Problems.</w:t>
      </w:r>
      <w:bookmarkEnd w:id="147"/>
      <w:r w:rsidRPr="00DC1187">
        <w:t xml:space="preserve"> </w:t>
      </w:r>
      <w:r w:rsidRPr="00DC1187">
        <w:rPr>
          <w:i/>
        </w:rPr>
        <w:t>Review of Financial Studies</w:t>
      </w:r>
      <w:r w:rsidRPr="00DC1187">
        <w:t>, 20: 1087-1112.</w:t>
      </w:r>
    </w:p>
    <w:p w14:paraId="5D8C9B55" w14:textId="77777777" w:rsidR="006822EF" w:rsidRPr="00DC1187" w:rsidRDefault="006822EF" w:rsidP="00010489">
      <w:pPr>
        <w:pStyle w:val="CitaviBibliographyEntry"/>
        <w:spacing w:after="12"/>
        <w:ind w:hanging="284"/>
        <w:jc w:val="both"/>
      </w:pPr>
      <w:bookmarkStart w:id="148" w:name="_CTVL001b35a40ffbb7448df8bea190ac4a5dd1c"/>
      <w:r w:rsidRPr="000D5844">
        <w:t xml:space="preserve">Kiel, G. C., &amp; Nicholson, G. J. 2006. </w:t>
      </w:r>
      <w:r w:rsidRPr="00DC1187">
        <w:t xml:space="preserve">Multiple Directorships and Corporate Performance in Australian Listed Companies </w:t>
      </w:r>
      <w:bookmarkEnd w:id="148"/>
      <w:r w:rsidRPr="00DC1187">
        <w:t xml:space="preserve"> </w:t>
      </w:r>
      <w:r w:rsidRPr="00DC1187">
        <w:rPr>
          <w:i/>
        </w:rPr>
        <w:t>Corporate Governance: An International Review</w:t>
      </w:r>
      <w:r w:rsidRPr="00DC1187">
        <w:t>, 14: 530-546.</w:t>
      </w:r>
    </w:p>
    <w:p w14:paraId="762FEE08" w14:textId="77777777" w:rsidR="006822EF" w:rsidRPr="00DC1187" w:rsidRDefault="006822EF" w:rsidP="00010489">
      <w:pPr>
        <w:pStyle w:val="CitaviBibliographyEntry"/>
        <w:spacing w:after="12"/>
        <w:ind w:hanging="284"/>
        <w:jc w:val="both"/>
      </w:pPr>
      <w:bookmarkStart w:id="149" w:name="_CTVL0012fd64206d058470897fa813408a2d550"/>
      <w:r w:rsidRPr="009572A7">
        <w:rPr>
          <w:lang w:val="de-DE"/>
        </w:rPr>
        <w:t xml:space="preserve">Kim, Y. U., &amp; Ozdemir, S. Z. 2014. </w:t>
      </w:r>
      <w:r w:rsidRPr="00DC1187">
        <w:t>Structuring Corporate Boards for Wealth Protection and/or Wealth Creation: The Effects of National Institutional Characteristics.</w:t>
      </w:r>
      <w:bookmarkEnd w:id="149"/>
      <w:r w:rsidRPr="00DC1187">
        <w:t xml:space="preserve"> </w:t>
      </w:r>
      <w:r w:rsidRPr="00DC1187">
        <w:rPr>
          <w:i/>
        </w:rPr>
        <w:t>Corporate Governance: An International Review</w:t>
      </w:r>
      <w:r w:rsidRPr="00DC1187">
        <w:t>, 22: 266-289.</w:t>
      </w:r>
    </w:p>
    <w:p w14:paraId="27CBA72A" w14:textId="77777777" w:rsidR="006822EF" w:rsidRPr="00DC1187" w:rsidRDefault="006822EF" w:rsidP="00010489">
      <w:pPr>
        <w:pStyle w:val="CitaviBibliographyEntry"/>
        <w:spacing w:after="12"/>
        <w:ind w:hanging="284"/>
        <w:jc w:val="both"/>
      </w:pPr>
      <w:bookmarkStart w:id="150" w:name="_CTVL001f91782cff7c24e25b97bb8aabaa0d323"/>
      <w:r w:rsidRPr="00CE03DC">
        <w:t xml:space="preserve">Knoben, J., &amp; Bakker, R. M. 2019. </w:t>
      </w:r>
      <w:r w:rsidRPr="00DC1187">
        <w:t>The guppy and the whale: Relational pluralism and start-ups</w:t>
      </w:r>
      <w:r>
        <w:t>’</w:t>
      </w:r>
      <w:r w:rsidRPr="00DC1187">
        <w:t xml:space="preserve"> expropriation dilemma in partnership formation.</w:t>
      </w:r>
      <w:bookmarkEnd w:id="150"/>
      <w:r w:rsidRPr="00DC1187">
        <w:t xml:space="preserve"> </w:t>
      </w:r>
      <w:r w:rsidRPr="00DC1187">
        <w:rPr>
          <w:i/>
        </w:rPr>
        <w:t>Journal of Business Venturing</w:t>
      </w:r>
      <w:r w:rsidRPr="00DC1187">
        <w:t>, 34: 103-121.</w:t>
      </w:r>
    </w:p>
    <w:p w14:paraId="4AD8AC48" w14:textId="77777777" w:rsidR="006822EF" w:rsidRPr="00DC1187" w:rsidRDefault="006822EF" w:rsidP="00010489">
      <w:pPr>
        <w:pStyle w:val="CitaviBibliographyEntry"/>
        <w:spacing w:after="12"/>
        <w:ind w:hanging="284"/>
        <w:jc w:val="both"/>
      </w:pPr>
      <w:bookmarkStart w:id="151" w:name="_CTVL00100d8be718c86454da852ebf2ecc35697"/>
      <w:r w:rsidRPr="00DC1187">
        <w:t>Kor, Y. Y. 2006. Direct and interaction effects of top management team and board compositions on R&amp;D investment strategy.</w:t>
      </w:r>
      <w:bookmarkEnd w:id="151"/>
      <w:r w:rsidRPr="00DC1187">
        <w:t xml:space="preserve"> </w:t>
      </w:r>
      <w:r w:rsidRPr="00DC1187">
        <w:rPr>
          <w:i/>
        </w:rPr>
        <w:t>Strategic Management Journal</w:t>
      </w:r>
      <w:r w:rsidRPr="00DC1187">
        <w:t>, 27: 1081-1099.</w:t>
      </w:r>
    </w:p>
    <w:p w14:paraId="75561E92" w14:textId="77777777" w:rsidR="006822EF" w:rsidRPr="00DC1187" w:rsidRDefault="006822EF" w:rsidP="00010489">
      <w:pPr>
        <w:pStyle w:val="CitaviBibliographyEntry"/>
        <w:spacing w:after="12"/>
        <w:ind w:hanging="284"/>
        <w:jc w:val="both"/>
      </w:pPr>
      <w:bookmarkStart w:id="152" w:name="_CTVL00157125ba092bb4b6e88d2bd317acddb39"/>
      <w:r w:rsidRPr="00DC1187">
        <w:t>Koslowsky, M., &amp; Sagie, A. 1993. On the efficacy of credibility intervals as indicators of moderator effects in meta‐analytic research.</w:t>
      </w:r>
      <w:bookmarkEnd w:id="152"/>
      <w:r w:rsidRPr="00DC1187">
        <w:t xml:space="preserve"> </w:t>
      </w:r>
      <w:r w:rsidRPr="00DC1187">
        <w:rPr>
          <w:i/>
        </w:rPr>
        <w:t>Journal of organizational behavior</w:t>
      </w:r>
      <w:r w:rsidRPr="00DC1187">
        <w:t>, 14: 695-699.</w:t>
      </w:r>
    </w:p>
    <w:p w14:paraId="03DFADC5" w14:textId="77777777" w:rsidR="006822EF" w:rsidRPr="00DC1187" w:rsidRDefault="006822EF" w:rsidP="00010489">
      <w:pPr>
        <w:pStyle w:val="CitaviBibliographyEntry"/>
        <w:spacing w:after="12"/>
        <w:ind w:hanging="284"/>
        <w:jc w:val="both"/>
      </w:pPr>
      <w:bookmarkStart w:id="153" w:name="_CTVL0011c8d901f9c1749d39f62aac3f39a65a3"/>
      <w:r w:rsidRPr="00DC1187">
        <w:t>Kraft, P. S. 2022. The double‐edged sword of CEO narcissism: A meta‐analysis of innovation and firm performance implications.</w:t>
      </w:r>
      <w:bookmarkEnd w:id="153"/>
      <w:r w:rsidRPr="00DC1187">
        <w:t xml:space="preserve"> </w:t>
      </w:r>
      <w:r w:rsidRPr="00DC1187">
        <w:rPr>
          <w:i/>
        </w:rPr>
        <w:t>Journal of Product Innovation Management</w:t>
      </w:r>
      <w:r w:rsidRPr="00DC1187">
        <w:t>, 39: 749-772.</w:t>
      </w:r>
    </w:p>
    <w:p w14:paraId="371A133E" w14:textId="77777777" w:rsidR="006822EF" w:rsidRPr="00DC1187" w:rsidRDefault="006822EF" w:rsidP="00010489">
      <w:pPr>
        <w:pStyle w:val="CitaviBibliographyEntry"/>
        <w:spacing w:after="12"/>
        <w:ind w:hanging="284"/>
        <w:jc w:val="both"/>
      </w:pPr>
      <w:bookmarkStart w:id="154" w:name="_CTVL0012f776e0c88da493c89b68428bfdfcdf0"/>
      <w:r w:rsidRPr="00DC1187">
        <w:lastRenderedPageBreak/>
        <w:t>La Porta, R., Lopez‐De‐Silanes, F., &amp; Shleifer, A. 1999. Corporate Ownership Around the World.</w:t>
      </w:r>
      <w:bookmarkEnd w:id="154"/>
      <w:r w:rsidRPr="00DC1187">
        <w:t xml:space="preserve"> </w:t>
      </w:r>
      <w:r w:rsidRPr="00DC1187">
        <w:rPr>
          <w:i/>
        </w:rPr>
        <w:t>The Journal of Finance</w:t>
      </w:r>
      <w:r w:rsidRPr="00DC1187">
        <w:t>, 54: 471-517.</w:t>
      </w:r>
    </w:p>
    <w:p w14:paraId="7E60FF98" w14:textId="77777777" w:rsidR="006822EF" w:rsidRPr="00DC1187" w:rsidRDefault="006822EF" w:rsidP="00010489">
      <w:pPr>
        <w:pStyle w:val="CitaviBibliographyEntry"/>
        <w:spacing w:after="12"/>
        <w:ind w:hanging="284"/>
        <w:jc w:val="both"/>
      </w:pPr>
      <w:bookmarkStart w:id="155" w:name="_CTVL001e72a66c7605e4ca5ae37f3b88f28be60"/>
      <w:r w:rsidRPr="00DC1187">
        <w:t>La Porta, R., Lopez‐De‐Silanes, F., Shleifer, A., &amp; Vishny, R. W. 1997. Legal Determinants of External Finance.</w:t>
      </w:r>
      <w:bookmarkEnd w:id="155"/>
      <w:r w:rsidRPr="00DC1187">
        <w:t xml:space="preserve"> </w:t>
      </w:r>
      <w:r w:rsidRPr="00DC1187">
        <w:rPr>
          <w:i/>
        </w:rPr>
        <w:t>The Journal of Finance</w:t>
      </w:r>
      <w:r w:rsidRPr="00DC1187">
        <w:t>, 52: 1131-1150.</w:t>
      </w:r>
    </w:p>
    <w:p w14:paraId="6A3A74C2" w14:textId="77777777" w:rsidR="006822EF" w:rsidRPr="00DC1187" w:rsidRDefault="006822EF" w:rsidP="00010489">
      <w:pPr>
        <w:pStyle w:val="CitaviBibliographyEntry"/>
        <w:spacing w:after="12"/>
        <w:ind w:hanging="284"/>
        <w:jc w:val="both"/>
      </w:pPr>
      <w:bookmarkStart w:id="156" w:name="_CTVL001452f93d9b7364d31848375be4bc2a659"/>
      <w:r w:rsidRPr="00DC1187">
        <w:t>Lamb, N. H., &amp; Roundy, P. 2016. The “ties that bind” board interlocks research: a systematic review.</w:t>
      </w:r>
      <w:bookmarkEnd w:id="156"/>
      <w:r w:rsidRPr="00DC1187">
        <w:t xml:space="preserve"> </w:t>
      </w:r>
      <w:r w:rsidRPr="00DC1187">
        <w:rPr>
          <w:i/>
        </w:rPr>
        <w:t>Management Research Review</w:t>
      </w:r>
      <w:r w:rsidRPr="00DC1187">
        <w:t>, 39: 1516-1542.</w:t>
      </w:r>
    </w:p>
    <w:p w14:paraId="5F9E3122" w14:textId="77777777" w:rsidR="006822EF" w:rsidRPr="00DC1187" w:rsidRDefault="006822EF" w:rsidP="00010489">
      <w:pPr>
        <w:pStyle w:val="CitaviBibliographyEntry"/>
        <w:spacing w:after="12"/>
        <w:ind w:hanging="284"/>
        <w:jc w:val="both"/>
      </w:pPr>
      <w:bookmarkStart w:id="157" w:name="_CTVL00104014133f26a445e80f4934275176ea0"/>
      <w:r w:rsidRPr="00CE03DC">
        <w:t xml:space="preserve">Larcker, D. F., So, E. C., &amp; Wang, C. C. 2013. </w:t>
      </w:r>
      <w:r w:rsidRPr="00DC1187">
        <w:t>Boardroom centrality and firm performance.</w:t>
      </w:r>
      <w:bookmarkEnd w:id="157"/>
      <w:r w:rsidRPr="00DC1187">
        <w:t xml:space="preserve"> </w:t>
      </w:r>
      <w:r w:rsidRPr="00DC1187">
        <w:rPr>
          <w:i/>
        </w:rPr>
        <w:t>Journal of Accounting and Economics</w:t>
      </w:r>
      <w:r w:rsidRPr="00DC1187">
        <w:t>, 55: 225-250.</w:t>
      </w:r>
    </w:p>
    <w:p w14:paraId="52CFCC74" w14:textId="77777777" w:rsidR="006822EF" w:rsidRPr="00DC1187" w:rsidRDefault="006822EF" w:rsidP="00010489">
      <w:pPr>
        <w:pStyle w:val="CitaviBibliographyEntry"/>
        <w:spacing w:after="12"/>
        <w:ind w:hanging="284"/>
        <w:jc w:val="both"/>
      </w:pPr>
      <w:bookmarkStart w:id="158" w:name="_CTVL00117a44d7c593a423ba4c862bc6ebf6120"/>
      <w:r w:rsidRPr="00CE03DC">
        <w:t xml:space="preserve">Latif, B., Voordeckers, W., Lambrechts, F., &amp; Hendriks, W. 2020. </w:t>
      </w:r>
      <w:r w:rsidRPr="00DC1187">
        <w:t>Multiple directorships in emerging countries: Fiduciary duties at stake?</w:t>
      </w:r>
      <w:bookmarkEnd w:id="158"/>
      <w:r w:rsidRPr="00DC1187">
        <w:t xml:space="preserve"> </w:t>
      </w:r>
      <w:r w:rsidRPr="00DC1187">
        <w:rPr>
          <w:i/>
        </w:rPr>
        <w:t>Business Ethics: A European Review</w:t>
      </w:r>
      <w:r w:rsidRPr="00DC1187">
        <w:t>, 29: 629-645.</w:t>
      </w:r>
    </w:p>
    <w:p w14:paraId="08E35596" w14:textId="77777777" w:rsidR="006822EF" w:rsidRPr="00DC1187" w:rsidRDefault="006822EF" w:rsidP="00010489">
      <w:pPr>
        <w:pStyle w:val="CitaviBibliographyEntry"/>
        <w:spacing w:after="12"/>
        <w:ind w:hanging="284"/>
        <w:jc w:val="both"/>
      </w:pPr>
      <w:bookmarkStart w:id="159" w:name="_CTVL001eb9ce33f1118404e86a5d8ca141d97e4"/>
      <w:r w:rsidRPr="00DC1187">
        <w:t>Lee, D., &amp; Madhavan, R. 2010. Divestiture and Firm Performance: A Meta-Analysis.</w:t>
      </w:r>
      <w:bookmarkEnd w:id="159"/>
      <w:r w:rsidRPr="00DC1187">
        <w:t xml:space="preserve"> </w:t>
      </w:r>
      <w:r w:rsidRPr="00DC1187">
        <w:rPr>
          <w:i/>
        </w:rPr>
        <w:t>Journal of Management</w:t>
      </w:r>
      <w:r w:rsidRPr="00DC1187">
        <w:t>, 36: 1345-1371.</w:t>
      </w:r>
    </w:p>
    <w:p w14:paraId="14570DFF" w14:textId="77777777" w:rsidR="006822EF" w:rsidRPr="00DC1187" w:rsidRDefault="006822EF" w:rsidP="00010489">
      <w:pPr>
        <w:pStyle w:val="CitaviBibliographyEntry"/>
        <w:spacing w:after="12"/>
        <w:ind w:hanging="284"/>
        <w:jc w:val="both"/>
      </w:pPr>
      <w:bookmarkStart w:id="160" w:name="_CTVL001ace10615ed02429885054e8f869aec3e"/>
      <w:r w:rsidRPr="00DC1187">
        <w:t>Leeth, J. D., &amp; Borg, J. R. 2000. The Impact of Takeovers on Shareholder Wealth during the 1920s Merger Wave.</w:t>
      </w:r>
      <w:bookmarkEnd w:id="160"/>
      <w:r w:rsidRPr="00DC1187">
        <w:t xml:space="preserve"> </w:t>
      </w:r>
      <w:r w:rsidRPr="00DC1187">
        <w:rPr>
          <w:i/>
        </w:rPr>
        <w:t>Journal of Financial and Quantitative Analysis</w:t>
      </w:r>
      <w:r w:rsidRPr="00DC1187">
        <w:t>, 35: 217.</w:t>
      </w:r>
    </w:p>
    <w:p w14:paraId="6AC0B372" w14:textId="77777777" w:rsidR="006822EF" w:rsidRPr="00DC1187" w:rsidRDefault="006822EF" w:rsidP="00010489">
      <w:pPr>
        <w:pStyle w:val="CitaviBibliographyEntry"/>
        <w:spacing w:after="12"/>
        <w:ind w:hanging="284"/>
        <w:jc w:val="both"/>
      </w:pPr>
      <w:bookmarkStart w:id="161" w:name="_CTVL0015bedb19725e14086a286c5a783894692"/>
      <w:r w:rsidRPr="00DC1187">
        <w:t>Leuz, C., Nanda, D., &amp; Wysocki, P. D. 2003. Earnings management and investor protection: an international comparison.</w:t>
      </w:r>
      <w:bookmarkEnd w:id="161"/>
      <w:r w:rsidRPr="00DC1187">
        <w:t xml:space="preserve"> </w:t>
      </w:r>
      <w:r w:rsidRPr="00DC1187">
        <w:rPr>
          <w:i/>
        </w:rPr>
        <w:t>Journal of Financial Economics</w:t>
      </w:r>
      <w:r w:rsidRPr="00DC1187">
        <w:t>, 69: 505-527.</w:t>
      </w:r>
    </w:p>
    <w:p w14:paraId="7DB10503" w14:textId="77777777" w:rsidR="006822EF" w:rsidRPr="00DC1187" w:rsidRDefault="006822EF" w:rsidP="00010489">
      <w:pPr>
        <w:pStyle w:val="CitaviBibliographyEntry"/>
        <w:spacing w:after="12"/>
        <w:ind w:hanging="284"/>
        <w:jc w:val="both"/>
      </w:pPr>
      <w:bookmarkStart w:id="162" w:name="_CTVL001b18d2ce4306a405ab8db52bc8c7eaabc"/>
      <w:r w:rsidRPr="00DC1187">
        <w:t>Lipsey, M. W., &amp; Wilson, D. B. 2009.</w:t>
      </w:r>
      <w:bookmarkEnd w:id="162"/>
      <w:r w:rsidRPr="00DC1187">
        <w:t xml:space="preserve"> </w:t>
      </w:r>
      <w:r w:rsidRPr="00DC1187">
        <w:rPr>
          <w:i/>
        </w:rPr>
        <w:t xml:space="preserve">Practical meta-analysis </w:t>
      </w:r>
      <w:r w:rsidRPr="00DC1187">
        <w:t xml:space="preserve">([Nachdr.]). </w:t>
      </w:r>
      <w:r w:rsidRPr="00DC1187">
        <w:rPr>
          <w:i/>
        </w:rPr>
        <w:t>Applied social research methods series: Vol. 49</w:t>
      </w:r>
      <w:r w:rsidRPr="00DC1187">
        <w:t>. Thousand Oaks, Calif.: SAGE Publ.</w:t>
      </w:r>
    </w:p>
    <w:p w14:paraId="0B1A33D0" w14:textId="77777777" w:rsidR="006822EF" w:rsidRPr="00DC1187" w:rsidRDefault="006822EF" w:rsidP="00010489">
      <w:pPr>
        <w:pStyle w:val="CitaviBibliographyEntry"/>
        <w:spacing w:after="12"/>
        <w:ind w:hanging="284"/>
        <w:jc w:val="both"/>
      </w:pPr>
      <w:bookmarkStart w:id="163" w:name="_CTVL001423a38c7507549c3a2a08db6f8d2bf0e"/>
      <w:r w:rsidRPr="00DC1187">
        <w:t>Lockett, A., Wiklund, J., Davidsson, P., &amp; Girma, S. 2011. Organic and Acquisitive Growth: Re-examining, Testing and Extending Penrose</w:t>
      </w:r>
      <w:r>
        <w:t>’</w:t>
      </w:r>
      <w:r w:rsidRPr="00DC1187">
        <w:t>s Growth Theory.</w:t>
      </w:r>
      <w:bookmarkEnd w:id="163"/>
      <w:r w:rsidRPr="00DC1187">
        <w:t xml:space="preserve"> </w:t>
      </w:r>
      <w:r w:rsidRPr="00DC1187">
        <w:rPr>
          <w:i/>
        </w:rPr>
        <w:t>Journal of Management Studies</w:t>
      </w:r>
      <w:r w:rsidRPr="00DC1187">
        <w:t>, 48: 48-74.</w:t>
      </w:r>
    </w:p>
    <w:p w14:paraId="07425F73" w14:textId="77777777" w:rsidR="006822EF" w:rsidRPr="00DC1187" w:rsidRDefault="006822EF" w:rsidP="00010489">
      <w:pPr>
        <w:pStyle w:val="CitaviBibliographyEntry"/>
        <w:spacing w:after="12"/>
        <w:ind w:hanging="284"/>
        <w:jc w:val="both"/>
      </w:pPr>
      <w:bookmarkStart w:id="164" w:name="_CTVL001d5a4802d6df14f6faa6bf14f9d90cf14"/>
      <w:r w:rsidRPr="00DC1187">
        <w:t>Mantzavinos, C. 2001.</w:t>
      </w:r>
      <w:bookmarkEnd w:id="164"/>
      <w:r w:rsidRPr="00DC1187">
        <w:t xml:space="preserve"> </w:t>
      </w:r>
      <w:r w:rsidRPr="00DC1187">
        <w:rPr>
          <w:i/>
        </w:rPr>
        <w:t>Individuals, institutions, and markets</w:t>
      </w:r>
      <w:r w:rsidRPr="00DC1187">
        <w:t xml:space="preserve">. </w:t>
      </w:r>
      <w:r w:rsidRPr="00DC1187">
        <w:rPr>
          <w:i/>
        </w:rPr>
        <w:t>Political economy of institutions and decisions</w:t>
      </w:r>
      <w:r w:rsidRPr="00DC1187">
        <w:t>. Cambridge: Cambridge University Press.</w:t>
      </w:r>
    </w:p>
    <w:p w14:paraId="18546AB0" w14:textId="77777777" w:rsidR="006822EF" w:rsidRPr="00DC1187" w:rsidRDefault="006822EF" w:rsidP="00010489">
      <w:pPr>
        <w:pStyle w:val="CitaviBibliographyEntry"/>
        <w:spacing w:after="12"/>
        <w:ind w:hanging="284"/>
        <w:jc w:val="both"/>
      </w:pPr>
      <w:bookmarkStart w:id="165" w:name="_CTVL0013ae235aac20f44faaecb795b79f8130a"/>
      <w:r w:rsidRPr="00DC1187">
        <w:t>Mantzavinos, C., North, D. C., &amp; Shariq, S. 2004. Learning, Institutions, and Economic Performance.</w:t>
      </w:r>
      <w:bookmarkEnd w:id="165"/>
      <w:r w:rsidRPr="00DC1187">
        <w:t xml:space="preserve"> </w:t>
      </w:r>
      <w:r w:rsidRPr="00DC1187">
        <w:rPr>
          <w:i/>
        </w:rPr>
        <w:t>Perspectives on Politics</w:t>
      </w:r>
      <w:r w:rsidRPr="00DC1187">
        <w:t>, 2: 75-84.</w:t>
      </w:r>
    </w:p>
    <w:p w14:paraId="798DA658" w14:textId="77777777" w:rsidR="006822EF" w:rsidRPr="00DC1187" w:rsidRDefault="006822EF" w:rsidP="00010489">
      <w:pPr>
        <w:pStyle w:val="CitaviBibliographyEntry"/>
        <w:spacing w:after="12"/>
        <w:ind w:hanging="284"/>
        <w:jc w:val="both"/>
      </w:pPr>
      <w:bookmarkStart w:id="166" w:name="_CTVL001a9a487fa66914ae09730ad06c76d8b29"/>
      <w:r w:rsidRPr="00DC1187">
        <w:lastRenderedPageBreak/>
        <w:t>Margarita Estevez-Abe, Torben Iversen, &amp; and David Soskice. 2001. Social Protection and the Formation of Skills: A Reinterpretat.</w:t>
      </w:r>
    </w:p>
    <w:p w14:paraId="4A3377F4" w14:textId="77777777" w:rsidR="006822EF" w:rsidRPr="00DC1187" w:rsidRDefault="006822EF" w:rsidP="00010489">
      <w:pPr>
        <w:pStyle w:val="CitaviBibliographyEntry"/>
        <w:spacing w:after="12"/>
        <w:ind w:hanging="284"/>
        <w:jc w:val="both"/>
      </w:pPr>
      <w:bookmarkStart w:id="167" w:name="_CTVL0018eccc738e7e14adc8da9d7f8d4640944"/>
      <w:bookmarkEnd w:id="166"/>
      <w:r w:rsidRPr="00DC1187">
        <w:t>Martin, G., Gözübüyük, R., &amp; Becerra, M. 2015. Interlocks and firm performance: The role of uncertainty in the directorate interlock-performance relationship.</w:t>
      </w:r>
      <w:bookmarkEnd w:id="167"/>
      <w:r w:rsidRPr="00DC1187">
        <w:t xml:space="preserve"> </w:t>
      </w:r>
      <w:r w:rsidRPr="00DC1187">
        <w:rPr>
          <w:i/>
        </w:rPr>
        <w:t>Strategic Management Journal</w:t>
      </w:r>
      <w:r w:rsidRPr="00DC1187">
        <w:t>, 36: 235-253.</w:t>
      </w:r>
    </w:p>
    <w:p w14:paraId="338D9A64" w14:textId="77777777" w:rsidR="006822EF" w:rsidRPr="00DC1187" w:rsidRDefault="006822EF" w:rsidP="00010489">
      <w:pPr>
        <w:pStyle w:val="CitaviBibliographyEntry"/>
        <w:spacing w:after="12"/>
        <w:ind w:hanging="284"/>
        <w:jc w:val="both"/>
      </w:pPr>
      <w:bookmarkStart w:id="168" w:name="_CTVL0011a405779e38f4c0ea7ea15a2e9d2600f"/>
      <w:r w:rsidRPr="00DC1187">
        <w:t>McKelvie, A., &amp; Wiklund, J. 2010. Advancing Firm Growth Research: A Focus on Growth Mode Instead of Growth Rate.</w:t>
      </w:r>
      <w:bookmarkEnd w:id="168"/>
      <w:r w:rsidRPr="00DC1187">
        <w:t xml:space="preserve"> </w:t>
      </w:r>
      <w:r w:rsidRPr="00DC1187">
        <w:rPr>
          <w:i/>
        </w:rPr>
        <w:t>Entrepreneurship Theory and Practice</w:t>
      </w:r>
      <w:r w:rsidRPr="00DC1187">
        <w:t>, 34: 261-288.</w:t>
      </w:r>
    </w:p>
    <w:p w14:paraId="5A68C47F" w14:textId="77777777" w:rsidR="006822EF" w:rsidRPr="00DC1187" w:rsidRDefault="006822EF" w:rsidP="00010489">
      <w:pPr>
        <w:pStyle w:val="CitaviBibliographyEntry"/>
        <w:spacing w:after="12"/>
        <w:ind w:hanging="284"/>
        <w:jc w:val="both"/>
      </w:pPr>
      <w:bookmarkStart w:id="169" w:name="_CTVL001ff4d8abd2f4d4ca7ab20e8a4c6cd35d6"/>
      <w:r w:rsidRPr="00DC1187">
        <w:t>Min, B. S., &amp; Chizema, A. 2018. Board Meeting Attendance by Outside Directors.</w:t>
      </w:r>
      <w:bookmarkEnd w:id="169"/>
      <w:r w:rsidRPr="00DC1187">
        <w:t xml:space="preserve"> </w:t>
      </w:r>
      <w:r w:rsidRPr="00DC1187">
        <w:rPr>
          <w:i/>
        </w:rPr>
        <w:t>Journal of Business Ethics</w:t>
      </w:r>
      <w:r w:rsidRPr="00DC1187">
        <w:t>, 147: 901-917.</w:t>
      </w:r>
    </w:p>
    <w:p w14:paraId="004711A2" w14:textId="77777777" w:rsidR="006822EF" w:rsidRPr="00DC1187" w:rsidRDefault="006822EF" w:rsidP="00010489">
      <w:pPr>
        <w:pStyle w:val="CitaviBibliographyEntry"/>
        <w:spacing w:after="12"/>
        <w:ind w:hanging="284"/>
        <w:jc w:val="both"/>
      </w:pPr>
      <w:bookmarkStart w:id="170" w:name="_CTVL0011f03b67805a44c61840928475bdd9e89"/>
      <w:r w:rsidRPr="00DC1187">
        <w:t>Mizruchi, M. S. 1996. What Do Interlocks Do? An Analysis, Critique, and Assessment of Research on Interlocking Directorates.</w:t>
      </w:r>
      <w:bookmarkEnd w:id="170"/>
      <w:r w:rsidRPr="00DC1187">
        <w:t xml:space="preserve"> </w:t>
      </w:r>
      <w:r w:rsidRPr="00DC1187">
        <w:rPr>
          <w:i/>
        </w:rPr>
        <w:t>Annual Review of Sociology</w:t>
      </w:r>
      <w:r w:rsidRPr="00DC1187">
        <w:t>, 22: 271-298.</w:t>
      </w:r>
    </w:p>
    <w:p w14:paraId="417C30FE" w14:textId="77777777" w:rsidR="006822EF" w:rsidRPr="00DC1187" w:rsidRDefault="006822EF" w:rsidP="00010489">
      <w:pPr>
        <w:pStyle w:val="CitaviBibliographyEntry"/>
        <w:spacing w:after="12"/>
        <w:ind w:hanging="284"/>
        <w:jc w:val="both"/>
      </w:pPr>
      <w:bookmarkStart w:id="171" w:name="_CTVL0014102832e65ab416bb25d19d7ce336673"/>
      <w:r w:rsidRPr="00DC1187">
        <w:t>Mizruchi, M. S., &amp; Stearns, L. B. 1994. A Longitudinal Study of Borrowing by Large American Corporations.</w:t>
      </w:r>
      <w:bookmarkEnd w:id="171"/>
      <w:r w:rsidRPr="00DC1187">
        <w:t xml:space="preserve"> </w:t>
      </w:r>
      <w:r w:rsidRPr="00DC1187">
        <w:rPr>
          <w:i/>
        </w:rPr>
        <w:t>Administrative Science Quarterly</w:t>
      </w:r>
      <w:r w:rsidRPr="00DC1187">
        <w:t>, 39: 118.</w:t>
      </w:r>
    </w:p>
    <w:p w14:paraId="54706281" w14:textId="77777777" w:rsidR="006822EF" w:rsidRPr="00DC1187" w:rsidRDefault="006822EF" w:rsidP="00010489">
      <w:pPr>
        <w:pStyle w:val="CitaviBibliographyEntry"/>
        <w:spacing w:after="12"/>
        <w:ind w:hanging="284"/>
        <w:jc w:val="both"/>
      </w:pPr>
      <w:bookmarkStart w:id="172" w:name="_CTVL001133dc81dddf74f4695939e864e389ce5"/>
      <w:r w:rsidRPr="00DC1187">
        <w:t>Muravyev, A. 2024. Board monitoring and corporate disclosure: the role of the institutional environment and firm-level governance.</w:t>
      </w:r>
      <w:bookmarkEnd w:id="172"/>
      <w:r w:rsidRPr="00DC1187">
        <w:t xml:space="preserve"> </w:t>
      </w:r>
      <w:r w:rsidRPr="00DC1187">
        <w:rPr>
          <w:i/>
        </w:rPr>
        <w:t xml:space="preserve">Journal of Accounting in Emerging Economies. </w:t>
      </w:r>
      <w:r w:rsidRPr="00DC1187">
        <w:t xml:space="preserve">doi:10.1108/JAEE-08-2023-0221 </w:t>
      </w:r>
    </w:p>
    <w:p w14:paraId="767FDC1B" w14:textId="77777777" w:rsidR="006822EF" w:rsidRPr="00DC1187" w:rsidRDefault="006822EF" w:rsidP="00010489">
      <w:pPr>
        <w:pStyle w:val="CitaviBibliographyEntry"/>
        <w:spacing w:after="12"/>
        <w:ind w:hanging="284"/>
        <w:jc w:val="both"/>
      </w:pPr>
      <w:bookmarkStart w:id="173" w:name="_CTVL00128cb89c2799d42a0897c3435e404eb80"/>
      <w:r w:rsidRPr="00DC1187">
        <w:t>Ni Sullivan, B., &amp; Tang, Y. 2013. Which signal to rely on? The impact of the quality of board interlocks and inventive capabilities on research and development alliance formation under uncertainty.</w:t>
      </w:r>
      <w:bookmarkEnd w:id="173"/>
      <w:r w:rsidRPr="00DC1187">
        <w:t xml:space="preserve"> </w:t>
      </w:r>
      <w:r w:rsidRPr="00DC1187">
        <w:rPr>
          <w:i/>
        </w:rPr>
        <w:t>Strategic Organization</w:t>
      </w:r>
      <w:r w:rsidRPr="00DC1187">
        <w:t>, 11: 364-388.</w:t>
      </w:r>
    </w:p>
    <w:p w14:paraId="222BF192" w14:textId="77777777" w:rsidR="006822EF" w:rsidRPr="00DC1187" w:rsidRDefault="006822EF" w:rsidP="00010489">
      <w:pPr>
        <w:pStyle w:val="CitaviBibliographyEntry"/>
        <w:spacing w:after="12"/>
        <w:ind w:hanging="284"/>
        <w:jc w:val="both"/>
      </w:pPr>
      <w:bookmarkStart w:id="174" w:name="_CTVL001d68bd984df1341e79ce7a1b28072de71"/>
      <w:r w:rsidRPr="00DC1187">
        <w:t>North, D. C. 1990.</w:t>
      </w:r>
      <w:bookmarkEnd w:id="174"/>
      <w:r w:rsidRPr="00DC1187">
        <w:t xml:space="preserve"> </w:t>
      </w:r>
      <w:r w:rsidRPr="00DC1187">
        <w:rPr>
          <w:i/>
        </w:rPr>
        <w:t>Institutions, Institutional Change and Economic Performance</w:t>
      </w:r>
      <w:r w:rsidRPr="00DC1187">
        <w:t>: Cambridge University Press.</w:t>
      </w:r>
    </w:p>
    <w:p w14:paraId="0ADF27F6" w14:textId="77777777" w:rsidR="006822EF" w:rsidRPr="00DC1187" w:rsidRDefault="006822EF" w:rsidP="00010489">
      <w:pPr>
        <w:pStyle w:val="CitaviBibliographyEntry"/>
        <w:spacing w:after="12"/>
        <w:ind w:hanging="284"/>
        <w:jc w:val="both"/>
      </w:pPr>
      <w:bookmarkStart w:id="175" w:name="_CTVL0012d8a1b6f6eff4cb9bf41788f68f5d0bf"/>
      <w:r w:rsidRPr="00DC1187">
        <w:t>North, D. C. 1991. Institutions.</w:t>
      </w:r>
      <w:bookmarkEnd w:id="175"/>
      <w:r w:rsidRPr="00DC1187">
        <w:t xml:space="preserve"> </w:t>
      </w:r>
      <w:r w:rsidRPr="00DC1187">
        <w:rPr>
          <w:i/>
        </w:rPr>
        <w:t>Journal of Economic Perspectives</w:t>
      </w:r>
      <w:r w:rsidRPr="00DC1187">
        <w:t>, 5: 97-112.</w:t>
      </w:r>
    </w:p>
    <w:p w14:paraId="2E0CCB81" w14:textId="77777777" w:rsidR="006822EF" w:rsidRPr="009572A7" w:rsidRDefault="006822EF" w:rsidP="00010489">
      <w:pPr>
        <w:pStyle w:val="CitaviBibliographyEntry"/>
        <w:spacing w:after="12"/>
        <w:ind w:hanging="284"/>
        <w:jc w:val="both"/>
        <w:rPr>
          <w:lang w:val="de-DE"/>
        </w:rPr>
      </w:pPr>
      <w:bookmarkStart w:id="176" w:name="_CTVL0011b7ee06e16b646389da122b3ef798e6f"/>
      <w:r w:rsidRPr="00DC1187">
        <w:t>Ozgen, S., Mooney, A., &amp; Zhou, Y. 2024. CEO Power: A Review, Critique, and Future Research Directions.</w:t>
      </w:r>
      <w:bookmarkEnd w:id="176"/>
      <w:r w:rsidRPr="00DC1187">
        <w:t xml:space="preserve"> </w:t>
      </w:r>
      <w:r w:rsidRPr="009572A7">
        <w:rPr>
          <w:i/>
          <w:lang w:val="de-DE"/>
        </w:rPr>
        <w:t xml:space="preserve">Journal of Management. </w:t>
      </w:r>
      <w:r w:rsidRPr="009572A7">
        <w:rPr>
          <w:lang w:val="de-DE"/>
        </w:rPr>
        <w:t xml:space="preserve">doi:10.1177/01492063241241302 </w:t>
      </w:r>
    </w:p>
    <w:p w14:paraId="3BE7E41D" w14:textId="77777777" w:rsidR="006822EF" w:rsidRPr="00DC1187" w:rsidRDefault="006822EF" w:rsidP="00010489">
      <w:pPr>
        <w:pStyle w:val="CitaviBibliographyEntry"/>
        <w:spacing w:after="12"/>
        <w:ind w:hanging="284"/>
        <w:jc w:val="both"/>
      </w:pPr>
      <w:bookmarkStart w:id="177" w:name="_CTVL001b7b3bd5bfab345c7847d1bdf9c64d8c9"/>
      <w:r w:rsidRPr="009572A7">
        <w:rPr>
          <w:lang w:val="de-DE"/>
        </w:rPr>
        <w:t xml:space="preserve">Palm, M., Kraft, P. S., &amp; Kammerlander, N. 2023. </w:t>
      </w:r>
      <w:r w:rsidRPr="00DC1187">
        <w:t>Family Firms, M&amp;A Strategies, and M&amp;A Performance: A Meta-Analysis.</w:t>
      </w:r>
      <w:bookmarkEnd w:id="177"/>
      <w:r w:rsidRPr="00DC1187">
        <w:t xml:space="preserve"> </w:t>
      </w:r>
      <w:r w:rsidRPr="00DC1187">
        <w:rPr>
          <w:i/>
        </w:rPr>
        <w:t xml:space="preserve">Journal of Management. </w:t>
      </w:r>
      <w:r w:rsidRPr="00DC1187">
        <w:t xml:space="preserve">doi:10.1177/01492063231178027 </w:t>
      </w:r>
    </w:p>
    <w:p w14:paraId="4A26F49E" w14:textId="77777777" w:rsidR="006822EF" w:rsidRPr="00DC1187" w:rsidRDefault="006822EF" w:rsidP="00010489">
      <w:pPr>
        <w:pStyle w:val="CitaviBibliographyEntry"/>
        <w:spacing w:after="12"/>
        <w:ind w:hanging="284"/>
        <w:jc w:val="both"/>
      </w:pPr>
      <w:bookmarkStart w:id="178" w:name="_CTVL00175e1a87fef104883b12e54b5033ce74f"/>
      <w:r w:rsidRPr="00DC1187">
        <w:lastRenderedPageBreak/>
        <w:t>Palmer, D. A., Jennings, P. D., &amp; Zhou, X. 1993. Late Adoption of the Multidivisional Form by Large U.S. Corporations: Institutional, Political, and Economic Accounts.</w:t>
      </w:r>
      <w:bookmarkEnd w:id="178"/>
      <w:r w:rsidRPr="00DC1187">
        <w:t xml:space="preserve"> </w:t>
      </w:r>
      <w:r w:rsidRPr="00DC1187">
        <w:rPr>
          <w:i/>
        </w:rPr>
        <w:t>Administrative Science Quarterly</w:t>
      </w:r>
      <w:r w:rsidRPr="00DC1187">
        <w:t>, 38: 100.</w:t>
      </w:r>
    </w:p>
    <w:p w14:paraId="53832132" w14:textId="77777777" w:rsidR="006822EF" w:rsidRPr="00DC1187" w:rsidRDefault="006822EF" w:rsidP="00010489">
      <w:pPr>
        <w:pStyle w:val="CitaviBibliographyEntry"/>
        <w:spacing w:after="12"/>
        <w:ind w:hanging="284"/>
        <w:jc w:val="both"/>
      </w:pPr>
      <w:bookmarkStart w:id="179" w:name="_CTVL00163390a65c24b4d368a967fd3692193db"/>
      <w:r w:rsidRPr="00DC1187">
        <w:t>Penrose, E. T. 1959.</w:t>
      </w:r>
      <w:bookmarkEnd w:id="179"/>
      <w:r w:rsidRPr="00DC1187">
        <w:t xml:space="preserve"> </w:t>
      </w:r>
      <w:r w:rsidRPr="00DC1187">
        <w:rPr>
          <w:i/>
        </w:rPr>
        <w:t>The theory of the growth of the firm</w:t>
      </w:r>
      <w:r w:rsidRPr="00DC1187">
        <w:t>. New York: John Wiley &amp; Sons.</w:t>
      </w:r>
    </w:p>
    <w:p w14:paraId="689D6629" w14:textId="77777777" w:rsidR="006822EF" w:rsidRPr="00DC1187" w:rsidRDefault="006822EF" w:rsidP="00010489">
      <w:pPr>
        <w:pStyle w:val="CitaviBibliographyEntry"/>
        <w:spacing w:after="12"/>
        <w:ind w:hanging="284"/>
        <w:jc w:val="both"/>
      </w:pPr>
      <w:bookmarkStart w:id="180" w:name="_CTVL0018d012d75a73d464a9e0d42ceeccc19a9"/>
      <w:r w:rsidRPr="00DC1187">
        <w:t>Perreault, W. D., &amp; Leigh, L. E. 1989. Reliability of Nominal Data Based on Qualitative Judgments.</w:t>
      </w:r>
      <w:bookmarkEnd w:id="180"/>
      <w:r w:rsidRPr="00DC1187">
        <w:t xml:space="preserve"> </w:t>
      </w:r>
      <w:r w:rsidRPr="00DC1187">
        <w:rPr>
          <w:i/>
        </w:rPr>
        <w:t>Journal of Marketing Research</w:t>
      </w:r>
      <w:r w:rsidRPr="00DC1187">
        <w:t>, 26: 135.</w:t>
      </w:r>
    </w:p>
    <w:p w14:paraId="79651B6B" w14:textId="77777777" w:rsidR="006822EF" w:rsidRPr="00DC1187" w:rsidRDefault="006822EF" w:rsidP="00010489">
      <w:pPr>
        <w:pStyle w:val="CitaviBibliographyEntry"/>
        <w:spacing w:after="12"/>
        <w:ind w:hanging="284"/>
        <w:jc w:val="both"/>
      </w:pPr>
      <w:bookmarkStart w:id="181" w:name="_CTVL0018438f097dca64867848867ab4ce9a65e"/>
      <w:r w:rsidRPr="00DC1187">
        <w:t>Perry, T. O., &amp; Peyer, U. R. 2005. Board Seat Accumulation by Executives: A Shareholder</w:t>
      </w:r>
      <w:r>
        <w:t>’</w:t>
      </w:r>
      <w:r w:rsidRPr="00DC1187">
        <w:t>s Perspective.</w:t>
      </w:r>
      <w:bookmarkEnd w:id="181"/>
      <w:r w:rsidRPr="00DC1187">
        <w:t xml:space="preserve"> </w:t>
      </w:r>
      <w:r w:rsidRPr="00DC1187">
        <w:rPr>
          <w:i/>
        </w:rPr>
        <w:t>The Journal of Finance</w:t>
      </w:r>
      <w:r w:rsidRPr="00DC1187">
        <w:t>, 60: 2083-2123.</w:t>
      </w:r>
    </w:p>
    <w:p w14:paraId="36D9C09F" w14:textId="77777777" w:rsidR="006822EF" w:rsidRPr="00DC1187" w:rsidRDefault="006822EF" w:rsidP="00010489">
      <w:pPr>
        <w:pStyle w:val="CitaviBibliographyEntry"/>
        <w:spacing w:after="12"/>
        <w:ind w:hanging="284"/>
        <w:jc w:val="both"/>
      </w:pPr>
      <w:bookmarkStart w:id="182" w:name="_CTVL00194c9584189d3433dbf60ab3c8a3407d4"/>
      <w:r w:rsidRPr="00DC1187">
        <w:t>Pfeffer, J. 1972. Size and Composition of Corporate Boards of Directors: The Organization and its Environment.</w:t>
      </w:r>
      <w:bookmarkEnd w:id="182"/>
      <w:r w:rsidRPr="00DC1187">
        <w:t xml:space="preserve"> </w:t>
      </w:r>
      <w:r w:rsidRPr="00DC1187">
        <w:rPr>
          <w:i/>
        </w:rPr>
        <w:t>Administrative Science Quarterly</w:t>
      </w:r>
      <w:r w:rsidRPr="00DC1187">
        <w:t>, 17: 218.</w:t>
      </w:r>
    </w:p>
    <w:p w14:paraId="5ABF6B34" w14:textId="77777777" w:rsidR="006822EF" w:rsidRPr="00DC1187" w:rsidRDefault="006822EF" w:rsidP="00010489">
      <w:pPr>
        <w:pStyle w:val="CitaviBibliographyEntry"/>
        <w:spacing w:after="12"/>
        <w:ind w:hanging="284"/>
        <w:jc w:val="both"/>
      </w:pPr>
      <w:bookmarkStart w:id="183" w:name="_CTVL0010c11e75a16c140308f51153d23305c73"/>
      <w:r w:rsidRPr="00DC1187">
        <w:t>Pfeffer, J. 1973. Size, Composition, and Function of Hospital Boards of Directors: A Study of Organization-Environment Linkage.</w:t>
      </w:r>
      <w:bookmarkEnd w:id="183"/>
      <w:r w:rsidRPr="00DC1187">
        <w:t xml:space="preserve"> </w:t>
      </w:r>
      <w:r w:rsidRPr="00DC1187">
        <w:rPr>
          <w:i/>
        </w:rPr>
        <w:t>Administrative Science Quarterly</w:t>
      </w:r>
      <w:r w:rsidRPr="00DC1187">
        <w:t>, 18: 349.</w:t>
      </w:r>
    </w:p>
    <w:p w14:paraId="7C8082C1" w14:textId="77777777" w:rsidR="006822EF" w:rsidRPr="00DC1187" w:rsidRDefault="006822EF" w:rsidP="00010489">
      <w:pPr>
        <w:pStyle w:val="CitaviBibliographyEntry"/>
        <w:spacing w:after="12"/>
        <w:ind w:hanging="284"/>
        <w:jc w:val="both"/>
      </w:pPr>
      <w:bookmarkStart w:id="184" w:name="_CTVL001cba14bd4e6ff4883b7af3bd03338eb7a"/>
      <w:r w:rsidRPr="00DC1187">
        <w:t>Pfeffer, J. 1983. Organizational demography.</w:t>
      </w:r>
      <w:bookmarkEnd w:id="184"/>
      <w:r w:rsidRPr="00DC1187">
        <w:t xml:space="preserve"> </w:t>
      </w:r>
      <w:r w:rsidRPr="00DC1187">
        <w:rPr>
          <w:i/>
        </w:rPr>
        <w:t>Research in Organizational Behavior</w:t>
      </w:r>
      <w:r w:rsidRPr="00DC1187">
        <w:t>,</w:t>
      </w:r>
    </w:p>
    <w:p w14:paraId="69251049" w14:textId="77777777" w:rsidR="006822EF" w:rsidRPr="00DC1187" w:rsidRDefault="006822EF" w:rsidP="00010489">
      <w:pPr>
        <w:pStyle w:val="CitaviBibliographyEntry"/>
        <w:spacing w:after="12"/>
        <w:ind w:hanging="284"/>
        <w:jc w:val="both"/>
      </w:pPr>
      <w:bookmarkStart w:id="185" w:name="_CTVL001163d05619ff94e2ca20ed3051d2e01e1"/>
      <w:r w:rsidRPr="00DC1187">
        <w:t>Pfeffer, J., &amp; Salancik, G. R. 1978.</w:t>
      </w:r>
      <w:bookmarkEnd w:id="185"/>
      <w:r w:rsidRPr="00DC1187">
        <w:t xml:space="preserve"> </w:t>
      </w:r>
      <w:r w:rsidRPr="00DC1187">
        <w:rPr>
          <w:i/>
        </w:rPr>
        <w:t>The external control of organizations: A resource dependence perspective</w:t>
      </w:r>
      <w:r w:rsidRPr="00DC1187">
        <w:t>. New York, Hagerstown, San Francisco, London: Harper &amp; Row Publishers.</w:t>
      </w:r>
    </w:p>
    <w:p w14:paraId="4DEEA932" w14:textId="77777777" w:rsidR="006822EF" w:rsidRPr="00DC1187" w:rsidRDefault="006822EF" w:rsidP="00010489">
      <w:pPr>
        <w:pStyle w:val="CitaviBibliographyEntry"/>
        <w:spacing w:after="12"/>
        <w:ind w:hanging="284"/>
        <w:jc w:val="both"/>
      </w:pPr>
      <w:bookmarkStart w:id="186" w:name="_CTVL001ceec8ffb73714b958f4b6722de30a093"/>
      <w:r w:rsidRPr="00DC1187">
        <w:t>Rosenthal, R. 1979. The file drawer problem and tolerance for null results.</w:t>
      </w:r>
      <w:bookmarkEnd w:id="186"/>
      <w:r w:rsidRPr="00DC1187">
        <w:t xml:space="preserve"> </w:t>
      </w:r>
      <w:r w:rsidRPr="00DC1187">
        <w:rPr>
          <w:i/>
        </w:rPr>
        <w:t>Psychological Bulletin</w:t>
      </w:r>
      <w:r w:rsidRPr="00DC1187">
        <w:t>, 86: 638-641.</w:t>
      </w:r>
    </w:p>
    <w:p w14:paraId="57DDB37C" w14:textId="77777777" w:rsidR="006822EF" w:rsidRPr="00DC1187" w:rsidRDefault="006822EF" w:rsidP="00010489">
      <w:pPr>
        <w:pStyle w:val="CitaviBibliographyEntry"/>
        <w:spacing w:after="12"/>
        <w:ind w:hanging="284"/>
        <w:jc w:val="both"/>
      </w:pPr>
      <w:bookmarkStart w:id="187" w:name="_CTVL001c8f64822782947a1862d0eb7fbf1f9da"/>
      <w:r w:rsidRPr="00DC1187">
        <w:t>Rothstein, H. R., &amp; Bushman, B. J. 2012. Publication bias in psychological science: comment on Ferguson and Brannick (2012).</w:t>
      </w:r>
      <w:bookmarkEnd w:id="187"/>
      <w:r w:rsidRPr="00DC1187">
        <w:t xml:space="preserve"> </w:t>
      </w:r>
      <w:r w:rsidRPr="00DC1187">
        <w:rPr>
          <w:i/>
        </w:rPr>
        <w:t>Psychological methods</w:t>
      </w:r>
      <w:r w:rsidRPr="00DC1187">
        <w:t>, 17: 129-136.</w:t>
      </w:r>
    </w:p>
    <w:p w14:paraId="6F3B9175" w14:textId="77777777" w:rsidR="006822EF" w:rsidRPr="00DC1187" w:rsidRDefault="006822EF" w:rsidP="00010489">
      <w:pPr>
        <w:pStyle w:val="CitaviBibliographyEntry"/>
        <w:spacing w:after="12"/>
        <w:ind w:hanging="284"/>
        <w:jc w:val="both"/>
      </w:pPr>
      <w:bookmarkStart w:id="188" w:name="_CTVL001a35dc5118e054e2ca1045a86dc3e0dcf"/>
      <w:r w:rsidRPr="00DC1187">
        <w:t xml:space="preserve">Ruigrok, W., Peck, S. I., &amp; Keller, H. 2006. Board Characteristics and Involvement in Strategic Decision Making: Evidence from Swiss Companies </w:t>
      </w:r>
      <w:bookmarkEnd w:id="188"/>
      <w:r w:rsidRPr="00DC1187">
        <w:t xml:space="preserve"> </w:t>
      </w:r>
      <w:r w:rsidRPr="00DC1187">
        <w:rPr>
          <w:i/>
        </w:rPr>
        <w:t>Journal of Management Studies</w:t>
      </w:r>
      <w:r w:rsidRPr="00DC1187">
        <w:t>, 43: 1201-1226.</w:t>
      </w:r>
    </w:p>
    <w:p w14:paraId="5B48278B" w14:textId="77777777" w:rsidR="006822EF" w:rsidRPr="00DC1187" w:rsidRDefault="006822EF" w:rsidP="00010489">
      <w:pPr>
        <w:pStyle w:val="CitaviBibliographyEntry"/>
        <w:spacing w:after="12"/>
        <w:ind w:hanging="284"/>
        <w:jc w:val="both"/>
      </w:pPr>
      <w:bookmarkStart w:id="189" w:name="_CTVL001687bf4d9db3844e4bad9e051b66a6126"/>
      <w:r w:rsidRPr="00DC1187">
        <w:t>Rumelt, R. P. 2005. Theory, Strategy, and Entrepreneurship. In S. A. Alvarez, R. Agarwal, &amp; O. Sorenson (Eds.),</w:t>
      </w:r>
      <w:bookmarkEnd w:id="189"/>
      <w:r w:rsidRPr="00DC1187">
        <w:t xml:space="preserve"> </w:t>
      </w:r>
      <w:r w:rsidRPr="00DC1187">
        <w:rPr>
          <w:i/>
        </w:rPr>
        <w:t xml:space="preserve">Handbook of Entrepreneurship Research: </w:t>
      </w:r>
      <w:r w:rsidRPr="00DC1187">
        <w:t>11-32. New York: Springer-Verlag.</w:t>
      </w:r>
    </w:p>
    <w:p w14:paraId="7A21EB04" w14:textId="77777777" w:rsidR="006822EF" w:rsidRPr="00DC1187" w:rsidRDefault="006822EF" w:rsidP="00010489">
      <w:pPr>
        <w:pStyle w:val="CitaviBibliographyEntry"/>
        <w:spacing w:after="12"/>
        <w:ind w:hanging="284"/>
        <w:jc w:val="both"/>
      </w:pPr>
      <w:bookmarkStart w:id="190" w:name="_CTVL0013ee8347895e3457189b0f720314d4cc0"/>
      <w:r w:rsidRPr="00DC1187">
        <w:lastRenderedPageBreak/>
        <w:t>Sheng, Z., Kong, W., Cortina, J. M., &amp; Hou, S. 2016. Analyzing matrices of meta-analytic correlations: current practices and recommendations.</w:t>
      </w:r>
      <w:bookmarkEnd w:id="190"/>
      <w:r w:rsidRPr="00DC1187">
        <w:t xml:space="preserve"> </w:t>
      </w:r>
      <w:r w:rsidRPr="00DC1187">
        <w:rPr>
          <w:i/>
        </w:rPr>
        <w:t>Research synthesis methods</w:t>
      </w:r>
      <w:r w:rsidRPr="00DC1187">
        <w:t>, 7: 187-208.</w:t>
      </w:r>
    </w:p>
    <w:p w14:paraId="0241EB66" w14:textId="77777777" w:rsidR="006822EF" w:rsidRPr="00DC1187" w:rsidRDefault="006822EF" w:rsidP="00010489">
      <w:pPr>
        <w:pStyle w:val="CitaviBibliographyEntry"/>
        <w:spacing w:after="12"/>
        <w:ind w:hanging="284"/>
        <w:jc w:val="both"/>
      </w:pPr>
      <w:bookmarkStart w:id="191" w:name="_CTVL001c5d0512d129942caa0e4fb24d0f7f275"/>
      <w:r w:rsidRPr="00DC1187">
        <w:t>Shipilov, A. V., Greve, H. R., &amp; Rowley, T. J. 2010. When do Interlocks Matter? Institutional Logics and the Diffusion of Multiple Corporate Governance Practices.</w:t>
      </w:r>
      <w:bookmarkEnd w:id="191"/>
      <w:r w:rsidRPr="00DC1187">
        <w:t xml:space="preserve"> </w:t>
      </w:r>
      <w:r w:rsidRPr="00DC1187">
        <w:rPr>
          <w:i/>
        </w:rPr>
        <w:t>Academy of Management Journal</w:t>
      </w:r>
      <w:r w:rsidRPr="00DC1187">
        <w:t>, 53: 846-864.</w:t>
      </w:r>
    </w:p>
    <w:p w14:paraId="35F04DBF" w14:textId="77777777" w:rsidR="006822EF" w:rsidRPr="00DC1187" w:rsidRDefault="006822EF" w:rsidP="00010489">
      <w:pPr>
        <w:pStyle w:val="CitaviBibliographyEntry"/>
        <w:spacing w:after="12"/>
        <w:ind w:hanging="284"/>
        <w:jc w:val="both"/>
      </w:pPr>
      <w:bookmarkStart w:id="192" w:name="_CTVL00134418bc633c04a82a1edaad44d81a908"/>
      <w:r w:rsidRPr="00DC1187">
        <w:t>Shivdasani, A., &amp; Yermack, D. 1999. CEO Involvement in the Selection of New Board Members: An Empirical Analysis.</w:t>
      </w:r>
      <w:bookmarkEnd w:id="192"/>
      <w:r w:rsidRPr="00DC1187">
        <w:t xml:space="preserve"> </w:t>
      </w:r>
      <w:r w:rsidRPr="00DC1187">
        <w:rPr>
          <w:i/>
        </w:rPr>
        <w:t>The Journal of Finance</w:t>
      </w:r>
      <w:r w:rsidRPr="00DC1187">
        <w:t>, 54: 1829-1853.</w:t>
      </w:r>
    </w:p>
    <w:p w14:paraId="5EE359E0" w14:textId="77777777" w:rsidR="006822EF" w:rsidRPr="00DC1187" w:rsidRDefault="006822EF" w:rsidP="00010489">
      <w:pPr>
        <w:pStyle w:val="CitaviBibliographyEntry"/>
        <w:spacing w:after="12"/>
        <w:ind w:hanging="284"/>
        <w:jc w:val="both"/>
      </w:pPr>
      <w:bookmarkStart w:id="193" w:name="_CTVL0011ab593321c33497d8cde7a1e7a9df7b0"/>
      <w:r w:rsidRPr="00DC1187">
        <w:t>Shleifer, A., &amp; Vishny, R. W. 1994. Politicians and Firms.</w:t>
      </w:r>
      <w:bookmarkEnd w:id="193"/>
      <w:r w:rsidRPr="00DC1187">
        <w:t xml:space="preserve"> </w:t>
      </w:r>
      <w:r w:rsidRPr="00DC1187">
        <w:rPr>
          <w:i/>
        </w:rPr>
        <w:t>The Quarterly Journal of Economics</w:t>
      </w:r>
      <w:r w:rsidRPr="00DC1187">
        <w:t>, 109: 995-1025.</w:t>
      </w:r>
    </w:p>
    <w:p w14:paraId="52FBCDC6" w14:textId="77777777" w:rsidR="006822EF" w:rsidRPr="00DC1187" w:rsidRDefault="006822EF" w:rsidP="00010489">
      <w:pPr>
        <w:pStyle w:val="CitaviBibliographyEntry"/>
        <w:spacing w:after="12"/>
        <w:ind w:hanging="284"/>
        <w:jc w:val="both"/>
      </w:pPr>
      <w:bookmarkStart w:id="194" w:name="_CTVL0017385293088e542cea197eacfac75d0f1"/>
      <w:r w:rsidRPr="00DC1187">
        <w:t>Shropshire, C. 2010. The Role of the Interlocking Director and Board Receptivity in the Diffusion of Practices.</w:t>
      </w:r>
      <w:bookmarkEnd w:id="194"/>
      <w:r w:rsidRPr="00DC1187">
        <w:t xml:space="preserve"> </w:t>
      </w:r>
      <w:r w:rsidRPr="00DC1187">
        <w:rPr>
          <w:i/>
        </w:rPr>
        <w:t>The Academy of Management Review</w:t>
      </w:r>
      <w:r w:rsidRPr="00DC1187">
        <w:t>, 35: 246-264.</w:t>
      </w:r>
    </w:p>
    <w:p w14:paraId="2112183F" w14:textId="77777777" w:rsidR="006822EF" w:rsidRPr="00DC1187" w:rsidRDefault="006822EF" w:rsidP="00010489">
      <w:pPr>
        <w:pStyle w:val="CitaviBibliographyEntry"/>
        <w:spacing w:after="12"/>
        <w:ind w:hanging="284"/>
        <w:jc w:val="both"/>
      </w:pPr>
      <w:bookmarkStart w:id="195" w:name="_CTVL0015c678eaed17a45249db49d9f0946ef24"/>
      <w:r w:rsidRPr="00DC1187">
        <w:t>Singh, D., &amp; Delios, A. 2017. Corporate governance, board networks and growth in domestic and international markets: Evidence from India.</w:t>
      </w:r>
      <w:bookmarkEnd w:id="195"/>
      <w:r w:rsidRPr="00DC1187">
        <w:t xml:space="preserve"> </w:t>
      </w:r>
      <w:r w:rsidRPr="00DC1187">
        <w:rPr>
          <w:i/>
        </w:rPr>
        <w:t>Journal of World Business</w:t>
      </w:r>
      <w:r w:rsidRPr="00DC1187">
        <w:t>, 52: 615-627.</w:t>
      </w:r>
    </w:p>
    <w:p w14:paraId="4E38F144" w14:textId="77777777" w:rsidR="006822EF" w:rsidRPr="00DC1187" w:rsidRDefault="006822EF" w:rsidP="00010489">
      <w:pPr>
        <w:pStyle w:val="CitaviBibliographyEntry"/>
        <w:spacing w:after="12"/>
        <w:ind w:hanging="284"/>
        <w:jc w:val="both"/>
      </w:pPr>
      <w:bookmarkStart w:id="196" w:name="_CTVL001bd65079731ad4f488fa1d06425b190b0"/>
      <w:r w:rsidRPr="00DC1187">
        <w:t>Solarino, A. M., &amp; Boyd, B. K. 2023. Board of director effectiveness and informal institutions: A meta‐analysis.</w:t>
      </w:r>
      <w:bookmarkEnd w:id="196"/>
      <w:r w:rsidRPr="00DC1187">
        <w:t xml:space="preserve"> </w:t>
      </w:r>
      <w:r w:rsidRPr="00DC1187">
        <w:rPr>
          <w:i/>
        </w:rPr>
        <w:t>Global Strategy Journal</w:t>
      </w:r>
      <w:r w:rsidRPr="00DC1187">
        <w:t>, 13: 58-89.</w:t>
      </w:r>
    </w:p>
    <w:p w14:paraId="798CA95F" w14:textId="77777777" w:rsidR="006822EF" w:rsidRPr="00DC1187" w:rsidRDefault="006822EF" w:rsidP="00010489">
      <w:pPr>
        <w:pStyle w:val="CitaviBibliographyEntry"/>
        <w:spacing w:after="12"/>
        <w:ind w:hanging="284"/>
        <w:jc w:val="both"/>
      </w:pPr>
      <w:bookmarkStart w:id="197" w:name="_CTVL001108d6f33d73d4891833a91b2a7d8d788"/>
      <w:r w:rsidRPr="00DC1187">
        <w:t>Staglianò, R., La Rocca, M., &amp; La Rocca, T. 2014. Agency costs of free cash flow, internal capital markets and unrelated diversification.</w:t>
      </w:r>
      <w:bookmarkEnd w:id="197"/>
      <w:r w:rsidRPr="00DC1187">
        <w:t xml:space="preserve"> </w:t>
      </w:r>
      <w:r w:rsidRPr="00DC1187">
        <w:rPr>
          <w:i/>
        </w:rPr>
        <w:t>Review of Managerial Science</w:t>
      </w:r>
      <w:r w:rsidRPr="00DC1187">
        <w:t>, 8: 145-174.</w:t>
      </w:r>
    </w:p>
    <w:p w14:paraId="244AA264" w14:textId="77777777" w:rsidR="006822EF" w:rsidRPr="00DC1187" w:rsidRDefault="006822EF" w:rsidP="00010489">
      <w:pPr>
        <w:pStyle w:val="CitaviBibliographyEntry"/>
        <w:spacing w:after="12"/>
        <w:ind w:hanging="284"/>
        <w:jc w:val="both"/>
      </w:pPr>
      <w:bookmarkStart w:id="198" w:name="_CTVL001177f9c1d584e4053ab8e20855a2106a0"/>
      <w:r w:rsidRPr="00DC1187">
        <w:t>Stearns, L. B., &amp; Mizruchi, M. S. 1993. Board composition and corporate financing: the impact of financial institution representation on borrowing.</w:t>
      </w:r>
      <w:bookmarkEnd w:id="198"/>
      <w:r w:rsidRPr="00DC1187">
        <w:t xml:space="preserve"> </w:t>
      </w:r>
      <w:r w:rsidRPr="00DC1187">
        <w:rPr>
          <w:i/>
        </w:rPr>
        <w:t>Academy of Management Journal</w:t>
      </w:r>
      <w:r w:rsidRPr="00DC1187">
        <w:t>, 36: 603-618.</w:t>
      </w:r>
    </w:p>
    <w:p w14:paraId="5E4499FD" w14:textId="77777777" w:rsidR="006822EF" w:rsidRPr="00DC1187" w:rsidRDefault="006822EF" w:rsidP="00010489">
      <w:pPr>
        <w:pStyle w:val="CitaviBibliographyEntry"/>
        <w:spacing w:after="12"/>
        <w:ind w:hanging="284"/>
        <w:jc w:val="both"/>
      </w:pPr>
      <w:bookmarkStart w:id="199" w:name="_CTVL00148eb1b5cb15d46f1a7ef1b67bef9cc02"/>
      <w:r w:rsidRPr="00DC1187">
        <w:t>Steel, P., Beugelsdijk, S., &amp; Aguinis, H. 2021. The anatomy of an award-winning meta-analysis: Recommendations for authors, reviewers, and readers of meta-analytic reviews.</w:t>
      </w:r>
      <w:bookmarkEnd w:id="199"/>
      <w:r w:rsidRPr="00DC1187">
        <w:t xml:space="preserve"> </w:t>
      </w:r>
      <w:r w:rsidRPr="00DC1187">
        <w:rPr>
          <w:i/>
        </w:rPr>
        <w:t>Journal of International Business Studies</w:t>
      </w:r>
      <w:r w:rsidRPr="00DC1187">
        <w:t>, 52: 23-44.</w:t>
      </w:r>
    </w:p>
    <w:p w14:paraId="08D45994" w14:textId="77777777" w:rsidR="006822EF" w:rsidRPr="00DC1187" w:rsidRDefault="006822EF" w:rsidP="00010489">
      <w:pPr>
        <w:pStyle w:val="CitaviBibliographyEntry"/>
        <w:spacing w:after="12"/>
        <w:ind w:hanging="284"/>
        <w:jc w:val="both"/>
      </w:pPr>
      <w:bookmarkStart w:id="200" w:name="_CTVL0010067cafcd81146419e136a8cd022a698"/>
      <w:r w:rsidRPr="00DC1187">
        <w:t>Stinchcombe, A. L., Mizruchi, M. S., &amp; Schwartz, M. 1990. Weak Structural Data.</w:t>
      </w:r>
      <w:bookmarkEnd w:id="200"/>
      <w:r w:rsidRPr="00DC1187">
        <w:t xml:space="preserve"> </w:t>
      </w:r>
      <w:r w:rsidRPr="00DC1187">
        <w:rPr>
          <w:i/>
        </w:rPr>
        <w:t>Contemporary Sociology</w:t>
      </w:r>
      <w:r w:rsidRPr="00DC1187">
        <w:t>, 19: 380.</w:t>
      </w:r>
    </w:p>
    <w:p w14:paraId="557D2E00" w14:textId="77777777" w:rsidR="006822EF" w:rsidRPr="00DC1187" w:rsidRDefault="006822EF" w:rsidP="00010489">
      <w:pPr>
        <w:pStyle w:val="CitaviBibliographyEntry"/>
        <w:spacing w:after="12"/>
        <w:ind w:hanging="284"/>
        <w:jc w:val="both"/>
      </w:pPr>
      <w:bookmarkStart w:id="201" w:name="_CTVL00149d47292828f42ee87cc7a45e5b3d9fa"/>
      <w:r w:rsidRPr="00DC1187">
        <w:lastRenderedPageBreak/>
        <w:t>Stuart, T. E. 2000. Interorganizational alliances and the performance of firms: a study of growth and innovation rates in a high-technology industry.</w:t>
      </w:r>
      <w:bookmarkEnd w:id="201"/>
      <w:r w:rsidRPr="00DC1187">
        <w:t xml:space="preserve"> </w:t>
      </w:r>
      <w:r w:rsidRPr="00DC1187">
        <w:rPr>
          <w:i/>
        </w:rPr>
        <w:t>Strategic Management Journal</w:t>
      </w:r>
      <w:r w:rsidRPr="00DC1187">
        <w:t>, 21: 791-811.</w:t>
      </w:r>
    </w:p>
    <w:p w14:paraId="3E5A886C" w14:textId="77777777" w:rsidR="006822EF" w:rsidRPr="00DC1187" w:rsidRDefault="006822EF" w:rsidP="00010489">
      <w:pPr>
        <w:pStyle w:val="CitaviBibliographyEntry"/>
        <w:spacing w:after="12"/>
        <w:ind w:hanging="284"/>
        <w:jc w:val="both"/>
      </w:pPr>
      <w:bookmarkStart w:id="202" w:name="_CTVL001839ef09fe4334739adde485fe851c748"/>
      <w:r w:rsidRPr="00DC1187">
        <w:t>Stuart, T. E., &amp; Yim, S. 2010. Board interlocks and the propensity to be targeted in private equity transactions</w:t>
      </w:r>
      <w:r w:rsidRPr="00DC1187">
        <w:rPr>
          <w:rFonts w:ascii="Segoe UI Symbol" w:hAnsi="Segoe UI Symbol" w:cs="Segoe UI Symbol"/>
        </w:rPr>
        <w:t>☆</w:t>
      </w:r>
      <w:r w:rsidRPr="00DC1187">
        <w:t>.</w:t>
      </w:r>
      <w:bookmarkEnd w:id="202"/>
      <w:r w:rsidRPr="00DC1187">
        <w:t xml:space="preserve"> </w:t>
      </w:r>
      <w:r w:rsidRPr="00DC1187">
        <w:rPr>
          <w:i/>
        </w:rPr>
        <w:t>Journal of Financial Economics</w:t>
      </w:r>
      <w:r w:rsidRPr="00DC1187">
        <w:t>, 97: 174-189.</w:t>
      </w:r>
    </w:p>
    <w:p w14:paraId="32306995" w14:textId="77777777" w:rsidR="006822EF" w:rsidRPr="00DC1187" w:rsidRDefault="006822EF" w:rsidP="00010489">
      <w:pPr>
        <w:pStyle w:val="CitaviBibliographyEntry"/>
        <w:spacing w:after="12"/>
        <w:ind w:hanging="284"/>
        <w:jc w:val="both"/>
      </w:pPr>
      <w:bookmarkStart w:id="203" w:name="_CTVL001e4bdf04114604fd9b454fe8df03e32e9"/>
      <w:r w:rsidRPr="00DC1187">
        <w:t>Swaleheen, M. 2011. Economic growth with endogenous corruption: an empirical study.</w:t>
      </w:r>
      <w:bookmarkEnd w:id="203"/>
      <w:r w:rsidRPr="00DC1187">
        <w:t xml:space="preserve"> </w:t>
      </w:r>
      <w:r w:rsidRPr="00DC1187">
        <w:rPr>
          <w:i/>
        </w:rPr>
        <w:t>Public Choice</w:t>
      </w:r>
      <w:r w:rsidRPr="00DC1187">
        <w:t>, 146: 23-41.</w:t>
      </w:r>
    </w:p>
    <w:p w14:paraId="064F4483" w14:textId="77777777" w:rsidR="006822EF" w:rsidRPr="00DC1187" w:rsidRDefault="006822EF" w:rsidP="00010489">
      <w:pPr>
        <w:pStyle w:val="CitaviBibliographyEntry"/>
        <w:spacing w:after="12"/>
        <w:ind w:hanging="284"/>
        <w:jc w:val="both"/>
      </w:pPr>
      <w:bookmarkStart w:id="204" w:name="_CTVL0017de202eeb3f247d6ac10d8470c6bf568"/>
      <w:r w:rsidRPr="00DC1187">
        <w:t>Teece, D. J. 1982. Towards an economic theory of the multiproduct firm.</w:t>
      </w:r>
      <w:bookmarkEnd w:id="204"/>
      <w:r w:rsidRPr="00DC1187">
        <w:t xml:space="preserve"> </w:t>
      </w:r>
      <w:r w:rsidRPr="00DC1187">
        <w:rPr>
          <w:i/>
        </w:rPr>
        <w:t>Journal of Economic Behavior &amp; Organization</w:t>
      </w:r>
      <w:r w:rsidRPr="00DC1187">
        <w:t>, 3: 39-63.</w:t>
      </w:r>
    </w:p>
    <w:p w14:paraId="2A03FEBA" w14:textId="77777777" w:rsidR="006822EF" w:rsidRPr="00DC1187" w:rsidRDefault="006822EF" w:rsidP="00010489">
      <w:pPr>
        <w:pStyle w:val="CitaviBibliographyEntry"/>
        <w:spacing w:after="12"/>
        <w:ind w:hanging="284"/>
        <w:jc w:val="both"/>
      </w:pPr>
      <w:bookmarkStart w:id="205" w:name="_CTVL001cd0ffdf81b224b0e9324aa83c0741c3e"/>
      <w:r w:rsidRPr="0056702B">
        <w:t xml:space="preserve">Tehrani, H. D., &amp; Yamini, S. 2020. </w:t>
      </w:r>
      <w:r w:rsidRPr="00DC1187">
        <w:t>Personality traits and conflict resolution styles: A meta-analysis.</w:t>
      </w:r>
      <w:bookmarkEnd w:id="205"/>
      <w:r w:rsidRPr="00DC1187">
        <w:t xml:space="preserve"> </w:t>
      </w:r>
      <w:r w:rsidRPr="00DC1187">
        <w:rPr>
          <w:i/>
        </w:rPr>
        <w:t>Personality and Individual Differences</w:t>
      </w:r>
      <w:r w:rsidRPr="00DC1187">
        <w:t>, 157: 109794.</w:t>
      </w:r>
    </w:p>
    <w:p w14:paraId="764FF4B1" w14:textId="77777777" w:rsidR="006822EF" w:rsidRPr="00DC1187" w:rsidRDefault="006822EF" w:rsidP="00010489">
      <w:pPr>
        <w:pStyle w:val="CitaviBibliographyEntry"/>
        <w:spacing w:after="12"/>
        <w:ind w:hanging="284"/>
        <w:jc w:val="both"/>
      </w:pPr>
      <w:bookmarkStart w:id="206" w:name="_CTVL00168379dd5ea1c449b902bb5cfdf3f8e24"/>
      <w:r w:rsidRPr="00DC1187">
        <w:t>Terry, D. J., &amp; Hogg, M. A. 1996. Group Norms and the Attitude-Behavior Relationship: A Role for Group Identification.</w:t>
      </w:r>
      <w:bookmarkEnd w:id="206"/>
      <w:r w:rsidRPr="00DC1187">
        <w:t xml:space="preserve"> </w:t>
      </w:r>
      <w:r w:rsidRPr="00DC1187">
        <w:rPr>
          <w:i/>
        </w:rPr>
        <w:t>Personality and Social Psychology Bulletin</w:t>
      </w:r>
      <w:r w:rsidRPr="00DC1187">
        <w:t>, 22: 776-793.</w:t>
      </w:r>
    </w:p>
    <w:p w14:paraId="746B234F" w14:textId="77777777" w:rsidR="006822EF" w:rsidRPr="009572A7" w:rsidRDefault="006822EF" w:rsidP="00010489">
      <w:pPr>
        <w:pStyle w:val="CitaviBibliographyEntry"/>
        <w:spacing w:after="12"/>
        <w:ind w:hanging="284"/>
        <w:jc w:val="both"/>
        <w:rPr>
          <w:lang w:val="de-DE"/>
        </w:rPr>
      </w:pPr>
      <w:bookmarkStart w:id="207" w:name="_CTVL0017fdfad9d288b448599f9a0a2cf6f240d"/>
      <w:r w:rsidRPr="00DC1187">
        <w:t>Tucker, L. R., &amp; Lewis, C. 1973. A reliability coefficient for maximum likelihood factor analysis.</w:t>
      </w:r>
      <w:bookmarkEnd w:id="207"/>
      <w:r w:rsidRPr="00DC1187">
        <w:t xml:space="preserve"> </w:t>
      </w:r>
      <w:r w:rsidRPr="009572A7">
        <w:rPr>
          <w:i/>
          <w:lang w:val="de-DE"/>
        </w:rPr>
        <w:t>Psychometrika</w:t>
      </w:r>
      <w:r w:rsidRPr="009572A7">
        <w:rPr>
          <w:lang w:val="de-DE"/>
        </w:rPr>
        <w:t>, 38: 1-10.</w:t>
      </w:r>
    </w:p>
    <w:p w14:paraId="4D367506" w14:textId="77777777" w:rsidR="006822EF" w:rsidRPr="00DC1187" w:rsidRDefault="006822EF" w:rsidP="00010489">
      <w:pPr>
        <w:pStyle w:val="CitaviBibliographyEntry"/>
        <w:spacing w:after="12"/>
        <w:ind w:hanging="284"/>
        <w:jc w:val="both"/>
      </w:pPr>
      <w:bookmarkStart w:id="208" w:name="_CTVL0014e83fdab579c4bdc9ceb9530833ede9f"/>
      <w:r w:rsidRPr="009572A7">
        <w:rPr>
          <w:lang w:val="de-DE"/>
        </w:rPr>
        <w:t xml:space="preserve">Tuggle, C. S., Sirmon, D. G., Reutzel, C. R., &amp; Bierman, L. 2010. </w:t>
      </w:r>
      <w:r w:rsidRPr="00DC1187">
        <w:t>Commanding board of director attention: investigating how organizational performance and CEO duality affect board members</w:t>
      </w:r>
      <w:r>
        <w:t>’</w:t>
      </w:r>
      <w:r w:rsidRPr="00DC1187">
        <w:t xml:space="preserve"> attention to monitoring.</w:t>
      </w:r>
      <w:bookmarkEnd w:id="208"/>
      <w:r w:rsidRPr="00DC1187">
        <w:t xml:space="preserve"> </w:t>
      </w:r>
      <w:r w:rsidRPr="00DC1187">
        <w:rPr>
          <w:i/>
        </w:rPr>
        <w:t>Strategic Management Journal</w:t>
      </w:r>
      <w:r w:rsidRPr="00DC1187">
        <w:t>, 31: 946-968.</w:t>
      </w:r>
    </w:p>
    <w:p w14:paraId="3D34539A" w14:textId="77777777" w:rsidR="006822EF" w:rsidRPr="00DC1187" w:rsidRDefault="006822EF" w:rsidP="00010489">
      <w:pPr>
        <w:pStyle w:val="CitaviBibliographyEntry"/>
        <w:spacing w:after="12"/>
        <w:ind w:hanging="284"/>
        <w:jc w:val="both"/>
      </w:pPr>
      <w:bookmarkStart w:id="209" w:name="_CTVL0011b2e28d46ce44882aa8e5ef390e8e642"/>
      <w:r w:rsidRPr="00CE03DC">
        <w:t xml:space="preserve">Tuschke, A., Sanders, W. G., &amp; Hernandez, E. 2014. </w:t>
      </w:r>
      <w:r w:rsidRPr="00DC1187">
        <w:t>Whose experience matters in the boardroom? The effects of experiential and vicarious learning on emerging market entry.</w:t>
      </w:r>
      <w:bookmarkEnd w:id="209"/>
      <w:r w:rsidRPr="00DC1187">
        <w:t xml:space="preserve"> </w:t>
      </w:r>
      <w:r w:rsidRPr="00DC1187">
        <w:rPr>
          <w:i/>
        </w:rPr>
        <w:t>Strategic Management Journal</w:t>
      </w:r>
      <w:r w:rsidRPr="00DC1187">
        <w:t>, 35: 398-418.</w:t>
      </w:r>
    </w:p>
    <w:p w14:paraId="1B780E6B" w14:textId="77777777" w:rsidR="006822EF" w:rsidRPr="00DC1187" w:rsidRDefault="006822EF" w:rsidP="00010489">
      <w:pPr>
        <w:pStyle w:val="CitaviBibliographyEntry"/>
        <w:spacing w:after="12"/>
        <w:ind w:hanging="284"/>
        <w:jc w:val="both"/>
      </w:pPr>
      <w:bookmarkStart w:id="210" w:name="_CTVL0011fcf66d01e2747c099f393d70e7738c9"/>
      <w:r w:rsidRPr="00DC1187">
        <w:t>Useem, M. 1982. Classwide Rationality in the Politics of Managers and Directors of Large Corporations in the United States and Great Britain.</w:t>
      </w:r>
      <w:bookmarkEnd w:id="210"/>
      <w:r w:rsidRPr="00DC1187">
        <w:t xml:space="preserve"> </w:t>
      </w:r>
      <w:r w:rsidRPr="00DC1187">
        <w:rPr>
          <w:i/>
        </w:rPr>
        <w:t>Administrative Science Quarterly</w:t>
      </w:r>
      <w:r w:rsidRPr="00DC1187">
        <w:t>, 27: 199.</w:t>
      </w:r>
    </w:p>
    <w:p w14:paraId="67CDDFAF" w14:textId="77777777" w:rsidR="006822EF" w:rsidRPr="00DC1187" w:rsidRDefault="006822EF" w:rsidP="00010489">
      <w:pPr>
        <w:pStyle w:val="CitaviBibliographyEntry"/>
        <w:spacing w:after="12"/>
        <w:ind w:hanging="284"/>
        <w:jc w:val="both"/>
      </w:pPr>
      <w:bookmarkStart w:id="211" w:name="_CTVL0014948860d01614ee8b3b7d6a7ff1ccb3d"/>
      <w:r w:rsidRPr="00DC1187">
        <w:t>Useem, M. 1984.</w:t>
      </w:r>
      <w:bookmarkEnd w:id="211"/>
      <w:r w:rsidRPr="00DC1187">
        <w:t xml:space="preserve"> </w:t>
      </w:r>
      <w:r w:rsidRPr="00DC1187">
        <w:rPr>
          <w:i/>
        </w:rPr>
        <w:t>The Inner Circle: Large Corporations and the Rise of Business Political Activity in the U.S. and U.K.</w:t>
      </w:r>
      <w:r w:rsidRPr="00DC1187">
        <w:t xml:space="preserve"> New York: Oxford University Press.</w:t>
      </w:r>
    </w:p>
    <w:p w14:paraId="600B1AFB" w14:textId="77777777" w:rsidR="006822EF" w:rsidRPr="00DC1187" w:rsidRDefault="006822EF" w:rsidP="00010489">
      <w:pPr>
        <w:pStyle w:val="CitaviBibliographyEntry"/>
        <w:spacing w:after="12"/>
        <w:ind w:hanging="284"/>
        <w:jc w:val="both"/>
      </w:pPr>
      <w:bookmarkStart w:id="212" w:name="_CTVL0010a6cc0b6e29c40f791a0575bede092c1"/>
      <w:r w:rsidRPr="00DC1187">
        <w:lastRenderedPageBreak/>
        <w:t>Uz, I. 2015. The Index of Cultural Tightness and Looseness Among 68 Countries.</w:t>
      </w:r>
      <w:bookmarkEnd w:id="212"/>
      <w:r w:rsidRPr="00DC1187">
        <w:t xml:space="preserve"> </w:t>
      </w:r>
      <w:r w:rsidRPr="00DC1187">
        <w:rPr>
          <w:i/>
        </w:rPr>
        <w:t>Journal of Cross-Cultural Psychology</w:t>
      </w:r>
      <w:r w:rsidRPr="00DC1187">
        <w:t>, 46: 319-335.</w:t>
      </w:r>
    </w:p>
    <w:p w14:paraId="25170A4B" w14:textId="77777777" w:rsidR="006822EF" w:rsidRPr="00DC1187" w:rsidRDefault="006822EF" w:rsidP="00010489">
      <w:pPr>
        <w:pStyle w:val="CitaviBibliographyEntry"/>
        <w:spacing w:after="12"/>
        <w:ind w:hanging="284"/>
        <w:jc w:val="both"/>
      </w:pPr>
      <w:bookmarkStart w:id="213" w:name="_CTVL001079777baf25f4cc09263122910027504"/>
      <w:r w:rsidRPr="00DC1187">
        <w:t>van Essen, M., van Oosterhout, J. H., &amp; Carney, M. 2012. Corporate boards and the performance of Asian firms: A meta-analysis.</w:t>
      </w:r>
      <w:bookmarkEnd w:id="213"/>
      <w:r w:rsidRPr="00DC1187">
        <w:t xml:space="preserve"> </w:t>
      </w:r>
      <w:r w:rsidRPr="00DC1187">
        <w:rPr>
          <w:i/>
        </w:rPr>
        <w:t>Asia Pacific Journal of Management</w:t>
      </w:r>
      <w:r w:rsidRPr="00DC1187">
        <w:t>, 29: 873-905.</w:t>
      </w:r>
    </w:p>
    <w:p w14:paraId="7FF2A36D" w14:textId="77777777" w:rsidR="006822EF" w:rsidRPr="00DC1187" w:rsidRDefault="006822EF" w:rsidP="00010489">
      <w:pPr>
        <w:pStyle w:val="CitaviBibliographyEntry"/>
        <w:spacing w:after="12"/>
        <w:ind w:hanging="284"/>
        <w:jc w:val="both"/>
      </w:pPr>
      <w:bookmarkStart w:id="214" w:name="_CTVL001629e8ee472554f78a3dcb442bd799639"/>
      <w:r w:rsidRPr="00DC1187">
        <w:t>Viechtbauer, W. 2010. Conducting Meta-Analyses in R with the metafor Package.</w:t>
      </w:r>
      <w:bookmarkEnd w:id="214"/>
      <w:r w:rsidRPr="00DC1187">
        <w:t xml:space="preserve"> </w:t>
      </w:r>
      <w:r w:rsidRPr="00DC1187">
        <w:rPr>
          <w:i/>
        </w:rPr>
        <w:t>Journal of Statistical Software</w:t>
      </w:r>
      <w:r w:rsidRPr="00DC1187">
        <w:t>, 36.</w:t>
      </w:r>
    </w:p>
    <w:p w14:paraId="1A74980B" w14:textId="77777777" w:rsidR="006822EF" w:rsidRPr="00DC1187" w:rsidRDefault="006822EF" w:rsidP="00010489">
      <w:pPr>
        <w:pStyle w:val="CitaviBibliographyEntry"/>
        <w:spacing w:after="12"/>
        <w:ind w:hanging="284"/>
        <w:jc w:val="both"/>
      </w:pPr>
      <w:bookmarkStart w:id="215" w:name="_CTVL001725a00ddcc1d4faabed520855e22e4aa"/>
      <w:r w:rsidRPr="00DC1187">
        <w:t>Viswesvaran, C., &amp; Ones, D. S. 1995. Theory testing: Combining psychometric meta-analysis and structural equations modeling.</w:t>
      </w:r>
      <w:bookmarkEnd w:id="215"/>
      <w:r w:rsidRPr="00DC1187">
        <w:t xml:space="preserve"> </w:t>
      </w:r>
      <w:r w:rsidRPr="00DC1187">
        <w:rPr>
          <w:i/>
        </w:rPr>
        <w:t>Personnel Psychology</w:t>
      </w:r>
      <w:r w:rsidRPr="00DC1187">
        <w:t>, 48: 865-885.</w:t>
      </w:r>
    </w:p>
    <w:p w14:paraId="05F992D3" w14:textId="77777777" w:rsidR="006822EF" w:rsidRPr="00DC1187" w:rsidRDefault="006822EF" w:rsidP="00010489">
      <w:pPr>
        <w:pStyle w:val="CitaviBibliographyEntry"/>
        <w:spacing w:after="12"/>
        <w:ind w:hanging="284"/>
        <w:jc w:val="both"/>
      </w:pPr>
      <w:bookmarkStart w:id="216" w:name="_CTVL0017635ad93abce44f29658ee422c7690ac"/>
      <w:r w:rsidRPr="00DC1187">
        <w:t>Wang, W.-K., Lu, W.-M., Kweh, Q. L., Nourani, M., &amp; Hong, R.-S. 2021. Interlocking directorates and dynamic corporate performance: the roles of centrality, structural holes and number of connections in social networks.</w:t>
      </w:r>
      <w:bookmarkEnd w:id="216"/>
      <w:r w:rsidRPr="00DC1187">
        <w:t xml:space="preserve"> </w:t>
      </w:r>
      <w:r w:rsidRPr="00DC1187">
        <w:rPr>
          <w:i/>
        </w:rPr>
        <w:t>Review of Managerial Science</w:t>
      </w:r>
      <w:r w:rsidRPr="00DC1187">
        <w:t>, 15: 437-457.</w:t>
      </w:r>
    </w:p>
    <w:p w14:paraId="52825E4D" w14:textId="77777777" w:rsidR="006822EF" w:rsidRPr="00DC1187" w:rsidRDefault="006822EF" w:rsidP="00010489">
      <w:pPr>
        <w:pStyle w:val="CitaviBibliographyEntry"/>
        <w:spacing w:after="12"/>
        <w:ind w:hanging="284"/>
        <w:jc w:val="both"/>
      </w:pPr>
      <w:bookmarkStart w:id="217" w:name="_CTVL001c7952e0a2e8249a4a43c2d74f7ee5576"/>
      <w:r w:rsidRPr="00DC1187">
        <w:t>Watkins-Fassler, K., Rodríguez-Ariza, L., Fernández-Pérez, V., &amp; Del Briano-Turrent, G. C. 2024. Interlocking directorates and family firm performance: an emerging market’s perspective.</w:t>
      </w:r>
      <w:bookmarkEnd w:id="217"/>
      <w:r w:rsidRPr="00DC1187">
        <w:t xml:space="preserve"> </w:t>
      </w:r>
      <w:r w:rsidRPr="00DC1187">
        <w:rPr>
          <w:i/>
        </w:rPr>
        <w:t>Journal of Family Business Management</w:t>
      </w:r>
      <w:r w:rsidRPr="00DC1187">
        <w:t>, 14: 45-63.</w:t>
      </w:r>
    </w:p>
    <w:p w14:paraId="6E688BE8" w14:textId="77777777" w:rsidR="006822EF" w:rsidRPr="00DC1187" w:rsidRDefault="006822EF" w:rsidP="00010489">
      <w:pPr>
        <w:pStyle w:val="CitaviBibliographyEntry"/>
        <w:spacing w:after="12"/>
        <w:ind w:hanging="284"/>
        <w:jc w:val="both"/>
      </w:pPr>
      <w:bookmarkStart w:id="218" w:name="_CTVL001a6a51f3f38d74373adb72afd4f945763"/>
      <w:r w:rsidRPr="00DC1187">
        <w:t>West, S. G., Taylor, A. B., &amp; Wu, W. 2012. Model fit and model selection in structural equation modeling. In</w:t>
      </w:r>
      <w:bookmarkEnd w:id="218"/>
      <w:r w:rsidRPr="00DC1187">
        <w:t xml:space="preserve"> </w:t>
      </w:r>
      <w:r w:rsidRPr="00DC1187">
        <w:rPr>
          <w:i/>
        </w:rPr>
        <w:t xml:space="preserve">Handbook of structural equation modeling: </w:t>
      </w:r>
      <w:r w:rsidRPr="00DC1187">
        <w:t>209-231. New York, NY, US: The Guilford Press.</w:t>
      </w:r>
    </w:p>
    <w:p w14:paraId="3BCC3E9D" w14:textId="77777777" w:rsidR="006822EF" w:rsidRPr="00DC1187" w:rsidRDefault="006822EF" w:rsidP="00010489">
      <w:pPr>
        <w:pStyle w:val="CitaviBibliographyEntry"/>
        <w:spacing w:after="12"/>
        <w:ind w:hanging="284"/>
        <w:jc w:val="both"/>
      </w:pPr>
      <w:bookmarkStart w:id="219" w:name="_CTVL001ffc7809ee7384236aacd092beb82e54b"/>
      <w:r w:rsidRPr="009572A7">
        <w:rPr>
          <w:lang w:val="de-DE"/>
        </w:rPr>
        <w:t xml:space="preserve">Westphal, J. D., &amp; Bednar, M. K. 2005. </w:t>
      </w:r>
      <w:r w:rsidRPr="00DC1187">
        <w:t>Pluralistic Ignorance in Corporate Boards and Firms</w:t>
      </w:r>
      <w:r>
        <w:t>’</w:t>
      </w:r>
      <w:r w:rsidRPr="00DC1187">
        <w:t xml:space="preserve"> Strategic Persistence in Response to Low Firm Performance.</w:t>
      </w:r>
      <w:bookmarkEnd w:id="219"/>
      <w:r w:rsidRPr="00DC1187">
        <w:t xml:space="preserve"> </w:t>
      </w:r>
      <w:r w:rsidRPr="00DC1187">
        <w:rPr>
          <w:i/>
        </w:rPr>
        <w:t>Administrative Science Quarterly</w:t>
      </w:r>
      <w:r w:rsidRPr="00DC1187">
        <w:t>, 50: 262-298.</w:t>
      </w:r>
    </w:p>
    <w:p w14:paraId="258AE647" w14:textId="77777777" w:rsidR="006822EF" w:rsidRPr="00DC1187" w:rsidRDefault="006822EF" w:rsidP="00010489">
      <w:pPr>
        <w:pStyle w:val="CitaviBibliographyEntry"/>
        <w:spacing w:after="12"/>
        <w:ind w:hanging="284"/>
        <w:jc w:val="both"/>
      </w:pPr>
      <w:bookmarkStart w:id="220" w:name="_CTVL001b2fb8384cae649c5ba218a17cb306390"/>
      <w:r w:rsidRPr="00DC1187">
        <w:t>Westphal, J. D., &amp; Zajac, E. J. 1997. Defections from the Inner Circle: Social Exchange, Reciprocity, and the Diffusion of Board Independence in U.S. Corporations.</w:t>
      </w:r>
      <w:bookmarkEnd w:id="220"/>
      <w:r w:rsidRPr="00DC1187">
        <w:t xml:space="preserve"> </w:t>
      </w:r>
      <w:r w:rsidRPr="00DC1187">
        <w:rPr>
          <w:i/>
        </w:rPr>
        <w:t>Administrative Science Quarterly</w:t>
      </w:r>
      <w:r w:rsidRPr="00DC1187">
        <w:t>, 42: 161.</w:t>
      </w:r>
    </w:p>
    <w:p w14:paraId="5CB0F214" w14:textId="77777777" w:rsidR="006822EF" w:rsidRPr="00DC1187" w:rsidRDefault="006822EF" w:rsidP="00010489">
      <w:pPr>
        <w:pStyle w:val="CitaviBibliographyEntry"/>
        <w:spacing w:after="12"/>
        <w:ind w:hanging="284"/>
        <w:jc w:val="both"/>
      </w:pPr>
      <w:bookmarkStart w:id="221" w:name="_CTVL001d9c4fbbaa0654bc9b6adecbfb66a2104"/>
      <w:r w:rsidRPr="00DC1187">
        <w:t>Williamson, C. R., &amp; Kerekes, C. B. 2011. Securing Private Property: Formal versus Informal Institutions.</w:t>
      </w:r>
      <w:bookmarkEnd w:id="221"/>
      <w:r w:rsidRPr="00DC1187">
        <w:t xml:space="preserve"> </w:t>
      </w:r>
      <w:r w:rsidRPr="00DC1187">
        <w:rPr>
          <w:i/>
        </w:rPr>
        <w:t>The Journal of Law and Economics</w:t>
      </w:r>
      <w:r w:rsidRPr="00DC1187">
        <w:t>, 54: 537-572.</w:t>
      </w:r>
    </w:p>
    <w:p w14:paraId="0B43E3A1" w14:textId="77777777" w:rsidR="006822EF" w:rsidRPr="00DC1187" w:rsidRDefault="006822EF" w:rsidP="00010489">
      <w:pPr>
        <w:pStyle w:val="CitaviBibliographyEntry"/>
        <w:spacing w:after="12"/>
        <w:ind w:hanging="284"/>
        <w:jc w:val="both"/>
      </w:pPr>
      <w:bookmarkStart w:id="222" w:name="_CTVL001a443383a985b478abc39cd5eefff89c1"/>
      <w:r w:rsidRPr="00DC1187">
        <w:lastRenderedPageBreak/>
        <w:t>Wu, H.-L. 2008. How do Board–CEO Relationships Influence the Performance of New Product Introduction? Moving from Single to Interdependent Explanations.</w:t>
      </w:r>
      <w:bookmarkEnd w:id="222"/>
      <w:r w:rsidRPr="00DC1187">
        <w:t xml:space="preserve"> </w:t>
      </w:r>
      <w:r w:rsidRPr="00DC1187">
        <w:rPr>
          <w:i/>
        </w:rPr>
        <w:t>Corporate Governance: An International Review</w:t>
      </w:r>
      <w:r w:rsidRPr="00DC1187">
        <w:t>, 16: 77-89.</w:t>
      </w:r>
    </w:p>
    <w:p w14:paraId="46803C5A" w14:textId="77777777" w:rsidR="006822EF" w:rsidRPr="00DC1187" w:rsidRDefault="006822EF" w:rsidP="00010489">
      <w:pPr>
        <w:pStyle w:val="CitaviBibliographyEntry"/>
        <w:spacing w:after="12"/>
        <w:ind w:hanging="284"/>
        <w:jc w:val="both"/>
      </w:pPr>
      <w:bookmarkStart w:id="223" w:name="_CTVL001b2c41b342c474bf1bc8a1b19e79b1266"/>
      <w:r w:rsidRPr="009572A7">
        <w:rPr>
          <w:lang w:val="de-DE"/>
        </w:rPr>
        <w:t xml:space="preserve">Yeung, I. Y., &amp; Tung, R. L. 1996. </w:t>
      </w:r>
      <w:r w:rsidRPr="00DC1187">
        <w:t>Achieving business success in Confucian societies: The importance of guanxi (connections).</w:t>
      </w:r>
      <w:bookmarkEnd w:id="223"/>
      <w:r w:rsidRPr="00DC1187">
        <w:t xml:space="preserve"> </w:t>
      </w:r>
      <w:r w:rsidRPr="00DC1187">
        <w:rPr>
          <w:i/>
        </w:rPr>
        <w:t>Organizational Dynamics</w:t>
      </w:r>
      <w:r w:rsidRPr="00DC1187">
        <w:t>, 25: 54-65.</w:t>
      </w:r>
    </w:p>
    <w:p w14:paraId="4098309F" w14:textId="77777777" w:rsidR="006822EF" w:rsidRPr="00DC1187" w:rsidRDefault="006822EF" w:rsidP="00010489">
      <w:pPr>
        <w:pStyle w:val="CitaviBibliographyEntry"/>
        <w:spacing w:after="12"/>
        <w:ind w:hanging="284"/>
        <w:jc w:val="both"/>
      </w:pPr>
      <w:bookmarkStart w:id="224" w:name="_CTVL001e5001e3c9aa5427a944d6f8348a7f190"/>
      <w:r w:rsidRPr="00DC1187">
        <w:t>Zahra, S. A., &amp; Pearce, J. A. 1989. Boards of Directors and Corporate Financial Performance: A Review and Integrative Model.</w:t>
      </w:r>
      <w:bookmarkEnd w:id="224"/>
      <w:r w:rsidRPr="00DC1187">
        <w:t xml:space="preserve"> </w:t>
      </w:r>
      <w:r w:rsidRPr="00DC1187">
        <w:rPr>
          <w:i/>
        </w:rPr>
        <w:t>Journal of Management</w:t>
      </w:r>
      <w:r w:rsidRPr="00DC1187">
        <w:t>, 15: 291-334.</w:t>
      </w:r>
    </w:p>
    <w:p w14:paraId="298E1B21" w14:textId="77777777" w:rsidR="006822EF" w:rsidRPr="00DC1187" w:rsidRDefault="006822EF" w:rsidP="00010489">
      <w:pPr>
        <w:pStyle w:val="CitaviBibliographyEntry"/>
        <w:spacing w:after="12"/>
        <w:ind w:hanging="284"/>
        <w:jc w:val="both"/>
      </w:pPr>
      <w:bookmarkStart w:id="225" w:name="_CTVL001d33aa429076b4ef6b693f549a7c2523e"/>
      <w:r w:rsidRPr="00DC1187">
        <w:t>Zahra, S. A., &amp; Pearce, J. A. 1990. Research Evidence On The Miles-Snow Typology.</w:t>
      </w:r>
      <w:bookmarkEnd w:id="225"/>
      <w:r w:rsidRPr="00DC1187">
        <w:t xml:space="preserve"> </w:t>
      </w:r>
      <w:r w:rsidRPr="00DC1187">
        <w:rPr>
          <w:i/>
        </w:rPr>
        <w:t>Journal of Management</w:t>
      </w:r>
      <w:r w:rsidRPr="00DC1187">
        <w:t>, 16: 751-768.</w:t>
      </w:r>
    </w:p>
    <w:p w14:paraId="4BB392E2" w14:textId="77777777" w:rsidR="006822EF" w:rsidRPr="00DC1187" w:rsidRDefault="006822EF" w:rsidP="00010489">
      <w:pPr>
        <w:pStyle w:val="CitaviBibliographyEntry"/>
        <w:spacing w:after="12"/>
        <w:ind w:hanging="284"/>
        <w:jc w:val="both"/>
      </w:pPr>
      <w:bookmarkStart w:id="226" w:name="_CTVL001e34f03c74e4248208aa91fd637c9c393"/>
      <w:r w:rsidRPr="00DC1187">
        <w:t>Zajac, E. J. 1988. Interlocking directorates as an interorganizational strategy: a test of critical assumptions.</w:t>
      </w:r>
      <w:bookmarkEnd w:id="226"/>
      <w:r w:rsidRPr="00DC1187">
        <w:t xml:space="preserve"> </w:t>
      </w:r>
      <w:r w:rsidRPr="00DC1187">
        <w:rPr>
          <w:i/>
        </w:rPr>
        <w:t>Academy of Management Journal</w:t>
      </w:r>
      <w:r w:rsidRPr="00DC1187">
        <w:t>, 31: 428-438.</w:t>
      </w:r>
    </w:p>
    <w:p w14:paraId="4316D665" w14:textId="77777777" w:rsidR="006822EF" w:rsidRPr="00DC1187" w:rsidRDefault="006822EF" w:rsidP="00010489">
      <w:pPr>
        <w:pStyle w:val="CitaviBibliographyEntry"/>
        <w:spacing w:after="12"/>
        <w:ind w:hanging="284"/>
        <w:jc w:val="both"/>
      </w:pPr>
      <w:bookmarkStart w:id="227" w:name="_CTVL001da763cf05609420bb777001d2cac573c"/>
      <w:r w:rsidRPr="00CE03DC">
        <w:t xml:space="preserve">Zajac, E. J., &amp; Westphal, J. D. 1996a. </w:t>
      </w:r>
      <w:r w:rsidRPr="00DC1187">
        <w:t>Director Reputation, CEO-Board Power, and the Dynamics of Board Interlocks.</w:t>
      </w:r>
      <w:bookmarkEnd w:id="227"/>
      <w:r w:rsidRPr="00DC1187">
        <w:t xml:space="preserve"> </w:t>
      </w:r>
      <w:r w:rsidRPr="00DC1187">
        <w:rPr>
          <w:i/>
        </w:rPr>
        <w:t>Administrative Science Quarterly</w:t>
      </w:r>
      <w:r w:rsidRPr="00DC1187">
        <w:t>, 41: 507.</w:t>
      </w:r>
    </w:p>
    <w:p w14:paraId="5E2BC8EA" w14:textId="77777777" w:rsidR="006822EF" w:rsidRPr="00DC1187" w:rsidRDefault="006822EF" w:rsidP="00010489">
      <w:pPr>
        <w:pStyle w:val="CitaviBibliographyEntry"/>
        <w:spacing w:after="12"/>
        <w:ind w:hanging="284"/>
        <w:jc w:val="both"/>
      </w:pPr>
      <w:bookmarkStart w:id="228" w:name="_CTVL001b7a12cecb31f4d5184d18c2eb212b3c0"/>
      <w:r w:rsidRPr="00DC1187">
        <w:t>Zajac, E. J., &amp; Westphal, J. D. 1996b. Who shall succeed? How CEO/board preferences and power affect the choice of new CEOs.</w:t>
      </w:r>
      <w:bookmarkEnd w:id="228"/>
      <w:r w:rsidRPr="00DC1187">
        <w:t xml:space="preserve"> </w:t>
      </w:r>
      <w:r w:rsidRPr="00DC1187">
        <w:rPr>
          <w:i/>
        </w:rPr>
        <w:t>Academy of Management Journal</w:t>
      </w:r>
      <w:r w:rsidRPr="00DC1187">
        <w:t>, 39: 64-90.</w:t>
      </w:r>
    </w:p>
    <w:p w14:paraId="50C7AC3F" w14:textId="77777777" w:rsidR="006822EF" w:rsidRPr="00DC1187" w:rsidRDefault="006822EF" w:rsidP="00010489">
      <w:pPr>
        <w:pStyle w:val="CitaviBibliographyEntry"/>
        <w:spacing w:after="12"/>
        <w:ind w:hanging="284"/>
        <w:jc w:val="both"/>
      </w:pPr>
      <w:bookmarkStart w:id="229" w:name="_CTVL001cdedcf40c114498ca64e4464b2c4ae3a"/>
      <w:r w:rsidRPr="00DC1187">
        <w:t>Zhang, M., &amp; Merchant, H. 2020. A causal analysis of the role of institutions and organizational proficiencies on the innovation capability of Chinese SMEs.</w:t>
      </w:r>
      <w:bookmarkEnd w:id="229"/>
      <w:r w:rsidRPr="00DC1187">
        <w:t xml:space="preserve"> </w:t>
      </w:r>
      <w:r w:rsidRPr="00DC1187">
        <w:rPr>
          <w:i/>
        </w:rPr>
        <w:t>International Business Review</w:t>
      </w:r>
      <w:r w:rsidRPr="00DC1187">
        <w:t>, 29: 101638.</w:t>
      </w:r>
    </w:p>
    <w:p w14:paraId="1727D4AA" w14:textId="77777777" w:rsidR="006822EF" w:rsidRPr="00DC1187" w:rsidRDefault="006822EF" w:rsidP="00010489">
      <w:pPr>
        <w:pStyle w:val="CitaviBibliographyEntry"/>
        <w:spacing w:after="12"/>
        <w:ind w:hanging="284"/>
        <w:jc w:val="both"/>
      </w:pPr>
      <w:bookmarkStart w:id="230" w:name="_CTVL001eb956e3a2dc340c3bb8ef9b0fb5e56dc"/>
      <w:r w:rsidRPr="00CE03DC">
        <w:t xml:space="preserve">Zhang, M. F., Dawson, J. F., &amp; Kline, R. B. 2021. </w:t>
      </w:r>
      <w:r w:rsidRPr="00DC1187">
        <w:t>Evaluating the Use of Covariance‐Based Structural Equation Modelling with Reflective Measurement in Organizational and Management Research: A Review and Recommendations for Best Practice.</w:t>
      </w:r>
      <w:bookmarkEnd w:id="230"/>
      <w:r w:rsidRPr="00DC1187">
        <w:t xml:space="preserve"> </w:t>
      </w:r>
      <w:r w:rsidRPr="00DC1187">
        <w:rPr>
          <w:i/>
        </w:rPr>
        <w:t>British Journal of Management</w:t>
      </w:r>
      <w:r w:rsidRPr="00DC1187">
        <w:t>, 32: 257-272.</w:t>
      </w:r>
    </w:p>
    <w:p w14:paraId="6E16472F" w14:textId="77777777" w:rsidR="006822EF" w:rsidRPr="00DC1187" w:rsidRDefault="006822EF" w:rsidP="00010489">
      <w:pPr>
        <w:pStyle w:val="CitaviBibliographyEntry"/>
        <w:spacing w:after="12"/>
        <w:ind w:hanging="284"/>
        <w:jc w:val="both"/>
      </w:pPr>
      <w:bookmarkStart w:id="231" w:name="_CTVL0010bcec2d9a7714687992658c0a056aa1c"/>
      <w:r w:rsidRPr="00DC1187">
        <w:t>Zhu, D. H., &amp; Chen, G. 2015. CEO Narcissism and the Impact of Prior Board Experience on Corporate Strategy.</w:t>
      </w:r>
      <w:bookmarkEnd w:id="231"/>
      <w:r w:rsidRPr="00DC1187">
        <w:t xml:space="preserve"> </w:t>
      </w:r>
      <w:r w:rsidRPr="00DC1187">
        <w:rPr>
          <w:i/>
        </w:rPr>
        <w:t>Administrative Science Quarterly</w:t>
      </w:r>
      <w:r w:rsidRPr="00DC1187">
        <w:t>, 60: 31-65.</w:t>
      </w:r>
    </w:p>
    <w:p w14:paraId="67B5D693" w14:textId="77777777" w:rsidR="006822EF" w:rsidRPr="00DC1187" w:rsidRDefault="006822EF" w:rsidP="00010489">
      <w:pPr>
        <w:pStyle w:val="CitaviBibliographyEntry"/>
        <w:spacing w:after="12"/>
        <w:ind w:hanging="284"/>
        <w:jc w:val="both"/>
      </w:pPr>
      <w:bookmarkStart w:id="232" w:name="_CTVL001f906fc9210d1420280e128f8e6d43e29"/>
      <w:r w:rsidRPr="00DC1187">
        <w:lastRenderedPageBreak/>
        <w:t>Zhu, H., &amp; Yoshikawa, T. 2016. Contingent value of director identification: The role of government directors in monitoring and resource provision in an emerging economy.</w:t>
      </w:r>
      <w:bookmarkEnd w:id="232"/>
      <w:r w:rsidRPr="00DC1187">
        <w:t xml:space="preserve"> </w:t>
      </w:r>
      <w:r w:rsidRPr="00DC1187">
        <w:rPr>
          <w:i/>
        </w:rPr>
        <w:t>Strategic Management Journal</w:t>
      </w:r>
      <w:r w:rsidRPr="00DC1187">
        <w:t>, 37: 1787-1807.</w:t>
      </w:r>
    </w:p>
    <w:p w14:paraId="45F5B306" w14:textId="77777777" w:rsidR="006822EF" w:rsidRPr="00E92B73" w:rsidRDefault="006822EF" w:rsidP="00010489">
      <w:pPr>
        <w:pStyle w:val="CitaviBibliographyEntry"/>
        <w:spacing w:after="12"/>
        <w:ind w:hanging="284"/>
        <w:jc w:val="both"/>
      </w:pPr>
      <w:bookmarkStart w:id="233" w:name="_CTVL001da3d768e9f0c4a9394c2a9fc5b4e4ca7"/>
      <w:r w:rsidRPr="00DC1187">
        <w:t>Zona, F., Gomez-Mejia, L. R., &amp; Withers, M. C. 2018. Board Interlocks and Firm Performance: Toward a Combined Agency–Resource Dependence Perspective.</w:t>
      </w:r>
      <w:bookmarkEnd w:id="233"/>
      <w:r w:rsidRPr="00DC1187">
        <w:t xml:space="preserve"> </w:t>
      </w:r>
      <w:r w:rsidRPr="00DC1187">
        <w:rPr>
          <w:i/>
        </w:rPr>
        <w:t>Journal of Management</w:t>
      </w:r>
      <w:r w:rsidRPr="00DC1187">
        <w:t>, 44: 589-618.</w:t>
      </w:r>
    </w:p>
    <w:p w14:paraId="7DE1BD0D" w14:textId="77777777" w:rsidR="006822EF" w:rsidRPr="007441F5" w:rsidRDefault="006822EF" w:rsidP="00010489">
      <w:pPr>
        <w:jc w:val="left"/>
        <w:rPr>
          <w:rFonts w:eastAsiaTheme="majorEastAsia"/>
          <w:b/>
          <w:bCs/>
          <w:lang w:val="en-US"/>
        </w:rPr>
      </w:pPr>
      <w:r w:rsidRPr="007441F5">
        <w:rPr>
          <w:lang w:val="en-US"/>
        </w:rPr>
        <w:br w:type="page"/>
      </w:r>
    </w:p>
    <w:p w14:paraId="6C659205" w14:textId="2ECCE1B4" w:rsidR="009572A7" w:rsidRPr="007441F5" w:rsidRDefault="00406027" w:rsidP="009572A7">
      <w:pPr>
        <w:pStyle w:val="berschrift2"/>
        <w:rPr>
          <w:lang w:val="en-US"/>
        </w:rPr>
      </w:pPr>
      <w:bookmarkStart w:id="234" w:name="_Toc180963608"/>
      <w:r w:rsidRPr="007441F5">
        <w:rPr>
          <w:lang w:val="en-US"/>
        </w:rPr>
        <w:lastRenderedPageBreak/>
        <w:t>Appendix</w:t>
      </w:r>
      <w:bookmarkEnd w:id="234"/>
    </w:p>
    <w:p w14:paraId="581E8DB0" w14:textId="1EC45109" w:rsidR="006822EF" w:rsidRPr="000B6E5E" w:rsidRDefault="006822EF" w:rsidP="009572A7">
      <w:pPr>
        <w:pStyle w:val="1fake"/>
      </w:pPr>
      <w:r w:rsidRPr="000B6E5E">
        <w:t>TABLE 1</w:t>
      </w:r>
    </w:p>
    <w:p w14:paraId="6B6CFA26" w14:textId="41B72E09" w:rsidR="008D3B08" w:rsidRPr="003A640A" w:rsidRDefault="008D3B08" w:rsidP="003A640A">
      <w:pPr>
        <w:pStyle w:val="Tabelle"/>
      </w:pPr>
      <w:bookmarkStart w:id="235" w:name="_Toc180964651"/>
      <w:r w:rsidRPr="003A640A">
        <w:t xml:space="preserve">T - I - </w:t>
      </w:r>
      <w:r w:rsidRPr="003A640A">
        <w:fldChar w:fldCharType="begin"/>
      </w:r>
      <w:r w:rsidRPr="003A640A">
        <w:instrText xml:space="preserve"> SEQ T_-_I_- \* ARABIC </w:instrText>
      </w:r>
      <w:r w:rsidRPr="003A640A">
        <w:fldChar w:fldCharType="separate"/>
      </w:r>
      <w:r w:rsidR="00E91088">
        <w:rPr>
          <w:noProof/>
        </w:rPr>
        <w:t>1</w:t>
      </w:r>
      <w:r w:rsidRPr="003A640A">
        <w:fldChar w:fldCharType="end"/>
      </w:r>
      <w:r w:rsidRPr="003A640A">
        <w:t xml:space="preserve">: Description of </w:t>
      </w:r>
      <w:r w:rsidR="007F2F08">
        <w:t>v</w:t>
      </w:r>
      <w:r w:rsidRPr="003A640A">
        <w:t>ariables</w:t>
      </w:r>
      <w:bookmarkEnd w:id="235"/>
    </w:p>
    <w:tbl>
      <w:tblPr>
        <w:tblW w:w="9072" w:type="dxa"/>
        <w:jc w:val="center"/>
        <w:tblLayout w:type="fixed"/>
        <w:tblCellMar>
          <w:top w:w="28" w:type="dxa"/>
          <w:left w:w="85" w:type="dxa"/>
          <w:bottom w:w="28" w:type="dxa"/>
          <w:right w:w="85" w:type="dxa"/>
        </w:tblCellMar>
        <w:tblLook w:val="04A0" w:firstRow="1" w:lastRow="0" w:firstColumn="1" w:lastColumn="0" w:noHBand="0" w:noVBand="1"/>
      </w:tblPr>
      <w:tblGrid>
        <w:gridCol w:w="1721"/>
        <w:gridCol w:w="7351"/>
      </w:tblGrid>
      <w:tr w:rsidR="006822EF" w:rsidRPr="002313C0" w14:paraId="261A6E48" w14:textId="77777777" w:rsidTr="00394BE7">
        <w:trPr>
          <w:trHeight w:val="85"/>
          <w:jc w:val="center"/>
        </w:trPr>
        <w:tc>
          <w:tcPr>
            <w:tcW w:w="1721" w:type="dxa"/>
            <w:tcBorders>
              <w:top w:val="single" w:sz="4" w:space="0" w:color="auto"/>
              <w:left w:val="nil"/>
              <w:bottom w:val="single" w:sz="4" w:space="0" w:color="auto"/>
              <w:right w:val="nil"/>
            </w:tcBorders>
            <w:shd w:val="clear" w:color="auto" w:fill="auto"/>
            <w:noWrap/>
            <w:hideMark/>
          </w:tcPr>
          <w:p w14:paraId="3D8E3B9A" w14:textId="77777777" w:rsidR="006822EF" w:rsidRPr="002313C0" w:rsidRDefault="006822EF" w:rsidP="00AB066F">
            <w:pPr>
              <w:widowControl w:val="0"/>
              <w:spacing w:line="240" w:lineRule="auto"/>
              <w:rPr>
                <w:rFonts w:cs="Times New Roman"/>
                <w:b/>
                <w:bCs/>
                <w:kern w:val="2"/>
                <w:sz w:val="22"/>
                <w:lang w:val="en-US" w:eastAsia="zh-CN"/>
              </w:rPr>
            </w:pPr>
            <w:r w:rsidRPr="002313C0">
              <w:rPr>
                <w:rFonts w:cs="Times New Roman"/>
                <w:b/>
                <w:bCs/>
                <w:kern w:val="2"/>
                <w:sz w:val="22"/>
                <w:lang w:val="en-US" w:eastAsia="zh-CN"/>
              </w:rPr>
              <w:t>Variable</w:t>
            </w:r>
          </w:p>
        </w:tc>
        <w:tc>
          <w:tcPr>
            <w:tcW w:w="7351" w:type="dxa"/>
            <w:tcBorders>
              <w:top w:val="single" w:sz="4" w:space="0" w:color="auto"/>
              <w:left w:val="nil"/>
              <w:bottom w:val="single" w:sz="4" w:space="0" w:color="auto"/>
              <w:right w:val="nil"/>
            </w:tcBorders>
            <w:shd w:val="clear" w:color="auto" w:fill="auto"/>
            <w:noWrap/>
            <w:hideMark/>
          </w:tcPr>
          <w:p w14:paraId="14915299" w14:textId="77777777" w:rsidR="006822EF" w:rsidRPr="002313C0" w:rsidRDefault="006822EF" w:rsidP="00AB066F">
            <w:pPr>
              <w:widowControl w:val="0"/>
              <w:spacing w:line="240" w:lineRule="auto"/>
              <w:jc w:val="center"/>
              <w:rPr>
                <w:rFonts w:cs="Times New Roman"/>
                <w:b/>
                <w:bCs/>
                <w:kern w:val="2"/>
                <w:sz w:val="22"/>
                <w:lang w:val="en-US" w:eastAsia="zh-CN"/>
              </w:rPr>
            </w:pPr>
            <w:r w:rsidRPr="002313C0">
              <w:rPr>
                <w:rFonts w:cs="Times New Roman"/>
                <w:b/>
                <w:bCs/>
                <w:sz w:val="22"/>
                <w:lang w:val="en-US"/>
              </w:rPr>
              <w:t>Description</w:t>
            </w:r>
          </w:p>
        </w:tc>
      </w:tr>
      <w:tr w:rsidR="006822EF" w:rsidRPr="00AA39E4" w14:paraId="3783839D" w14:textId="77777777" w:rsidTr="00394BE7">
        <w:trPr>
          <w:trHeight w:val="59"/>
          <w:jc w:val="center"/>
        </w:trPr>
        <w:tc>
          <w:tcPr>
            <w:tcW w:w="1721" w:type="dxa"/>
            <w:tcBorders>
              <w:top w:val="nil"/>
              <w:left w:val="nil"/>
              <w:bottom w:val="nil"/>
              <w:right w:val="nil"/>
            </w:tcBorders>
            <w:shd w:val="clear" w:color="auto" w:fill="auto"/>
            <w:noWrap/>
            <w:hideMark/>
          </w:tcPr>
          <w:p w14:paraId="5F058A8F" w14:textId="2041AE4E" w:rsidR="006822EF" w:rsidRPr="002313C0" w:rsidRDefault="006822EF" w:rsidP="000C2E05">
            <w:pPr>
              <w:widowControl w:val="0"/>
              <w:spacing w:line="240" w:lineRule="auto"/>
              <w:jc w:val="left"/>
              <w:rPr>
                <w:rFonts w:cs="Times New Roman"/>
                <w:kern w:val="2"/>
                <w:sz w:val="22"/>
                <w:lang w:val="en-US" w:eastAsia="zh-CN"/>
              </w:rPr>
            </w:pPr>
            <w:r w:rsidRPr="002313C0">
              <w:rPr>
                <w:rFonts w:cs="Times New Roman"/>
                <w:kern w:val="2"/>
                <w:sz w:val="22"/>
                <w:lang w:val="en-US" w:eastAsia="zh-CN"/>
              </w:rPr>
              <w:t>Board interlocks</w:t>
            </w:r>
          </w:p>
        </w:tc>
        <w:tc>
          <w:tcPr>
            <w:tcW w:w="7351" w:type="dxa"/>
            <w:tcBorders>
              <w:top w:val="nil"/>
              <w:left w:val="nil"/>
              <w:bottom w:val="nil"/>
              <w:right w:val="nil"/>
            </w:tcBorders>
            <w:shd w:val="clear" w:color="auto" w:fill="auto"/>
            <w:noWrap/>
            <w:hideMark/>
          </w:tcPr>
          <w:p w14:paraId="72A177F2" w14:textId="77777777" w:rsidR="006822EF" w:rsidRPr="002313C0" w:rsidRDefault="006822EF" w:rsidP="0010410C">
            <w:pPr>
              <w:widowControl w:val="0"/>
              <w:spacing w:line="240" w:lineRule="auto"/>
              <w:rPr>
                <w:rFonts w:cs="Times New Roman"/>
                <w:sz w:val="22"/>
                <w:lang w:val="en-US"/>
              </w:rPr>
            </w:pPr>
            <w:r w:rsidRPr="002313C0">
              <w:rPr>
                <w:rFonts w:cs="Times New Roman"/>
                <w:sz w:val="22"/>
                <w:lang w:val="en-US"/>
              </w:rPr>
              <w:t>Continuous variable measuring the number of board interlocks a firm has with other firms, operationalized through degree centrality (e.g., Zona et al., 2018).</w:t>
            </w:r>
          </w:p>
        </w:tc>
      </w:tr>
      <w:tr w:rsidR="006822EF" w:rsidRPr="00AA39E4" w14:paraId="08F15D3F" w14:textId="77777777" w:rsidTr="00394BE7">
        <w:trPr>
          <w:trHeight w:val="59"/>
          <w:jc w:val="center"/>
        </w:trPr>
        <w:tc>
          <w:tcPr>
            <w:tcW w:w="1721" w:type="dxa"/>
            <w:tcBorders>
              <w:top w:val="nil"/>
              <w:left w:val="nil"/>
              <w:bottom w:val="nil"/>
              <w:right w:val="nil"/>
            </w:tcBorders>
            <w:shd w:val="clear" w:color="auto" w:fill="auto"/>
            <w:noWrap/>
          </w:tcPr>
          <w:p w14:paraId="4B5CEBE3" w14:textId="3798DB45" w:rsidR="006822EF" w:rsidRPr="002313C0" w:rsidRDefault="006822EF" w:rsidP="000C2E05">
            <w:pPr>
              <w:widowControl w:val="0"/>
              <w:spacing w:line="240" w:lineRule="auto"/>
              <w:jc w:val="left"/>
              <w:rPr>
                <w:rFonts w:cs="Times New Roman"/>
                <w:kern w:val="2"/>
                <w:sz w:val="22"/>
                <w:lang w:val="en-US" w:eastAsia="zh-CN"/>
              </w:rPr>
            </w:pPr>
            <w:r w:rsidRPr="002313C0">
              <w:rPr>
                <w:rFonts w:cs="Times New Roman"/>
                <w:kern w:val="2"/>
                <w:sz w:val="22"/>
                <w:lang w:val="en-US" w:eastAsia="zh-CN"/>
              </w:rPr>
              <w:t>Firm performance</w:t>
            </w:r>
          </w:p>
        </w:tc>
        <w:tc>
          <w:tcPr>
            <w:tcW w:w="7351" w:type="dxa"/>
            <w:tcBorders>
              <w:top w:val="nil"/>
              <w:left w:val="nil"/>
              <w:bottom w:val="nil"/>
              <w:right w:val="nil"/>
            </w:tcBorders>
            <w:shd w:val="clear" w:color="auto" w:fill="auto"/>
            <w:noWrap/>
          </w:tcPr>
          <w:p w14:paraId="46D232BD" w14:textId="77777777" w:rsidR="006822EF" w:rsidRPr="002313C0" w:rsidRDefault="006822EF" w:rsidP="0010410C">
            <w:pPr>
              <w:widowControl w:val="0"/>
              <w:spacing w:line="240" w:lineRule="auto"/>
              <w:rPr>
                <w:rFonts w:cs="Times New Roman"/>
                <w:sz w:val="22"/>
                <w:lang w:val="en-US"/>
              </w:rPr>
            </w:pPr>
            <w:r w:rsidRPr="002313C0">
              <w:rPr>
                <w:rFonts w:cs="Times New Roman"/>
                <w:sz w:val="22"/>
                <w:lang w:val="en-US"/>
              </w:rPr>
              <w:t>Continuous variable assessing firm performance through both accounting measures (e.g., Martin et al., 2015) and market measures (e.g., Cordeiro, 1993).</w:t>
            </w:r>
          </w:p>
        </w:tc>
      </w:tr>
      <w:tr w:rsidR="006822EF" w:rsidRPr="002313C0" w14:paraId="02CC1E5A" w14:textId="77777777" w:rsidTr="00394BE7">
        <w:trPr>
          <w:trHeight w:val="59"/>
          <w:jc w:val="center"/>
        </w:trPr>
        <w:tc>
          <w:tcPr>
            <w:tcW w:w="1721" w:type="dxa"/>
            <w:tcBorders>
              <w:top w:val="nil"/>
              <w:left w:val="nil"/>
              <w:bottom w:val="nil"/>
              <w:right w:val="nil"/>
            </w:tcBorders>
            <w:shd w:val="clear" w:color="auto" w:fill="auto"/>
            <w:noWrap/>
          </w:tcPr>
          <w:p w14:paraId="2E92F289" w14:textId="2E3869DE" w:rsidR="006822EF" w:rsidRPr="002313C0" w:rsidRDefault="006822EF" w:rsidP="000C2E05">
            <w:pPr>
              <w:widowControl w:val="0"/>
              <w:spacing w:line="240" w:lineRule="auto"/>
              <w:jc w:val="left"/>
              <w:rPr>
                <w:rFonts w:cs="Times New Roman"/>
                <w:kern w:val="2"/>
                <w:sz w:val="22"/>
                <w:lang w:val="en-US" w:eastAsia="zh-CN"/>
              </w:rPr>
            </w:pPr>
            <w:r w:rsidRPr="002313C0">
              <w:rPr>
                <w:rFonts w:cs="Times New Roman"/>
                <w:kern w:val="2"/>
                <w:sz w:val="22"/>
                <w:lang w:val="en-US" w:eastAsia="zh-CN"/>
              </w:rPr>
              <w:t>Resource provision</w:t>
            </w:r>
          </w:p>
        </w:tc>
        <w:tc>
          <w:tcPr>
            <w:tcW w:w="7351" w:type="dxa"/>
            <w:tcBorders>
              <w:top w:val="nil"/>
              <w:left w:val="nil"/>
              <w:bottom w:val="nil"/>
              <w:right w:val="nil"/>
            </w:tcBorders>
            <w:shd w:val="clear" w:color="auto" w:fill="auto"/>
            <w:noWrap/>
          </w:tcPr>
          <w:p w14:paraId="566F3188" w14:textId="77777777" w:rsidR="006822EF" w:rsidRPr="002313C0" w:rsidRDefault="006822EF" w:rsidP="0010410C">
            <w:pPr>
              <w:widowControl w:val="0"/>
              <w:spacing w:line="240" w:lineRule="auto"/>
              <w:rPr>
                <w:rFonts w:cs="Times New Roman"/>
                <w:sz w:val="22"/>
                <w:lang w:val="en-US"/>
              </w:rPr>
            </w:pPr>
            <w:r w:rsidRPr="002313C0">
              <w:rPr>
                <w:rFonts w:cs="Times New Roman"/>
                <w:sz w:val="22"/>
                <w:lang w:val="en-US"/>
              </w:rPr>
              <w:t>Continuous variable measuring the extent to which a firm pursues internal, external, and cooperative growth strategies (e.g,. Beckman et al., 2004; Chen, 2014; Haunschild, 1993).</w:t>
            </w:r>
          </w:p>
        </w:tc>
      </w:tr>
      <w:tr w:rsidR="006822EF" w:rsidRPr="00AA39E4" w14:paraId="57781FB9" w14:textId="77777777" w:rsidTr="00394BE7">
        <w:trPr>
          <w:trHeight w:val="59"/>
          <w:jc w:val="center"/>
        </w:trPr>
        <w:tc>
          <w:tcPr>
            <w:tcW w:w="1721" w:type="dxa"/>
            <w:tcBorders>
              <w:top w:val="nil"/>
              <w:left w:val="nil"/>
              <w:bottom w:val="nil"/>
              <w:right w:val="nil"/>
            </w:tcBorders>
            <w:shd w:val="clear" w:color="auto" w:fill="auto"/>
            <w:noWrap/>
          </w:tcPr>
          <w:p w14:paraId="6BB52468" w14:textId="260BECA0" w:rsidR="006822EF" w:rsidRPr="002313C0" w:rsidRDefault="006822EF" w:rsidP="000C2E05">
            <w:pPr>
              <w:widowControl w:val="0"/>
              <w:spacing w:line="240" w:lineRule="auto"/>
              <w:jc w:val="left"/>
              <w:rPr>
                <w:rFonts w:cs="Times New Roman"/>
                <w:kern w:val="2"/>
                <w:sz w:val="22"/>
                <w:lang w:val="en-US" w:eastAsia="zh-CN"/>
              </w:rPr>
            </w:pPr>
            <w:r w:rsidRPr="002313C0">
              <w:rPr>
                <w:rFonts w:cs="Times New Roman"/>
                <w:kern w:val="2"/>
                <w:sz w:val="22"/>
                <w:lang w:val="en-US" w:eastAsia="zh-CN"/>
              </w:rPr>
              <w:t>Agency costs</w:t>
            </w:r>
          </w:p>
        </w:tc>
        <w:tc>
          <w:tcPr>
            <w:tcW w:w="7351" w:type="dxa"/>
            <w:tcBorders>
              <w:top w:val="nil"/>
              <w:left w:val="nil"/>
              <w:bottom w:val="nil"/>
              <w:right w:val="nil"/>
            </w:tcBorders>
            <w:shd w:val="clear" w:color="auto" w:fill="auto"/>
            <w:noWrap/>
          </w:tcPr>
          <w:p w14:paraId="1F428F17" w14:textId="77777777" w:rsidR="006822EF" w:rsidRPr="002313C0" w:rsidRDefault="006822EF" w:rsidP="0010410C">
            <w:pPr>
              <w:widowControl w:val="0"/>
              <w:spacing w:line="240" w:lineRule="auto"/>
              <w:rPr>
                <w:rFonts w:cs="Times New Roman"/>
                <w:sz w:val="22"/>
                <w:lang w:val="en-US"/>
              </w:rPr>
            </w:pPr>
            <w:r w:rsidRPr="002313C0">
              <w:rPr>
                <w:rFonts w:cs="Times New Roman"/>
                <w:sz w:val="22"/>
                <w:lang w:val="en-US"/>
              </w:rPr>
              <w:t xml:space="preserve">Continuous variable assessing the level of agency costs within a firm (e.g., Berger, Ofek, &amp; Yermack, 1997; Couzoff, Banerjee, &amp; Pawlina, 2022; Kalcheva &amp; Lins, 2007). </w:t>
            </w:r>
          </w:p>
        </w:tc>
      </w:tr>
      <w:tr w:rsidR="006822EF" w:rsidRPr="00AA39E4" w14:paraId="3A4BAD8A" w14:textId="77777777" w:rsidTr="00394BE7">
        <w:trPr>
          <w:trHeight w:val="59"/>
          <w:jc w:val="center"/>
        </w:trPr>
        <w:tc>
          <w:tcPr>
            <w:tcW w:w="1721" w:type="dxa"/>
            <w:tcBorders>
              <w:top w:val="nil"/>
              <w:left w:val="nil"/>
              <w:bottom w:val="nil"/>
              <w:right w:val="nil"/>
            </w:tcBorders>
            <w:shd w:val="clear" w:color="auto" w:fill="auto"/>
            <w:noWrap/>
          </w:tcPr>
          <w:p w14:paraId="3665E927" w14:textId="21DA8785" w:rsidR="006822EF" w:rsidRPr="002313C0" w:rsidRDefault="006822EF" w:rsidP="000C2E05">
            <w:pPr>
              <w:widowControl w:val="0"/>
              <w:spacing w:line="240" w:lineRule="auto"/>
              <w:jc w:val="left"/>
              <w:rPr>
                <w:rFonts w:cs="Times New Roman"/>
                <w:kern w:val="2"/>
                <w:sz w:val="22"/>
                <w:lang w:val="en-US" w:eastAsia="zh-CN"/>
              </w:rPr>
            </w:pPr>
            <w:r w:rsidRPr="002313C0">
              <w:rPr>
                <w:rFonts w:cs="Times New Roman"/>
                <w:kern w:val="2"/>
                <w:sz w:val="22"/>
                <w:lang w:val="en-US" w:eastAsia="zh-CN"/>
              </w:rPr>
              <w:t>CEO power</w:t>
            </w:r>
          </w:p>
          <w:p w14:paraId="7EAE5B0D" w14:textId="77777777" w:rsidR="006822EF" w:rsidRPr="002313C0" w:rsidRDefault="006822EF" w:rsidP="000C2E05">
            <w:pPr>
              <w:spacing w:line="240" w:lineRule="auto"/>
              <w:jc w:val="left"/>
              <w:rPr>
                <w:rFonts w:cs="Times New Roman"/>
                <w:kern w:val="2"/>
                <w:sz w:val="22"/>
                <w:lang w:val="en-US" w:eastAsia="zh-CN"/>
              </w:rPr>
            </w:pPr>
          </w:p>
        </w:tc>
        <w:tc>
          <w:tcPr>
            <w:tcW w:w="7351" w:type="dxa"/>
            <w:tcBorders>
              <w:top w:val="nil"/>
              <w:left w:val="nil"/>
              <w:bottom w:val="nil"/>
              <w:right w:val="nil"/>
            </w:tcBorders>
            <w:shd w:val="clear" w:color="auto" w:fill="auto"/>
            <w:noWrap/>
          </w:tcPr>
          <w:p w14:paraId="01E7F26B" w14:textId="77777777" w:rsidR="006822EF" w:rsidRPr="002313C0" w:rsidRDefault="006822EF" w:rsidP="0010410C">
            <w:pPr>
              <w:widowControl w:val="0"/>
              <w:spacing w:line="240" w:lineRule="auto"/>
              <w:rPr>
                <w:rFonts w:cs="Times New Roman"/>
                <w:sz w:val="22"/>
                <w:lang w:val="en-US"/>
              </w:rPr>
            </w:pPr>
            <w:r w:rsidRPr="002313C0">
              <w:rPr>
                <w:rFonts w:cs="Times New Roman"/>
                <w:sz w:val="22"/>
                <w:lang w:val="en-US"/>
              </w:rPr>
              <w:t>Continuous variable measuring the CEO’s ability to influence and shape the firm’s strategy and decision-making processes through formal authority, resource control, and positional advantages (e.g., Burkhard et al., 2023; Zhu &amp; Chen, 2015).</w:t>
            </w:r>
          </w:p>
        </w:tc>
      </w:tr>
      <w:tr w:rsidR="006822EF" w:rsidRPr="00AA39E4" w14:paraId="1B088F1B" w14:textId="77777777" w:rsidTr="00394BE7">
        <w:trPr>
          <w:trHeight w:val="59"/>
          <w:jc w:val="center"/>
        </w:trPr>
        <w:tc>
          <w:tcPr>
            <w:tcW w:w="1721" w:type="dxa"/>
            <w:tcBorders>
              <w:top w:val="nil"/>
              <w:left w:val="nil"/>
              <w:bottom w:val="nil"/>
              <w:right w:val="nil"/>
            </w:tcBorders>
            <w:shd w:val="clear" w:color="auto" w:fill="auto"/>
            <w:noWrap/>
          </w:tcPr>
          <w:p w14:paraId="044D6998" w14:textId="5233F115" w:rsidR="006822EF" w:rsidRPr="002313C0" w:rsidRDefault="006822EF" w:rsidP="000C2E05">
            <w:pPr>
              <w:widowControl w:val="0"/>
              <w:spacing w:line="240" w:lineRule="auto"/>
              <w:jc w:val="left"/>
              <w:rPr>
                <w:rFonts w:cs="Times New Roman"/>
                <w:kern w:val="2"/>
                <w:sz w:val="22"/>
                <w:lang w:val="en-US" w:eastAsia="zh-CN"/>
              </w:rPr>
            </w:pPr>
            <w:r w:rsidRPr="002313C0">
              <w:rPr>
                <w:rFonts w:cs="Times New Roman"/>
                <w:kern w:val="2"/>
                <w:sz w:val="22"/>
                <w:lang w:val="en-US" w:eastAsia="zh-CN"/>
              </w:rPr>
              <w:t>CEO structural power</w:t>
            </w:r>
          </w:p>
        </w:tc>
        <w:tc>
          <w:tcPr>
            <w:tcW w:w="7351" w:type="dxa"/>
            <w:tcBorders>
              <w:top w:val="nil"/>
              <w:left w:val="nil"/>
              <w:bottom w:val="nil"/>
              <w:right w:val="nil"/>
            </w:tcBorders>
            <w:shd w:val="clear" w:color="auto" w:fill="auto"/>
            <w:noWrap/>
          </w:tcPr>
          <w:p w14:paraId="28D8AA43" w14:textId="77777777" w:rsidR="006822EF" w:rsidRPr="002313C0" w:rsidRDefault="006822EF" w:rsidP="0010410C">
            <w:pPr>
              <w:widowControl w:val="0"/>
              <w:spacing w:line="240" w:lineRule="auto"/>
              <w:rPr>
                <w:rFonts w:cs="Times New Roman"/>
                <w:sz w:val="22"/>
                <w:lang w:val="en-US"/>
              </w:rPr>
            </w:pPr>
            <w:r w:rsidRPr="002313C0">
              <w:rPr>
                <w:rFonts w:cs="Times New Roman"/>
                <w:sz w:val="22"/>
                <w:lang w:val="en-US"/>
              </w:rPr>
              <w:t>Continuous variable assessing the CEO’s authority derived from formal organizational structures and hierarchical positions (e.g., Burkhard et al., 2023; Finkelstein, 1992).</w:t>
            </w:r>
          </w:p>
        </w:tc>
      </w:tr>
      <w:tr w:rsidR="006822EF" w:rsidRPr="00AA39E4" w14:paraId="4745EC0C" w14:textId="77777777" w:rsidTr="00394BE7">
        <w:trPr>
          <w:trHeight w:val="59"/>
          <w:jc w:val="center"/>
        </w:trPr>
        <w:tc>
          <w:tcPr>
            <w:tcW w:w="1721" w:type="dxa"/>
            <w:tcBorders>
              <w:top w:val="nil"/>
              <w:left w:val="nil"/>
              <w:bottom w:val="nil"/>
              <w:right w:val="nil"/>
            </w:tcBorders>
            <w:shd w:val="clear" w:color="auto" w:fill="auto"/>
            <w:noWrap/>
          </w:tcPr>
          <w:p w14:paraId="3266AC37" w14:textId="1D1617F1" w:rsidR="006822EF" w:rsidRPr="002313C0" w:rsidRDefault="006822EF" w:rsidP="000C2E05">
            <w:pPr>
              <w:widowControl w:val="0"/>
              <w:spacing w:line="240" w:lineRule="auto"/>
              <w:jc w:val="left"/>
              <w:rPr>
                <w:rFonts w:cs="Times New Roman"/>
                <w:kern w:val="2"/>
                <w:sz w:val="22"/>
                <w:lang w:val="en-US" w:eastAsia="zh-CN"/>
              </w:rPr>
            </w:pPr>
            <w:r w:rsidRPr="002313C0">
              <w:rPr>
                <w:rFonts w:cs="Times New Roman"/>
                <w:kern w:val="2"/>
                <w:sz w:val="22"/>
                <w:lang w:val="en-US" w:eastAsia="zh-CN"/>
              </w:rPr>
              <w:t>CEO ownership power</w:t>
            </w:r>
          </w:p>
        </w:tc>
        <w:tc>
          <w:tcPr>
            <w:tcW w:w="7351" w:type="dxa"/>
            <w:tcBorders>
              <w:top w:val="nil"/>
              <w:left w:val="nil"/>
              <w:bottom w:val="nil"/>
              <w:right w:val="nil"/>
            </w:tcBorders>
            <w:shd w:val="clear" w:color="auto" w:fill="auto"/>
            <w:noWrap/>
          </w:tcPr>
          <w:p w14:paraId="27E996AB" w14:textId="77777777" w:rsidR="006822EF" w:rsidRPr="002313C0" w:rsidRDefault="006822EF" w:rsidP="0010410C">
            <w:pPr>
              <w:widowControl w:val="0"/>
              <w:spacing w:line="240" w:lineRule="auto"/>
              <w:rPr>
                <w:rFonts w:cs="Times New Roman"/>
                <w:sz w:val="22"/>
                <w:lang w:val="en-US"/>
              </w:rPr>
            </w:pPr>
            <w:r w:rsidRPr="002313C0">
              <w:rPr>
                <w:rFonts w:cs="Times New Roman"/>
                <w:sz w:val="22"/>
                <w:lang w:val="en-US"/>
              </w:rPr>
              <w:t>Continuous variable measuring the influence a CEO derives from their ownership stake in the firm, which strengthens their position in the principal-agent relationship (e.g., Burkhard et al., 2023; Finkelstein, 1992)</w:t>
            </w:r>
          </w:p>
        </w:tc>
      </w:tr>
      <w:tr w:rsidR="006822EF" w:rsidRPr="00AA39E4" w14:paraId="3F9F732A" w14:textId="77777777" w:rsidTr="00394BE7">
        <w:trPr>
          <w:trHeight w:val="59"/>
          <w:jc w:val="center"/>
        </w:trPr>
        <w:tc>
          <w:tcPr>
            <w:tcW w:w="1721" w:type="dxa"/>
            <w:tcBorders>
              <w:top w:val="nil"/>
              <w:left w:val="nil"/>
              <w:bottom w:val="nil"/>
              <w:right w:val="nil"/>
            </w:tcBorders>
            <w:shd w:val="clear" w:color="auto" w:fill="auto"/>
            <w:noWrap/>
          </w:tcPr>
          <w:p w14:paraId="607D5E9A" w14:textId="2EE3B6DC" w:rsidR="006822EF" w:rsidRPr="002313C0" w:rsidRDefault="006822EF" w:rsidP="000C2E05">
            <w:pPr>
              <w:widowControl w:val="0"/>
              <w:spacing w:line="240" w:lineRule="auto"/>
              <w:jc w:val="left"/>
              <w:rPr>
                <w:rFonts w:cs="Times New Roman"/>
                <w:kern w:val="2"/>
                <w:sz w:val="22"/>
                <w:lang w:val="en-US" w:eastAsia="zh-CN"/>
              </w:rPr>
            </w:pPr>
            <w:r w:rsidRPr="002313C0">
              <w:rPr>
                <w:rFonts w:cs="Times New Roman"/>
                <w:kern w:val="2"/>
                <w:sz w:val="22"/>
                <w:lang w:val="en-US" w:eastAsia="zh-CN"/>
              </w:rPr>
              <w:t>CEO expert power</w:t>
            </w:r>
          </w:p>
        </w:tc>
        <w:tc>
          <w:tcPr>
            <w:tcW w:w="7351" w:type="dxa"/>
            <w:tcBorders>
              <w:top w:val="nil"/>
              <w:left w:val="nil"/>
              <w:bottom w:val="nil"/>
              <w:right w:val="nil"/>
            </w:tcBorders>
            <w:shd w:val="clear" w:color="auto" w:fill="auto"/>
            <w:noWrap/>
          </w:tcPr>
          <w:p w14:paraId="44A31668" w14:textId="77777777" w:rsidR="006822EF" w:rsidRPr="002313C0" w:rsidRDefault="006822EF" w:rsidP="0010410C">
            <w:pPr>
              <w:widowControl w:val="0"/>
              <w:spacing w:line="240" w:lineRule="auto"/>
              <w:rPr>
                <w:rFonts w:cs="Times New Roman"/>
                <w:sz w:val="22"/>
                <w:lang w:val="en-US"/>
              </w:rPr>
            </w:pPr>
            <w:r w:rsidRPr="002313C0">
              <w:rPr>
                <w:rFonts w:cs="Times New Roman"/>
                <w:sz w:val="22"/>
                <w:lang w:val="en-US"/>
              </w:rPr>
              <w:t>Continuous variable assessing the influence a CEO derives from their expertise and experience in managing critical organizational challenges (e.g., Combs et al., 2007; Finkelstein, 1992).</w:t>
            </w:r>
          </w:p>
        </w:tc>
      </w:tr>
      <w:tr w:rsidR="006822EF" w:rsidRPr="00AA39E4" w14:paraId="640AC6B5" w14:textId="77777777" w:rsidTr="00394BE7">
        <w:trPr>
          <w:trHeight w:val="59"/>
          <w:jc w:val="center"/>
        </w:trPr>
        <w:tc>
          <w:tcPr>
            <w:tcW w:w="1721" w:type="dxa"/>
            <w:tcBorders>
              <w:top w:val="nil"/>
              <w:left w:val="nil"/>
              <w:bottom w:val="nil"/>
              <w:right w:val="nil"/>
            </w:tcBorders>
            <w:shd w:val="clear" w:color="auto" w:fill="auto"/>
            <w:noWrap/>
          </w:tcPr>
          <w:p w14:paraId="6311F4DD" w14:textId="7B8191AA" w:rsidR="006822EF" w:rsidRPr="002313C0" w:rsidRDefault="006822EF" w:rsidP="000C2E05">
            <w:pPr>
              <w:widowControl w:val="0"/>
              <w:spacing w:line="240" w:lineRule="auto"/>
              <w:jc w:val="left"/>
              <w:rPr>
                <w:rFonts w:cs="Times New Roman"/>
                <w:kern w:val="2"/>
                <w:sz w:val="22"/>
                <w:lang w:val="en-US" w:eastAsia="zh-CN"/>
              </w:rPr>
            </w:pPr>
            <w:r w:rsidRPr="002313C0">
              <w:rPr>
                <w:rFonts w:cs="Times New Roman"/>
                <w:kern w:val="2"/>
                <w:sz w:val="22"/>
                <w:lang w:val="en-US" w:eastAsia="zh-CN"/>
              </w:rPr>
              <w:t>Formal institutions</w:t>
            </w:r>
          </w:p>
        </w:tc>
        <w:tc>
          <w:tcPr>
            <w:tcW w:w="7351" w:type="dxa"/>
            <w:tcBorders>
              <w:top w:val="nil"/>
              <w:left w:val="nil"/>
              <w:bottom w:val="nil"/>
              <w:right w:val="nil"/>
            </w:tcBorders>
            <w:shd w:val="clear" w:color="auto" w:fill="auto"/>
            <w:noWrap/>
          </w:tcPr>
          <w:p w14:paraId="42EB9D9F" w14:textId="77777777" w:rsidR="006822EF" w:rsidRPr="002313C0" w:rsidRDefault="006822EF" w:rsidP="0010410C">
            <w:pPr>
              <w:widowControl w:val="0"/>
              <w:spacing w:line="240" w:lineRule="auto"/>
              <w:rPr>
                <w:rFonts w:cs="Times New Roman"/>
                <w:sz w:val="22"/>
                <w:lang w:val="en-US"/>
              </w:rPr>
            </w:pPr>
            <w:r w:rsidRPr="002313C0">
              <w:rPr>
                <w:rFonts w:cs="Times New Roman"/>
                <w:sz w:val="22"/>
                <w:lang w:val="en-US"/>
              </w:rPr>
              <w:t>Continuous variable measuring the strength of formal rules and regulations within a country (e.g., Burkhard et al., 2023; Crossland &amp; Hambrick, 2007, 2011).</w:t>
            </w:r>
          </w:p>
        </w:tc>
      </w:tr>
      <w:tr w:rsidR="006822EF" w:rsidRPr="00AA39E4" w14:paraId="27107834" w14:textId="77777777" w:rsidTr="00394BE7">
        <w:trPr>
          <w:trHeight w:val="59"/>
          <w:jc w:val="center"/>
        </w:trPr>
        <w:tc>
          <w:tcPr>
            <w:tcW w:w="1721" w:type="dxa"/>
            <w:tcBorders>
              <w:top w:val="nil"/>
              <w:left w:val="nil"/>
              <w:bottom w:val="nil"/>
              <w:right w:val="nil"/>
            </w:tcBorders>
            <w:shd w:val="clear" w:color="auto" w:fill="auto"/>
            <w:noWrap/>
          </w:tcPr>
          <w:p w14:paraId="0C7607D1" w14:textId="11588D5C" w:rsidR="006822EF" w:rsidRPr="002313C0" w:rsidRDefault="006822EF" w:rsidP="000C2E05">
            <w:pPr>
              <w:widowControl w:val="0"/>
              <w:spacing w:line="240" w:lineRule="auto"/>
              <w:jc w:val="left"/>
              <w:rPr>
                <w:rFonts w:cs="Times New Roman"/>
                <w:kern w:val="2"/>
                <w:sz w:val="22"/>
                <w:lang w:val="en-US" w:eastAsia="zh-CN"/>
              </w:rPr>
            </w:pPr>
            <w:r w:rsidRPr="002313C0">
              <w:rPr>
                <w:rFonts w:cs="Times New Roman"/>
                <w:kern w:val="2"/>
                <w:sz w:val="22"/>
                <w:lang w:val="en-US" w:eastAsia="zh-CN"/>
              </w:rPr>
              <w:t>Informal institutions</w:t>
            </w:r>
          </w:p>
        </w:tc>
        <w:tc>
          <w:tcPr>
            <w:tcW w:w="7351" w:type="dxa"/>
            <w:tcBorders>
              <w:top w:val="nil"/>
              <w:left w:val="nil"/>
              <w:bottom w:val="nil"/>
              <w:right w:val="nil"/>
            </w:tcBorders>
            <w:shd w:val="clear" w:color="auto" w:fill="auto"/>
            <w:noWrap/>
          </w:tcPr>
          <w:p w14:paraId="27168C48" w14:textId="77777777" w:rsidR="006822EF" w:rsidRPr="002313C0" w:rsidRDefault="006822EF" w:rsidP="0010410C">
            <w:pPr>
              <w:widowControl w:val="0"/>
              <w:spacing w:line="240" w:lineRule="auto"/>
              <w:rPr>
                <w:rFonts w:cs="Times New Roman"/>
                <w:sz w:val="22"/>
                <w:lang w:val="en-US"/>
              </w:rPr>
            </w:pPr>
            <w:r w:rsidRPr="002313C0">
              <w:rPr>
                <w:rFonts w:cs="Times New Roman"/>
                <w:sz w:val="22"/>
                <w:lang w:val="en-US"/>
              </w:rPr>
              <w:t>Continuous variable assessing cultural and social norms within a country (e.g., Burkhard et al., 2023; Crossland &amp; Hambrick, 2007, 2011).</w:t>
            </w:r>
          </w:p>
        </w:tc>
      </w:tr>
      <w:tr w:rsidR="006822EF" w:rsidRPr="00AA39E4" w14:paraId="19AB5E7F" w14:textId="77777777" w:rsidTr="00394BE7">
        <w:trPr>
          <w:trHeight w:val="59"/>
          <w:jc w:val="center"/>
        </w:trPr>
        <w:tc>
          <w:tcPr>
            <w:tcW w:w="1721" w:type="dxa"/>
            <w:tcBorders>
              <w:top w:val="nil"/>
              <w:left w:val="nil"/>
              <w:bottom w:val="nil"/>
              <w:right w:val="nil"/>
            </w:tcBorders>
            <w:shd w:val="clear" w:color="auto" w:fill="auto"/>
            <w:noWrap/>
          </w:tcPr>
          <w:p w14:paraId="3DE038C2" w14:textId="32FE6949" w:rsidR="006822EF" w:rsidRPr="002313C0" w:rsidRDefault="006822EF" w:rsidP="000C2E05">
            <w:pPr>
              <w:widowControl w:val="0"/>
              <w:spacing w:line="240" w:lineRule="auto"/>
              <w:jc w:val="left"/>
              <w:rPr>
                <w:rFonts w:cs="Times New Roman"/>
                <w:kern w:val="2"/>
                <w:sz w:val="22"/>
                <w:lang w:val="en-US" w:eastAsia="zh-CN"/>
              </w:rPr>
            </w:pPr>
            <w:r w:rsidRPr="002313C0">
              <w:rPr>
                <w:rFonts w:cs="Times New Roman"/>
                <w:kern w:val="2"/>
                <w:sz w:val="22"/>
                <w:lang w:val="en-US" w:eastAsia="zh-CN"/>
              </w:rPr>
              <w:t>Firm size</w:t>
            </w:r>
          </w:p>
        </w:tc>
        <w:tc>
          <w:tcPr>
            <w:tcW w:w="7351" w:type="dxa"/>
            <w:tcBorders>
              <w:top w:val="nil"/>
              <w:left w:val="nil"/>
              <w:bottom w:val="nil"/>
              <w:right w:val="nil"/>
            </w:tcBorders>
            <w:shd w:val="clear" w:color="auto" w:fill="auto"/>
            <w:noWrap/>
          </w:tcPr>
          <w:p w14:paraId="5DEE4A75" w14:textId="77777777" w:rsidR="006822EF" w:rsidRPr="002313C0" w:rsidRDefault="006822EF" w:rsidP="0010410C">
            <w:pPr>
              <w:widowControl w:val="0"/>
              <w:spacing w:line="240" w:lineRule="auto"/>
              <w:rPr>
                <w:rFonts w:cs="Times New Roman"/>
                <w:sz w:val="22"/>
                <w:lang w:val="en-US"/>
              </w:rPr>
            </w:pPr>
            <w:r w:rsidRPr="002313C0">
              <w:rPr>
                <w:rFonts w:cs="Times New Roman"/>
                <w:sz w:val="22"/>
                <w:lang w:val="en-US"/>
              </w:rPr>
              <w:t>Continuous variable measuring the size of the firm, commonly measured as a firm’s total assets, sales, or employees (e.g., van Essen et al., 2012).</w:t>
            </w:r>
          </w:p>
        </w:tc>
      </w:tr>
      <w:tr w:rsidR="006822EF" w:rsidRPr="00AA39E4" w14:paraId="177BA816" w14:textId="77777777" w:rsidTr="00394BE7">
        <w:trPr>
          <w:trHeight w:val="59"/>
          <w:jc w:val="center"/>
        </w:trPr>
        <w:tc>
          <w:tcPr>
            <w:tcW w:w="1721" w:type="dxa"/>
            <w:tcBorders>
              <w:top w:val="nil"/>
              <w:left w:val="nil"/>
              <w:bottom w:val="nil"/>
              <w:right w:val="nil"/>
            </w:tcBorders>
            <w:shd w:val="clear" w:color="auto" w:fill="auto"/>
            <w:noWrap/>
          </w:tcPr>
          <w:p w14:paraId="5E54E881" w14:textId="56248CF3" w:rsidR="006822EF" w:rsidRPr="002313C0" w:rsidRDefault="006822EF" w:rsidP="000C2E05">
            <w:pPr>
              <w:widowControl w:val="0"/>
              <w:spacing w:line="240" w:lineRule="auto"/>
              <w:jc w:val="left"/>
              <w:rPr>
                <w:rFonts w:cs="Times New Roman"/>
                <w:kern w:val="2"/>
                <w:sz w:val="22"/>
                <w:lang w:val="en-US" w:eastAsia="zh-CN"/>
              </w:rPr>
            </w:pPr>
            <w:r w:rsidRPr="002313C0">
              <w:rPr>
                <w:rFonts w:eastAsia="Helvetica" w:cs="Times New Roman"/>
                <w:sz w:val="22"/>
                <w:lang w:val="en-US"/>
              </w:rPr>
              <w:t xml:space="preserve">Accounting indicator </w:t>
            </w:r>
          </w:p>
        </w:tc>
        <w:tc>
          <w:tcPr>
            <w:tcW w:w="7351" w:type="dxa"/>
            <w:tcBorders>
              <w:top w:val="nil"/>
              <w:left w:val="nil"/>
              <w:bottom w:val="nil"/>
              <w:right w:val="nil"/>
            </w:tcBorders>
            <w:shd w:val="clear" w:color="auto" w:fill="auto"/>
            <w:noWrap/>
          </w:tcPr>
          <w:p w14:paraId="7A6889CE" w14:textId="77777777" w:rsidR="006822EF" w:rsidRPr="002313C0" w:rsidRDefault="006822EF" w:rsidP="0010410C">
            <w:pPr>
              <w:widowControl w:val="0"/>
              <w:spacing w:line="240" w:lineRule="auto"/>
              <w:rPr>
                <w:rFonts w:cs="Times New Roman"/>
                <w:sz w:val="22"/>
                <w:lang w:val="en-US"/>
              </w:rPr>
            </w:pPr>
            <w:r w:rsidRPr="002313C0">
              <w:rPr>
                <w:rFonts w:cs="Times New Roman"/>
                <w:sz w:val="22"/>
                <w:lang w:val="en-US"/>
              </w:rPr>
              <w:t>Binary variable indicating whether the performance measure used in the study is an accounting measure (1; e.g., ROA, ROE, ROI) or a market measure (0; e.g., market-to-book ratio and stock returns).</w:t>
            </w:r>
          </w:p>
        </w:tc>
      </w:tr>
      <w:tr w:rsidR="006822EF" w:rsidRPr="00AA39E4" w14:paraId="305C94A3" w14:textId="77777777" w:rsidTr="00394BE7">
        <w:trPr>
          <w:trHeight w:val="59"/>
          <w:jc w:val="center"/>
        </w:trPr>
        <w:tc>
          <w:tcPr>
            <w:tcW w:w="1721" w:type="dxa"/>
            <w:tcBorders>
              <w:top w:val="nil"/>
              <w:left w:val="nil"/>
              <w:bottom w:val="nil"/>
              <w:right w:val="nil"/>
            </w:tcBorders>
            <w:shd w:val="clear" w:color="auto" w:fill="auto"/>
            <w:noWrap/>
          </w:tcPr>
          <w:p w14:paraId="7DEC1E64" w14:textId="197506E6" w:rsidR="006822EF" w:rsidRPr="002313C0" w:rsidRDefault="006822EF" w:rsidP="000C2E05">
            <w:pPr>
              <w:widowControl w:val="0"/>
              <w:spacing w:line="240" w:lineRule="auto"/>
              <w:jc w:val="left"/>
              <w:rPr>
                <w:rFonts w:cs="Times New Roman"/>
                <w:kern w:val="2"/>
                <w:sz w:val="22"/>
                <w:lang w:val="en-US" w:eastAsia="zh-CN"/>
              </w:rPr>
            </w:pPr>
            <w:r w:rsidRPr="002313C0">
              <w:rPr>
                <w:rFonts w:eastAsia="Helvetica" w:cs="Times New Roman"/>
                <w:sz w:val="22"/>
                <w:lang w:val="en-US"/>
              </w:rPr>
              <w:t xml:space="preserve">Endogeneity control </w:t>
            </w:r>
          </w:p>
        </w:tc>
        <w:tc>
          <w:tcPr>
            <w:tcW w:w="7351" w:type="dxa"/>
            <w:tcBorders>
              <w:top w:val="nil"/>
              <w:left w:val="nil"/>
              <w:bottom w:val="nil"/>
              <w:right w:val="nil"/>
            </w:tcBorders>
            <w:shd w:val="clear" w:color="auto" w:fill="auto"/>
            <w:noWrap/>
          </w:tcPr>
          <w:p w14:paraId="6656F0B1" w14:textId="77777777" w:rsidR="006822EF" w:rsidRPr="002313C0" w:rsidRDefault="006822EF" w:rsidP="0010410C">
            <w:pPr>
              <w:widowControl w:val="0"/>
              <w:spacing w:line="240" w:lineRule="auto"/>
              <w:rPr>
                <w:rFonts w:cs="Times New Roman"/>
                <w:sz w:val="22"/>
                <w:lang w:val="en-US"/>
              </w:rPr>
            </w:pPr>
            <w:r w:rsidRPr="002313C0">
              <w:rPr>
                <w:rFonts w:cs="Times New Roman"/>
                <w:sz w:val="22"/>
                <w:lang w:val="en-US"/>
              </w:rPr>
              <w:t>Binary variable indicating whether the primary study implemented control measures to address potential endogeneity concerns (e.g., Palm et al., 2023)</w:t>
            </w:r>
          </w:p>
        </w:tc>
      </w:tr>
      <w:tr w:rsidR="006822EF" w:rsidRPr="00AA39E4" w14:paraId="5C26F878" w14:textId="77777777" w:rsidTr="00394BE7">
        <w:trPr>
          <w:trHeight w:val="59"/>
          <w:jc w:val="center"/>
        </w:trPr>
        <w:tc>
          <w:tcPr>
            <w:tcW w:w="1721" w:type="dxa"/>
            <w:tcBorders>
              <w:top w:val="nil"/>
              <w:left w:val="nil"/>
              <w:bottom w:val="nil"/>
              <w:right w:val="nil"/>
            </w:tcBorders>
            <w:shd w:val="clear" w:color="auto" w:fill="auto"/>
            <w:noWrap/>
          </w:tcPr>
          <w:p w14:paraId="6ABEFEFD" w14:textId="4A93BA17" w:rsidR="006822EF" w:rsidRPr="002313C0" w:rsidRDefault="006822EF" w:rsidP="000C2E05">
            <w:pPr>
              <w:widowControl w:val="0"/>
              <w:spacing w:line="240" w:lineRule="auto"/>
              <w:jc w:val="left"/>
              <w:rPr>
                <w:rFonts w:cs="Times New Roman"/>
                <w:kern w:val="2"/>
                <w:sz w:val="22"/>
                <w:lang w:val="en-US" w:eastAsia="zh-CN"/>
              </w:rPr>
            </w:pPr>
            <w:r w:rsidRPr="002313C0">
              <w:rPr>
                <w:rFonts w:eastAsia="Helvetica" w:cs="Times New Roman"/>
                <w:sz w:val="22"/>
                <w:lang w:val="en-US"/>
              </w:rPr>
              <w:t>Journal impact factor</w:t>
            </w:r>
          </w:p>
        </w:tc>
        <w:tc>
          <w:tcPr>
            <w:tcW w:w="7351" w:type="dxa"/>
            <w:tcBorders>
              <w:top w:val="nil"/>
              <w:left w:val="nil"/>
              <w:bottom w:val="nil"/>
              <w:right w:val="nil"/>
            </w:tcBorders>
            <w:shd w:val="clear" w:color="auto" w:fill="auto"/>
            <w:noWrap/>
          </w:tcPr>
          <w:p w14:paraId="3C491E94" w14:textId="77777777" w:rsidR="006822EF" w:rsidRPr="002313C0" w:rsidRDefault="006822EF" w:rsidP="0010410C">
            <w:pPr>
              <w:widowControl w:val="0"/>
              <w:spacing w:line="240" w:lineRule="auto"/>
              <w:rPr>
                <w:rFonts w:cs="Times New Roman"/>
                <w:sz w:val="22"/>
                <w:lang w:val="en-US"/>
              </w:rPr>
            </w:pPr>
            <w:r w:rsidRPr="002313C0">
              <w:rPr>
                <w:rFonts w:cs="Times New Roman"/>
                <w:sz w:val="22"/>
                <w:lang w:val="en-US"/>
              </w:rPr>
              <w:t>Continuous variable measuring the publication quality of the study, proxied by the impact factor of the journal in which it was published (e.g., Carney et al., 2011).</w:t>
            </w:r>
          </w:p>
        </w:tc>
      </w:tr>
      <w:tr w:rsidR="006822EF" w:rsidRPr="00AA39E4" w14:paraId="058B6508" w14:textId="77777777" w:rsidTr="00394BE7">
        <w:trPr>
          <w:trHeight w:val="59"/>
          <w:jc w:val="center"/>
        </w:trPr>
        <w:tc>
          <w:tcPr>
            <w:tcW w:w="1721" w:type="dxa"/>
            <w:tcBorders>
              <w:top w:val="nil"/>
              <w:left w:val="nil"/>
              <w:bottom w:val="nil"/>
              <w:right w:val="nil"/>
            </w:tcBorders>
            <w:shd w:val="clear" w:color="auto" w:fill="auto"/>
            <w:noWrap/>
          </w:tcPr>
          <w:p w14:paraId="5E16F23A" w14:textId="02A29962" w:rsidR="006822EF" w:rsidRPr="002313C0" w:rsidRDefault="006822EF" w:rsidP="000C2E05">
            <w:pPr>
              <w:widowControl w:val="0"/>
              <w:spacing w:line="240" w:lineRule="auto"/>
              <w:jc w:val="left"/>
              <w:rPr>
                <w:rFonts w:cs="Times New Roman"/>
                <w:kern w:val="2"/>
                <w:sz w:val="22"/>
                <w:lang w:val="en-US" w:eastAsia="zh-CN"/>
              </w:rPr>
            </w:pPr>
            <w:r w:rsidRPr="002313C0">
              <w:rPr>
                <w:rFonts w:eastAsia="Helvetica" w:cs="Times New Roman"/>
                <w:sz w:val="22"/>
                <w:lang w:val="en-US"/>
              </w:rPr>
              <w:t>Industry control</w:t>
            </w:r>
          </w:p>
        </w:tc>
        <w:tc>
          <w:tcPr>
            <w:tcW w:w="7351" w:type="dxa"/>
            <w:tcBorders>
              <w:top w:val="nil"/>
              <w:left w:val="nil"/>
              <w:bottom w:val="nil"/>
              <w:right w:val="nil"/>
            </w:tcBorders>
            <w:shd w:val="clear" w:color="auto" w:fill="auto"/>
            <w:noWrap/>
          </w:tcPr>
          <w:p w14:paraId="315784B8" w14:textId="77777777" w:rsidR="006822EF" w:rsidRPr="002313C0" w:rsidRDefault="006822EF" w:rsidP="0010410C">
            <w:pPr>
              <w:widowControl w:val="0"/>
              <w:spacing w:line="240" w:lineRule="auto"/>
              <w:rPr>
                <w:rFonts w:cs="Times New Roman"/>
                <w:sz w:val="22"/>
                <w:lang w:val="en-US"/>
              </w:rPr>
            </w:pPr>
            <w:r w:rsidRPr="002313C0">
              <w:rPr>
                <w:rFonts w:cs="Times New Roman"/>
                <w:sz w:val="22"/>
                <w:lang w:val="en-US"/>
              </w:rPr>
              <w:t>Continuous variable capturing industry-specific effects, defined as the proportion of the sample from the primary study that is in either the technology or financial industry (e.g., Fich &amp; White, 2005)</w:t>
            </w:r>
          </w:p>
        </w:tc>
      </w:tr>
      <w:tr w:rsidR="006822EF" w:rsidRPr="00AA39E4" w14:paraId="78F602C7" w14:textId="77777777" w:rsidTr="00394BE7">
        <w:trPr>
          <w:trHeight w:val="59"/>
          <w:jc w:val="center"/>
        </w:trPr>
        <w:tc>
          <w:tcPr>
            <w:tcW w:w="1721" w:type="dxa"/>
            <w:tcBorders>
              <w:top w:val="nil"/>
              <w:left w:val="nil"/>
              <w:bottom w:val="nil"/>
              <w:right w:val="nil"/>
            </w:tcBorders>
            <w:shd w:val="clear" w:color="auto" w:fill="auto"/>
            <w:noWrap/>
          </w:tcPr>
          <w:p w14:paraId="4FAFA3BF" w14:textId="6456A79D" w:rsidR="006822EF" w:rsidRPr="002313C0" w:rsidRDefault="006822EF" w:rsidP="000C2E05">
            <w:pPr>
              <w:widowControl w:val="0"/>
              <w:spacing w:line="240" w:lineRule="auto"/>
              <w:jc w:val="left"/>
              <w:rPr>
                <w:rFonts w:cs="Times New Roman"/>
                <w:kern w:val="2"/>
                <w:sz w:val="22"/>
                <w:lang w:val="en-US" w:eastAsia="zh-CN"/>
              </w:rPr>
            </w:pPr>
            <w:r w:rsidRPr="002313C0">
              <w:rPr>
                <w:rFonts w:cs="Times New Roman"/>
                <w:sz w:val="22"/>
                <w:lang w:val="en-US"/>
              </w:rPr>
              <w:t>Firm age</w:t>
            </w:r>
          </w:p>
        </w:tc>
        <w:tc>
          <w:tcPr>
            <w:tcW w:w="7351" w:type="dxa"/>
            <w:tcBorders>
              <w:top w:val="nil"/>
              <w:left w:val="nil"/>
              <w:bottom w:val="nil"/>
              <w:right w:val="nil"/>
            </w:tcBorders>
            <w:shd w:val="clear" w:color="auto" w:fill="auto"/>
            <w:noWrap/>
          </w:tcPr>
          <w:p w14:paraId="2029A6F0" w14:textId="77777777" w:rsidR="006822EF" w:rsidRPr="002313C0" w:rsidRDefault="006822EF" w:rsidP="0010410C">
            <w:pPr>
              <w:widowControl w:val="0"/>
              <w:spacing w:line="240" w:lineRule="auto"/>
              <w:rPr>
                <w:rFonts w:cs="Times New Roman"/>
                <w:sz w:val="22"/>
                <w:lang w:val="en-US"/>
              </w:rPr>
            </w:pPr>
            <w:r w:rsidRPr="002313C0">
              <w:rPr>
                <w:rFonts w:cs="Times New Roman"/>
                <w:sz w:val="22"/>
                <w:lang w:val="en-US"/>
              </w:rPr>
              <w:t>Continuous variable measuring the age of the firm, calculated as the number of years since the firm’s founding (e.g., Zajac &amp; Westphal, 1996b).</w:t>
            </w:r>
          </w:p>
        </w:tc>
      </w:tr>
      <w:tr w:rsidR="006822EF" w:rsidRPr="00AA39E4" w14:paraId="069F122B" w14:textId="77777777" w:rsidTr="00394BE7">
        <w:trPr>
          <w:trHeight w:val="46"/>
          <w:jc w:val="center"/>
        </w:trPr>
        <w:tc>
          <w:tcPr>
            <w:tcW w:w="1721" w:type="dxa"/>
            <w:tcBorders>
              <w:top w:val="nil"/>
              <w:left w:val="nil"/>
              <w:bottom w:val="single" w:sz="4" w:space="0" w:color="auto"/>
              <w:right w:val="nil"/>
            </w:tcBorders>
            <w:shd w:val="clear" w:color="auto" w:fill="auto"/>
            <w:noWrap/>
          </w:tcPr>
          <w:p w14:paraId="10D571F9" w14:textId="0FCA70D0" w:rsidR="006822EF" w:rsidRPr="002313C0" w:rsidRDefault="006822EF" w:rsidP="000C2E05">
            <w:pPr>
              <w:widowControl w:val="0"/>
              <w:tabs>
                <w:tab w:val="left" w:pos="589"/>
                <w:tab w:val="left" w:pos="1276"/>
              </w:tabs>
              <w:spacing w:line="240" w:lineRule="auto"/>
              <w:jc w:val="left"/>
              <w:rPr>
                <w:rFonts w:cs="Times New Roman"/>
                <w:sz w:val="22"/>
                <w:lang w:val="en-US"/>
              </w:rPr>
            </w:pPr>
            <w:r w:rsidRPr="002313C0">
              <w:rPr>
                <w:rFonts w:cs="Times New Roman"/>
                <w:sz w:val="22"/>
                <w:lang w:val="en-US"/>
              </w:rPr>
              <w:t>Mean sample year</w:t>
            </w:r>
          </w:p>
        </w:tc>
        <w:tc>
          <w:tcPr>
            <w:tcW w:w="7351" w:type="dxa"/>
            <w:tcBorders>
              <w:top w:val="nil"/>
              <w:left w:val="nil"/>
              <w:bottom w:val="single" w:sz="4" w:space="0" w:color="auto"/>
              <w:right w:val="nil"/>
            </w:tcBorders>
            <w:shd w:val="clear" w:color="auto" w:fill="auto"/>
            <w:noWrap/>
          </w:tcPr>
          <w:p w14:paraId="678223AA" w14:textId="77777777" w:rsidR="006822EF" w:rsidRPr="002313C0" w:rsidRDefault="006822EF" w:rsidP="0010410C">
            <w:pPr>
              <w:widowControl w:val="0"/>
              <w:spacing w:line="240" w:lineRule="auto"/>
              <w:rPr>
                <w:rFonts w:cs="Times New Roman"/>
                <w:sz w:val="22"/>
                <w:lang w:val="en-US"/>
              </w:rPr>
            </w:pPr>
            <w:r w:rsidRPr="002313C0">
              <w:rPr>
                <w:rFonts w:cs="Times New Roman"/>
                <w:sz w:val="22"/>
                <w:lang w:val="en-US"/>
              </w:rPr>
              <w:t>Continuous variable representing the average year of the data sample used in the study, calculated as the mean year across the underlying primary studies (e.g., Palm et al., 2023).</w:t>
            </w:r>
          </w:p>
        </w:tc>
      </w:tr>
    </w:tbl>
    <w:p w14:paraId="5A759AF5" w14:textId="77777777" w:rsidR="006822EF" w:rsidRDefault="006822EF" w:rsidP="006822EF">
      <w:pPr>
        <w:spacing w:line="240" w:lineRule="auto"/>
        <w:jc w:val="left"/>
        <w:rPr>
          <w:rFonts w:eastAsia="SimSun"/>
          <w:i/>
          <w:iCs/>
          <w:kern w:val="2"/>
          <w:sz w:val="15"/>
          <w:szCs w:val="15"/>
          <w:lang w:val="en-US" w:eastAsia="zh-CN"/>
        </w:rPr>
      </w:pPr>
      <w:r>
        <w:rPr>
          <w:rFonts w:eastAsia="SimSun"/>
          <w:i/>
          <w:iCs/>
          <w:kern w:val="2"/>
          <w:sz w:val="15"/>
          <w:szCs w:val="15"/>
          <w:lang w:val="en-US" w:eastAsia="zh-CN"/>
        </w:rPr>
        <w:br w:type="page"/>
      </w:r>
    </w:p>
    <w:p w14:paraId="6CC69D11" w14:textId="77777777" w:rsidR="006822EF" w:rsidRPr="0021383A" w:rsidRDefault="006822EF" w:rsidP="009572A7">
      <w:pPr>
        <w:pStyle w:val="1fake"/>
      </w:pPr>
      <w:r w:rsidRPr="0021383A">
        <w:lastRenderedPageBreak/>
        <w:t>TABLE 2</w:t>
      </w:r>
    </w:p>
    <w:p w14:paraId="446DDF25" w14:textId="52CC5339" w:rsidR="008D3B08" w:rsidRPr="008D3B08" w:rsidRDefault="008D3B08" w:rsidP="003A640A">
      <w:pPr>
        <w:pStyle w:val="Tabelle"/>
      </w:pPr>
      <w:bookmarkStart w:id="236" w:name="_Toc180964652"/>
      <w:r>
        <w:t xml:space="preserve">T - I - </w:t>
      </w:r>
      <w:r>
        <w:fldChar w:fldCharType="begin"/>
      </w:r>
      <w:r>
        <w:instrText xml:space="preserve"> SEQ T_-_I_- \* ARABIC </w:instrText>
      </w:r>
      <w:r>
        <w:fldChar w:fldCharType="separate"/>
      </w:r>
      <w:r w:rsidR="00E91088">
        <w:rPr>
          <w:noProof/>
        </w:rPr>
        <w:t>2</w:t>
      </w:r>
      <w:r>
        <w:fldChar w:fldCharType="end"/>
      </w:r>
      <w:r>
        <w:t xml:space="preserve">: </w:t>
      </w:r>
      <w:r w:rsidRPr="0037457C">
        <w:t xml:space="preserve">Meta-analytic </w:t>
      </w:r>
      <w:r w:rsidR="007F2F08">
        <w:t>r</w:t>
      </w:r>
      <w:r w:rsidRPr="0037457C">
        <w:t>esults</w:t>
      </w:r>
      <w:bookmarkEnd w:id="236"/>
    </w:p>
    <w:tbl>
      <w:tblPr>
        <w:tblW w:w="9072" w:type="dxa"/>
        <w:jc w:val="center"/>
        <w:tblLayout w:type="fixed"/>
        <w:tblCellMar>
          <w:top w:w="6" w:type="dxa"/>
          <w:left w:w="6" w:type="dxa"/>
          <w:bottom w:w="6" w:type="dxa"/>
          <w:right w:w="6" w:type="dxa"/>
        </w:tblCellMar>
        <w:tblLook w:val="04A0" w:firstRow="1" w:lastRow="0" w:firstColumn="1" w:lastColumn="0" w:noHBand="0" w:noVBand="1"/>
      </w:tblPr>
      <w:tblGrid>
        <w:gridCol w:w="2399"/>
        <w:gridCol w:w="1036"/>
        <w:gridCol w:w="551"/>
        <w:gridCol w:w="551"/>
        <w:gridCol w:w="551"/>
        <w:gridCol w:w="1184"/>
        <w:gridCol w:w="1200"/>
        <w:gridCol w:w="1600"/>
      </w:tblGrid>
      <w:tr w:rsidR="002313C0" w:rsidRPr="00C7354B" w14:paraId="7542815C" w14:textId="77777777" w:rsidTr="00394BE7">
        <w:trPr>
          <w:trHeight w:val="28"/>
          <w:jc w:val="center"/>
        </w:trPr>
        <w:tc>
          <w:tcPr>
            <w:tcW w:w="2552" w:type="dxa"/>
            <w:tcBorders>
              <w:top w:val="single" w:sz="4" w:space="0" w:color="auto"/>
              <w:left w:val="nil"/>
              <w:bottom w:val="single" w:sz="4" w:space="0" w:color="auto"/>
              <w:right w:val="nil"/>
            </w:tcBorders>
            <w:shd w:val="clear" w:color="auto" w:fill="auto"/>
            <w:noWrap/>
            <w:hideMark/>
          </w:tcPr>
          <w:p w14:paraId="67B78633" w14:textId="564D9C28" w:rsidR="006822EF" w:rsidRPr="00C7354B" w:rsidRDefault="006822EF" w:rsidP="00AB066F">
            <w:pPr>
              <w:widowControl w:val="0"/>
              <w:spacing w:line="240" w:lineRule="auto"/>
              <w:jc w:val="left"/>
              <w:rPr>
                <w:rFonts w:cs="Times New Roman"/>
                <w:b/>
                <w:bCs/>
                <w:color w:val="000000" w:themeColor="text1"/>
                <w:kern w:val="2"/>
                <w:sz w:val="22"/>
                <w:lang w:eastAsia="zh-CN"/>
              </w:rPr>
            </w:pPr>
            <w:r w:rsidRPr="00C7354B">
              <w:rPr>
                <w:rFonts w:cs="Times New Roman"/>
                <w:b/>
                <w:bCs/>
                <w:color w:val="000000" w:themeColor="text1"/>
                <w:kern w:val="2"/>
                <w:sz w:val="22"/>
                <w:lang w:eastAsia="zh-CN"/>
              </w:rPr>
              <w:t>Variable</w:t>
            </w:r>
            <w:r w:rsidR="003953A5" w:rsidRPr="00C7354B">
              <w:rPr>
                <w:rFonts w:cs="Times New Roman"/>
                <w:b/>
                <w:bCs/>
                <w:color w:val="000000" w:themeColor="text1"/>
                <w:kern w:val="2"/>
                <w:sz w:val="22"/>
                <w:lang w:eastAsia="zh-CN"/>
              </w:rPr>
              <w:t>s</w:t>
            </w:r>
          </w:p>
        </w:tc>
        <w:tc>
          <w:tcPr>
            <w:tcW w:w="1101" w:type="dxa"/>
            <w:tcBorders>
              <w:top w:val="single" w:sz="4" w:space="0" w:color="auto"/>
              <w:left w:val="nil"/>
              <w:bottom w:val="single" w:sz="4" w:space="0" w:color="auto"/>
              <w:right w:val="nil"/>
            </w:tcBorders>
            <w:shd w:val="clear" w:color="auto" w:fill="auto"/>
            <w:noWrap/>
            <w:hideMark/>
          </w:tcPr>
          <w:p w14:paraId="06A430CA" w14:textId="77777777" w:rsidR="006822EF" w:rsidRPr="00C7354B" w:rsidRDefault="006822EF" w:rsidP="00AB066F">
            <w:pPr>
              <w:widowControl w:val="0"/>
              <w:spacing w:line="240" w:lineRule="auto"/>
              <w:jc w:val="right"/>
              <w:rPr>
                <w:rFonts w:cs="Times New Roman"/>
                <w:b/>
                <w:bCs/>
                <w:i/>
                <w:iCs/>
                <w:color w:val="000000" w:themeColor="text1"/>
                <w:kern w:val="2"/>
                <w:sz w:val="22"/>
                <w:lang w:eastAsia="zh-CN"/>
              </w:rPr>
            </w:pPr>
            <w:r w:rsidRPr="00C7354B">
              <w:rPr>
                <w:rFonts w:cs="Times New Roman"/>
                <w:b/>
                <w:bCs/>
                <w:i/>
                <w:iCs/>
                <w:color w:val="000000" w:themeColor="text1"/>
                <w:kern w:val="2"/>
                <w:sz w:val="22"/>
                <w:lang w:eastAsia="zh-CN"/>
              </w:rPr>
              <w:t>N</w:t>
            </w:r>
          </w:p>
        </w:tc>
        <w:tc>
          <w:tcPr>
            <w:tcW w:w="584" w:type="dxa"/>
            <w:tcBorders>
              <w:top w:val="single" w:sz="4" w:space="0" w:color="auto"/>
              <w:left w:val="nil"/>
              <w:bottom w:val="single" w:sz="4" w:space="0" w:color="auto"/>
              <w:right w:val="nil"/>
            </w:tcBorders>
            <w:shd w:val="clear" w:color="auto" w:fill="auto"/>
            <w:noWrap/>
            <w:hideMark/>
          </w:tcPr>
          <w:p w14:paraId="63F07C30" w14:textId="77777777" w:rsidR="006822EF" w:rsidRPr="00C7354B" w:rsidRDefault="006822EF" w:rsidP="00AB066F">
            <w:pPr>
              <w:widowControl w:val="0"/>
              <w:spacing w:line="240" w:lineRule="auto"/>
              <w:jc w:val="right"/>
              <w:rPr>
                <w:rFonts w:cs="Times New Roman"/>
                <w:b/>
                <w:bCs/>
                <w:i/>
                <w:iCs/>
                <w:color w:val="000000" w:themeColor="text1"/>
                <w:kern w:val="2"/>
                <w:sz w:val="22"/>
                <w:lang w:eastAsia="zh-CN"/>
              </w:rPr>
            </w:pPr>
            <w:r w:rsidRPr="00C7354B">
              <w:rPr>
                <w:rFonts w:cs="Times New Roman"/>
                <w:b/>
                <w:bCs/>
                <w:i/>
                <w:iCs/>
                <w:color w:val="000000" w:themeColor="text1"/>
                <w:kern w:val="2"/>
                <w:sz w:val="22"/>
                <w:lang w:eastAsia="zh-CN"/>
              </w:rPr>
              <w:t>k</w:t>
            </w:r>
          </w:p>
        </w:tc>
        <w:tc>
          <w:tcPr>
            <w:tcW w:w="584" w:type="dxa"/>
            <w:tcBorders>
              <w:top w:val="single" w:sz="4" w:space="0" w:color="auto"/>
              <w:left w:val="nil"/>
              <w:bottom w:val="single" w:sz="4" w:space="0" w:color="auto"/>
              <w:right w:val="nil"/>
            </w:tcBorders>
            <w:shd w:val="clear" w:color="auto" w:fill="auto"/>
            <w:noWrap/>
            <w:hideMark/>
          </w:tcPr>
          <w:p w14:paraId="1BD9303B" w14:textId="77777777" w:rsidR="006822EF" w:rsidRPr="00C7354B" w:rsidRDefault="006822EF" w:rsidP="00AB066F">
            <w:pPr>
              <w:widowControl w:val="0"/>
              <w:spacing w:line="240" w:lineRule="auto"/>
              <w:jc w:val="right"/>
              <w:rPr>
                <w:rFonts w:cs="Times New Roman"/>
                <w:b/>
                <w:bCs/>
                <w:i/>
                <w:iCs/>
                <w:color w:val="000000" w:themeColor="text1"/>
                <w:kern w:val="2"/>
                <w:sz w:val="22"/>
                <w:lang w:eastAsia="zh-CN"/>
              </w:rPr>
            </w:pPr>
            <w:r w:rsidRPr="00C7354B">
              <w:rPr>
                <w:rFonts w:eastAsia="SimSun" w:cs="Times New Roman"/>
                <w:b/>
                <w:bCs/>
                <w:i/>
                <w:iCs/>
                <w:color w:val="000000" w:themeColor="text1"/>
                <w:kern w:val="2"/>
                <w:sz w:val="22"/>
                <w:lang w:eastAsia="zh-CN"/>
              </w:rPr>
              <w:t>r̄</w:t>
            </w:r>
          </w:p>
        </w:tc>
        <w:tc>
          <w:tcPr>
            <w:tcW w:w="584" w:type="dxa"/>
            <w:tcBorders>
              <w:top w:val="single" w:sz="4" w:space="0" w:color="auto"/>
              <w:left w:val="nil"/>
              <w:bottom w:val="single" w:sz="4" w:space="0" w:color="auto"/>
              <w:right w:val="nil"/>
            </w:tcBorders>
            <w:shd w:val="clear" w:color="auto" w:fill="auto"/>
            <w:noWrap/>
            <w:hideMark/>
          </w:tcPr>
          <w:p w14:paraId="761C0565" w14:textId="3974F0FB" w:rsidR="006822EF" w:rsidRPr="00C7354B" w:rsidRDefault="00000000" w:rsidP="00AB066F">
            <w:pPr>
              <w:widowControl w:val="0"/>
              <w:spacing w:line="240" w:lineRule="auto"/>
              <w:jc w:val="center"/>
              <w:rPr>
                <w:rFonts w:cs="Times New Roman"/>
                <w:b/>
                <w:bCs/>
                <w:i/>
                <w:iCs/>
                <w:color w:val="000000" w:themeColor="text1"/>
                <w:kern w:val="2"/>
                <w:sz w:val="22"/>
                <w:lang w:eastAsia="zh-CN"/>
              </w:rPr>
            </w:pPr>
            <m:oMathPara>
              <m:oMathParaPr>
                <m:jc m:val="right"/>
              </m:oMathParaPr>
              <m:oMath>
                <m:sSub>
                  <m:sSubPr>
                    <m:ctrlPr>
                      <w:rPr>
                        <w:rFonts w:ascii="Cambria Math" w:hAnsi="Cambria Math" w:cs="Times New Roman"/>
                        <w:b/>
                        <w:bCs/>
                        <w:i/>
                        <w:iCs/>
                        <w:color w:val="000000" w:themeColor="text1"/>
                        <w:kern w:val="2"/>
                        <w:sz w:val="22"/>
                        <w:lang w:eastAsia="zh-CN"/>
                      </w:rPr>
                    </m:ctrlPr>
                  </m:sSubPr>
                  <m:e>
                    <m:r>
                      <m:rPr>
                        <m:sty m:val="bi"/>
                      </m:rPr>
                      <w:rPr>
                        <w:rFonts w:ascii="Cambria Math" w:hAnsi="Cambria Math" w:cs="Times New Roman"/>
                        <w:color w:val="000000" w:themeColor="text1"/>
                        <w:kern w:val="2"/>
                        <w:sz w:val="22"/>
                        <w:lang w:eastAsia="zh-CN"/>
                      </w:rPr>
                      <m:t>sd</m:t>
                    </m:r>
                  </m:e>
                  <m:sub>
                    <m:r>
                      <m:rPr>
                        <m:sty m:val="bi"/>
                      </m:rPr>
                      <w:rPr>
                        <w:rFonts w:ascii="Cambria Math" w:hAnsi="Cambria Math" w:cs="Times New Roman"/>
                        <w:color w:val="000000" w:themeColor="text1"/>
                        <w:kern w:val="2"/>
                        <w:sz w:val="22"/>
                        <w:lang w:eastAsia="zh-CN"/>
                      </w:rPr>
                      <m:t>r</m:t>
                    </m:r>
                  </m:sub>
                </m:sSub>
              </m:oMath>
            </m:oMathPara>
          </w:p>
        </w:tc>
        <w:tc>
          <w:tcPr>
            <w:tcW w:w="1258" w:type="dxa"/>
            <w:tcBorders>
              <w:top w:val="single" w:sz="4" w:space="0" w:color="auto"/>
              <w:left w:val="nil"/>
              <w:bottom w:val="single" w:sz="4" w:space="0" w:color="auto"/>
              <w:right w:val="nil"/>
            </w:tcBorders>
            <w:shd w:val="clear" w:color="auto" w:fill="auto"/>
            <w:noWrap/>
            <w:hideMark/>
          </w:tcPr>
          <w:p w14:paraId="2C07FC36" w14:textId="77777777" w:rsidR="006822EF" w:rsidRPr="00C7354B" w:rsidRDefault="006822EF" w:rsidP="00AB066F">
            <w:pPr>
              <w:widowControl w:val="0"/>
              <w:spacing w:line="240" w:lineRule="auto"/>
              <w:jc w:val="center"/>
              <w:rPr>
                <w:rFonts w:cs="Times New Roman"/>
                <w:b/>
                <w:bCs/>
                <w:i/>
                <w:iCs/>
                <w:color w:val="000000" w:themeColor="text1"/>
                <w:kern w:val="2"/>
                <w:sz w:val="22"/>
                <w:lang w:eastAsia="zh-CN"/>
              </w:rPr>
            </w:pPr>
            <w:r w:rsidRPr="00C7354B">
              <w:rPr>
                <w:rFonts w:cs="Times New Roman"/>
                <w:b/>
                <w:bCs/>
                <w:color w:val="000000" w:themeColor="text1"/>
                <w:kern w:val="2"/>
                <w:sz w:val="22"/>
                <w:lang w:eastAsia="zh-CN"/>
              </w:rPr>
              <w:t>95%</w:t>
            </w:r>
            <w:r w:rsidRPr="00C7354B">
              <w:rPr>
                <w:rFonts w:cs="Times New Roman"/>
                <w:b/>
                <w:bCs/>
                <w:i/>
                <w:iCs/>
                <w:color w:val="000000" w:themeColor="text1"/>
                <w:kern w:val="2"/>
                <w:sz w:val="22"/>
                <w:lang w:eastAsia="zh-CN"/>
              </w:rPr>
              <w:t xml:space="preserve"> </w:t>
            </w:r>
            <w:r w:rsidRPr="00C7354B">
              <w:rPr>
                <w:rFonts w:cs="Times New Roman"/>
                <w:b/>
                <w:bCs/>
                <w:color w:val="000000" w:themeColor="text1"/>
                <w:kern w:val="2"/>
                <w:sz w:val="22"/>
                <w:lang w:eastAsia="zh-CN"/>
              </w:rPr>
              <w:t>CI</w:t>
            </w:r>
          </w:p>
        </w:tc>
        <w:tc>
          <w:tcPr>
            <w:tcW w:w="1275" w:type="dxa"/>
            <w:tcBorders>
              <w:top w:val="single" w:sz="4" w:space="0" w:color="auto"/>
              <w:left w:val="nil"/>
              <w:bottom w:val="single" w:sz="4" w:space="0" w:color="auto"/>
              <w:right w:val="nil"/>
            </w:tcBorders>
            <w:shd w:val="clear" w:color="auto" w:fill="auto"/>
            <w:noWrap/>
            <w:hideMark/>
          </w:tcPr>
          <w:p w14:paraId="49637BA8" w14:textId="77777777" w:rsidR="006822EF" w:rsidRPr="00C7354B" w:rsidRDefault="006822EF" w:rsidP="00AB066F">
            <w:pPr>
              <w:widowControl w:val="0"/>
              <w:spacing w:line="240" w:lineRule="auto"/>
              <w:jc w:val="center"/>
              <w:rPr>
                <w:rFonts w:cs="Times New Roman"/>
                <w:b/>
                <w:bCs/>
                <w:color w:val="000000" w:themeColor="text1"/>
                <w:kern w:val="2"/>
                <w:sz w:val="22"/>
                <w:lang w:eastAsia="zh-CN"/>
              </w:rPr>
            </w:pPr>
            <w:r w:rsidRPr="00C7354B">
              <w:rPr>
                <w:rFonts w:cs="Times New Roman"/>
                <w:b/>
                <w:bCs/>
                <w:color w:val="000000" w:themeColor="text1"/>
                <w:kern w:val="2"/>
                <w:sz w:val="22"/>
                <w:lang w:eastAsia="zh-CN"/>
              </w:rPr>
              <w:t>80% CR</w:t>
            </w:r>
          </w:p>
        </w:tc>
        <w:tc>
          <w:tcPr>
            <w:tcW w:w="1701" w:type="dxa"/>
            <w:tcBorders>
              <w:top w:val="single" w:sz="4" w:space="0" w:color="auto"/>
              <w:left w:val="nil"/>
              <w:bottom w:val="single" w:sz="4" w:space="0" w:color="auto"/>
              <w:right w:val="nil"/>
            </w:tcBorders>
          </w:tcPr>
          <w:p w14:paraId="088BC649" w14:textId="77777777" w:rsidR="006822EF" w:rsidRPr="00C7354B" w:rsidRDefault="006822EF" w:rsidP="00AB066F">
            <w:pPr>
              <w:widowControl w:val="0"/>
              <w:spacing w:line="240" w:lineRule="auto"/>
              <w:jc w:val="center"/>
              <w:rPr>
                <w:rFonts w:cs="Times New Roman"/>
                <w:b/>
                <w:bCs/>
                <w:color w:val="000000" w:themeColor="text1"/>
                <w:kern w:val="2"/>
                <w:sz w:val="22"/>
                <w:lang w:eastAsia="zh-CN"/>
              </w:rPr>
            </w:pPr>
            <w:r w:rsidRPr="00C7354B">
              <w:rPr>
                <w:rFonts w:eastAsia="SimSun" w:cs="Times New Roman"/>
                <w:b/>
                <w:bCs/>
                <w:color w:val="000000" w:themeColor="text1"/>
                <w:kern w:val="2"/>
                <w:sz w:val="22"/>
                <w:lang w:eastAsia="zh-CN"/>
              </w:rPr>
              <w:t>χ2</w:t>
            </w:r>
          </w:p>
        </w:tc>
      </w:tr>
      <w:tr w:rsidR="002313C0" w:rsidRPr="00C7354B" w14:paraId="6BA1F0D4" w14:textId="77777777" w:rsidTr="00394BE7">
        <w:trPr>
          <w:trHeight w:val="28"/>
          <w:jc w:val="center"/>
        </w:trPr>
        <w:tc>
          <w:tcPr>
            <w:tcW w:w="2552" w:type="dxa"/>
            <w:tcBorders>
              <w:top w:val="nil"/>
              <w:left w:val="nil"/>
              <w:bottom w:val="nil"/>
              <w:right w:val="nil"/>
            </w:tcBorders>
            <w:shd w:val="clear" w:color="auto" w:fill="auto"/>
            <w:noWrap/>
            <w:hideMark/>
          </w:tcPr>
          <w:p w14:paraId="13699206" w14:textId="77777777" w:rsidR="006822EF" w:rsidRPr="00C7354B" w:rsidRDefault="006822EF" w:rsidP="00AB066F">
            <w:pPr>
              <w:widowControl w:val="0"/>
              <w:spacing w:line="240" w:lineRule="auto"/>
              <w:jc w:val="left"/>
              <w:rPr>
                <w:rFonts w:cs="Times New Roman"/>
                <w:color w:val="000000" w:themeColor="text1"/>
                <w:kern w:val="2"/>
                <w:sz w:val="22"/>
                <w:lang w:val="en-US" w:eastAsia="zh-CN"/>
              </w:rPr>
            </w:pPr>
            <w:r w:rsidRPr="00C7354B">
              <w:rPr>
                <w:rFonts w:cs="Times New Roman"/>
                <w:color w:val="000000" w:themeColor="text1"/>
                <w:kern w:val="2"/>
                <w:sz w:val="22"/>
                <w:lang w:val="en-US" w:eastAsia="zh-CN"/>
              </w:rPr>
              <w:t>Board interlocks and firm performance</w:t>
            </w:r>
          </w:p>
        </w:tc>
        <w:tc>
          <w:tcPr>
            <w:tcW w:w="1101" w:type="dxa"/>
            <w:tcBorders>
              <w:top w:val="nil"/>
              <w:left w:val="nil"/>
              <w:bottom w:val="nil"/>
              <w:right w:val="nil"/>
            </w:tcBorders>
            <w:shd w:val="clear" w:color="auto" w:fill="auto"/>
            <w:noWrap/>
            <w:hideMark/>
          </w:tcPr>
          <w:p w14:paraId="54139D5C"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r w:rsidRPr="00C7354B">
              <w:rPr>
                <w:rFonts w:cs="Times New Roman"/>
                <w:color w:val="000000" w:themeColor="text1"/>
                <w:kern w:val="2"/>
                <w:sz w:val="22"/>
                <w:lang w:eastAsia="zh-CN"/>
              </w:rPr>
              <w:t>1,133,014</w:t>
            </w:r>
          </w:p>
        </w:tc>
        <w:tc>
          <w:tcPr>
            <w:tcW w:w="584" w:type="dxa"/>
            <w:tcBorders>
              <w:top w:val="nil"/>
              <w:left w:val="nil"/>
              <w:bottom w:val="nil"/>
              <w:right w:val="nil"/>
            </w:tcBorders>
            <w:shd w:val="clear" w:color="auto" w:fill="auto"/>
            <w:noWrap/>
            <w:hideMark/>
          </w:tcPr>
          <w:p w14:paraId="0F88C092"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r w:rsidRPr="00C7354B">
              <w:rPr>
                <w:rFonts w:cs="Times New Roman"/>
                <w:color w:val="000000" w:themeColor="text1"/>
                <w:kern w:val="2"/>
                <w:sz w:val="22"/>
                <w:lang w:eastAsia="zh-CN"/>
              </w:rPr>
              <w:t>191</w:t>
            </w:r>
          </w:p>
        </w:tc>
        <w:tc>
          <w:tcPr>
            <w:tcW w:w="584" w:type="dxa"/>
            <w:tcBorders>
              <w:top w:val="nil"/>
              <w:left w:val="nil"/>
              <w:bottom w:val="nil"/>
              <w:right w:val="nil"/>
            </w:tcBorders>
            <w:shd w:val="clear" w:color="auto" w:fill="auto"/>
            <w:noWrap/>
            <w:hideMark/>
          </w:tcPr>
          <w:p w14:paraId="0C5054F8"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r w:rsidRPr="00C7354B">
              <w:rPr>
                <w:rFonts w:cs="Times New Roman"/>
                <w:color w:val="000000" w:themeColor="text1"/>
                <w:kern w:val="2"/>
                <w:sz w:val="22"/>
                <w:lang w:eastAsia="zh-CN"/>
              </w:rPr>
              <w:t>.02</w:t>
            </w:r>
          </w:p>
        </w:tc>
        <w:tc>
          <w:tcPr>
            <w:tcW w:w="584" w:type="dxa"/>
            <w:tcBorders>
              <w:top w:val="nil"/>
              <w:left w:val="nil"/>
              <w:bottom w:val="nil"/>
              <w:right w:val="nil"/>
            </w:tcBorders>
            <w:shd w:val="clear" w:color="auto" w:fill="auto"/>
            <w:noWrap/>
            <w:hideMark/>
          </w:tcPr>
          <w:p w14:paraId="00D85CDA"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r w:rsidRPr="00C7354B">
              <w:rPr>
                <w:rFonts w:cs="Times New Roman"/>
                <w:color w:val="000000" w:themeColor="text1"/>
                <w:kern w:val="2"/>
                <w:sz w:val="22"/>
                <w:lang w:eastAsia="zh-CN"/>
              </w:rPr>
              <w:t>.01</w:t>
            </w:r>
          </w:p>
        </w:tc>
        <w:tc>
          <w:tcPr>
            <w:tcW w:w="1258" w:type="dxa"/>
            <w:tcBorders>
              <w:top w:val="nil"/>
              <w:left w:val="nil"/>
              <w:bottom w:val="nil"/>
              <w:right w:val="nil"/>
            </w:tcBorders>
            <w:shd w:val="clear" w:color="auto" w:fill="auto"/>
            <w:noWrap/>
            <w:hideMark/>
          </w:tcPr>
          <w:p w14:paraId="076ED7DD" w14:textId="77777777" w:rsidR="006822EF" w:rsidRPr="00C7354B" w:rsidRDefault="006822EF" w:rsidP="00AB066F">
            <w:pPr>
              <w:widowControl w:val="0"/>
              <w:spacing w:line="240" w:lineRule="auto"/>
              <w:jc w:val="center"/>
              <w:rPr>
                <w:rFonts w:cs="Times New Roman"/>
                <w:color w:val="000000" w:themeColor="text1"/>
                <w:kern w:val="2"/>
                <w:sz w:val="22"/>
                <w:lang w:eastAsia="zh-CN"/>
              </w:rPr>
            </w:pPr>
            <w:r w:rsidRPr="00C7354B">
              <w:rPr>
                <w:rFonts w:cs="Times New Roman"/>
                <w:color w:val="000000" w:themeColor="text1"/>
                <w:kern w:val="2"/>
                <w:sz w:val="22"/>
                <w:lang w:eastAsia="zh-CN"/>
              </w:rPr>
              <w:t>[.01: .02]</w:t>
            </w:r>
          </w:p>
        </w:tc>
        <w:tc>
          <w:tcPr>
            <w:tcW w:w="1275" w:type="dxa"/>
            <w:tcBorders>
              <w:top w:val="nil"/>
              <w:left w:val="nil"/>
              <w:bottom w:val="nil"/>
              <w:right w:val="nil"/>
            </w:tcBorders>
            <w:shd w:val="clear" w:color="auto" w:fill="auto"/>
            <w:noWrap/>
            <w:hideMark/>
          </w:tcPr>
          <w:p w14:paraId="425BE365" w14:textId="77777777" w:rsidR="006822EF" w:rsidRPr="00C7354B" w:rsidRDefault="006822EF" w:rsidP="00AB066F">
            <w:pPr>
              <w:widowControl w:val="0"/>
              <w:spacing w:line="240" w:lineRule="auto"/>
              <w:jc w:val="center"/>
              <w:rPr>
                <w:rFonts w:cs="Times New Roman"/>
                <w:color w:val="000000" w:themeColor="text1"/>
                <w:kern w:val="2"/>
                <w:sz w:val="22"/>
                <w:lang w:eastAsia="zh-CN"/>
              </w:rPr>
            </w:pPr>
            <w:r w:rsidRPr="00C7354B">
              <w:rPr>
                <w:rFonts w:cs="Times New Roman"/>
                <w:color w:val="000000" w:themeColor="text1"/>
                <w:kern w:val="2"/>
                <w:sz w:val="22"/>
                <w:lang w:eastAsia="zh-CN"/>
              </w:rPr>
              <w:t>[-.05: .08]</w:t>
            </w:r>
          </w:p>
        </w:tc>
        <w:tc>
          <w:tcPr>
            <w:tcW w:w="1701" w:type="dxa"/>
            <w:tcBorders>
              <w:top w:val="nil"/>
              <w:left w:val="nil"/>
              <w:bottom w:val="nil"/>
              <w:right w:val="nil"/>
            </w:tcBorders>
          </w:tcPr>
          <w:p w14:paraId="5A2F822D" w14:textId="77777777" w:rsidR="006822EF" w:rsidRPr="00C7354B" w:rsidRDefault="006822EF" w:rsidP="00AB066F">
            <w:pPr>
              <w:widowControl w:val="0"/>
              <w:spacing w:line="240" w:lineRule="auto"/>
              <w:jc w:val="center"/>
              <w:rPr>
                <w:rFonts w:cs="Times New Roman"/>
                <w:color w:val="000000" w:themeColor="text1"/>
                <w:kern w:val="2"/>
                <w:sz w:val="22"/>
                <w:lang w:eastAsia="zh-CN"/>
              </w:rPr>
            </w:pPr>
            <w:r w:rsidRPr="00C7354B">
              <w:rPr>
                <w:rFonts w:cs="Times New Roman"/>
                <w:color w:val="000000" w:themeColor="text1"/>
                <w:kern w:val="2"/>
                <w:sz w:val="22"/>
                <w:lang w:eastAsia="zh-CN"/>
              </w:rPr>
              <w:t xml:space="preserve">2415.60 </w:t>
            </w:r>
            <w:r w:rsidRPr="00C7354B">
              <w:rPr>
                <w:rFonts w:eastAsia="Helvetica" w:cs="Times New Roman"/>
                <w:color w:val="000000" w:themeColor="text1"/>
                <w:sz w:val="22"/>
              </w:rPr>
              <w:t>[&lt;.001]</w:t>
            </w:r>
          </w:p>
        </w:tc>
      </w:tr>
      <w:tr w:rsidR="002313C0" w:rsidRPr="00C7354B" w14:paraId="4237D17B" w14:textId="77777777" w:rsidTr="00394BE7">
        <w:trPr>
          <w:trHeight w:val="28"/>
          <w:jc w:val="center"/>
        </w:trPr>
        <w:tc>
          <w:tcPr>
            <w:tcW w:w="2552" w:type="dxa"/>
            <w:tcBorders>
              <w:top w:val="nil"/>
              <w:left w:val="nil"/>
              <w:bottom w:val="nil"/>
              <w:right w:val="nil"/>
            </w:tcBorders>
            <w:shd w:val="clear" w:color="auto" w:fill="auto"/>
            <w:noWrap/>
          </w:tcPr>
          <w:p w14:paraId="3EA0F837" w14:textId="77777777" w:rsidR="006822EF" w:rsidRPr="00C7354B" w:rsidRDefault="006822EF" w:rsidP="00AB066F">
            <w:pPr>
              <w:widowControl w:val="0"/>
              <w:spacing w:line="240" w:lineRule="auto"/>
              <w:jc w:val="left"/>
              <w:rPr>
                <w:rFonts w:cs="Times New Roman"/>
                <w:color w:val="000000" w:themeColor="text1"/>
                <w:kern w:val="2"/>
                <w:sz w:val="22"/>
                <w:lang w:eastAsia="zh-CN"/>
              </w:rPr>
            </w:pPr>
            <w:r w:rsidRPr="00C7354B">
              <w:rPr>
                <w:rFonts w:cs="Times New Roman"/>
                <w:color w:val="000000" w:themeColor="text1"/>
                <w:kern w:val="2"/>
                <w:sz w:val="22"/>
                <w:lang w:eastAsia="zh-CN"/>
              </w:rPr>
              <w:t>Performance measures</w:t>
            </w:r>
          </w:p>
        </w:tc>
        <w:tc>
          <w:tcPr>
            <w:tcW w:w="1101" w:type="dxa"/>
            <w:tcBorders>
              <w:top w:val="nil"/>
              <w:left w:val="nil"/>
              <w:bottom w:val="nil"/>
              <w:right w:val="nil"/>
            </w:tcBorders>
            <w:shd w:val="clear" w:color="auto" w:fill="auto"/>
            <w:noWrap/>
          </w:tcPr>
          <w:p w14:paraId="405F31EB"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p>
        </w:tc>
        <w:tc>
          <w:tcPr>
            <w:tcW w:w="584" w:type="dxa"/>
            <w:tcBorders>
              <w:top w:val="nil"/>
              <w:left w:val="nil"/>
              <w:bottom w:val="nil"/>
              <w:right w:val="nil"/>
            </w:tcBorders>
            <w:shd w:val="clear" w:color="auto" w:fill="auto"/>
            <w:noWrap/>
          </w:tcPr>
          <w:p w14:paraId="1F0AD958"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p>
        </w:tc>
        <w:tc>
          <w:tcPr>
            <w:tcW w:w="584" w:type="dxa"/>
            <w:tcBorders>
              <w:top w:val="nil"/>
              <w:left w:val="nil"/>
              <w:bottom w:val="nil"/>
              <w:right w:val="nil"/>
            </w:tcBorders>
            <w:shd w:val="clear" w:color="auto" w:fill="auto"/>
            <w:noWrap/>
          </w:tcPr>
          <w:p w14:paraId="7E40B7B1"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p>
        </w:tc>
        <w:tc>
          <w:tcPr>
            <w:tcW w:w="584" w:type="dxa"/>
            <w:tcBorders>
              <w:top w:val="nil"/>
              <w:left w:val="nil"/>
              <w:bottom w:val="nil"/>
              <w:right w:val="nil"/>
            </w:tcBorders>
            <w:shd w:val="clear" w:color="auto" w:fill="auto"/>
            <w:noWrap/>
          </w:tcPr>
          <w:p w14:paraId="13D40062"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p>
        </w:tc>
        <w:tc>
          <w:tcPr>
            <w:tcW w:w="1258" w:type="dxa"/>
            <w:tcBorders>
              <w:top w:val="nil"/>
              <w:left w:val="nil"/>
              <w:bottom w:val="nil"/>
              <w:right w:val="nil"/>
            </w:tcBorders>
            <w:shd w:val="clear" w:color="auto" w:fill="auto"/>
            <w:noWrap/>
          </w:tcPr>
          <w:p w14:paraId="471F657A" w14:textId="77777777" w:rsidR="006822EF" w:rsidRPr="00C7354B" w:rsidRDefault="006822EF" w:rsidP="00AB066F">
            <w:pPr>
              <w:widowControl w:val="0"/>
              <w:spacing w:line="240" w:lineRule="auto"/>
              <w:jc w:val="center"/>
              <w:rPr>
                <w:rFonts w:cs="Times New Roman"/>
                <w:color w:val="000000" w:themeColor="text1"/>
                <w:kern w:val="2"/>
                <w:sz w:val="22"/>
                <w:lang w:eastAsia="zh-CN"/>
              </w:rPr>
            </w:pPr>
          </w:p>
        </w:tc>
        <w:tc>
          <w:tcPr>
            <w:tcW w:w="1275" w:type="dxa"/>
            <w:tcBorders>
              <w:top w:val="nil"/>
              <w:left w:val="nil"/>
              <w:bottom w:val="nil"/>
              <w:right w:val="nil"/>
            </w:tcBorders>
            <w:shd w:val="clear" w:color="auto" w:fill="auto"/>
            <w:noWrap/>
          </w:tcPr>
          <w:p w14:paraId="1A84C3CD" w14:textId="77777777" w:rsidR="006822EF" w:rsidRPr="00C7354B" w:rsidRDefault="006822EF" w:rsidP="00AB066F">
            <w:pPr>
              <w:widowControl w:val="0"/>
              <w:spacing w:line="240" w:lineRule="auto"/>
              <w:jc w:val="center"/>
              <w:rPr>
                <w:rFonts w:cs="Times New Roman"/>
                <w:color w:val="000000" w:themeColor="text1"/>
                <w:kern w:val="2"/>
                <w:sz w:val="22"/>
                <w:lang w:eastAsia="zh-CN"/>
              </w:rPr>
            </w:pPr>
          </w:p>
        </w:tc>
        <w:tc>
          <w:tcPr>
            <w:tcW w:w="1701" w:type="dxa"/>
            <w:tcBorders>
              <w:top w:val="nil"/>
              <w:left w:val="nil"/>
              <w:bottom w:val="nil"/>
              <w:right w:val="nil"/>
            </w:tcBorders>
          </w:tcPr>
          <w:p w14:paraId="72585813" w14:textId="77777777" w:rsidR="006822EF" w:rsidRPr="00C7354B" w:rsidRDefault="006822EF" w:rsidP="00AB066F">
            <w:pPr>
              <w:widowControl w:val="0"/>
              <w:spacing w:line="240" w:lineRule="auto"/>
              <w:jc w:val="center"/>
              <w:rPr>
                <w:rFonts w:cs="Times New Roman"/>
                <w:color w:val="000000" w:themeColor="text1"/>
                <w:kern w:val="2"/>
                <w:sz w:val="22"/>
                <w:lang w:eastAsia="zh-CN"/>
              </w:rPr>
            </w:pPr>
          </w:p>
        </w:tc>
      </w:tr>
      <w:tr w:rsidR="002313C0" w:rsidRPr="00C7354B" w14:paraId="27B145C0" w14:textId="77777777" w:rsidTr="00394BE7">
        <w:trPr>
          <w:trHeight w:val="28"/>
          <w:jc w:val="center"/>
        </w:trPr>
        <w:tc>
          <w:tcPr>
            <w:tcW w:w="2552" w:type="dxa"/>
            <w:tcBorders>
              <w:top w:val="nil"/>
              <w:left w:val="nil"/>
              <w:bottom w:val="nil"/>
              <w:right w:val="nil"/>
            </w:tcBorders>
            <w:shd w:val="clear" w:color="auto" w:fill="auto"/>
            <w:noWrap/>
          </w:tcPr>
          <w:p w14:paraId="726C29D5" w14:textId="77777777" w:rsidR="006822EF" w:rsidRPr="00C7354B" w:rsidRDefault="006822EF" w:rsidP="00AB066F">
            <w:pPr>
              <w:widowControl w:val="0"/>
              <w:spacing w:line="240" w:lineRule="auto"/>
              <w:jc w:val="left"/>
              <w:rPr>
                <w:rFonts w:cs="Times New Roman"/>
                <w:color w:val="000000" w:themeColor="text1"/>
                <w:kern w:val="2"/>
                <w:sz w:val="22"/>
                <w:lang w:eastAsia="zh-CN"/>
              </w:rPr>
            </w:pPr>
            <w:r w:rsidRPr="00C7354B">
              <w:rPr>
                <w:rFonts w:cs="Times New Roman"/>
                <w:color w:val="000000" w:themeColor="text1"/>
                <w:kern w:val="2"/>
                <w:sz w:val="22"/>
                <w:lang w:eastAsia="zh-CN"/>
              </w:rPr>
              <w:t xml:space="preserve">     Accounting measures</w:t>
            </w:r>
          </w:p>
        </w:tc>
        <w:tc>
          <w:tcPr>
            <w:tcW w:w="1101" w:type="dxa"/>
            <w:tcBorders>
              <w:top w:val="nil"/>
              <w:left w:val="nil"/>
              <w:bottom w:val="nil"/>
              <w:right w:val="nil"/>
            </w:tcBorders>
            <w:shd w:val="clear" w:color="auto" w:fill="auto"/>
            <w:noWrap/>
          </w:tcPr>
          <w:p w14:paraId="3A8DBB87"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r w:rsidRPr="00C7354B">
              <w:rPr>
                <w:rFonts w:cs="Times New Roman"/>
                <w:color w:val="000000" w:themeColor="text1"/>
                <w:kern w:val="2"/>
                <w:sz w:val="22"/>
                <w:lang w:eastAsia="zh-CN"/>
              </w:rPr>
              <w:t>840,342</w:t>
            </w:r>
          </w:p>
        </w:tc>
        <w:tc>
          <w:tcPr>
            <w:tcW w:w="584" w:type="dxa"/>
            <w:tcBorders>
              <w:top w:val="nil"/>
              <w:left w:val="nil"/>
              <w:bottom w:val="nil"/>
              <w:right w:val="nil"/>
            </w:tcBorders>
            <w:shd w:val="clear" w:color="auto" w:fill="auto"/>
            <w:noWrap/>
          </w:tcPr>
          <w:p w14:paraId="6A5FFA4A"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r w:rsidRPr="00C7354B">
              <w:rPr>
                <w:rFonts w:cs="Times New Roman"/>
                <w:color w:val="000000" w:themeColor="text1"/>
                <w:kern w:val="2"/>
                <w:sz w:val="22"/>
                <w:lang w:eastAsia="zh-CN"/>
              </w:rPr>
              <w:t>129</w:t>
            </w:r>
          </w:p>
        </w:tc>
        <w:tc>
          <w:tcPr>
            <w:tcW w:w="584" w:type="dxa"/>
            <w:tcBorders>
              <w:top w:val="nil"/>
              <w:left w:val="nil"/>
              <w:bottom w:val="nil"/>
              <w:right w:val="nil"/>
            </w:tcBorders>
            <w:shd w:val="clear" w:color="auto" w:fill="auto"/>
            <w:noWrap/>
          </w:tcPr>
          <w:p w14:paraId="7F11D753"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r w:rsidRPr="00C7354B">
              <w:rPr>
                <w:rFonts w:cs="Times New Roman"/>
                <w:color w:val="000000" w:themeColor="text1"/>
                <w:kern w:val="2"/>
                <w:sz w:val="22"/>
                <w:lang w:eastAsia="zh-CN"/>
              </w:rPr>
              <w:t>.02</w:t>
            </w:r>
          </w:p>
        </w:tc>
        <w:tc>
          <w:tcPr>
            <w:tcW w:w="584" w:type="dxa"/>
            <w:tcBorders>
              <w:top w:val="nil"/>
              <w:left w:val="nil"/>
              <w:bottom w:val="nil"/>
              <w:right w:val="nil"/>
            </w:tcBorders>
            <w:shd w:val="clear" w:color="auto" w:fill="auto"/>
            <w:noWrap/>
          </w:tcPr>
          <w:p w14:paraId="6A7E8150"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r w:rsidRPr="00C7354B">
              <w:rPr>
                <w:rFonts w:cs="Times New Roman"/>
                <w:color w:val="000000" w:themeColor="text1"/>
                <w:kern w:val="2"/>
                <w:sz w:val="22"/>
                <w:lang w:eastAsia="zh-CN"/>
              </w:rPr>
              <w:t>.01</w:t>
            </w:r>
          </w:p>
        </w:tc>
        <w:tc>
          <w:tcPr>
            <w:tcW w:w="1258" w:type="dxa"/>
            <w:tcBorders>
              <w:top w:val="nil"/>
              <w:left w:val="nil"/>
              <w:bottom w:val="nil"/>
              <w:right w:val="nil"/>
            </w:tcBorders>
            <w:shd w:val="clear" w:color="auto" w:fill="auto"/>
            <w:noWrap/>
          </w:tcPr>
          <w:p w14:paraId="1233C523" w14:textId="77777777" w:rsidR="006822EF" w:rsidRPr="00C7354B" w:rsidRDefault="006822EF" w:rsidP="00AB066F">
            <w:pPr>
              <w:widowControl w:val="0"/>
              <w:spacing w:line="240" w:lineRule="auto"/>
              <w:jc w:val="center"/>
              <w:rPr>
                <w:rFonts w:cs="Times New Roman"/>
                <w:color w:val="000000" w:themeColor="text1"/>
                <w:kern w:val="2"/>
                <w:sz w:val="22"/>
                <w:lang w:eastAsia="zh-CN"/>
              </w:rPr>
            </w:pPr>
            <w:r w:rsidRPr="00C7354B">
              <w:rPr>
                <w:rFonts w:cs="Times New Roman"/>
                <w:color w:val="000000" w:themeColor="text1"/>
                <w:kern w:val="2"/>
                <w:sz w:val="22"/>
                <w:lang w:eastAsia="zh-CN"/>
              </w:rPr>
              <w:t>[.01: .03]</w:t>
            </w:r>
          </w:p>
        </w:tc>
        <w:tc>
          <w:tcPr>
            <w:tcW w:w="1275" w:type="dxa"/>
            <w:tcBorders>
              <w:top w:val="nil"/>
              <w:left w:val="nil"/>
              <w:bottom w:val="nil"/>
              <w:right w:val="nil"/>
            </w:tcBorders>
            <w:shd w:val="clear" w:color="auto" w:fill="auto"/>
            <w:noWrap/>
          </w:tcPr>
          <w:p w14:paraId="671E98D8" w14:textId="77777777" w:rsidR="006822EF" w:rsidRPr="00C7354B" w:rsidRDefault="006822EF" w:rsidP="00AB066F">
            <w:pPr>
              <w:widowControl w:val="0"/>
              <w:spacing w:line="240" w:lineRule="auto"/>
              <w:jc w:val="center"/>
              <w:rPr>
                <w:rFonts w:cs="Times New Roman"/>
                <w:color w:val="000000" w:themeColor="text1"/>
                <w:kern w:val="2"/>
                <w:sz w:val="22"/>
                <w:lang w:eastAsia="zh-CN"/>
              </w:rPr>
            </w:pPr>
            <w:r w:rsidRPr="00C7354B">
              <w:rPr>
                <w:rFonts w:cs="Times New Roman"/>
                <w:color w:val="000000" w:themeColor="text1"/>
                <w:kern w:val="2"/>
                <w:sz w:val="22"/>
                <w:lang w:eastAsia="zh-CN"/>
              </w:rPr>
              <w:t>[-.06: .11]</w:t>
            </w:r>
          </w:p>
        </w:tc>
        <w:tc>
          <w:tcPr>
            <w:tcW w:w="1701" w:type="dxa"/>
            <w:tcBorders>
              <w:top w:val="nil"/>
              <w:left w:val="nil"/>
              <w:bottom w:val="nil"/>
              <w:right w:val="nil"/>
            </w:tcBorders>
          </w:tcPr>
          <w:p w14:paraId="1BDA7B1A" w14:textId="77777777" w:rsidR="006822EF" w:rsidRPr="00C7354B" w:rsidRDefault="006822EF" w:rsidP="00AB066F">
            <w:pPr>
              <w:widowControl w:val="0"/>
              <w:spacing w:line="240" w:lineRule="auto"/>
              <w:jc w:val="center"/>
              <w:rPr>
                <w:rFonts w:cs="Times New Roman"/>
                <w:color w:val="000000" w:themeColor="text1"/>
                <w:kern w:val="2"/>
                <w:sz w:val="22"/>
                <w:lang w:eastAsia="zh-CN"/>
              </w:rPr>
            </w:pPr>
            <w:r w:rsidRPr="00C7354B">
              <w:rPr>
                <w:rFonts w:cs="Times New Roman"/>
                <w:color w:val="000000" w:themeColor="text1"/>
                <w:kern w:val="2"/>
                <w:sz w:val="22"/>
                <w:lang w:eastAsia="zh-CN"/>
              </w:rPr>
              <w:t xml:space="preserve">1156.64 </w:t>
            </w:r>
            <w:r w:rsidRPr="00C7354B">
              <w:rPr>
                <w:rFonts w:eastAsia="Helvetica" w:cs="Times New Roman"/>
                <w:color w:val="000000" w:themeColor="text1"/>
                <w:sz w:val="22"/>
              </w:rPr>
              <w:t>[&lt;.001]</w:t>
            </w:r>
          </w:p>
        </w:tc>
      </w:tr>
      <w:tr w:rsidR="002313C0" w:rsidRPr="00C7354B" w14:paraId="56A0691F" w14:textId="77777777" w:rsidTr="00394BE7">
        <w:trPr>
          <w:trHeight w:val="28"/>
          <w:jc w:val="center"/>
        </w:trPr>
        <w:tc>
          <w:tcPr>
            <w:tcW w:w="2552" w:type="dxa"/>
            <w:tcBorders>
              <w:top w:val="nil"/>
              <w:left w:val="nil"/>
              <w:bottom w:val="nil"/>
              <w:right w:val="nil"/>
            </w:tcBorders>
            <w:shd w:val="clear" w:color="auto" w:fill="auto"/>
            <w:noWrap/>
          </w:tcPr>
          <w:p w14:paraId="56CD9E28" w14:textId="77777777" w:rsidR="006822EF" w:rsidRPr="00C7354B" w:rsidRDefault="006822EF" w:rsidP="00AB066F">
            <w:pPr>
              <w:widowControl w:val="0"/>
              <w:spacing w:line="240" w:lineRule="auto"/>
              <w:jc w:val="left"/>
              <w:rPr>
                <w:rFonts w:cs="Times New Roman"/>
                <w:color w:val="000000" w:themeColor="text1"/>
                <w:kern w:val="2"/>
                <w:sz w:val="22"/>
                <w:lang w:eastAsia="zh-CN"/>
              </w:rPr>
            </w:pPr>
            <w:r w:rsidRPr="00C7354B">
              <w:rPr>
                <w:rFonts w:cs="Times New Roman"/>
                <w:color w:val="000000" w:themeColor="text1"/>
                <w:kern w:val="2"/>
                <w:sz w:val="22"/>
                <w:lang w:eastAsia="zh-CN"/>
              </w:rPr>
              <w:t xml:space="preserve">     Market measures</w:t>
            </w:r>
          </w:p>
        </w:tc>
        <w:tc>
          <w:tcPr>
            <w:tcW w:w="1101" w:type="dxa"/>
            <w:tcBorders>
              <w:top w:val="nil"/>
              <w:left w:val="nil"/>
              <w:bottom w:val="nil"/>
              <w:right w:val="nil"/>
            </w:tcBorders>
            <w:shd w:val="clear" w:color="auto" w:fill="auto"/>
            <w:noWrap/>
          </w:tcPr>
          <w:p w14:paraId="29394258"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r w:rsidRPr="00C7354B">
              <w:rPr>
                <w:rFonts w:cs="Times New Roman"/>
                <w:color w:val="000000" w:themeColor="text1"/>
                <w:kern w:val="2"/>
                <w:sz w:val="22"/>
                <w:lang w:eastAsia="zh-CN"/>
              </w:rPr>
              <w:t>292,672</w:t>
            </w:r>
          </w:p>
        </w:tc>
        <w:tc>
          <w:tcPr>
            <w:tcW w:w="584" w:type="dxa"/>
            <w:tcBorders>
              <w:top w:val="nil"/>
              <w:left w:val="nil"/>
              <w:bottom w:val="nil"/>
              <w:right w:val="nil"/>
            </w:tcBorders>
            <w:shd w:val="clear" w:color="auto" w:fill="auto"/>
            <w:noWrap/>
          </w:tcPr>
          <w:p w14:paraId="14B2ED55"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r w:rsidRPr="00C7354B">
              <w:rPr>
                <w:rFonts w:cs="Times New Roman"/>
                <w:color w:val="000000" w:themeColor="text1"/>
                <w:kern w:val="2"/>
                <w:sz w:val="22"/>
                <w:lang w:eastAsia="zh-CN"/>
              </w:rPr>
              <w:t>62</w:t>
            </w:r>
          </w:p>
        </w:tc>
        <w:tc>
          <w:tcPr>
            <w:tcW w:w="584" w:type="dxa"/>
            <w:tcBorders>
              <w:top w:val="nil"/>
              <w:left w:val="nil"/>
              <w:bottom w:val="nil"/>
              <w:right w:val="nil"/>
            </w:tcBorders>
            <w:shd w:val="clear" w:color="auto" w:fill="auto"/>
            <w:noWrap/>
          </w:tcPr>
          <w:p w14:paraId="2F4794AC"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r w:rsidRPr="00C7354B">
              <w:rPr>
                <w:rFonts w:cs="Times New Roman"/>
                <w:color w:val="000000" w:themeColor="text1"/>
                <w:kern w:val="2"/>
                <w:sz w:val="22"/>
                <w:lang w:eastAsia="zh-CN"/>
              </w:rPr>
              <w:t>.00</w:t>
            </w:r>
          </w:p>
        </w:tc>
        <w:tc>
          <w:tcPr>
            <w:tcW w:w="584" w:type="dxa"/>
            <w:tcBorders>
              <w:top w:val="nil"/>
              <w:left w:val="nil"/>
              <w:bottom w:val="nil"/>
              <w:right w:val="nil"/>
            </w:tcBorders>
            <w:shd w:val="clear" w:color="auto" w:fill="auto"/>
            <w:noWrap/>
          </w:tcPr>
          <w:p w14:paraId="681F4633"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r w:rsidRPr="00C7354B">
              <w:rPr>
                <w:rFonts w:cs="Times New Roman"/>
                <w:color w:val="000000" w:themeColor="text1"/>
                <w:kern w:val="2"/>
                <w:sz w:val="22"/>
                <w:lang w:eastAsia="zh-CN"/>
              </w:rPr>
              <w:t>.01</w:t>
            </w:r>
          </w:p>
        </w:tc>
        <w:tc>
          <w:tcPr>
            <w:tcW w:w="1258" w:type="dxa"/>
            <w:tcBorders>
              <w:top w:val="nil"/>
              <w:left w:val="nil"/>
              <w:bottom w:val="nil"/>
              <w:right w:val="nil"/>
            </w:tcBorders>
            <w:shd w:val="clear" w:color="auto" w:fill="auto"/>
            <w:noWrap/>
          </w:tcPr>
          <w:p w14:paraId="12D509D1" w14:textId="77777777" w:rsidR="006822EF" w:rsidRPr="00C7354B" w:rsidRDefault="006822EF" w:rsidP="00AB066F">
            <w:pPr>
              <w:widowControl w:val="0"/>
              <w:spacing w:line="240" w:lineRule="auto"/>
              <w:jc w:val="center"/>
              <w:rPr>
                <w:rFonts w:cs="Times New Roman"/>
                <w:color w:val="000000" w:themeColor="text1"/>
                <w:kern w:val="2"/>
                <w:sz w:val="22"/>
                <w:lang w:eastAsia="zh-CN"/>
              </w:rPr>
            </w:pPr>
            <w:r w:rsidRPr="00C7354B">
              <w:rPr>
                <w:rFonts w:cs="Times New Roman"/>
                <w:color w:val="000000" w:themeColor="text1"/>
                <w:kern w:val="2"/>
                <w:sz w:val="22"/>
                <w:lang w:eastAsia="zh-CN"/>
              </w:rPr>
              <w:t>[-.02: .02]</w:t>
            </w:r>
          </w:p>
        </w:tc>
        <w:tc>
          <w:tcPr>
            <w:tcW w:w="1275" w:type="dxa"/>
            <w:tcBorders>
              <w:top w:val="nil"/>
              <w:left w:val="nil"/>
              <w:bottom w:val="nil"/>
              <w:right w:val="nil"/>
            </w:tcBorders>
            <w:shd w:val="clear" w:color="auto" w:fill="auto"/>
            <w:noWrap/>
          </w:tcPr>
          <w:p w14:paraId="11E65100" w14:textId="77777777" w:rsidR="006822EF" w:rsidRPr="00C7354B" w:rsidRDefault="006822EF" w:rsidP="00AB066F">
            <w:pPr>
              <w:widowControl w:val="0"/>
              <w:spacing w:line="240" w:lineRule="auto"/>
              <w:jc w:val="center"/>
              <w:rPr>
                <w:rFonts w:cs="Times New Roman"/>
                <w:color w:val="000000" w:themeColor="text1"/>
                <w:kern w:val="2"/>
                <w:sz w:val="22"/>
                <w:lang w:eastAsia="zh-CN"/>
              </w:rPr>
            </w:pPr>
            <w:r w:rsidRPr="00C7354B">
              <w:rPr>
                <w:rFonts w:cs="Times New Roman"/>
                <w:color w:val="000000" w:themeColor="text1"/>
                <w:kern w:val="2"/>
                <w:sz w:val="22"/>
                <w:lang w:eastAsia="zh-CN"/>
              </w:rPr>
              <w:t>[-.14: .14]</w:t>
            </w:r>
          </w:p>
        </w:tc>
        <w:tc>
          <w:tcPr>
            <w:tcW w:w="1701" w:type="dxa"/>
            <w:tcBorders>
              <w:top w:val="nil"/>
              <w:left w:val="nil"/>
              <w:bottom w:val="nil"/>
              <w:right w:val="nil"/>
            </w:tcBorders>
          </w:tcPr>
          <w:p w14:paraId="4BBE17B5" w14:textId="77777777" w:rsidR="006822EF" w:rsidRPr="00C7354B" w:rsidRDefault="006822EF" w:rsidP="00AB066F">
            <w:pPr>
              <w:widowControl w:val="0"/>
              <w:spacing w:line="240" w:lineRule="auto"/>
              <w:jc w:val="center"/>
              <w:rPr>
                <w:rFonts w:cs="Times New Roman"/>
                <w:color w:val="000000" w:themeColor="text1"/>
                <w:kern w:val="2"/>
                <w:sz w:val="22"/>
                <w:lang w:eastAsia="zh-CN"/>
              </w:rPr>
            </w:pPr>
            <w:r w:rsidRPr="00C7354B">
              <w:rPr>
                <w:rFonts w:cs="Times New Roman"/>
                <w:color w:val="000000" w:themeColor="text1"/>
                <w:kern w:val="2"/>
                <w:sz w:val="22"/>
                <w:lang w:eastAsia="zh-CN"/>
              </w:rPr>
              <w:t xml:space="preserve">1172.41 </w:t>
            </w:r>
            <w:r w:rsidRPr="00C7354B">
              <w:rPr>
                <w:rFonts w:eastAsia="Helvetica" w:cs="Times New Roman"/>
                <w:color w:val="000000" w:themeColor="text1"/>
                <w:sz w:val="22"/>
              </w:rPr>
              <w:t>[&lt;.001]</w:t>
            </w:r>
          </w:p>
        </w:tc>
      </w:tr>
      <w:tr w:rsidR="002313C0" w:rsidRPr="00C7354B" w14:paraId="7A6ABD27" w14:textId="77777777" w:rsidTr="00394BE7">
        <w:trPr>
          <w:trHeight w:val="28"/>
          <w:jc w:val="center"/>
        </w:trPr>
        <w:tc>
          <w:tcPr>
            <w:tcW w:w="2552" w:type="dxa"/>
            <w:tcBorders>
              <w:top w:val="nil"/>
              <w:left w:val="nil"/>
              <w:bottom w:val="nil"/>
              <w:right w:val="nil"/>
            </w:tcBorders>
            <w:shd w:val="clear" w:color="auto" w:fill="auto"/>
            <w:noWrap/>
          </w:tcPr>
          <w:p w14:paraId="62EDB974" w14:textId="77777777" w:rsidR="006822EF" w:rsidRPr="00C7354B" w:rsidRDefault="006822EF" w:rsidP="00AB066F">
            <w:pPr>
              <w:widowControl w:val="0"/>
              <w:spacing w:line="240" w:lineRule="auto"/>
              <w:jc w:val="left"/>
              <w:rPr>
                <w:rFonts w:cs="Times New Roman"/>
                <w:color w:val="000000" w:themeColor="text1"/>
                <w:kern w:val="2"/>
                <w:sz w:val="22"/>
                <w:lang w:eastAsia="zh-CN"/>
              </w:rPr>
            </w:pPr>
            <w:r w:rsidRPr="00C7354B">
              <w:rPr>
                <w:rFonts w:cs="Times New Roman"/>
                <w:color w:val="000000" w:themeColor="text1"/>
                <w:kern w:val="2"/>
                <w:sz w:val="22"/>
                <w:lang w:eastAsia="zh-CN"/>
              </w:rPr>
              <w:t>Geographic location</w:t>
            </w:r>
          </w:p>
        </w:tc>
        <w:tc>
          <w:tcPr>
            <w:tcW w:w="1101" w:type="dxa"/>
            <w:tcBorders>
              <w:top w:val="nil"/>
              <w:left w:val="nil"/>
              <w:bottom w:val="nil"/>
              <w:right w:val="nil"/>
            </w:tcBorders>
            <w:shd w:val="clear" w:color="auto" w:fill="auto"/>
            <w:noWrap/>
          </w:tcPr>
          <w:p w14:paraId="54F08642"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p>
        </w:tc>
        <w:tc>
          <w:tcPr>
            <w:tcW w:w="584" w:type="dxa"/>
            <w:tcBorders>
              <w:top w:val="nil"/>
              <w:left w:val="nil"/>
              <w:bottom w:val="nil"/>
              <w:right w:val="nil"/>
            </w:tcBorders>
            <w:shd w:val="clear" w:color="auto" w:fill="auto"/>
            <w:noWrap/>
          </w:tcPr>
          <w:p w14:paraId="2A5B7A21"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p>
        </w:tc>
        <w:tc>
          <w:tcPr>
            <w:tcW w:w="584" w:type="dxa"/>
            <w:tcBorders>
              <w:top w:val="nil"/>
              <w:left w:val="nil"/>
              <w:bottom w:val="nil"/>
              <w:right w:val="nil"/>
            </w:tcBorders>
            <w:shd w:val="clear" w:color="auto" w:fill="auto"/>
            <w:noWrap/>
          </w:tcPr>
          <w:p w14:paraId="126909E6"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p>
        </w:tc>
        <w:tc>
          <w:tcPr>
            <w:tcW w:w="584" w:type="dxa"/>
            <w:tcBorders>
              <w:top w:val="nil"/>
              <w:left w:val="nil"/>
              <w:bottom w:val="nil"/>
              <w:right w:val="nil"/>
            </w:tcBorders>
            <w:shd w:val="clear" w:color="auto" w:fill="auto"/>
            <w:noWrap/>
          </w:tcPr>
          <w:p w14:paraId="62AD8216"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p>
        </w:tc>
        <w:tc>
          <w:tcPr>
            <w:tcW w:w="1258" w:type="dxa"/>
            <w:tcBorders>
              <w:top w:val="nil"/>
              <w:left w:val="nil"/>
              <w:bottom w:val="nil"/>
              <w:right w:val="nil"/>
            </w:tcBorders>
            <w:shd w:val="clear" w:color="auto" w:fill="auto"/>
            <w:noWrap/>
          </w:tcPr>
          <w:p w14:paraId="35647569" w14:textId="77777777" w:rsidR="006822EF" w:rsidRPr="00C7354B" w:rsidRDefault="006822EF" w:rsidP="00AB066F">
            <w:pPr>
              <w:widowControl w:val="0"/>
              <w:spacing w:line="240" w:lineRule="auto"/>
              <w:jc w:val="center"/>
              <w:rPr>
                <w:rFonts w:cs="Times New Roman"/>
                <w:color w:val="000000" w:themeColor="text1"/>
                <w:kern w:val="2"/>
                <w:sz w:val="22"/>
                <w:lang w:eastAsia="zh-CN"/>
              </w:rPr>
            </w:pPr>
          </w:p>
        </w:tc>
        <w:tc>
          <w:tcPr>
            <w:tcW w:w="1275" w:type="dxa"/>
            <w:tcBorders>
              <w:top w:val="nil"/>
              <w:left w:val="nil"/>
              <w:bottom w:val="nil"/>
              <w:right w:val="nil"/>
            </w:tcBorders>
            <w:shd w:val="clear" w:color="auto" w:fill="auto"/>
            <w:noWrap/>
          </w:tcPr>
          <w:p w14:paraId="69F91ACD" w14:textId="77777777" w:rsidR="006822EF" w:rsidRPr="00C7354B" w:rsidRDefault="006822EF" w:rsidP="00AB066F">
            <w:pPr>
              <w:widowControl w:val="0"/>
              <w:spacing w:line="240" w:lineRule="auto"/>
              <w:jc w:val="center"/>
              <w:rPr>
                <w:rFonts w:cs="Times New Roman"/>
                <w:color w:val="000000" w:themeColor="text1"/>
                <w:kern w:val="2"/>
                <w:sz w:val="22"/>
                <w:lang w:eastAsia="zh-CN"/>
              </w:rPr>
            </w:pPr>
          </w:p>
        </w:tc>
        <w:tc>
          <w:tcPr>
            <w:tcW w:w="1701" w:type="dxa"/>
            <w:tcBorders>
              <w:top w:val="nil"/>
              <w:left w:val="nil"/>
              <w:bottom w:val="nil"/>
              <w:right w:val="nil"/>
            </w:tcBorders>
          </w:tcPr>
          <w:p w14:paraId="14862CA0" w14:textId="77777777" w:rsidR="006822EF" w:rsidRPr="00C7354B" w:rsidRDefault="006822EF" w:rsidP="00AB066F">
            <w:pPr>
              <w:widowControl w:val="0"/>
              <w:spacing w:line="240" w:lineRule="auto"/>
              <w:jc w:val="center"/>
              <w:rPr>
                <w:rFonts w:cs="Times New Roman"/>
                <w:color w:val="000000" w:themeColor="text1"/>
                <w:kern w:val="2"/>
                <w:sz w:val="22"/>
                <w:lang w:eastAsia="zh-CN"/>
              </w:rPr>
            </w:pPr>
          </w:p>
        </w:tc>
      </w:tr>
      <w:tr w:rsidR="002313C0" w:rsidRPr="00C7354B" w14:paraId="728228C4" w14:textId="77777777" w:rsidTr="00394BE7">
        <w:trPr>
          <w:trHeight w:val="28"/>
          <w:jc w:val="center"/>
        </w:trPr>
        <w:tc>
          <w:tcPr>
            <w:tcW w:w="2552" w:type="dxa"/>
            <w:tcBorders>
              <w:top w:val="nil"/>
              <w:left w:val="nil"/>
              <w:bottom w:val="nil"/>
              <w:right w:val="nil"/>
            </w:tcBorders>
            <w:shd w:val="clear" w:color="auto" w:fill="auto"/>
            <w:noWrap/>
          </w:tcPr>
          <w:p w14:paraId="6BE788DC" w14:textId="77777777" w:rsidR="006822EF" w:rsidRPr="00C7354B" w:rsidRDefault="006822EF" w:rsidP="00AB066F">
            <w:pPr>
              <w:widowControl w:val="0"/>
              <w:spacing w:line="240" w:lineRule="auto"/>
              <w:jc w:val="left"/>
              <w:rPr>
                <w:rFonts w:cs="Times New Roman"/>
                <w:color w:val="000000" w:themeColor="text1"/>
                <w:kern w:val="2"/>
                <w:sz w:val="22"/>
                <w:lang w:eastAsia="zh-CN"/>
              </w:rPr>
            </w:pPr>
            <w:r w:rsidRPr="00C7354B">
              <w:rPr>
                <w:rFonts w:cs="Times New Roman"/>
                <w:color w:val="000000" w:themeColor="text1"/>
                <w:kern w:val="2"/>
                <w:sz w:val="22"/>
                <w:lang w:eastAsia="zh-CN"/>
              </w:rPr>
              <w:t xml:space="preserve">     Africa</w:t>
            </w:r>
          </w:p>
        </w:tc>
        <w:tc>
          <w:tcPr>
            <w:tcW w:w="1101" w:type="dxa"/>
            <w:tcBorders>
              <w:top w:val="nil"/>
              <w:left w:val="nil"/>
              <w:bottom w:val="nil"/>
              <w:right w:val="nil"/>
            </w:tcBorders>
            <w:shd w:val="clear" w:color="auto" w:fill="auto"/>
            <w:noWrap/>
          </w:tcPr>
          <w:p w14:paraId="2C7A5E54"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r w:rsidRPr="00C7354B">
              <w:rPr>
                <w:rFonts w:cs="Times New Roman"/>
                <w:color w:val="000000" w:themeColor="text1"/>
                <w:kern w:val="2"/>
                <w:sz w:val="22"/>
                <w:lang w:eastAsia="zh-CN"/>
              </w:rPr>
              <w:t>1,440</w:t>
            </w:r>
          </w:p>
        </w:tc>
        <w:tc>
          <w:tcPr>
            <w:tcW w:w="584" w:type="dxa"/>
            <w:tcBorders>
              <w:top w:val="nil"/>
              <w:left w:val="nil"/>
              <w:bottom w:val="nil"/>
              <w:right w:val="nil"/>
            </w:tcBorders>
            <w:shd w:val="clear" w:color="auto" w:fill="auto"/>
            <w:noWrap/>
          </w:tcPr>
          <w:p w14:paraId="6D818079"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r w:rsidRPr="00C7354B">
              <w:rPr>
                <w:rFonts w:cs="Times New Roman"/>
                <w:color w:val="000000" w:themeColor="text1"/>
                <w:kern w:val="2"/>
                <w:sz w:val="22"/>
                <w:lang w:eastAsia="zh-CN"/>
              </w:rPr>
              <w:t>3</w:t>
            </w:r>
          </w:p>
        </w:tc>
        <w:tc>
          <w:tcPr>
            <w:tcW w:w="584" w:type="dxa"/>
            <w:tcBorders>
              <w:top w:val="nil"/>
              <w:left w:val="nil"/>
              <w:bottom w:val="nil"/>
              <w:right w:val="nil"/>
            </w:tcBorders>
            <w:shd w:val="clear" w:color="auto" w:fill="auto"/>
            <w:noWrap/>
          </w:tcPr>
          <w:p w14:paraId="1C2A987F"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r w:rsidRPr="00C7354B">
              <w:rPr>
                <w:rFonts w:cs="Times New Roman"/>
                <w:color w:val="000000" w:themeColor="text1"/>
                <w:kern w:val="2"/>
                <w:sz w:val="22"/>
                <w:lang w:eastAsia="zh-CN"/>
              </w:rPr>
              <w:t xml:space="preserve">.07  </w:t>
            </w:r>
          </w:p>
        </w:tc>
        <w:tc>
          <w:tcPr>
            <w:tcW w:w="584" w:type="dxa"/>
            <w:tcBorders>
              <w:top w:val="nil"/>
              <w:left w:val="nil"/>
              <w:bottom w:val="nil"/>
              <w:right w:val="nil"/>
            </w:tcBorders>
            <w:shd w:val="clear" w:color="auto" w:fill="auto"/>
            <w:noWrap/>
          </w:tcPr>
          <w:p w14:paraId="29290167"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r w:rsidRPr="00C7354B">
              <w:rPr>
                <w:rFonts w:cs="Times New Roman"/>
                <w:color w:val="000000" w:themeColor="text1"/>
                <w:kern w:val="2"/>
                <w:sz w:val="22"/>
                <w:lang w:eastAsia="zh-CN"/>
              </w:rPr>
              <w:t xml:space="preserve">.03  </w:t>
            </w:r>
          </w:p>
        </w:tc>
        <w:tc>
          <w:tcPr>
            <w:tcW w:w="1258" w:type="dxa"/>
            <w:tcBorders>
              <w:top w:val="nil"/>
              <w:left w:val="nil"/>
              <w:bottom w:val="nil"/>
              <w:right w:val="nil"/>
            </w:tcBorders>
            <w:shd w:val="clear" w:color="auto" w:fill="auto"/>
            <w:noWrap/>
          </w:tcPr>
          <w:p w14:paraId="252787EA" w14:textId="77777777" w:rsidR="006822EF" w:rsidRPr="00C7354B" w:rsidRDefault="006822EF" w:rsidP="00AB066F">
            <w:pPr>
              <w:widowControl w:val="0"/>
              <w:spacing w:line="240" w:lineRule="auto"/>
              <w:jc w:val="center"/>
              <w:rPr>
                <w:rFonts w:cs="Times New Roman"/>
                <w:color w:val="000000" w:themeColor="text1"/>
                <w:kern w:val="2"/>
                <w:sz w:val="22"/>
                <w:lang w:eastAsia="zh-CN"/>
              </w:rPr>
            </w:pPr>
            <w:r w:rsidRPr="00C7354B">
              <w:rPr>
                <w:rFonts w:cs="Times New Roman"/>
                <w:color w:val="000000" w:themeColor="text1"/>
                <w:kern w:val="2"/>
                <w:sz w:val="22"/>
                <w:lang w:eastAsia="zh-CN"/>
              </w:rPr>
              <w:t>[-.02: .12]</w:t>
            </w:r>
          </w:p>
        </w:tc>
        <w:tc>
          <w:tcPr>
            <w:tcW w:w="1275" w:type="dxa"/>
            <w:tcBorders>
              <w:top w:val="nil"/>
              <w:left w:val="nil"/>
              <w:bottom w:val="nil"/>
              <w:right w:val="nil"/>
            </w:tcBorders>
            <w:shd w:val="clear" w:color="auto" w:fill="auto"/>
            <w:noWrap/>
          </w:tcPr>
          <w:p w14:paraId="7895D806" w14:textId="77777777" w:rsidR="006822EF" w:rsidRPr="00C7354B" w:rsidRDefault="006822EF" w:rsidP="00AB066F">
            <w:pPr>
              <w:widowControl w:val="0"/>
              <w:spacing w:line="240" w:lineRule="auto"/>
              <w:jc w:val="center"/>
              <w:rPr>
                <w:rFonts w:cs="Times New Roman"/>
                <w:color w:val="000000" w:themeColor="text1"/>
                <w:kern w:val="2"/>
                <w:sz w:val="22"/>
                <w:lang w:eastAsia="zh-CN"/>
              </w:rPr>
            </w:pPr>
            <w:r w:rsidRPr="00C7354B">
              <w:rPr>
                <w:rFonts w:cs="Times New Roman"/>
                <w:color w:val="000000" w:themeColor="text1"/>
                <w:kern w:val="2"/>
                <w:sz w:val="22"/>
                <w:lang w:eastAsia="zh-CN"/>
              </w:rPr>
              <w:t>[-.02: .19]</w:t>
            </w:r>
          </w:p>
        </w:tc>
        <w:tc>
          <w:tcPr>
            <w:tcW w:w="1701" w:type="dxa"/>
            <w:tcBorders>
              <w:top w:val="nil"/>
              <w:left w:val="nil"/>
              <w:bottom w:val="nil"/>
              <w:right w:val="nil"/>
            </w:tcBorders>
          </w:tcPr>
          <w:p w14:paraId="278D4AFA" w14:textId="77777777" w:rsidR="006822EF" w:rsidRPr="00C7354B" w:rsidRDefault="006822EF" w:rsidP="00AB066F">
            <w:pPr>
              <w:widowControl w:val="0"/>
              <w:spacing w:line="240" w:lineRule="auto"/>
              <w:jc w:val="center"/>
              <w:rPr>
                <w:rFonts w:cs="Times New Roman"/>
                <w:color w:val="000000" w:themeColor="text1"/>
                <w:kern w:val="2"/>
                <w:sz w:val="22"/>
                <w:lang w:eastAsia="zh-CN"/>
              </w:rPr>
            </w:pPr>
            <w:r w:rsidRPr="00C7354B">
              <w:rPr>
                <w:rFonts w:cs="Times New Roman"/>
                <w:color w:val="000000" w:themeColor="text1"/>
                <w:kern w:val="2"/>
                <w:sz w:val="22"/>
                <w:lang w:eastAsia="zh-CN"/>
              </w:rPr>
              <w:t>.51</w:t>
            </w:r>
          </w:p>
        </w:tc>
      </w:tr>
      <w:tr w:rsidR="002313C0" w:rsidRPr="00C7354B" w14:paraId="4B925449" w14:textId="77777777" w:rsidTr="00394BE7">
        <w:trPr>
          <w:trHeight w:val="28"/>
          <w:jc w:val="center"/>
        </w:trPr>
        <w:tc>
          <w:tcPr>
            <w:tcW w:w="2552" w:type="dxa"/>
            <w:tcBorders>
              <w:top w:val="nil"/>
              <w:left w:val="nil"/>
              <w:bottom w:val="nil"/>
              <w:right w:val="nil"/>
            </w:tcBorders>
            <w:shd w:val="clear" w:color="auto" w:fill="auto"/>
            <w:noWrap/>
          </w:tcPr>
          <w:p w14:paraId="0662E024" w14:textId="77777777" w:rsidR="006822EF" w:rsidRPr="00C7354B" w:rsidRDefault="006822EF" w:rsidP="00AB066F">
            <w:pPr>
              <w:widowControl w:val="0"/>
              <w:spacing w:line="240" w:lineRule="auto"/>
              <w:jc w:val="left"/>
              <w:rPr>
                <w:rFonts w:cs="Times New Roman"/>
                <w:color w:val="000000" w:themeColor="text1"/>
                <w:kern w:val="2"/>
                <w:sz w:val="22"/>
                <w:lang w:eastAsia="zh-CN"/>
              </w:rPr>
            </w:pPr>
            <w:r w:rsidRPr="00C7354B">
              <w:rPr>
                <w:rFonts w:cs="Times New Roman"/>
                <w:color w:val="000000" w:themeColor="text1"/>
                <w:kern w:val="2"/>
                <w:sz w:val="22"/>
                <w:lang w:eastAsia="zh-CN"/>
              </w:rPr>
              <w:t xml:space="preserve">     Asia</w:t>
            </w:r>
          </w:p>
        </w:tc>
        <w:tc>
          <w:tcPr>
            <w:tcW w:w="1101" w:type="dxa"/>
            <w:tcBorders>
              <w:top w:val="nil"/>
              <w:left w:val="nil"/>
              <w:bottom w:val="nil"/>
              <w:right w:val="nil"/>
            </w:tcBorders>
            <w:shd w:val="clear" w:color="auto" w:fill="auto"/>
            <w:noWrap/>
          </w:tcPr>
          <w:p w14:paraId="1A3D7F26"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r w:rsidRPr="00C7354B">
              <w:rPr>
                <w:rFonts w:cs="Times New Roman"/>
                <w:color w:val="000000" w:themeColor="text1"/>
                <w:kern w:val="2"/>
                <w:sz w:val="22"/>
                <w:lang w:eastAsia="zh-CN"/>
              </w:rPr>
              <w:t>332,742</w:t>
            </w:r>
          </w:p>
        </w:tc>
        <w:tc>
          <w:tcPr>
            <w:tcW w:w="584" w:type="dxa"/>
            <w:tcBorders>
              <w:top w:val="nil"/>
              <w:left w:val="nil"/>
              <w:bottom w:val="nil"/>
              <w:right w:val="nil"/>
            </w:tcBorders>
            <w:shd w:val="clear" w:color="auto" w:fill="auto"/>
            <w:noWrap/>
          </w:tcPr>
          <w:p w14:paraId="4443A5E1"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r w:rsidRPr="00C7354B">
              <w:rPr>
                <w:rFonts w:cs="Times New Roman"/>
                <w:color w:val="000000" w:themeColor="text1"/>
                <w:kern w:val="2"/>
                <w:sz w:val="22"/>
                <w:lang w:eastAsia="zh-CN"/>
              </w:rPr>
              <w:t>58</w:t>
            </w:r>
          </w:p>
        </w:tc>
        <w:tc>
          <w:tcPr>
            <w:tcW w:w="584" w:type="dxa"/>
            <w:tcBorders>
              <w:top w:val="nil"/>
              <w:left w:val="nil"/>
              <w:bottom w:val="nil"/>
              <w:right w:val="nil"/>
            </w:tcBorders>
            <w:shd w:val="clear" w:color="auto" w:fill="auto"/>
            <w:noWrap/>
          </w:tcPr>
          <w:p w14:paraId="723F70BE"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r w:rsidRPr="00C7354B">
              <w:rPr>
                <w:rFonts w:cs="Times New Roman"/>
                <w:color w:val="000000" w:themeColor="text1"/>
                <w:kern w:val="2"/>
                <w:sz w:val="22"/>
                <w:lang w:eastAsia="zh-CN"/>
              </w:rPr>
              <w:t xml:space="preserve">.02  </w:t>
            </w:r>
          </w:p>
        </w:tc>
        <w:tc>
          <w:tcPr>
            <w:tcW w:w="584" w:type="dxa"/>
            <w:tcBorders>
              <w:top w:val="nil"/>
              <w:left w:val="nil"/>
              <w:bottom w:val="nil"/>
              <w:right w:val="nil"/>
            </w:tcBorders>
            <w:shd w:val="clear" w:color="auto" w:fill="auto"/>
            <w:noWrap/>
          </w:tcPr>
          <w:p w14:paraId="06D51839"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r w:rsidRPr="00C7354B">
              <w:rPr>
                <w:rFonts w:cs="Times New Roman"/>
                <w:color w:val="000000" w:themeColor="text1"/>
                <w:kern w:val="2"/>
                <w:sz w:val="22"/>
                <w:lang w:eastAsia="zh-CN"/>
              </w:rPr>
              <w:t xml:space="preserve">.01  </w:t>
            </w:r>
          </w:p>
        </w:tc>
        <w:tc>
          <w:tcPr>
            <w:tcW w:w="1258" w:type="dxa"/>
            <w:tcBorders>
              <w:top w:val="nil"/>
              <w:left w:val="nil"/>
              <w:bottom w:val="nil"/>
              <w:right w:val="nil"/>
            </w:tcBorders>
            <w:shd w:val="clear" w:color="auto" w:fill="auto"/>
            <w:noWrap/>
          </w:tcPr>
          <w:p w14:paraId="380EE51A" w14:textId="77777777" w:rsidR="006822EF" w:rsidRPr="00C7354B" w:rsidRDefault="006822EF" w:rsidP="00AB066F">
            <w:pPr>
              <w:widowControl w:val="0"/>
              <w:spacing w:line="240" w:lineRule="auto"/>
              <w:jc w:val="center"/>
              <w:rPr>
                <w:rFonts w:cs="Times New Roman"/>
                <w:color w:val="000000" w:themeColor="text1"/>
                <w:kern w:val="2"/>
                <w:sz w:val="22"/>
                <w:lang w:eastAsia="zh-CN"/>
              </w:rPr>
            </w:pPr>
            <w:r w:rsidRPr="00C7354B">
              <w:rPr>
                <w:rFonts w:cs="Times New Roman"/>
                <w:color w:val="000000" w:themeColor="text1"/>
                <w:kern w:val="2"/>
                <w:sz w:val="22"/>
                <w:lang w:eastAsia="zh-CN"/>
              </w:rPr>
              <w:t>[.01: .03]</w:t>
            </w:r>
          </w:p>
        </w:tc>
        <w:tc>
          <w:tcPr>
            <w:tcW w:w="1275" w:type="dxa"/>
            <w:tcBorders>
              <w:top w:val="nil"/>
              <w:left w:val="nil"/>
              <w:bottom w:val="nil"/>
              <w:right w:val="nil"/>
            </w:tcBorders>
            <w:shd w:val="clear" w:color="auto" w:fill="auto"/>
            <w:noWrap/>
          </w:tcPr>
          <w:p w14:paraId="2E77D83C" w14:textId="77777777" w:rsidR="006822EF" w:rsidRPr="00C7354B" w:rsidRDefault="006822EF" w:rsidP="00AB066F">
            <w:pPr>
              <w:widowControl w:val="0"/>
              <w:spacing w:line="240" w:lineRule="auto"/>
              <w:jc w:val="center"/>
              <w:rPr>
                <w:rFonts w:cs="Times New Roman"/>
                <w:color w:val="000000" w:themeColor="text1"/>
                <w:kern w:val="2"/>
                <w:sz w:val="22"/>
                <w:lang w:eastAsia="zh-CN"/>
              </w:rPr>
            </w:pPr>
            <w:r w:rsidRPr="00C7354B">
              <w:rPr>
                <w:rFonts w:cs="Times New Roman"/>
                <w:color w:val="000000" w:themeColor="text1"/>
                <w:kern w:val="2"/>
                <w:sz w:val="22"/>
                <w:lang w:eastAsia="zh-CN"/>
              </w:rPr>
              <w:t>[-.06: .10]</w:t>
            </w:r>
          </w:p>
        </w:tc>
        <w:tc>
          <w:tcPr>
            <w:tcW w:w="1701" w:type="dxa"/>
            <w:tcBorders>
              <w:top w:val="nil"/>
              <w:left w:val="nil"/>
              <w:bottom w:val="nil"/>
              <w:right w:val="nil"/>
            </w:tcBorders>
          </w:tcPr>
          <w:p w14:paraId="46AF3BB4" w14:textId="77777777" w:rsidR="006822EF" w:rsidRPr="00C7354B" w:rsidRDefault="006822EF" w:rsidP="00AB066F">
            <w:pPr>
              <w:widowControl w:val="0"/>
              <w:spacing w:line="240" w:lineRule="auto"/>
              <w:jc w:val="center"/>
              <w:rPr>
                <w:rFonts w:cs="Times New Roman"/>
                <w:color w:val="000000" w:themeColor="text1"/>
                <w:kern w:val="2"/>
                <w:sz w:val="22"/>
                <w:lang w:eastAsia="zh-CN"/>
              </w:rPr>
            </w:pPr>
            <w:r w:rsidRPr="00C7354B">
              <w:rPr>
                <w:rFonts w:cs="Times New Roman"/>
                <w:color w:val="000000" w:themeColor="text1"/>
                <w:kern w:val="2"/>
                <w:sz w:val="22"/>
                <w:lang w:eastAsia="zh-CN"/>
              </w:rPr>
              <w:t xml:space="preserve">566.46 </w:t>
            </w:r>
            <w:r w:rsidRPr="00C7354B">
              <w:rPr>
                <w:rFonts w:eastAsia="Helvetica" w:cs="Times New Roman"/>
                <w:color w:val="000000" w:themeColor="text1"/>
                <w:sz w:val="22"/>
              </w:rPr>
              <w:t>[&lt;.001]</w:t>
            </w:r>
          </w:p>
        </w:tc>
      </w:tr>
      <w:tr w:rsidR="002313C0" w:rsidRPr="00C7354B" w14:paraId="5590320F" w14:textId="77777777" w:rsidTr="00394BE7">
        <w:trPr>
          <w:trHeight w:val="28"/>
          <w:jc w:val="center"/>
        </w:trPr>
        <w:tc>
          <w:tcPr>
            <w:tcW w:w="2552" w:type="dxa"/>
            <w:tcBorders>
              <w:top w:val="nil"/>
              <w:left w:val="nil"/>
              <w:bottom w:val="nil"/>
              <w:right w:val="nil"/>
            </w:tcBorders>
            <w:shd w:val="clear" w:color="auto" w:fill="auto"/>
            <w:noWrap/>
          </w:tcPr>
          <w:p w14:paraId="47B863F0" w14:textId="77777777" w:rsidR="006822EF" w:rsidRPr="00C7354B" w:rsidRDefault="006822EF" w:rsidP="00AB066F">
            <w:pPr>
              <w:widowControl w:val="0"/>
              <w:spacing w:line="240" w:lineRule="auto"/>
              <w:jc w:val="left"/>
              <w:rPr>
                <w:rFonts w:cs="Times New Roman"/>
                <w:color w:val="000000" w:themeColor="text1"/>
                <w:kern w:val="2"/>
                <w:sz w:val="22"/>
                <w:lang w:eastAsia="zh-CN"/>
              </w:rPr>
            </w:pPr>
            <w:r w:rsidRPr="00C7354B">
              <w:rPr>
                <w:rFonts w:cs="Times New Roman"/>
                <w:color w:val="000000" w:themeColor="text1"/>
                <w:kern w:val="2"/>
                <w:sz w:val="22"/>
                <w:lang w:eastAsia="zh-CN"/>
              </w:rPr>
              <w:t xml:space="preserve">     Europe</w:t>
            </w:r>
          </w:p>
        </w:tc>
        <w:tc>
          <w:tcPr>
            <w:tcW w:w="1101" w:type="dxa"/>
            <w:tcBorders>
              <w:top w:val="nil"/>
              <w:left w:val="nil"/>
              <w:bottom w:val="nil"/>
              <w:right w:val="nil"/>
            </w:tcBorders>
            <w:shd w:val="clear" w:color="auto" w:fill="auto"/>
            <w:noWrap/>
          </w:tcPr>
          <w:p w14:paraId="07DECBDA"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r w:rsidRPr="00C7354B">
              <w:rPr>
                <w:rFonts w:cs="Times New Roman"/>
                <w:color w:val="000000" w:themeColor="text1"/>
                <w:kern w:val="2"/>
                <w:sz w:val="22"/>
                <w:lang w:eastAsia="zh-CN"/>
              </w:rPr>
              <w:t>344,267</w:t>
            </w:r>
          </w:p>
        </w:tc>
        <w:tc>
          <w:tcPr>
            <w:tcW w:w="584" w:type="dxa"/>
            <w:tcBorders>
              <w:top w:val="nil"/>
              <w:left w:val="nil"/>
              <w:bottom w:val="nil"/>
              <w:right w:val="nil"/>
            </w:tcBorders>
            <w:shd w:val="clear" w:color="auto" w:fill="auto"/>
            <w:noWrap/>
          </w:tcPr>
          <w:p w14:paraId="093F1F9F"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r w:rsidRPr="00C7354B">
              <w:rPr>
                <w:rFonts w:cs="Times New Roman"/>
                <w:color w:val="000000" w:themeColor="text1"/>
                <w:kern w:val="2"/>
                <w:sz w:val="22"/>
                <w:lang w:eastAsia="zh-CN"/>
              </w:rPr>
              <w:t>22</w:t>
            </w:r>
          </w:p>
        </w:tc>
        <w:tc>
          <w:tcPr>
            <w:tcW w:w="584" w:type="dxa"/>
            <w:tcBorders>
              <w:top w:val="nil"/>
              <w:left w:val="nil"/>
              <w:bottom w:val="nil"/>
              <w:right w:val="nil"/>
            </w:tcBorders>
            <w:shd w:val="clear" w:color="auto" w:fill="auto"/>
            <w:noWrap/>
          </w:tcPr>
          <w:p w14:paraId="55ACDDCB"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r w:rsidRPr="00C7354B">
              <w:rPr>
                <w:rFonts w:cs="Times New Roman"/>
                <w:color w:val="000000" w:themeColor="text1"/>
                <w:kern w:val="2"/>
                <w:sz w:val="22"/>
                <w:lang w:eastAsia="zh-CN"/>
              </w:rPr>
              <w:t>-.01</w:t>
            </w:r>
          </w:p>
        </w:tc>
        <w:tc>
          <w:tcPr>
            <w:tcW w:w="584" w:type="dxa"/>
            <w:tcBorders>
              <w:top w:val="nil"/>
              <w:left w:val="nil"/>
              <w:bottom w:val="nil"/>
              <w:right w:val="nil"/>
            </w:tcBorders>
            <w:shd w:val="clear" w:color="auto" w:fill="auto"/>
            <w:noWrap/>
          </w:tcPr>
          <w:p w14:paraId="63C59613"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r w:rsidRPr="00C7354B">
              <w:rPr>
                <w:rFonts w:cs="Times New Roman"/>
                <w:color w:val="000000" w:themeColor="text1"/>
                <w:kern w:val="2"/>
                <w:sz w:val="22"/>
                <w:lang w:eastAsia="zh-CN"/>
              </w:rPr>
              <w:t>.02</w:t>
            </w:r>
          </w:p>
        </w:tc>
        <w:tc>
          <w:tcPr>
            <w:tcW w:w="1258" w:type="dxa"/>
            <w:tcBorders>
              <w:top w:val="nil"/>
              <w:left w:val="nil"/>
              <w:bottom w:val="nil"/>
              <w:right w:val="nil"/>
            </w:tcBorders>
            <w:shd w:val="clear" w:color="auto" w:fill="auto"/>
            <w:noWrap/>
          </w:tcPr>
          <w:p w14:paraId="2E1B553C" w14:textId="77777777" w:rsidR="006822EF" w:rsidRPr="00C7354B" w:rsidRDefault="006822EF" w:rsidP="00AB066F">
            <w:pPr>
              <w:widowControl w:val="0"/>
              <w:spacing w:line="240" w:lineRule="auto"/>
              <w:jc w:val="center"/>
              <w:rPr>
                <w:rFonts w:cs="Times New Roman"/>
                <w:color w:val="000000" w:themeColor="text1"/>
                <w:kern w:val="2"/>
                <w:sz w:val="22"/>
                <w:lang w:eastAsia="zh-CN"/>
              </w:rPr>
            </w:pPr>
            <w:r w:rsidRPr="00C7354B">
              <w:rPr>
                <w:rFonts w:cs="Times New Roman"/>
                <w:color w:val="000000" w:themeColor="text1"/>
                <w:kern w:val="2"/>
                <w:sz w:val="22"/>
                <w:lang w:eastAsia="zh-CN"/>
              </w:rPr>
              <w:t>[-.05: .03]</w:t>
            </w:r>
          </w:p>
        </w:tc>
        <w:tc>
          <w:tcPr>
            <w:tcW w:w="1275" w:type="dxa"/>
            <w:tcBorders>
              <w:top w:val="nil"/>
              <w:left w:val="nil"/>
              <w:bottom w:val="nil"/>
              <w:right w:val="nil"/>
            </w:tcBorders>
            <w:shd w:val="clear" w:color="auto" w:fill="auto"/>
            <w:noWrap/>
          </w:tcPr>
          <w:p w14:paraId="69A19BB6" w14:textId="77777777" w:rsidR="006822EF" w:rsidRPr="00C7354B" w:rsidRDefault="006822EF" w:rsidP="00AB066F">
            <w:pPr>
              <w:widowControl w:val="0"/>
              <w:spacing w:line="240" w:lineRule="auto"/>
              <w:jc w:val="center"/>
              <w:rPr>
                <w:rFonts w:cs="Times New Roman"/>
                <w:color w:val="000000" w:themeColor="text1"/>
                <w:kern w:val="2"/>
                <w:sz w:val="22"/>
                <w:lang w:eastAsia="zh-CN"/>
              </w:rPr>
            </w:pPr>
            <w:r w:rsidRPr="00C7354B">
              <w:rPr>
                <w:rFonts w:cs="Times New Roman"/>
                <w:color w:val="000000" w:themeColor="text1"/>
                <w:kern w:val="2"/>
                <w:sz w:val="22"/>
                <w:lang w:eastAsia="zh-CN"/>
              </w:rPr>
              <w:t>[-.15: .13]</w:t>
            </w:r>
          </w:p>
        </w:tc>
        <w:tc>
          <w:tcPr>
            <w:tcW w:w="1701" w:type="dxa"/>
            <w:tcBorders>
              <w:top w:val="nil"/>
              <w:left w:val="nil"/>
              <w:bottom w:val="nil"/>
              <w:right w:val="nil"/>
            </w:tcBorders>
          </w:tcPr>
          <w:p w14:paraId="77DF88CE" w14:textId="77777777" w:rsidR="006822EF" w:rsidRPr="00C7354B" w:rsidRDefault="006822EF" w:rsidP="00AB066F">
            <w:pPr>
              <w:widowControl w:val="0"/>
              <w:spacing w:line="240" w:lineRule="auto"/>
              <w:jc w:val="center"/>
              <w:rPr>
                <w:rFonts w:cs="Times New Roman"/>
                <w:color w:val="000000" w:themeColor="text1"/>
                <w:kern w:val="2"/>
                <w:sz w:val="22"/>
                <w:lang w:eastAsia="zh-CN"/>
              </w:rPr>
            </w:pPr>
            <w:r w:rsidRPr="00C7354B">
              <w:rPr>
                <w:rFonts w:cs="Times New Roman"/>
                <w:color w:val="000000" w:themeColor="text1"/>
                <w:kern w:val="2"/>
                <w:sz w:val="22"/>
                <w:lang w:eastAsia="zh-CN"/>
              </w:rPr>
              <w:t xml:space="preserve">174.95 </w:t>
            </w:r>
            <w:r w:rsidRPr="00C7354B">
              <w:rPr>
                <w:rFonts w:eastAsia="Helvetica" w:cs="Times New Roman"/>
                <w:color w:val="000000" w:themeColor="text1"/>
                <w:sz w:val="22"/>
              </w:rPr>
              <w:t>[&lt;.001]</w:t>
            </w:r>
          </w:p>
        </w:tc>
      </w:tr>
      <w:tr w:rsidR="002313C0" w:rsidRPr="00C7354B" w14:paraId="0EA2353F" w14:textId="77777777" w:rsidTr="00394BE7">
        <w:trPr>
          <w:trHeight w:val="28"/>
          <w:jc w:val="center"/>
        </w:trPr>
        <w:tc>
          <w:tcPr>
            <w:tcW w:w="2552" w:type="dxa"/>
            <w:tcBorders>
              <w:top w:val="nil"/>
              <w:left w:val="nil"/>
              <w:bottom w:val="nil"/>
              <w:right w:val="nil"/>
            </w:tcBorders>
            <w:shd w:val="clear" w:color="auto" w:fill="auto"/>
            <w:noWrap/>
          </w:tcPr>
          <w:p w14:paraId="17DD4098" w14:textId="77777777" w:rsidR="006822EF" w:rsidRPr="00C7354B" w:rsidRDefault="006822EF" w:rsidP="00AB066F">
            <w:pPr>
              <w:widowControl w:val="0"/>
              <w:spacing w:line="240" w:lineRule="auto"/>
              <w:jc w:val="left"/>
              <w:rPr>
                <w:rFonts w:cs="Times New Roman"/>
                <w:color w:val="000000" w:themeColor="text1"/>
                <w:kern w:val="2"/>
                <w:sz w:val="22"/>
                <w:lang w:eastAsia="zh-CN"/>
              </w:rPr>
            </w:pPr>
            <w:r w:rsidRPr="00C7354B">
              <w:rPr>
                <w:rFonts w:cs="Times New Roman"/>
                <w:color w:val="000000" w:themeColor="text1"/>
                <w:kern w:val="2"/>
                <w:sz w:val="22"/>
                <w:lang w:eastAsia="zh-CN"/>
              </w:rPr>
              <w:t xml:space="preserve">     North America</w:t>
            </w:r>
          </w:p>
        </w:tc>
        <w:tc>
          <w:tcPr>
            <w:tcW w:w="1101" w:type="dxa"/>
            <w:tcBorders>
              <w:top w:val="nil"/>
              <w:left w:val="nil"/>
              <w:bottom w:val="nil"/>
              <w:right w:val="nil"/>
            </w:tcBorders>
            <w:shd w:val="clear" w:color="auto" w:fill="auto"/>
            <w:noWrap/>
          </w:tcPr>
          <w:p w14:paraId="1E03C436"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r w:rsidRPr="00C7354B">
              <w:rPr>
                <w:rFonts w:cs="Times New Roman"/>
                <w:color w:val="000000" w:themeColor="text1"/>
                <w:kern w:val="2"/>
                <w:sz w:val="22"/>
                <w:lang w:eastAsia="zh-CN"/>
              </w:rPr>
              <w:t>349,015</w:t>
            </w:r>
          </w:p>
        </w:tc>
        <w:tc>
          <w:tcPr>
            <w:tcW w:w="584" w:type="dxa"/>
            <w:tcBorders>
              <w:top w:val="nil"/>
              <w:left w:val="nil"/>
              <w:bottom w:val="nil"/>
              <w:right w:val="nil"/>
            </w:tcBorders>
            <w:shd w:val="clear" w:color="auto" w:fill="auto"/>
            <w:noWrap/>
          </w:tcPr>
          <w:p w14:paraId="118B1FEA"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r w:rsidRPr="00C7354B">
              <w:rPr>
                <w:rFonts w:cs="Times New Roman"/>
                <w:color w:val="000000" w:themeColor="text1"/>
                <w:kern w:val="2"/>
                <w:sz w:val="22"/>
                <w:lang w:eastAsia="zh-CN"/>
              </w:rPr>
              <w:t>72</w:t>
            </w:r>
          </w:p>
        </w:tc>
        <w:tc>
          <w:tcPr>
            <w:tcW w:w="584" w:type="dxa"/>
            <w:tcBorders>
              <w:top w:val="nil"/>
              <w:left w:val="nil"/>
              <w:bottom w:val="nil"/>
              <w:right w:val="nil"/>
            </w:tcBorders>
            <w:shd w:val="clear" w:color="auto" w:fill="auto"/>
            <w:noWrap/>
          </w:tcPr>
          <w:p w14:paraId="215414C0"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r w:rsidRPr="00C7354B">
              <w:rPr>
                <w:rFonts w:cs="Times New Roman"/>
                <w:color w:val="000000" w:themeColor="text1"/>
                <w:kern w:val="2"/>
                <w:sz w:val="22"/>
                <w:lang w:eastAsia="zh-CN"/>
              </w:rPr>
              <w:t xml:space="preserve">.01  </w:t>
            </w:r>
          </w:p>
        </w:tc>
        <w:tc>
          <w:tcPr>
            <w:tcW w:w="584" w:type="dxa"/>
            <w:tcBorders>
              <w:top w:val="nil"/>
              <w:left w:val="nil"/>
              <w:bottom w:val="nil"/>
              <w:right w:val="nil"/>
            </w:tcBorders>
            <w:shd w:val="clear" w:color="auto" w:fill="auto"/>
            <w:noWrap/>
          </w:tcPr>
          <w:p w14:paraId="31ACBAD4"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r w:rsidRPr="00C7354B">
              <w:rPr>
                <w:rFonts w:cs="Times New Roman"/>
                <w:color w:val="000000" w:themeColor="text1"/>
                <w:kern w:val="2"/>
                <w:sz w:val="22"/>
                <w:lang w:eastAsia="zh-CN"/>
              </w:rPr>
              <w:t xml:space="preserve">.01  </w:t>
            </w:r>
          </w:p>
        </w:tc>
        <w:tc>
          <w:tcPr>
            <w:tcW w:w="1258" w:type="dxa"/>
            <w:tcBorders>
              <w:top w:val="nil"/>
              <w:left w:val="nil"/>
              <w:bottom w:val="nil"/>
              <w:right w:val="nil"/>
            </w:tcBorders>
            <w:shd w:val="clear" w:color="auto" w:fill="auto"/>
            <w:noWrap/>
          </w:tcPr>
          <w:p w14:paraId="4A882FE1" w14:textId="77777777" w:rsidR="006822EF" w:rsidRPr="00C7354B" w:rsidRDefault="006822EF" w:rsidP="00AB066F">
            <w:pPr>
              <w:widowControl w:val="0"/>
              <w:spacing w:line="240" w:lineRule="auto"/>
              <w:jc w:val="center"/>
              <w:rPr>
                <w:rFonts w:cs="Times New Roman"/>
                <w:color w:val="000000" w:themeColor="text1"/>
                <w:kern w:val="2"/>
                <w:sz w:val="22"/>
                <w:lang w:eastAsia="zh-CN"/>
              </w:rPr>
            </w:pPr>
            <w:r w:rsidRPr="00C7354B">
              <w:rPr>
                <w:rFonts w:cs="Times New Roman"/>
                <w:color w:val="000000" w:themeColor="text1"/>
                <w:kern w:val="2"/>
                <w:sz w:val="22"/>
                <w:lang w:eastAsia="zh-CN"/>
              </w:rPr>
              <w:t>[-.01: .02]</w:t>
            </w:r>
          </w:p>
        </w:tc>
        <w:tc>
          <w:tcPr>
            <w:tcW w:w="1275" w:type="dxa"/>
            <w:tcBorders>
              <w:top w:val="nil"/>
              <w:left w:val="nil"/>
              <w:bottom w:val="nil"/>
              <w:right w:val="nil"/>
            </w:tcBorders>
            <w:shd w:val="clear" w:color="auto" w:fill="auto"/>
            <w:noWrap/>
          </w:tcPr>
          <w:p w14:paraId="65A1B4E9" w14:textId="77777777" w:rsidR="006822EF" w:rsidRPr="00C7354B" w:rsidRDefault="006822EF" w:rsidP="00AB066F">
            <w:pPr>
              <w:widowControl w:val="0"/>
              <w:spacing w:line="240" w:lineRule="auto"/>
              <w:jc w:val="center"/>
              <w:rPr>
                <w:rFonts w:cs="Times New Roman"/>
                <w:color w:val="000000" w:themeColor="text1"/>
                <w:kern w:val="2"/>
                <w:sz w:val="22"/>
                <w:lang w:eastAsia="zh-CN"/>
              </w:rPr>
            </w:pPr>
            <w:r w:rsidRPr="00C7354B">
              <w:rPr>
                <w:rFonts w:cs="Times New Roman"/>
                <w:color w:val="000000" w:themeColor="text1"/>
                <w:kern w:val="2"/>
                <w:sz w:val="22"/>
                <w:lang w:eastAsia="zh-CN"/>
              </w:rPr>
              <w:t>[-.09: .11]</w:t>
            </w:r>
          </w:p>
        </w:tc>
        <w:tc>
          <w:tcPr>
            <w:tcW w:w="1701" w:type="dxa"/>
            <w:tcBorders>
              <w:top w:val="nil"/>
              <w:left w:val="nil"/>
              <w:bottom w:val="nil"/>
              <w:right w:val="nil"/>
            </w:tcBorders>
          </w:tcPr>
          <w:p w14:paraId="07A63740" w14:textId="77777777" w:rsidR="006822EF" w:rsidRPr="00C7354B" w:rsidRDefault="006822EF" w:rsidP="00AB066F">
            <w:pPr>
              <w:widowControl w:val="0"/>
              <w:spacing w:line="240" w:lineRule="auto"/>
              <w:jc w:val="center"/>
              <w:rPr>
                <w:rFonts w:cs="Times New Roman"/>
                <w:color w:val="000000" w:themeColor="text1"/>
                <w:kern w:val="2"/>
                <w:sz w:val="22"/>
                <w:lang w:eastAsia="zh-CN"/>
              </w:rPr>
            </w:pPr>
            <w:r w:rsidRPr="00C7354B">
              <w:rPr>
                <w:rFonts w:cs="Times New Roman"/>
                <w:color w:val="000000" w:themeColor="text1"/>
                <w:kern w:val="2"/>
                <w:sz w:val="22"/>
                <w:lang w:eastAsia="zh-CN"/>
              </w:rPr>
              <w:t xml:space="preserve">1106.96 </w:t>
            </w:r>
            <w:r w:rsidRPr="00C7354B">
              <w:rPr>
                <w:rFonts w:eastAsia="Helvetica" w:cs="Times New Roman"/>
                <w:color w:val="000000" w:themeColor="text1"/>
                <w:sz w:val="22"/>
              </w:rPr>
              <w:t>[&lt;.001]</w:t>
            </w:r>
          </w:p>
        </w:tc>
      </w:tr>
      <w:tr w:rsidR="002313C0" w:rsidRPr="00C7354B" w14:paraId="0B6FD810" w14:textId="77777777" w:rsidTr="00394BE7">
        <w:trPr>
          <w:trHeight w:val="28"/>
          <w:jc w:val="center"/>
        </w:trPr>
        <w:tc>
          <w:tcPr>
            <w:tcW w:w="2552" w:type="dxa"/>
            <w:tcBorders>
              <w:top w:val="nil"/>
              <w:left w:val="nil"/>
              <w:bottom w:val="nil"/>
              <w:right w:val="nil"/>
            </w:tcBorders>
            <w:shd w:val="clear" w:color="auto" w:fill="auto"/>
            <w:noWrap/>
          </w:tcPr>
          <w:p w14:paraId="7FE15EB1" w14:textId="77777777" w:rsidR="006822EF" w:rsidRPr="00C7354B" w:rsidRDefault="006822EF" w:rsidP="00AB066F">
            <w:pPr>
              <w:widowControl w:val="0"/>
              <w:spacing w:line="240" w:lineRule="auto"/>
              <w:jc w:val="left"/>
              <w:rPr>
                <w:rFonts w:cs="Times New Roman"/>
                <w:color w:val="000000" w:themeColor="text1"/>
                <w:kern w:val="2"/>
                <w:sz w:val="22"/>
                <w:lang w:eastAsia="zh-CN"/>
              </w:rPr>
            </w:pPr>
            <w:r w:rsidRPr="00C7354B">
              <w:rPr>
                <w:rFonts w:cs="Times New Roman"/>
                <w:color w:val="000000" w:themeColor="text1"/>
                <w:kern w:val="2"/>
                <w:sz w:val="22"/>
                <w:lang w:eastAsia="zh-CN"/>
              </w:rPr>
              <w:t xml:space="preserve">     South America</w:t>
            </w:r>
          </w:p>
        </w:tc>
        <w:tc>
          <w:tcPr>
            <w:tcW w:w="1101" w:type="dxa"/>
            <w:tcBorders>
              <w:top w:val="nil"/>
              <w:left w:val="nil"/>
              <w:bottom w:val="nil"/>
              <w:right w:val="nil"/>
            </w:tcBorders>
            <w:shd w:val="clear" w:color="auto" w:fill="auto"/>
            <w:noWrap/>
          </w:tcPr>
          <w:p w14:paraId="03FA9DF9"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r w:rsidRPr="00C7354B">
              <w:rPr>
                <w:rFonts w:cs="Times New Roman"/>
                <w:color w:val="000000" w:themeColor="text1"/>
                <w:kern w:val="2"/>
                <w:sz w:val="22"/>
                <w:lang w:eastAsia="zh-CN"/>
              </w:rPr>
              <w:t>6,359</w:t>
            </w:r>
          </w:p>
        </w:tc>
        <w:tc>
          <w:tcPr>
            <w:tcW w:w="584" w:type="dxa"/>
            <w:tcBorders>
              <w:top w:val="nil"/>
              <w:left w:val="nil"/>
              <w:bottom w:val="nil"/>
              <w:right w:val="nil"/>
            </w:tcBorders>
            <w:shd w:val="clear" w:color="auto" w:fill="auto"/>
            <w:noWrap/>
          </w:tcPr>
          <w:p w14:paraId="408AFBB3"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r w:rsidRPr="00C7354B">
              <w:rPr>
                <w:rFonts w:cs="Times New Roman"/>
                <w:color w:val="000000" w:themeColor="text1"/>
                <w:kern w:val="2"/>
                <w:sz w:val="22"/>
                <w:lang w:eastAsia="zh-CN"/>
              </w:rPr>
              <w:t>9</w:t>
            </w:r>
          </w:p>
        </w:tc>
        <w:tc>
          <w:tcPr>
            <w:tcW w:w="584" w:type="dxa"/>
            <w:tcBorders>
              <w:top w:val="nil"/>
              <w:left w:val="nil"/>
              <w:bottom w:val="nil"/>
              <w:right w:val="nil"/>
            </w:tcBorders>
            <w:shd w:val="clear" w:color="auto" w:fill="auto"/>
            <w:noWrap/>
          </w:tcPr>
          <w:p w14:paraId="2EE6DC3E"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r w:rsidRPr="00C7354B">
              <w:rPr>
                <w:rFonts w:cs="Times New Roman"/>
                <w:color w:val="000000" w:themeColor="text1"/>
                <w:kern w:val="2"/>
                <w:sz w:val="22"/>
                <w:lang w:eastAsia="zh-CN"/>
              </w:rPr>
              <w:t xml:space="preserve">.04  </w:t>
            </w:r>
          </w:p>
        </w:tc>
        <w:tc>
          <w:tcPr>
            <w:tcW w:w="584" w:type="dxa"/>
            <w:tcBorders>
              <w:top w:val="nil"/>
              <w:left w:val="nil"/>
              <w:bottom w:val="nil"/>
              <w:right w:val="nil"/>
            </w:tcBorders>
            <w:shd w:val="clear" w:color="auto" w:fill="auto"/>
            <w:noWrap/>
          </w:tcPr>
          <w:p w14:paraId="699C04AC"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r w:rsidRPr="00C7354B">
              <w:rPr>
                <w:rFonts w:cs="Times New Roman"/>
                <w:color w:val="000000" w:themeColor="text1"/>
                <w:kern w:val="2"/>
                <w:sz w:val="22"/>
                <w:lang w:eastAsia="zh-CN"/>
              </w:rPr>
              <w:t xml:space="preserve">.05  </w:t>
            </w:r>
          </w:p>
        </w:tc>
        <w:tc>
          <w:tcPr>
            <w:tcW w:w="1258" w:type="dxa"/>
            <w:tcBorders>
              <w:top w:val="nil"/>
              <w:left w:val="nil"/>
              <w:bottom w:val="nil"/>
              <w:right w:val="nil"/>
            </w:tcBorders>
            <w:shd w:val="clear" w:color="auto" w:fill="auto"/>
            <w:noWrap/>
          </w:tcPr>
          <w:p w14:paraId="216C25A2" w14:textId="77777777" w:rsidR="006822EF" w:rsidRPr="00C7354B" w:rsidRDefault="006822EF" w:rsidP="00AB066F">
            <w:pPr>
              <w:widowControl w:val="0"/>
              <w:spacing w:line="240" w:lineRule="auto"/>
              <w:jc w:val="center"/>
              <w:rPr>
                <w:rFonts w:cs="Times New Roman"/>
                <w:color w:val="000000" w:themeColor="text1"/>
                <w:kern w:val="2"/>
                <w:sz w:val="22"/>
                <w:lang w:eastAsia="zh-CN"/>
              </w:rPr>
            </w:pPr>
            <w:r w:rsidRPr="00C7354B">
              <w:rPr>
                <w:rFonts w:cs="Times New Roman"/>
                <w:color w:val="000000" w:themeColor="text1"/>
                <w:kern w:val="2"/>
                <w:sz w:val="22"/>
                <w:lang w:eastAsia="zh-CN"/>
              </w:rPr>
              <w:t>[-.06: .13]</w:t>
            </w:r>
          </w:p>
        </w:tc>
        <w:tc>
          <w:tcPr>
            <w:tcW w:w="1275" w:type="dxa"/>
            <w:tcBorders>
              <w:top w:val="nil"/>
              <w:left w:val="nil"/>
              <w:bottom w:val="nil"/>
              <w:right w:val="nil"/>
            </w:tcBorders>
            <w:shd w:val="clear" w:color="auto" w:fill="auto"/>
            <w:noWrap/>
          </w:tcPr>
          <w:p w14:paraId="4CEC87F3" w14:textId="77777777" w:rsidR="006822EF" w:rsidRPr="00C7354B" w:rsidRDefault="006822EF" w:rsidP="00AB066F">
            <w:pPr>
              <w:widowControl w:val="0"/>
              <w:spacing w:line="240" w:lineRule="auto"/>
              <w:jc w:val="center"/>
              <w:rPr>
                <w:rFonts w:cs="Times New Roman"/>
                <w:color w:val="000000" w:themeColor="text1"/>
                <w:kern w:val="2"/>
                <w:sz w:val="22"/>
                <w:lang w:eastAsia="zh-CN"/>
              </w:rPr>
            </w:pPr>
            <w:r w:rsidRPr="00C7354B">
              <w:rPr>
                <w:rFonts w:cs="Times New Roman"/>
                <w:color w:val="000000" w:themeColor="text1"/>
                <w:kern w:val="2"/>
                <w:sz w:val="22"/>
                <w:lang w:eastAsia="zh-CN"/>
              </w:rPr>
              <w:t>[-.24: .30]</w:t>
            </w:r>
          </w:p>
        </w:tc>
        <w:tc>
          <w:tcPr>
            <w:tcW w:w="1701" w:type="dxa"/>
            <w:tcBorders>
              <w:top w:val="nil"/>
              <w:left w:val="nil"/>
              <w:bottom w:val="nil"/>
              <w:right w:val="nil"/>
            </w:tcBorders>
          </w:tcPr>
          <w:p w14:paraId="292855C9" w14:textId="77777777" w:rsidR="006822EF" w:rsidRPr="00C7354B" w:rsidRDefault="006822EF" w:rsidP="00AB066F">
            <w:pPr>
              <w:widowControl w:val="0"/>
              <w:spacing w:line="240" w:lineRule="auto"/>
              <w:jc w:val="center"/>
              <w:rPr>
                <w:rFonts w:cs="Times New Roman"/>
                <w:color w:val="000000" w:themeColor="text1"/>
                <w:kern w:val="2"/>
                <w:sz w:val="22"/>
                <w:lang w:eastAsia="zh-CN"/>
              </w:rPr>
            </w:pPr>
            <w:r w:rsidRPr="00C7354B">
              <w:rPr>
                <w:rFonts w:cs="Times New Roman"/>
                <w:color w:val="000000" w:themeColor="text1"/>
                <w:kern w:val="2"/>
                <w:sz w:val="22"/>
                <w:lang w:eastAsia="zh-CN"/>
              </w:rPr>
              <w:t xml:space="preserve">79.90 </w:t>
            </w:r>
            <w:r w:rsidRPr="00C7354B">
              <w:rPr>
                <w:rFonts w:eastAsia="Helvetica" w:cs="Times New Roman"/>
                <w:color w:val="000000" w:themeColor="text1"/>
                <w:sz w:val="22"/>
              </w:rPr>
              <w:t>[&lt;.001]</w:t>
            </w:r>
          </w:p>
        </w:tc>
      </w:tr>
      <w:tr w:rsidR="002313C0" w:rsidRPr="00C7354B" w14:paraId="02735817" w14:textId="77777777" w:rsidTr="00394BE7">
        <w:trPr>
          <w:trHeight w:val="28"/>
          <w:jc w:val="center"/>
        </w:trPr>
        <w:tc>
          <w:tcPr>
            <w:tcW w:w="2552" w:type="dxa"/>
            <w:tcBorders>
              <w:top w:val="nil"/>
              <w:left w:val="nil"/>
              <w:bottom w:val="single" w:sz="4" w:space="0" w:color="auto"/>
              <w:right w:val="nil"/>
            </w:tcBorders>
            <w:shd w:val="clear" w:color="auto" w:fill="auto"/>
            <w:noWrap/>
          </w:tcPr>
          <w:p w14:paraId="5CC0A1B2" w14:textId="77777777" w:rsidR="006822EF" w:rsidRPr="00C7354B" w:rsidRDefault="006822EF" w:rsidP="00AB066F">
            <w:pPr>
              <w:widowControl w:val="0"/>
              <w:spacing w:line="240" w:lineRule="auto"/>
              <w:jc w:val="left"/>
              <w:rPr>
                <w:rFonts w:cs="Times New Roman"/>
                <w:color w:val="000000" w:themeColor="text1"/>
                <w:kern w:val="2"/>
                <w:sz w:val="22"/>
                <w:lang w:val="en-US" w:eastAsia="zh-CN"/>
              </w:rPr>
            </w:pPr>
            <w:r w:rsidRPr="00C7354B">
              <w:rPr>
                <w:rFonts w:cs="Times New Roman"/>
                <w:color w:val="000000" w:themeColor="text1"/>
                <w:kern w:val="2"/>
                <w:sz w:val="22"/>
                <w:lang w:eastAsia="zh-CN"/>
              </w:rPr>
              <w:t xml:space="preserve">     Australia</w:t>
            </w:r>
          </w:p>
        </w:tc>
        <w:tc>
          <w:tcPr>
            <w:tcW w:w="1101" w:type="dxa"/>
            <w:tcBorders>
              <w:top w:val="nil"/>
              <w:left w:val="nil"/>
              <w:bottom w:val="single" w:sz="4" w:space="0" w:color="auto"/>
              <w:right w:val="nil"/>
            </w:tcBorders>
            <w:shd w:val="clear" w:color="auto" w:fill="auto"/>
            <w:noWrap/>
          </w:tcPr>
          <w:p w14:paraId="6508193B"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r w:rsidRPr="00C7354B">
              <w:rPr>
                <w:rFonts w:cs="Times New Roman"/>
                <w:color w:val="000000" w:themeColor="text1"/>
                <w:kern w:val="2"/>
                <w:sz w:val="22"/>
                <w:lang w:eastAsia="zh-CN"/>
              </w:rPr>
              <w:t>37,652</w:t>
            </w:r>
          </w:p>
        </w:tc>
        <w:tc>
          <w:tcPr>
            <w:tcW w:w="584" w:type="dxa"/>
            <w:tcBorders>
              <w:top w:val="nil"/>
              <w:left w:val="nil"/>
              <w:bottom w:val="single" w:sz="4" w:space="0" w:color="auto"/>
              <w:right w:val="nil"/>
            </w:tcBorders>
            <w:shd w:val="clear" w:color="auto" w:fill="auto"/>
            <w:noWrap/>
          </w:tcPr>
          <w:p w14:paraId="02BCD809"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r w:rsidRPr="00C7354B">
              <w:rPr>
                <w:rFonts w:cs="Times New Roman"/>
                <w:color w:val="000000" w:themeColor="text1"/>
                <w:kern w:val="2"/>
                <w:sz w:val="22"/>
                <w:lang w:eastAsia="zh-CN"/>
              </w:rPr>
              <w:t>16</w:t>
            </w:r>
          </w:p>
        </w:tc>
        <w:tc>
          <w:tcPr>
            <w:tcW w:w="584" w:type="dxa"/>
            <w:tcBorders>
              <w:top w:val="nil"/>
              <w:left w:val="nil"/>
              <w:bottom w:val="single" w:sz="4" w:space="0" w:color="auto"/>
              <w:right w:val="nil"/>
            </w:tcBorders>
            <w:shd w:val="clear" w:color="auto" w:fill="auto"/>
            <w:noWrap/>
          </w:tcPr>
          <w:p w14:paraId="21B87E74"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r w:rsidRPr="00C7354B">
              <w:rPr>
                <w:rFonts w:cs="Times New Roman"/>
                <w:color w:val="000000" w:themeColor="text1"/>
                <w:kern w:val="2"/>
                <w:sz w:val="22"/>
                <w:lang w:eastAsia="zh-CN"/>
              </w:rPr>
              <w:t xml:space="preserve">.02  </w:t>
            </w:r>
          </w:p>
        </w:tc>
        <w:tc>
          <w:tcPr>
            <w:tcW w:w="584" w:type="dxa"/>
            <w:tcBorders>
              <w:top w:val="nil"/>
              <w:left w:val="nil"/>
              <w:bottom w:val="single" w:sz="4" w:space="0" w:color="auto"/>
              <w:right w:val="nil"/>
            </w:tcBorders>
            <w:shd w:val="clear" w:color="auto" w:fill="auto"/>
            <w:noWrap/>
          </w:tcPr>
          <w:p w14:paraId="3DD7EFED" w14:textId="77777777" w:rsidR="006822EF" w:rsidRPr="00C7354B" w:rsidRDefault="006822EF" w:rsidP="00AB066F">
            <w:pPr>
              <w:widowControl w:val="0"/>
              <w:spacing w:line="240" w:lineRule="auto"/>
              <w:jc w:val="right"/>
              <w:rPr>
                <w:rFonts w:cs="Times New Roman"/>
                <w:color w:val="000000" w:themeColor="text1"/>
                <w:kern w:val="2"/>
                <w:sz w:val="22"/>
                <w:lang w:eastAsia="zh-CN"/>
              </w:rPr>
            </w:pPr>
            <w:r w:rsidRPr="00C7354B">
              <w:rPr>
                <w:rFonts w:cs="Times New Roman"/>
                <w:color w:val="000000" w:themeColor="text1"/>
                <w:kern w:val="2"/>
                <w:sz w:val="22"/>
                <w:lang w:eastAsia="zh-CN"/>
              </w:rPr>
              <w:t xml:space="preserve">.02  </w:t>
            </w:r>
          </w:p>
        </w:tc>
        <w:tc>
          <w:tcPr>
            <w:tcW w:w="1258" w:type="dxa"/>
            <w:tcBorders>
              <w:top w:val="nil"/>
              <w:left w:val="nil"/>
              <w:bottom w:val="single" w:sz="4" w:space="0" w:color="auto"/>
              <w:right w:val="nil"/>
            </w:tcBorders>
            <w:shd w:val="clear" w:color="auto" w:fill="auto"/>
            <w:noWrap/>
          </w:tcPr>
          <w:p w14:paraId="201C2207" w14:textId="77777777" w:rsidR="006822EF" w:rsidRPr="00C7354B" w:rsidRDefault="006822EF" w:rsidP="00AB066F">
            <w:pPr>
              <w:widowControl w:val="0"/>
              <w:spacing w:line="240" w:lineRule="auto"/>
              <w:jc w:val="center"/>
              <w:rPr>
                <w:rFonts w:cs="Times New Roman"/>
                <w:color w:val="000000" w:themeColor="text1"/>
                <w:kern w:val="2"/>
                <w:sz w:val="22"/>
                <w:lang w:eastAsia="zh-CN"/>
              </w:rPr>
            </w:pPr>
            <w:r w:rsidRPr="00C7354B">
              <w:rPr>
                <w:rFonts w:cs="Times New Roman"/>
                <w:color w:val="000000" w:themeColor="text1"/>
                <w:kern w:val="2"/>
                <w:sz w:val="22"/>
                <w:lang w:eastAsia="zh-CN"/>
              </w:rPr>
              <w:t>[-.02: .06]</w:t>
            </w:r>
          </w:p>
        </w:tc>
        <w:tc>
          <w:tcPr>
            <w:tcW w:w="1275" w:type="dxa"/>
            <w:tcBorders>
              <w:top w:val="nil"/>
              <w:left w:val="nil"/>
              <w:bottom w:val="single" w:sz="4" w:space="0" w:color="auto"/>
              <w:right w:val="nil"/>
            </w:tcBorders>
            <w:shd w:val="clear" w:color="auto" w:fill="auto"/>
            <w:noWrap/>
          </w:tcPr>
          <w:p w14:paraId="72523298" w14:textId="77777777" w:rsidR="006822EF" w:rsidRPr="00C7354B" w:rsidRDefault="006822EF" w:rsidP="00AB066F">
            <w:pPr>
              <w:widowControl w:val="0"/>
              <w:spacing w:line="240" w:lineRule="auto"/>
              <w:jc w:val="center"/>
              <w:rPr>
                <w:rFonts w:cs="Times New Roman"/>
                <w:color w:val="000000" w:themeColor="text1"/>
                <w:kern w:val="2"/>
                <w:sz w:val="22"/>
                <w:lang w:eastAsia="zh-CN"/>
              </w:rPr>
            </w:pPr>
            <w:r w:rsidRPr="00C7354B">
              <w:rPr>
                <w:rFonts w:cs="Times New Roman"/>
                <w:color w:val="000000" w:themeColor="text1"/>
                <w:kern w:val="2"/>
                <w:sz w:val="22"/>
                <w:lang w:eastAsia="zh-CN"/>
              </w:rPr>
              <w:t>[-.11: .16]</w:t>
            </w:r>
          </w:p>
        </w:tc>
        <w:tc>
          <w:tcPr>
            <w:tcW w:w="1701" w:type="dxa"/>
            <w:tcBorders>
              <w:top w:val="nil"/>
              <w:left w:val="nil"/>
              <w:bottom w:val="single" w:sz="4" w:space="0" w:color="auto"/>
              <w:right w:val="nil"/>
            </w:tcBorders>
          </w:tcPr>
          <w:p w14:paraId="566BD911" w14:textId="77777777" w:rsidR="006822EF" w:rsidRPr="00C7354B" w:rsidRDefault="006822EF" w:rsidP="00AB066F">
            <w:pPr>
              <w:widowControl w:val="0"/>
              <w:spacing w:line="240" w:lineRule="auto"/>
              <w:jc w:val="center"/>
              <w:rPr>
                <w:rFonts w:cs="Times New Roman"/>
                <w:color w:val="000000" w:themeColor="text1"/>
                <w:kern w:val="2"/>
                <w:sz w:val="22"/>
                <w:lang w:eastAsia="zh-CN"/>
              </w:rPr>
            </w:pPr>
            <w:r w:rsidRPr="00C7354B">
              <w:rPr>
                <w:rFonts w:cs="Times New Roman"/>
                <w:color w:val="000000" w:themeColor="text1"/>
                <w:kern w:val="2"/>
                <w:sz w:val="22"/>
                <w:lang w:eastAsia="zh-CN"/>
              </w:rPr>
              <w:t xml:space="preserve">263.78 </w:t>
            </w:r>
            <w:r w:rsidRPr="00C7354B">
              <w:rPr>
                <w:rFonts w:eastAsia="Helvetica" w:cs="Times New Roman"/>
                <w:color w:val="000000" w:themeColor="text1"/>
                <w:sz w:val="22"/>
              </w:rPr>
              <w:t>[&lt;.001]</w:t>
            </w:r>
          </w:p>
        </w:tc>
      </w:tr>
    </w:tbl>
    <w:p w14:paraId="1E0727F3" w14:textId="77777777" w:rsidR="006822EF" w:rsidRPr="00C7354B" w:rsidRDefault="006822EF" w:rsidP="006822EF">
      <w:pPr>
        <w:widowControl w:val="0"/>
        <w:adjustRightInd w:val="0"/>
        <w:snapToGrid w:val="0"/>
        <w:spacing w:before="60" w:after="60" w:line="240" w:lineRule="auto"/>
        <w:rPr>
          <w:rFonts w:eastAsia="SimSun"/>
          <w:i/>
          <w:iCs/>
          <w:color w:val="000000" w:themeColor="text1"/>
          <w:kern w:val="2"/>
          <w:sz w:val="22"/>
          <w:lang w:val="en-US" w:eastAsia="zh-CN"/>
        </w:rPr>
      </w:pPr>
      <w:r w:rsidRPr="00C7354B">
        <w:rPr>
          <w:rFonts w:eastAsia="SimSun"/>
          <w:i/>
          <w:iCs/>
          <w:color w:val="000000" w:themeColor="text1"/>
          <w:kern w:val="2"/>
          <w:sz w:val="22"/>
          <w:lang w:val="en-US" w:eastAsia="zh-CN"/>
        </w:rPr>
        <w:t>Note</w:t>
      </w:r>
      <w:r w:rsidRPr="00C7354B">
        <w:rPr>
          <w:rFonts w:eastAsia="SimSun"/>
          <w:color w:val="000000" w:themeColor="text1"/>
          <w:kern w:val="2"/>
          <w:sz w:val="22"/>
          <w:lang w:val="en-US" w:eastAsia="zh-CN"/>
        </w:rPr>
        <w:t xml:space="preserve">: </w:t>
      </w:r>
      <w:r w:rsidRPr="00C7354B">
        <w:rPr>
          <w:rFonts w:eastAsia="SimSun"/>
          <w:i/>
          <w:iCs/>
          <w:color w:val="000000" w:themeColor="text1"/>
          <w:kern w:val="2"/>
          <w:sz w:val="22"/>
          <w:lang w:val="en-US" w:eastAsia="zh-CN"/>
        </w:rPr>
        <w:t>N</w:t>
      </w:r>
      <w:r w:rsidRPr="00C7354B">
        <w:rPr>
          <w:rFonts w:eastAsia="SimSun"/>
          <w:color w:val="000000" w:themeColor="text1"/>
          <w:kern w:val="2"/>
          <w:sz w:val="22"/>
          <w:lang w:val="en-US" w:eastAsia="zh-CN"/>
        </w:rPr>
        <w:t xml:space="preserve"> = total sample size; </w:t>
      </w:r>
      <w:r w:rsidRPr="00C7354B">
        <w:rPr>
          <w:rFonts w:eastAsia="SimSun"/>
          <w:i/>
          <w:iCs/>
          <w:color w:val="000000" w:themeColor="text1"/>
          <w:kern w:val="2"/>
          <w:sz w:val="22"/>
          <w:lang w:val="en-US" w:eastAsia="zh-CN"/>
        </w:rPr>
        <w:t>k</w:t>
      </w:r>
      <w:r w:rsidRPr="00C7354B">
        <w:rPr>
          <w:rFonts w:eastAsia="SimSun"/>
          <w:color w:val="000000" w:themeColor="text1"/>
          <w:kern w:val="2"/>
          <w:sz w:val="22"/>
          <w:lang w:val="en-US" w:eastAsia="zh-CN"/>
        </w:rPr>
        <w:t xml:space="preserve"> = number of effect sizes included in analysis; </w:t>
      </w:r>
      <w:r w:rsidRPr="00C7354B">
        <w:rPr>
          <w:rFonts w:eastAsia="SimSun"/>
          <w:i/>
          <w:iCs/>
          <w:color w:val="000000" w:themeColor="text1"/>
          <w:kern w:val="2"/>
          <w:sz w:val="22"/>
          <w:lang w:val="en-US" w:eastAsia="zh-CN"/>
        </w:rPr>
        <w:t>r̄</w:t>
      </w:r>
      <w:r w:rsidRPr="00C7354B">
        <w:rPr>
          <w:rFonts w:eastAsia="SimSun"/>
          <w:color w:val="000000" w:themeColor="text1"/>
          <w:kern w:val="2"/>
          <w:sz w:val="22"/>
          <w:lang w:val="en-US" w:eastAsia="zh-CN"/>
        </w:rPr>
        <w:t xml:space="preserve"> = sample size-weighted mean observed effect size; </w:t>
      </w:r>
      <m:oMath>
        <m:sSub>
          <m:sSubPr>
            <m:ctrlPr>
              <w:rPr>
                <w:rFonts w:ascii="Cambria Math" w:hAnsi="Cambria Math"/>
                <w:i/>
                <w:iCs/>
                <w:color w:val="000000" w:themeColor="text1"/>
                <w:kern w:val="2"/>
                <w:sz w:val="22"/>
                <w:lang w:eastAsia="zh-CN"/>
              </w:rPr>
            </m:ctrlPr>
          </m:sSubPr>
          <m:e>
            <m:r>
              <w:rPr>
                <w:rFonts w:ascii="Cambria Math" w:hAnsi="Cambria Math"/>
                <w:color w:val="000000" w:themeColor="text1"/>
                <w:kern w:val="2"/>
                <w:sz w:val="22"/>
                <w:lang w:eastAsia="zh-CN"/>
              </w:rPr>
              <m:t>sd</m:t>
            </m:r>
          </m:e>
          <m:sub>
            <m:r>
              <w:rPr>
                <w:rFonts w:ascii="Cambria Math" w:hAnsi="Cambria Math"/>
                <w:color w:val="000000" w:themeColor="text1"/>
                <w:kern w:val="2"/>
                <w:sz w:val="22"/>
                <w:lang w:eastAsia="zh-CN"/>
              </w:rPr>
              <m:t>r</m:t>
            </m:r>
          </m:sub>
        </m:sSub>
      </m:oMath>
      <w:r w:rsidRPr="00C7354B">
        <w:rPr>
          <w:rFonts w:eastAsia="SimSun"/>
          <w:color w:val="000000" w:themeColor="text1"/>
          <w:kern w:val="2"/>
          <w:sz w:val="22"/>
          <w:lang w:val="en-US" w:eastAsia="zh-CN"/>
        </w:rPr>
        <w:t xml:space="preserve"> = standard deviation of </w:t>
      </w:r>
      <w:r w:rsidRPr="00C7354B">
        <w:rPr>
          <w:rFonts w:eastAsia="SimSun"/>
          <w:i/>
          <w:iCs/>
          <w:color w:val="000000" w:themeColor="text1"/>
          <w:kern w:val="2"/>
          <w:sz w:val="22"/>
          <w:lang w:val="en-US" w:eastAsia="zh-CN"/>
        </w:rPr>
        <w:t>r̄</w:t>
      </w:r>
      <w:r w:rsidRPr="00C7354B">
        <w:rPr>
          <w:rFonts w:eastAsia="SimSun"/>
          <w:color w:val="000000" w:themeColor="text1"/>
          <w:kern w:val="2"/>
          <w:sz w:val="22"/>
          <w:lang w:val="en-US" w:eastAsia="zh-CN"/>
        </w:rPr>
        <w:t xml:space="preserve">; </w:t>
      </w:r>
      <w:r w:rsidRPr="00C7354B">
        <w:rPr>
          <w:rFonts w:eastAsia="SimSun"/>
          <w:color w:val="000000" w:themeColor="text1"/>
          <w:kern w:val="2"/>
          <w:sz w:val="22"/>
          <w:lang w:eastAsia="zh-CN"/>
        </w:rPr>
        <w:t>χ</w:t>
      </w:r>
      <w:r w:rsidRPr="00C7354B">
        <w:rPr>
          <w:rFonts w:eastAsia="SimSun"/>
          <w:color w:val="000000" w:themeColor="text1"/>
          <w:kern w:val="2"/>
          <w:sz w:val="22"/>
          <w:lang w:val="en-US" w:eastAsia="zh-CN"/>
        </w:rPr>
        <w:t>2 = test of heterogeneity; 95% confidence intervals were calculated using</w:t>
      </w:r>
      <w:r w:rsidRPr="00C7354B">
        <w:rPr>
          <w:rFonts w:eastAsia="SimSun"/>
          <w:i/>
          <w:iCs/>
          <w:color w:val="000000" w:themeColor="text1"/>
          <w:kern w:val="2"/>
          <w:sz w:val="22"/>
          <w:lang w:val="en-US" w:eastAsia="zh-CN"/>
        </w:rPr>
        <w:t xml:space="preserve"> r̄</w:t>
      </w:r>
      <w:r w:rsidRPr="00C7354B">
        <w:rPr>
          <w:rFonts w:eastAsia="SimSun"/>
          <w:color w:val="000000" w:themeColor="text1"/>
          <w:kern w:val="2"/>
          <w:sz w:val="22"/>
          <w:lang w:val="en-US" w:eastAsia="zh-CN"/>
        </w:rPr>
        <w:t xml:space="preserve"> and standard error of </w:t>
      </w:r>
      <w:r w:rsidRPr="00C7354B">
        <w:rPr>
          <w:rFonts w:eastAsia="SimSun"/>
          <w:i/>
          <w:iCs/>
          <w:color w:val="000000" w:themeColor="text1"/>
          <w:kern w:val="2"/>
          <w:sz w:val="22"/>
          <w:lang w:val="en-US" w:eastAsia="zh-CN"/>
        </w:rPr>
        <w:t>r̄</w:t>
      </w:r>
      <w:r w:rsidRPr="00C7354B">
        <w:rPr>
          <w:rFonts w:eastAsia="SimSun"/>
          <w:color w:val="000000" w:themeColor="text1"/>
          <w:kern w:val="2"/>
          <w:sz w:val="22"/>
          <w:lang w:val="en-US" w:eastAsia="zh-CN"/>
        </w:rPr>
        <w:t xml:space="preserve">; 80% credibility intervals were calculated using </w:t>
      </w:r>
      <w:r w:rsidRPr="00C7354B">
        <w:rPr>
          <w:rFonts w:eastAsia="SimSun"/>
          <w:i/>
          <w:iCs/>
          <w:color w:val="000000" w:themeColor="text1"/>
          <w:kern w:val="2"/>
          <w:sz w:val="22"/>
          <w:lang w:val="en-US" w:eastAsia="zh-CN"/>
        </w:rPr>
        <w:t>r̄</w:t>
      </w:r>
      <w:r w:rsidRPr="00C7354B">
        <w:rPr>
          <w:rFonts w:eastAsia="SimSun"/>
          <w:color w:val="000000" w:themeColor="text1"/>
          <w:kern w:val="2"/>
          <w:sz w:val="22"/>
          <w:lang w:val="en-US" w:eastAsia="zh-CN"/>
        </w:rPr>
        <w:t xml:space="preserve"> and standard deviation of </w:t>
      </w:r>
      <w:r w:rsidRPr="00C7354B">
        <w:rPr>
          <w:rFonts w:eastAsia="SimSun"/>
          <w:i/>
          <w:iCs/>
          <w:color w:val="000000" w:themeColor="text1"/>
          <w:kern w:val="2"/>
          <w:sz w:val="22"/>
          <w:lang w:val="en-US" w:eastAsia="zh-CN"/>
        </w:rPr>
        <w:t>r̄.</w:t>
      </w:r>
    </w:p>
    <w:p w14:paraId="13945499" w14:textId="4E4BF2FE" w:rsidR="00496028" w:rsidRDefault="00496028">
      <w:pPr>
        <w:spacing w:after="160" w:line="259" w:lineRule="auto"/>
        <w:jc w:val="left"/>
        <w:rPr>
          <w:rFonts w:eastAsia="Times New Roman" w:cs="Times New Roman"/>
          <w:szCs w:val="24"/>
          <w:lang w:val="en-US" w:eastAsia="de-DE"/>
        </w:rPr>
      </w:pPr>
      <w:r w:rsidRPr="00496028">
        <w:rPr>
          <w:lang w:val="en-US"/>
        </w:rPr>
        <w:br w:type="page"/>
      </w:r>
    </w:p>
    <w:p w14:paraId="3C7E285B" w14:textId="77777777" w:rsidR="006822EF" w:rsidRPr="009572A7" w:rsidRDefault="006822EF" w:rsidP="009572A7">
      <w:pPr>
        <w:pStyle w:val="1fake"/>
      </w:pPr>
      <w:bookmarkStart w:id="237" w:name="_Hlk175507391"/>
      <w:r w:rsidRPr="009572A7">
        <w:lastRenderedPageBreak/>
        <w:t>TABLE 3</w:t>
      </w:r>
    </w:p>
    <w:p w14:paraId="1137DA2C" w14:textId="38AE95AD" w:rsidR="008D3B08" w:rsidRPr="008D3B08" w:rsidRDefault="008D3B08" w:rsidP="003A640A">
      <w:pPr>
        <w:pStyle w:val="Tabelle"/>
      </w:pPr>
      <w:bookmarkStart w:id="238" w:name="_Toc180964653"/>
      <w:r>
        <w:t xml:space="preserve">T - I - </w:t>
      </w:r>
      <w:r>
        <w:fldChar w:fldCharType="begin"/>
      </w:r>
      <w:r>
        <w:instrText xml:space="preserve"> SEQ T_-_I_- \* ARABIC </w:instrText>
      </w:r>
      <w:r>
        <w:fldChar w:fldCharType="separate"/>
      </w:r>
      <w:r w:rsidR="00E91088">
        <w:rPr>
          <w:noProof/>
        </w:rPr>
        <w:t>3</w:t>
      </w:r>
      <w:r>
        <w:fldChar w:fldCharType="end"/>
      </w:r>
      <w:r>
        <w:t xml:space="preserve">: </w:t>
      </w:r>
      <w:r w:rsidRPr="006D5F22">
        <w:t xml:space="preserve">Pooled </w:t>
      </w:r>
      <w:r w:rsidR="007F2F08">
        <w:t>m</w:t>
      </w:r>
      <w:r w:rsidRPr="006D5F22">
        <w:t xml:space="preserve">eta-analytic </w:t>
      </w:r>
      <w:r w:rsidR="007F2F08">
        <w:t>c</w:t>
      </w:r>
      <w:r w:rsidRPr="006D5F22">
        <w:t xml:space="preserve">orrelation </w:t>
      </w:r>
      <w:r w:rsidR="007F2F08">
        <w:t>m</w:t>
      </w:r>
      <w:r w:rsidRPr="006D5F22">
        <w:t>atrix</w:t>
      </w:r>
      <w:bookmarkEnd w:id="238"/>
    </w:p>
    <w:tbl>
      <w:tblPr>
        <w:tblW w:w="9072" w:type="dxa"/>
        <w:jc w:val="center"/>
        <w:tblLayout w:type="fixed"/>
        <w:tblCellMar>
          <w:top w:w="6" w:type="dxa"/>
          <w:left w:w="6" w:type="dxa"/>
          <w:bottom w:w="6" w:type="dxa"/>
          <w:right w:w="6" w:type="dxa"/>
        </w:tblCellMar>
        <w:tblLook w:val="04A0" w:firstRow="1" w:lastRow="0" w:firstColumn="1" w:lastColumn="0" w:noHBand="0" w:noVBand="1"/>
      </w:tblPr>
      <w:tblGrid>
        <w:gridCol w:w="2046"/>
        <w:gridCol w:w="1507"/>
        <w:gridCol w:w="1839"/>
        <w:gridCol w:w="1841"/>
        <w:gridCol w:w="1839"/>
      </w:tblGrid>
      <w:tr w:rsidR="006822EF" w:rsidRPr="00C7354B" w14:paraId="12F05112" w14:textId="77777777" w:rsidTr="00394BE7">
        <w:trPr>
          <w:trHeight w:val="21"/>
          <w:jc w:val="center"/>
        </w:trPr>
        <w:tc>
          <w:tcPr>
            <w:tcW w:w="2106" w:type="dxa"/>
            <w:tcBorders>
              <w:top w:val="single" w:sz="4" w:space="0" w:color="auto"/>
              <w:left w:val="nil"/>
              <w:bottom w:val="single" w:sz="4" w:space="0" w:color="auto"/>
              <w:right w:val="nil"/>
            </w:tcBorders>
            <w:shd w:val="clear" w:color="auto" w:fill="auto"/>
            <w:noWrap/>
            <w:hideMark/>
          </w:tcPr>
          <w:p w14:paraId="5B86EBD7" w14:textId="6577A1AB" w:rsidR="006822EF" w:rsidRPr="00C7354B" w:rsidRDefault="003953A5" w:rsidP="003953A5">
            <w:pPr>
              <w:widowControl w:val="0"/>
              <w:spacing w:line="240" w:lineRule="auto"/>
              <w:jc w:val="left"/>
              <w:rPr>
                <w:b/>
                <w:bCs/>
                <w:color w:val="000000" w:themeColor="text1"/>
                <w:kern w:val="2"/>
                <w:sz w:val="22"/>
                <w:lang w:val="en-US" w:eastAsia="zh-CN"/>
              </w:rPr>
            </w:pPr>
            <w:r w:rsidRPr="00C7354B">
              <w:rPr>
                <w:b/>
                <w:bCs/>
                <w:color w:val="000000" w:themeColor="text1"/>
                <w:kern w:val="2"/>
                <w:sz w:val="22"/>
                <w:lang w:val="en-US" w:eastAsia="zh-CN"/>
              </w:rPr>
              <w:t>Variables</w:t>
            </w:r>
          </w:p>
        </w:tc>
        <w:tc>
          <w:tcPr>
            <w:tcW w:w="1552" w:type="dxa"/>
            <w:tcBorders>
              <w:top w:val="single" w:sz="4" w:space="0" w:color="auto"/>
              <w:left w:val="nil"/>
              <w:bottom w:val="single" w:sz="4" w:space="0" w:color="auto"/>
              <w:right w:val="nil"/>
            </w:tcBorders>
            <w:shd w:val="clear" w:color="auto" w:fill="auto"/>
            <w:noWrap/>
            <w:hideMark/>
          </w:tcPr>
          <w:p w14:paraId="621275D0" w14:textId="77777777" w:rsidR="006822EF" w:rsidRPr="00C7354B" w:rsidRDefault="006822EF" w:rsidP="00004775">
            <w:pPr>
              <w:widowControl w:val="0"/>
              <w:spacing w:line="240" w:lineRule="auto"/>
              <w:jc w:val="center"/>
              <w:rPr>
                <w:b/>
                <w:bCs/>
                <w:color w:val="000000" w:themeColor="text1"/>
                <w:kern w:val="2"/>
                <w:sz w:val="22"/>
                <w:lang w:eastAsia="zh-CN"/>
              </w:rPr>
            </w:pPr>
            <w:r w:rsidRPr="00C7354B">
              <w:rPr>
                <w:b/>
                <w:bCs/>
                <w:color w:val="000000" w:themeColor="text1"/>
                <w:kern w:val="2"/>
                <w:sz w:val="22"/>
                <w:lang w:eastAsia="zh-CN"/>
              </w:rPr>
              <w:t>(1)</w:t>
            </w:r>
          </w:p>
        </w:tc>
        <w:tc>
          <w:tcPr>
            <w:tcW w:w="1894" w:type="dxa"/>
            <w:tcBorders>
              <w:top w:val="single" w:sz="4" w:space="0" w:color="auto"/>
              <w:left w:val="nil"/>
              <w:bottom w:val="single" w:sz="4" w:space="0" w:color="auto"/>
              <w:right w:val="nil"/>
            </w:tcBorders>
            <w:shd w:val="clear" w:color="auto" w:fill="auto"/>
            <w:noWrap/>
            <w:hideMark/>
          </w:tcPr>
          <w:p w14:paraId="793E9D2D" w14:textId="77777777" w:rsidR="006822EF" w:rsidRPr="00C7354B" w:rsidRDefault="006822EF" w:rsidP="00004775">
            <w:pPr>
              <w:widowControl w:val="0"/>
              <w:spacing w:line="240" w:lineRule="auto"/>
              <w:jc w:val="center"/>
              <w:rPr>
                <w:b/>
                <w:bCs/>
                <w:color w:val="000000" w:themeColor="text1"/>
                <w:kern w:val="2"/>
                <w:sz w:val="22"/>
                <w:lang w:eastAsia="zh-CN"/>
              </w:rPr>
            </w:pPr>
            <w:r w:rsidRPr="00C7354B">
              <w:rPr>
                <w:b/>
                <w:bCs/>
                <w:color w:val="000000" w:themeColor="text1"/>
                <w:kern w:val="2"/>
                <w:sz w:val="22"/>
                <w:lang w:eastAsia="zh-CN"/>
              </w:rPr>
              <w:t>(2)</w:t>
            </w:r>
          </w:p>
        </w:tc>
        <w:tc>
          <w:tcPr>
            <w:tcW w:w="1896" w:type="dxa"/>
            <w:tcBorders>
              <w:top w:val="single" w:sz="4" w:space="0" w:color="auto"/>
              <w:left w:val="nil"/>
              <w:bottom w:val="single" w:sz="4" w:space="0" w:color="auto"/>
              <w:right w:val="nil"/>
            </w:tcBorders>
            <w:shd w:val="clear" w:color="auto" w:fill="auto"/>
            <w:noWrap/>
            <w:hideMark/>
          </w:tcPr>
          <w:p w14:paraId="7220C7C6" w14:textId="77777777" w:rsidR="006822EF" w:rsidRPr="00C7354B" w:rsidRDefault="006822EF" w:rsidP="00004775">
            <w:pPr>
              <w:widowControl w:val="0"/>
              <w:spacing w:line="240" w:lineRule="auto"/>
              <w:jc w:val="center"/>
              <w:rPr>
                <w:b/>
                <w:bCs/>
                <w:color w:val="000000" w:themeColor="text1"/>
                <w:kern w:val="2"/>
                <w:sz w:val="22"/>
                <w:lang w:eastAsia="zh-CN"/>
              </w:rPr>
            </w:pPr>
            <w:r w:rsidRPr="00C7354B">
              <w:rPr>
                <w:b/>
                <w:bCs/>
                <w:color w:val="000000" w:themeColor="text1"/>
                <w:kern w:val="2"/>
                <w:sz w:val="22"/>
                <w:lang w:eastAsia="zh-CN"/>
              </w:rPr>
              <w:t>(3)</w:t>
            </w:r>
          </w:p>
        </w:tc>
        <w:tc>
          <w:tcPr>
            <w:tcW w:w="1894" w:type="dxa"/>
            <w:tcBorders>
              <w:top w:val="single" w:sz="4" w:space="0" w:color="auto"/>
              <w:left w:val="nil"/>
              <w:bottom w:val="single" w:sz="4" w:space="0" w:color="auto"/>
              <w:right w:val="nil"/>
            </w:tcBorders>
          </w:tcPr>
          <w:p w14:paraId="6E9CDDA7" w14:textId="77777777" w:rsidR="006822EF" w:rsidRPr="00C7354B" w:rsidRDefault="006822EF" w:rsidP="00004775">
            <w:pPr>
              <w:widowControl w:val="0"/>
              <w:spacing w:line="240" w:lineRule="auto"/>
              <w:jc w:val="center"/>
              <w:rPr>
                <w:b/>
                <w:bCs/>
                <w:color w:val="000000" w:themeColor="text1"/>
                <w:kern w:val="2"/>
                <w:sz w:val="22"/>
                <w:lang w:eastAsia="zh-CN"/>
              </w:rPr>
            </w:pPr>
            <w:r w:rsidRPr="00C7354B">
              <w:rPr>
                <w:b/>
                <w:bCs/>
                <w:color w:val="000000" w:themeColor="text1"/>
                <w:kern w:val="2"/>
                <w:sz w:val="22"/>
                <w:lang w:eastAsia="zh-CN"/>
              </w:rPr>
              <w:t>(4)</w:t>
            </w:r>
          </w:p>
        </w:tc>
      </w:tr>
      <w:tr w:rsidR="006822EF" w:rsidRPr="00C7354B" w14:paraId="6103B44A" w14:textId="77777777" w:rsidTr="00394BE7">
        <w:trPr>
          <w:trHeight w:val="21"/>
          <w:jc w:val="center"/>
        </w:trPr>
        <w:tc>
          <w:tcPr>
            <w:tcW w:w="2106" w:type="dxa"/>
            <w:tcBorders>
              <w:top w:val="nil"/>
              <w:left w:val="nil"/>
              <w:bottom w:val="nil"/>
              <w:right w:val="nil"/>
            </w:tcBorders>
            <w:shd w:val="clear" w:color="auto" w:fill="auto"/>
            <w:noWrap/>
          </w:tcPr>
          <w:p w14:paraId="2862EDB1" w14:textId="77777777" w:rsidR="006822EF" w:rsidRPr="00C7354B" w:rsidRDefault="006822EF" w:rsidP="00004775">
            <w:pPr>
              <w:widowControl w:val="0"/>
              <w:spacing w:line="240" w:lineRule="auto"/>
              <w:jc w:val="left"/>
              <w:rPr>
                <w:b/>
                <w:bCs/>
                <w:color w:val="000000" w:themeColor="text1"/>
                <w:kern w:val="2"/>
                <w:sz w:val="22"/>
                <w:lang w:eastAsia="zh-CN"/>
              </w:rPr>
            </w:pPr>
            <w:r w:rsidRPr="00C7354B">
              <w:rPr>
                <w:b/>
                <w:bCs/>
                <w:color w:val="000000" w:themeColor="text1"/>
                <w:kern w:val="2"/>
                <w:sz w:val="22"/>
                <w:lang w:eastAsia="zh-CN"/>
              </w:rPr>
              <w:t>(1) Board interlocks</w:t>
            </w:r>
          </w:p>
        </w:tc>
        <w:tc>
          <w:tcPr>
            <w:tcW w:w="1552" w:type="dxa"/>
            <w:tcBorders>
              <w:top w:val="nil"/>
              <w:left w:val="nil"/>
              <w:bottom w:val="nil"/>
              <w:right w:val="nil"/>
            </w:tcBorders>
            <w:shd w:val="clear" w:color="auto" w:fill="auto"/>
            <w:noWrap/>
          </w:tcPr>
          <w:p w14:paraId="76456415" w14:textId="77777777" w:rsidR="006822EF" w:rsidRPr="00C7354B" w:rsidRDefault="006822EF" w:rsidP="00004775">
            <w:pPr>
              <w:widowControl w:val="0"/>
              <w:spacing w:line="240" w:lineRule="auto"/>
              <w:jc w:val="left"/>
              <w:rPr>
                <w:color w:val="000000" w:themeColor="text1"/>
                <w:kern w:val="2"/>
                <w:sz w:val="22"/>
                <w:lang w:eastAsia="zh-CN"/>
              </w:rPr>
            </w:pPr>
            <w:r w:rsidRPr="00C7354B">
              <w:rPr>
                <w:color w:val="000000" w:themeColor="text1"/>
                <w:kern w:val="2"/>
                <w:sz w:val="22"/>
                <w:lang w:eastAsia="zh-CN"/>
              </w:rPr>
              <w:t>-</w:t>
            </w:r>
          </w:p>
        </w:tc>
        <w:tc>
          <w:tcPr>
            <w:tcW w:w="1894" w:type="dxa"/>
            <w:tcBorders>
              <w:top w:val="nil"/>
              <w:left w:val="nil"/>
              <w:bottom w:val="nil"/>
              <w:right w:val="nil"/>
            </w:tcBorders>
            <w:shd w:val="clear" w:color="auto" w:fill="auto"/>
            <w:noWrap/>
          </w:tcPr>
          <w:p w14:paraId="5F1D7017" w14:textId="77777777" w:rsidR="006822EF" w:rsidRPr="00C7354B" w:rsidRDefault="006822EF" w:rsidP="00004775">
            <w:pPr>
              <w:widowControl w:val="0"/>
              <w:spacing w:line="240" w:lineRule="auto"/>
              <w:jc w:val="left"/>
              <w:rPr>
                <w:color w:val="000000" w:themeColor="text1"/>
                <w:kern w:val="2"/>
                <w:sz w:val="22"/>
                <w:lang w:eastAsia="zh-CN"/>
              </w:rPr>
            </w:pPr>
          </w:p>
        </w:tc>
        <w:tc>
          <w:tcPr>
            <w:tcW w:w="1896" w:type="dxa"/>
            <w:tcBorders>
              <w:top w:val="nil"/>
              <w:left w:val="nil"/>
              <w:bottom w:val="nil"/>
              <w:right w:val="nil"/>
            </w:tcBorders>
            <w:shd w:val="clear" w:color="auto" w:fill="auto"/>
            <w:noWrap/>
          </w:tcPr>
          <w:p w14:paraId="076202F1" w14:textId="77777777" w:rsidR="006822EF" w:rsidRPr="00C7354B" w:rsidRDefault="006822EF" w:rsidP="00004775">
            <w:pPr>
              <w:widowControl w:val="0"/>
              <w:spacing w:line="240" w:lineRule="auto"/>
              <w:jc w:val="left"/>
              <w:rPr>
                <w:color w:val="000000" w:themeColor="text1"/>
                <w:kern w:val="2"/>
                <w:sz w:val="22"/>
                <w:lang w:eastAsia="zh-CN"/>
              </w:rPr>
            </w:pPr>
          </w:p>
        </w:tc>
        <w:tc>
          <w:tcPr>
            <w:tcW w:w="1894" w:type="dxa"/>
            <w:tcBorders>
              <w:top w:val="nil"/>
              <w:left w:val="nil"/>
              <w:bottom w:val="nil"/>
              <w:right w:val="nil"/>
            </w:tcBorders>
          </w:tcPr>
          <w:p w14:paraId="56179032" w14:textId="77777777" w:rsidR="006822EF" w:rsidRPr="00C7354B" w:rsidRDefault="006822EF" w:rsidP="00004775">
            <w:pPr>
              <w:widowControl w:val="0"/>
              <w:spacing w:line="240" w:lineRule="auto"/>
              <w:jc w:val="left"/>
              <w:rPr>
                <w:color w:val="000000" w:themeColor="text1"/>
                <w:kern w:val="2"/>
                <w:sz w:val="22"/>
                <w:lang w:eastAsia="zh-CN"/>
              </w:rPr>
            </w:pPr>
          </w:p>
        </w:tc>
      </w:tr>
      <w:tr w:rsidR="002323D7" w:rsidRPr="00C7354B" w14:paraId="0B7F59AD" w14:textId="77777777" w:rsidTr="00394BE7">
        <w:trPr>
          <w:trHeight w:val="21"/>
          <w:jc w:val="center"/>
        </w:trPr>
        <w:tc>
          <w:tcPr>
            <w:tcW w:w="3658" w:type="dxa"/>
            <w:gridSpan w:val="2"/>
            <w:tcBorders>
              <w:top w:val="nil"/>
              <w:left w:val="nil"/>
              <w:bottom w:val="nil"/>
              <w:right w:val="nil"/>
            </w:tcBorders>
            <w:shd w:val="clear" w:color="auto" w:fill="auto"/>
            <w:noWrap/>
          </w:tcPr>
          <w:p w14:paraId="379708BB" w14:textId="6A4D3350" w:rsidR="002323D7" w:rsidRPr="00C7354B" w:rsidRDefault="002323D7" w:rsidP="00004775">
            <w:pPr>
              <w:widowControl w:val="0"/>
              <w:spacing w:line="240" w:lineRule="auto"/>
              <w:jc w:val="left"/>
              <w:rPr>
                <w:color w:val="000000" w:themeColor="text1"/>
                <w:kern w:val="2"/>
                <w:sz w:val="22"/>
                <w:lang w:eastAsia="zh-CN"/>
              </w:rPr>
            </w:pPr>
            <w:r w:rsidRPr="00C7354B">
              <w:rPr>
                <w:b/>
                <w:bCs/>
                <w:color w:val="000000" w:themeColor="text1"/>
                <w:kern w:val="2"/>
                <w:sz w:val="22"/>
                <w:lang w:eastAsia="zh-CN"/>
              </w:rPr>
              <w:t>(2) Resource provision</w:t>
            </w:r>
          </w:p>
        </w:tc>
        <w:tc>
          <w:tcPr>
            <w:tcW w:w="1894" w:type="dxa"/>
            <w:tcBorders>
              <w:top w:val="nil"/>
              <w:left w:val="nil"/>
              <w:bottom w:val="nil"/>
              <w:right w:val="nil"/>
            </w:tcBorders>
            <w:shd w:val="clear" w:color="auto" w:fill="auto"/>
            <w:noWrap/>
          </w:tcPr>
          <w:p w14:paraId="3836ACE0" w14:textId="77777777" w:rsidR="002323D7" w:rsidRPr="00C7354B" w:rsidRDefault="002323D7" w:rsidP="00004775">
            <w:pPr>
              <w:widowControl w:val="0"/>
              <w:spacing w:line="240" w:lineRule="auto"/>
              <w:jc w:val="left"/>
              <w:rPr>
                <w:color w:val="000000" w:themeColor="text1"/>
                <w:kern w:val="2"/>
                <w:sz w:val="22"/>
                <w:lang w:eastAsia="zh-CN"/>
              </w:rPr>
            </w:pPr>
          </w:p>
        </w:tc>
        <w:tc>
          <w:tcPr>
            <w:tcW w:w="1896" w:type="dxa"/>
            <w:tcBorders>
              <w:top w:val="nil"/>
              <w:left w:val="nil"/>
              <w:bottom w:val="nil"/>
              <w:right w:val="nil"/>
            </w:tcBorders>
            <w:shd w:val="clear" w:color="auto" w:fill="auto"/>
            <w:noWrap/>
          </w:tcPr>
          <w:p w14:paraId="2492D708" w14:textId="77777777" w:rsidR="002323D7" w:rsidRPr="00C7354B" w:rsidRDefault="002323D7" w:rsidP="00004775">
            <w:pPr>
              <w:widowControl w:val="0"/>
              <w:spacing w:line="240" w:lineRule="auto"/>
              <w:jc w:val="left"/>
              <w:rPr>
                <w:color w:val="000000" w:themeColor="text1"/>
                <w:kern w:val="2"/>
                <w:sz w:val="22"/>
                <w:lang w:eastAsia="zh-CN"/>
              </w:rPr>
            </w:pPr>
          </w:p>
        </w:tc>
        <w:tc>
          <w:tcPr>
            <w:tcW w:w="1894" w:type="dxa"/>
            <w:tcBorders>
              <w:top w:val="nil"/>
              <w:left w:val="nil"/>
              <w:bottom w:val="nil"/>
              <w:right w:val="nil"/>
            </w:tcBorders>
          </w:tcPr>
          <w:p w14:paraId="30501697" w14:textId="77777777" w:rsidR="002323D7" w:rsidRPr="00C7354B" w:rsidRDefault="002323D7" w:rsidP="00004775">
            <w:pPr>
              <w:widowControl w:val="0"/>
              <w:spacing w:line="240" w:lineRule="auto"/>
              <w:jc w:val="left"/>
              <w:rPr>
                <w:color w:val="000000" w:themeColor="text1"/>
                <w:kern w:val="2"/>
                <w:sz w:val="22"/>
                <w:lang w:eastAsia="zh-CN"/>
              </w:rPr>
            </w:pPr>
          </w:p>
        </w:tc>
      </w:tr>
      <w:tr w:rsidR="006822EF" w:rsidRPr="00C7354B" w14:paraId="1622D14E" w14:textId="77777777" w:rsidTr="00394BE7">
        <w:trPr>
          <w:trHeight w:val="21"/>
          <w:jc w:val="center"/>
        </w:trPr>
        <w:tc>
          <w:tcPr>
            <w:tcW w:w="2106" w:type="dxa"/>
            <w:tcBorders>
              <w:top w:val="nil"/>
              <w:left w:val="nil"/>
              <w:bottom w:val="nil"/>
              <w:right w:val="nil"/>
            </w:tcBorders>
            <w:shd w:val="clear" w:color="auto" w:fill="auto"/>
            <w:noWrap/>
          </w:tcPr>
          <w:p w14:paraId="2FA00BE1" w14:textId="77777777" w:rsidR="006822EF" w:rsidRPr="002323D7" w:rsidRDefault="006822EF" w:rsidP="00004775">
            <w:pPr>
              <w:widowControl w:val="0"/>
              <w:spacing w:line="240" w:lineRule="auto"/>
              <w:jc w:val="center"/>
              <w:rPr>
                <w:i/>
                <w:iCs/>
                <w:color w:val="000000" w:themeColor="text1"/>
                <w:kern w:val="2"/>
                <w:sz w:val="22"/>
                <w:lang w:eastAsia="zh-CN"/>
              </w:rPr>
            </w:pPr>
            <w:r w:rsidRPr="002323D7">
              <w:rPr>
                <w:i/>
                <w:iCs/>
                <w:color w:val="000000" w:themeColor="text1"/>
                <w:kern w:val="2"/>
                <w:sz w:val="22"/>
                <w:lang w:eastAsia="zh-CN"/>
              </w:rPr>
              <w:t>r</w:t>
            </w:r>
          </w:p>
          <w:p w14:paraId="29F47BE6" w14:textId="77777777" w:rsidR="006822EF" w:rsidRPr="00C7354B" w:rsidRDefault="006822EF" w:rsidP="00004775">
            <w:pPr>
              <w:widowControl w:val="0"/>
              <w:spacing w:line="240" w:lineRule="auto"/>
              <w:jc w:val="center"/>
              <w:rPr>
                <w:color w:val="000000" w:themeColor="text1"/>
                <w:kern w:val="2"/>
                <w:sz w:val="22"/>
                <w:lang w:eastAsia="zh-CN"/>
              </w:rPr>
            </w:pPr>
            <w:r w:rsidRPr="00C7354B">
              <w:rPr>
                <w:color w:val="000000" w:themeColor="text1"/>
                <w:kern w:val="2"/>
                <w:sz w:val="22"/>
                <w:lang w:eastAsia="zh-CN"/>
              </w:rPr>
              <w:t>95% CI</w:t>
            </w:r>
          </w:p>
          <w:p w14:paraId="2341F322" w14:textId="77777777" w:rsidR="006822EF" w:rsidRPr="00C7354B" w:rsidRDefault="006822EF" w:rsidP="00004775">
            <w:pPr>
              <w:widowControl w:val="0"/>
              <w:spacing w:line="240" w:lineRule="auto"/>
              <w:jc w:val="center"/>
              <w:rPr>
                <w:color w:val="000000" w:themeColor="text1"/>
                <w:kern w:val="2"/>
                <w:sz w:val="22"/>
                <w:lang w:eastAsia="zh-CN"/>
              </w:rPr>
            </w:pPr>
            <w:r w:rsidRPr="002323D7">
              <w:rPr>
                <w:i/>
                <w:iCs/>
                <w:color w:val="000000" w:themeColor="text1"/>
                <w:kern w:val="2"/>
                <w:sz w:val="22"/>
                <w:lang w:eastAsia="zh-CN"/>
              </w:rPr>
              <w:t>n</w:t>
            </w:r>
            <w:r w:rsidRPr="00C7354B">
              <w:rPr>
                <w:color w:val="000000" w:themeColor="text1"/>
                <w:kern w:val="2"/>
                <w:sz w:val="22"/>
                <w:lang w:eastAsia="zh-CN"/>
              </w:rPr>
              <w:t xml:space="preserve"> (</w:t>
            </w:r>
            <w:r w:rsidRPr="002323D7">
              <w:rPr>
                <w:i/>
                <w:iCs/>
                <w:color w:val="000000" w:themeColor="text1"/>
                <w:kern w:val="2"/>
                <w:sz w:val="22"/>
                <w:lang w:eastAsia="zh-CN"/>
              </w:rPr>
              <w:t>k</w:t>
            </w:r>
            <w:r w:rsidRPr="00C7354B">
              <w:rPr>
                <w:color w:val="000000" w:themeColor="text1"/>
                <w:kern w:val="2"/>
                <w:sz w:val="22"/>
                <w:lang w:eastAsia="zh-CN"/>
              </w:rPr>
              <w:t>)</w:t>
            </w:r>
          </w:p>
        </w:tc>
        <w:tc>
          <w:tcPr>
            <w:tcW w:w="1552" w:type="dxa"/>
            <w:tcBorders>
              <w:top w:val="nil"/>
              <w:left w:val="nil"/>
              <w:bottom w:val="nil"/>
              <w:right w:val="nil"/>
            </w:tcBorders>
            <w:shd w:val="clear" w:color="auto" w:fill="auto"/>
            <w:noWrap/>
          </w:tcPr>
          <w:p w14:paraId="34192B41" w14:textId="77777777" w:rsidR="006822EF" w:rsidRPr="00C7354B" w:rsidRDefault="006822EF" w:rsidP="00004775">
            <w:pPr>
              <w:widowControl w:val="0"/>
              <w:spacing w:line="240" w:lineRule="auto"/>
              <w:jc w:val="center"/>
              <w:rPr>
                <w:color w:val="000000" w:themeColor="text1"/>
                <w:kern w:val="2"/>
                <w:sz w:val="22"/>
                <w:lang w:eastAsia="zh-CN"/>
              </w:rPr>
            </w:pPr>
            <w:r w:rsidRPr="00C7354B">
              <w:rPr>
                <w:color w:val="000000" w:themeColor="text1"/>
                <w:kern w:val="2"/>
                <w:sz w:val="22"/>
                <w:lang w:eastAsia="zh-CN"/>
              </w:rPr>
              <w:t>.07</w:t>
            </w:r>
          </w:p>
          <w:p w14:paraId="449D3687" w14:textId="77777777" w:rsidR="006822EF" w:rsidRPr="00C7354B" w:rsidRDefault="006822EF" w:rsidP="00004775">
            <w:pPr>
              <w:widowControl w:val="0"/>
              <w:spacing w:line="240" w:lineRule="auto"/>
              <w:jc w:val="center"/>
              <w:rPr>
                <w:color w:val="000000" w:themeColor="text1"/>
                <w:kern w:val="2"/>
                <w:sz w:val="22"/>
                <w:lang w:eastAsia="zh-CN"/>
              </w:rPr>
            </w:pPr>
            <w:r w:rsidRPr="00C7354B">
              <w:rPr>
                <w:color w:val="000000" w:themeColor="text1"/>
                <w:kern w:val="2"/>
                <w:sz w:val="22"/>
                <w:lang w:eastAsia="zh-CN"/>
              </w:rPr>
              <w:t>[.02: .11]</w:t>
            </w:r>
          </w:p>
          <w:p w14:paraId="5E41B1AE" w14:textId="77777777" w:rsidR="006822EF" w:rsidRPr="00C7354B" w:rsidRDefault="006822EF" w:rsidP="00004775">
            <w:pPr>
              <w:widowControl w:val="0"/>
              <w:spacing w:line="240" w:lineRule="auto"/>
              <w:jc w:val="center"/>
              <w:rPr>
                <w:color w:val="000000" w:themeColor="text1"/>
                <w:kern w:val="2"/>
                <w:sz w:val="22"/>
                <w:lang w:eastAsia="zh-CN"/>
              </w:rPr>
            </w:pPr>
            <w:r w:rsidRPr="00C7354B">
              <w:rPr>
                <w:color w:val="000000" w:themeColor="text1"/>
                <w:kern w:val="2"/>
                <w:sz w:val="22"/>
                <w:lang w:eastAsia="zh-CN"/>
              </w:rPr>
              <w:t>171,337 (69)</w:t>
            </w:r>
          </w:p>
        </w:tc>
        <w:tc>
          <w:tcPr>
            <w:tcW w:w="1894" w:type="dxa"/>
            <w:tcBorders>
              <w:top w:val="nil"/>
              <w:left w:val="nil"/>
              <w:bottom w:val="nil"/>
              <w:right w:val="nil"/>
            </w:tcBorders>
            <w:shd w:val="clear" w:color="auto" w:fill="auto"/>
            <w:noWrap/>
          </w:tcPr>
          <w:p w14:paraId="194A5BD8" w14:textId="77777777" w:rsidR="006822EF" w:rsidRPr="00C7354B" w:rsidRDefault="006822EF" w:rsidP="00004775">
            <w:pPr>
              <w:widowControl w:val="0"/>
              <w:spacing w:line="240" w:lineRule="auto"/>
              <w:jc w:val="center"/>
              <w:rPr>
                <w:color w:val="000000" w:themeColor="text1"/>
                <w:kern w:val="2"/>
                <w:sz w:val="22"/>
                <w:lang w:eastAsia="zh-CN"/>
              </w:rPr>
            </w:pPr>
          </w:p>
        </w:tc>
        <w:tc>
          <w:tcPr>
            <w:tcW w:w="1896" w:type="dxa"/>
            <w:tcBorders>
              <w:top w:val="nil"/>
              <w:left w:val="nil"/>
              <w:bottom w:val="nil"/>
              <w:right w:val="nil"/>
            </w:tcBorders>
            <w:shd w:val="clear" w:color="auto" w:fill="auto"/>
            <w:noWrap/>
          </w:tcPr>
          <w:p w14:paraId="54B23C11" w14:textId="77777777" w:rsidR="006822EF" w:rsidRPr="00C7354B" w:rsidRDefault="006822EF" w:rsidP="00004775">
            <w:pPr>
              <w:widowControl w:val="0"/>
              <w:spacing w:line="240" w:lineRule="auto"/>
              <w:jc w:val="center"/>
              <w:rPr>
                <w:color w:val="000000" w:themeColor="text1"/>
                <w:kern w:val="2"/>
                <w:sz w:val="22"/>
                <w:lang w:eastAsia="zh-CN"/>
              </w:rPr>
            </w:pPr>
          </w:p>
        </w:tc>
        <w:tc>
          <w:tcPr>
            <w:tcW w:w="1894" w:type="dxa"/>
            <w:tcBorders>
              <w:top w:val="nil"/>
              <w:left w:val="nil"/>
              <w:bottom w:val="nil"/>
              <w:right w:val="nil"/>
            </w:tcBorders>
          </w:tcPr>
          <w:p w14:paraId="54B746C5" w14:textId="77777777" w:rsidR="006822EF" w:rsidRPr="00C7354B" w:rsidRDefault="006822EF" w:rsidP="00004775">
            <w:pPr>
              <w:widowControl w:val="0"/>
              <w:spacing w:line="240" w:lineRule="auto"/>
              <w:jc w:val="center"/>
              <w:rPr>
                <w:color w:val="000000" w:themeColor="text1"/>
                <w:kern w:val="2"/>
                <w:sz w:val="22"/>
                <w:lang w:eastAsia="zh-CN"/>
              </w:rPr>
            </w:pPr>
          </w:p>
        </w:tc>
      </w:tr>
      <w:tr w:rsidR="006822EF" w:rsidRPr="00C7354B" w14:paraId="335C9F6F" w14:textId="77777777" w:rsidTr="00394BE7">
        <w:trPr>
          <w:trHeight w:val="21"/>
          <w:jc w:val="center"/>
        </w:trPr>
        <w:tc>
          <w:tcPr>
            <w:tcW w:w="2106" w:type="dxa"/>
            <w:tcBorders>
              <w:top w:val="nil"/>
              <w:left w:val="nil"/>
              <w:bottom w:val="nil"/>
              <w:right w:val="nil"/>
            </w:tcBorders>
            <w:shd w:val="clear" w:color="auto" w:fill="auto"/>
            <w:noWrap/>
          </w:tcPr>
          <w:p w14:paraId="50C459BA" w14:textId="77777777" w:rsidR="006822EF" w:rsidRPr="00C7354B" w:rsidRDefault="006822EF" w:rsidP="00004775">
            <w:pPr>
              <w:widowControl w:val="0"/>
              <w:spacing w:line="240" w:lineRule="auto"/>
              <w:jc w:val="left"/>
              <w:rPr>
                <w:b/>
                <w:bCs/>
                <w:color w:val="000000" w:themeColor="text1"/>
                <w:kern w:val="2"/>
                <w:sz w:val="22"/>
                <w:lang w:eastAsia="zh-CN"/>
              </w:rPr>
            </w:pPr>
            <w:r w:rsidRPr="00C7354B">
              <w:rPr>
                <w:b/>
                <w:bCs/>
                <w:color w:val="000000" w:themeColor="text1"/>
                <w:kern w:val="2"/>
                <w:sz w:val="22"/>
                <w:lang w:eastAsia="zh-CN"/>
              </w:rPr>
              <w:t>(3) Agency costs</w:t>
            </w:r>
          </w:p>
        </w:tc>
        <w:tc>
          <w:tcPr>
            <w:tcW w:w="1552" w:type="dxa"/>
            <w:tcBorders>
              <w:top w:val="nil"/>
              <w:left w:val="nil"/>
              <w:bottom w:val="nil"/>
              <w:right w:val="nil"/>
            </w:tcBorders>
            <w:shd w:val="clear" w:color="auto" w:fill="auto"/>
            <w:noWrap/>
          </w:tcPr>
          <w:p w14:paraId="17B31DD9" w14:textId="77777777" w:rsidR="006822EF" w:rsidRPr="00C7354B" w:rsidRDefault="006822EF" w:rsidP="00004775">
            <w:pPr>
              <w:widowControl w:val="0"/>
              <w:spacing w:line="240" w:lineRule="auto"/>
              <w:jc w:val="left"/>
              <w:rPr>
                <w:color w:val="000000" w:themeColor="text1"/>
                <w:kern w:val="2"/>
                <w:sz w:val="22"/>
                <w:lang w:eastAsia="zh-CN"/>
              </w:rPr>
            </w:pPr>
          </w:p>
        </w:tc>
        <w:tc>
          <w:tcPr>
            <w:tcW w:w="1894" w:type="dxa"/>
            <w:tcBorders>
              <w:top w:val="nil"/>
              <w:left w:val="nil"/>
              <w:bottom w:val="nil"/>
              <w:right w:val="nil"/>
            </w:tcBorders>
            <w:shd w:val="clear" w:color="auto" w:fill="auto"/>
            <w:noWrap/>
          </w:tcPr>
          <w:p w14:paraId="4D8CC92D" w14:textId="77777777" w:rsidR="006822EF" w:rsidRPr="00C7354B" w:rsidRDefault="006822EF" w:rsidP="00004775">
            <w:pPr>
              <w:widowControl w:val="0"/>
              <w:spacing w:line="240" w:lineRule="auto"/>
              <w:jc w:val="left"/>
              <w:rPr>
                <w:color w:val="000000" w:themeColor="text1"/>
                <w:kern w:val="2"/>
                <w:sz w:val="22"/>
                <w:lang w:eastAsia="zh-CN"/>
              </w:rPr>
            </w:pPr>
          </w:p>
        </w:tc>
        <w:tc>
          <w:tcPr>
            <w:tcW w:w="1896" w:type="dxa"/>
            <w:tcBorders>
              <w:top w:val="nil"/>
              <w:left w:val="nil"/>
              <w:bottom w:val="nil"/>
              <w:right w:val="nil"/>
            </w:tcBorders>
            <w:shd w:val="clear" w:color="auto" w:fill="auto"/>
            <w:noWrap/>
          </w:tcPr>
          <w:p w14:paraId="2D0E97CB" w14:textId="77777777" w:rsidR="006822EF" w:rsidRPr="00C7354B" w:rsidRDefault="006822EF" w:rsidP="00004775">
            <w:pPr>
              <w:widowControl w:val="0"/>
              <w:spacing w:line="240" w:lineRule="auto"/>
              <w:jc w:val="left"/>
              <w:rPr>
                <w:color w:val="000000" w:themeColor="text1"/>
                <w:kern w:val="2"/>
                <w:sz w:val="22"/>
                <w:lang w:eastAsia="zh-CN"/>
              </w:rPr>
            </w:pPr>
          </w:p>
        </w:tc>
        <w:tc>
          <w:tcPr>
            <w:tcW w:w="1894" w:type="dxa"/>
            <w:tcBorders>
              <w:top w:val="nil"/>
              <w:left w:val="nil"/>
              <w:bottom w:val="nil"/>
              <w:right w:val="nil"/>
            </w:tcBorders>
          </w:tcPr>
          <w:p w14:paraId="23E2156C" w14:textId="77777777" w:rsidR="006822EF" w:rsidRPr="00C7354B" w:rsidRDefault="006822EF" w:rsidP="00004775">
            <w:pPr>
              <w:widowControl w:val="0"/>
              <w:spacing w:line="240" w:lineRule="auto"/>
              <w:jc w:val="left"/>
              <w:rPr>
                <w:color w:val="000000" w:themeColor="text1"/>
                <w:kern w:val="2"/>
                <w:sz w:val="22"/>
                <w:lang w:eastAsia="zh-CN"/>
              </w:rPr>
            </w:pPr>
          </w:p>
        </w:tc>
      </w:tr>
      <w:tr w:rsidR="006822EF" w:rsidRPr="00C7354B" w14:paraId="4D41C633" w14:textId="77777777" w:rsidTr="00394BE7">
        <w:trPr>
          <w:trHeight w:val="21"/>
          <w:jc w:val="center"/>
        </w:trPr>
        <w:tc>
          <w:tcPr>
            <w:tcW w:w="2106" w:type="dxa"/>
            <w:tcBorders>
              <w:top w:val="nil"/>
              <w:left w:val="nil"/>
              <w:bottom w:val="nil"/>
              <w:right w:val="nil"/>
            </w:tcBorders>
            <w:shd w:val="clear" w:color="auto" w:fill="auto"/>
            <w:noWrap/>
          </w:tcPr>
          <w:p w14:paraId="4915F86A" w14:textId="77777777" w:rsidR="002323D7" w:rsidRPr="002323D7" w:rsidRDefault="002323D7" w:rsidP="002323D7">
            <w:pPr>
              <w:widowControl w:val="0"/>
              <w:spacing w:line="240" w:lineRule="auto"/>
              <w:jc w:val="center"/>
              <w:rPr>
                <w:i/>
                <w:iCs/>
                <w:color w:val="000000" w:themeColor="text1"/>
                <w:kern w:val="2"/>
                <w:sz w:val="22"/>
                <w:lang w:eastAsia="zh-CN"/>
              </w:rPr>
            </w:pPr>
            <w:r w:rsidRPr="002323D7">
              <w:rPr>
                <w:i/>
                <w:iCs/>
                <w:color w:val="000000" w:themeColor="text1"/>
                <w:kern w:val="2"/>
                <w:sz w:val="22"/>
                <w:lang w:eastAsia="zh-CN"/>
              </w:rPr>
              <w:t>r</w:t>
            </w:r>
          </w:p>
          <w:p w14:paraId="6AE7C73B" w14:textId="77777777" w:rsidR="002323D7" w:rsidRPr="00C7354B" w:rsidRDefault="002323D7" w:rsidP="002323D7">
            <w:pPr>
              <w:widowControl w:val="0"/>
              <w:spacing w:line="240" w:lineRule="auto"/>
              <w:jc w:val="center"/>
              <w:rPr>
                <w:color w:val="000000" w:themeColor="text1"/>
                <w:kern w:val="2"/>
                <w:sz w:val="22"/>
                <w:lang w:eastAsia="zh-CN"/>
              </w:rPr>
            </w:pPr>
            <w:r w:rsidRPr="00C7354B">
              <w:rPr>
                <w:color w:val="000000" w:themeColor="text1"/>
                <w:kern w:val="2"/>
                <w:sz w:val="22"/>
                <w:lang w:eastAsia="zh-CN"/>
              </w:rPr>
              <w:t>95% CI</w:t>
            </w:r>
          </w:p>
          <w:p w14:paraId="792FE92D" w14:textId="58D322A2" w:rsidR="006822EF" w:rsidRPr="00C7354B" w:rsidRDefault="002323D7" w:rsidP="002323D7">
            <w:pPr>
              <w:widowControl w:val="0"/>
              <w:spacing w:line="240" w:lineRule="auto"/>
              <w:jc w:val="center"/>
              <w:rPr>
                <w:color w:val="000000" w:themeColor="text1"/>
                <w:kern w:val="2"/>
                <w:sz w:val="22"/>
                <w:lang w:eastAsia="zh-CN"/>
              </w:rPr>
            </w:pPr>
            <w:r w:rsidRPr="002323D7">
              <w:rPr>
                <w:i/>
                <w:iCs/>
                <w:color w:val="000000" w:themeColor="text1"/>
                <w:kern w:val="2"/>
                <w:sz w:val="22"/>
                <w:lang w:eastAsia="zh-CN"/>
              </w:rPr>
              <w:t>n</w:t>
            </w:r>
            <w:r w:rsidRPr="00C7354B">
              <w:rPr>
                <w:color w:val="000000" w:themeColor="text1"/>
                <w:kern w:val="2"/>
                <w:sz w:val="22"/>
                <w:lang w:eastAsia="zh-CN"/>
              </w:rPr>
              <w:t xml:space="preserve"> (</w:t>
            </w:r>
            <w:r w:rsidRPr="002323D7">
              <w:rPr>
                <w:i/>
                <w:iCs/>
                <w:color w:val="000000" w:themeColor="text1"/>
                <w:kern w:val="2"/>
                <w:sz w:val="22"/>
                <w:lang w:eastAsia="zh-CN"/>
              </w:rPr>
              <w:t>k</w:t>
            </w:r>
            <w:r w:rsidRPr="00C7354B">
              <w:rPr>
                <w:color w:val="000000" w:themeColor="text1"/>
                <w:kern w:val="2"/>
                <w:sz w:val="22"/>
                <w:lang w:eastAsia="zh-CN"/>
              </w:rPr>
              <w:t>)</w:t>
            </w:r>
          </w:p>
        </w:tc>
        <w:tc>
          <w:tcPr>
            <w:tcW w:w="1552" w:type="dxa"/>
            <w:tcBorders>
              <w:top w:val="nil"/>
              <w:left w:val="nil"/>
              <w:bottom w:val="nil"/>
              <w:right w:val="nil"/>
            </w:tcBorders>
            <w:shd w:val="clear" w:color="auto" w:fill="auto"/>
            <w:noWrap/>
          </w:tcPr>
          <w:p w14:paraId="3E1156D0" w14:textId="77777777" w:rsidR="006822EF" w:rsidRPr="00C7354B" w:rsidRDefault="006822EF" w:rsidP="00004775">
            <w:pPr>
              <w:widowControl w:val="0"/>
              <w:spacing w:line="240" w:lineRule="auto"/>
              <w:jc w:val="center"/>
              <w:rPr>
                <w:color w:val="000000" w:themeColor="text1"/>
                <w:kern w:val="2"/>
                <w:sz w:val="22"/>
                <w:lang w:eastAsia="zh-CN"/>
              </w:rPr>
            </w:pPr>
            <w:r w:rsidRPr="00C7354B">
              <w:rPr>
                <w:color w:val="000000" w:themeColor="text1"/>
                <w:kern w:val="2"/>
                <w:sz w:val="22"/>
                <w:lang w:eastAsia="zh-CN"/>
              </w:rPr>
              <w:t>.04</w:t>
            </w:r>
          </w:p>
          <w:p w14:paraId="3A3C3FF5" w14:textId="77777777" w:rsidR="006822EF" w:rsidRPr="00C7354B" w:rsidRDefault="006822EF" w:rsidP="00004775">
            <w:pPr>
              <w:widowControl w:val="0"/>
              <w:spacing w:line="240" w:lineRule="auto"/>
              <w:jc w:val="center"/>
              <w:rPr>
                <w:color w:val="000000" w:themeColor="text1"/>
                <w:kern w:val="2"/>
                <w:sz w:val="22"/>
                <w:lang w:eastAsia="zh-CN"/>
              </w:rPr>
            </w:pPr>
            <w:r w:rsidRPr="00C7354B">
              <w:rPr>
                <w:color w:val="000000" w:themeColor="text1"/>
                <w:kern w:val="2"/>
                <w:sz w:val="22"/>
                <w:lang w:eastAsia="zh-CN"/>
              </w:rPr>
              <w:t>[.01: .06]</w:t>
            </w:r>
          </w:p>
          <w:p w14:paraId="346E5E0A" w14:textId="77777777" w:rsidR="006822EF" w:rsidRPr="00C7354B" w:rsidRDefault="006822EF" w:rsidP="00004775">
            <w:pPr>
              <w:widowControl w:val="0"/>
              <w:spacing w:line="240" w:lineRule="auto"/>
              <w:jc w:val="center"/>
              <w:rPr>
                <w:color w:val="000000" w:themeColor="text1"/>
                <w:kern w:val="2"/>
                <w:sz w:val="22"/>
                <w:lang w:eastAsia="zh-CN"/>
              </w:rPr>
            </w:pPr>
            <w:r w:rsidRPr="00C7354B">
              <w:rPr>
                <w:color w:val="000000" w:themeColor="text1"/>
                <w:kern w:val="2"/>
                <w:sz w:val="22"/>
                <w:lang w:eastAsia="zh-CN"/>
              </w:rPr>
              <w:t>452,113 (112)</w:t>
            </w:r>
          </w:p>
        </w:tc>
        <w:tc>
          <w:tcPr>
            <w:tcW w:w="1894" w:type="dxa"/>
            <w:tcBorders>
              <w:top w:val="nil"/>
              <w:left w:val="nil"/>
              <w:bottom w:val="nil"/>
              <w:right w:val="nil"/>
            </w:tcBorders>
            <w:shd w:val="clear" w:color="auto" w:fill="auto"/>
            <w:noWrap/>
          </w:tcPr>
          <w:p w14:paraId="091A7CC7" w14:textId="77777777" w:rsidR="006822EF" w:rsidRPr="00C7354B" w:rsidRDefault="006822EF" w:rsidP="00004775">
            <w:pPr>
              <w:widowControl w:val="0"/>
              <w:spacing w:line="240" w:lineRule="auto"/>
              <w:jc w:val="center"/>
              <w:rPr>
                <w:color w:val="000000" w:themeColor="text1"/>
                <w:kern w:val="2"/>
                <w:sz w:val="22"/>
                <w:lang w:eastAsia="zh-CN"/>
              </w:rPr>
            </w:pPr>
            <w:r w:rsidRPr="00C7354B">
              <w:rPr>
                <w:color w:val="000000" w:themeColor="text1"/>
                <w:kern w:val="2"/>
                <w:sz w:val="22"/>
                <w:lang w:eastAsia="zh-CN"/>
              </w:rPr>
              <w:t>.01</w:t>
            </w:r>
          </w:p>
          <w:p w14:paraId="58319B49" w14:textId="77777777" w:rsidR="006822EF" w:rsidRPr="00C7354B" w:rsidRDefault="006822EF" w:rsidP="00004775">
            <w:pPr>
              <w:widowControl w:val="0"/>
              <w:spacing w:line="240" w:lineRule="auto"/>
              <w:jc w:val="center"/>
              <w:rPr>
                <w:color w:val="000000" w:themeColor="text1"/>
                <w:kern w:val="2"/>
                <w:sz w:val="22"/>
                <w:lang w:eastAsia="zh-CN"/>
              </w:rPr>
            </w:pPr>
            <w:r w:rsidRPr="00C7354B">
              <w:rPr>
                <w:color w:val="000000" w:themeColor="text1"/>
                <w:kern w:val="2"/>
                <w:sz w:val="22"/>
                <w:lang w:eastAsia="zh-CN"/>
              </w:rPr>
              <w:t>[-.05: .07]</w:t>
            </w:r>
            <w:r w:rsidRPr="00C7354B">
              <w:rPr>
                <w:color w:val="000000" w:themeColor="text1"/>
                <w:kern w:val="2"/>
                <w:sz w:val="22"/>
                <w:lang w:eastAsia="zh-CN"/>
              </w:rPr>
              <w:br/>
              <w:t>158,395 (51)</w:t>
            </w:r>
          </w:p>
        </w:tc>
        <w:tc>
          <w:tcPr>
            <w:tcW w:w="1896" w:type="dxa"/>
            <w:tcBorders>
              <w:top w:val="nil"/>
              <w:left w:val="nil"/>
              <w:bottom w:val="nil"/>
              <w:right w:val="nil"/>
            </w:tcBorders>
            <w:shd w:val="clear" w:color="auto" w:fill="auto"/>
            <w:noWrap/>
          </w:tcPr>
          <w:p w14:paraId="021F13D1" w14:textId="77777777" w:rsidR="006822EF" w:rsidRPr="00C7354B" w:rsidRDefault="006822EF" w:rsidP="00004775">
            <w:pPr>
              <w:widowControl w:val="0"/>
              <w:spacing w:line="240" w:lineRule="auto"/>
              <w:jc w:val="center"/>
              <w:rPr>
                <w:color w:val="000000" w:themeColor="text1"/>
                <w:kern w:val="2"/>
                <w:sz w:val="22"/>
                <w:lang w:eastAsia="zh-CN"/>
              </w:rPr>
            </w:pPr>
          </w:p>
        </w:tc>
        <w:tc>
          <w:tcPr>
            <w:tcW w:w="1894" w:type="dxa"/>
            <w:tcBorders>
              <w:top w:val="nil"/>
              <w:left w:val="nil"/>
              <w:bottom w:val="nil"/>
              <w:right w:val="nil"/>
            </w:tcBorders>
          </w:tcPr>
          <w:p w14:paraId="7D47F9A9" w14:textId="77777777" w:rsidR="006822EF" w:rsidRPr="00C7354B" w:rsidRDefault="006822EF" w:rsidP="00004775">
            <w:pPr>
              <w:widowControl w:val="0"/>
              <w:spacing w:line="240" w:lineRule="auto"/>
              <w:jc w:val="center"/>
              <w:rPr>
                <w:color w:val="000000" w:themeColor="text1"/>
                <w:kern w:val="2"/>
                <w:sz w:val="22"/>
                <w:lang w:eastAsia="zh-CN"/>
              </w:rPr>
            </w:pPr>
          </w:p>
        </w:tc>
      </w:tr>
      <w:tr w:rsidR="006822EF" w:rsidRPr="00C7354B" w14:paraId="2C09906B" w14:textId="77777777" w:rsidTr="00394BE7">
        <w:trPr>
          <w:trHeight w:val="21"/>
          <w:jc w:val="center"/>
        </w:trPr>
        <w:tc>
          <w:tcPr>
            <w:tcW w:w="2106" w:type="dxa"/>
            <w:tcBorders>
              <w:top w:val="nil"/>
              <w:left w:val="nil"/>
              <w:bottom w:val="nil"/>
              <w:right w:val="nil"/>
            </w:tcBorders>
            <w:shd w:val="clear" w:color="auto" w:fill="auto"/>
            <w:noWrap/>
          </w:tcPr>
          <w:p w14:paraId="6F5D8265" w14:textId="77777777" w:rsidR="006822EF" w:rsidRPr="00C7354B" w:rsidRDefault="006822EF" w:rsidP="00004775">
            <w:pPr>
              <w:widowControl w:val="0"/>
              <w:spacing w:line="240" w:lineRule="auto"/>
              <w:jc w:val="left"/>
              <w:rPr>
                <w:b/>
                <w:bCs/>
                <w:color w:val="000000" w:themeColor="text1"/>
                <w:kern w:val="2"/>
                <w:sz w:val="22"/>
                <w:lang w:eastAsia="zh-CN"/>
              </w:rPr>
            </w:pPr>
            <w:r w:rsidRPr="00C7354B">
              <w:rPr>
                <w:b/>
                <w:bCs/>
                <w:color w:val="000000" w:themeColor="text1"/>
                <w:kern w:val="2"/>
                <w:sz w:val="22"/>
                <w:lang w:eastAsia="zh-CN"/>
              </w:rPr>
              <w:t>(4) Firm size</w:t>
            </w:r>
          </w:p>
        </w:tc>
        <w:tc>
          <w:tcPr>
            <w:tcW w:w="1552" w:type="dxa"/>
            <w:tcBorders>
              <w:top w:val="nil"/>
              <w:left w:val="nil"/>
              <w:bottom w:val="nil"/>
              <w:right w:val="nil"/>
            </w:tcBorders>
            <w:shd w:val="clear" w:color="auto" w:fill="auto"/>
            <w:noWrap/>
          </w:tcPr>
          <w:p w14:paraId="71603DCC" w14:textId="77777777" w:rsidR="006822EF" w:rsidRPr="00C7354B" w:rsidRDefault="006822EF" w:rsidP="00004775">
            <w:pPr>
              <w:widowControl w:val="0"/>
              <w:spacing w:line="240" w:lineRule="auto"/>
              <w:jc w:val="left"/>
              <w:rPr>
                <w:color w:val="000000" w:themeColor="text1"/>
                <w:kern w:val="2"/>
                <w:sz w:val="22"/>
                <w:lang w:eastAsia="zh-CN"/>
              </w:rPr>
            </w:pPr>
          </w:p>
        </w:tc>
        <w:tc>
          <w:tcPr>
            <w:tcW w:w="1894" w:type="dxa"/>
            <w:tcBorders>
              <w:top w:val="nil"/>
              <w:left w:val="nil"/>
              <w:bottom w:val="nil"/>
              <w:right w:val="nil"/>
            </w:tcBorders>
            <w:shd w:val="clear" w:color="auto" w:fill="auto"/>
            <w:noWrap/>
          </w:tcPr>
          <w:p w14:paraId="142FA489" w14:textId="77777777" w:rsidR="006822EF" w:rsidRPr="00C7354B" w:rsidRDefault="006822EF" w:rsidP="00004775">
            <w:pPr>
              <w:widowControl w:val="0"/>
              <w:spacing w:line="240" w:lineRule="auto"/>
              <w:jc w:val="left"/>
              <w:rPr>
                <w:color w:val="000000" w:themeColor="text1"/>
                <w:kern w:val="2"/>
                <w:sz w:val="22"/>
                <w:lang w:eastAsia="zh-CN"/>
              </w:rPr>
            </w:pPr>
          </w:p>
        </w:tc>
        <w:tc>
          <w:tcPr>
            <w:tcW w:w="1896" w:type="dxa"/>
            <w:tcBorders>
              <w:top w:val="nil"/>
              <w:left w:val="nil"/>
              <w:bottom w:val="nil"/>
              <w:right w:val="nil"/>
            </w:tcBorders>
            <w:shd w:val="clear" w:color="auto" w:fill="auto"/>
            <w:noWrap/>
          </w:tcPr>
          <w:p w14:paraId="02C7E521" w14:textId="77777777" w:rsidR="006822EF" w:rsidRPr="00C7354B" w:rsidRDefault="006822EF" w:rsidP="00004775">
            <w:pPr>
              <w:widowControl w:val="0"/>
              <w:spacing w:line="240" w:lineRule="auto"/>
              <w:jc w:val="left"/>
              <w:rPr>
                <w:color w:val="000000" w:themeColor="text1"/>
                <w:kern w:val="2"/>
                <w:sz w:val="22"/>
                <w:lang w:eastAsia="zh-CN"/>
              </w:rPr>
            </w:pPr>
          </w:p>
        </w:tc>
        <w:tc>
          <w:tcPr>
            <w:tcW w:w="1894" w:type="dxa"/>
            <w:tcBorders>
              <w:top w:val="nil"/>
              <w:left w:val="nil"/>
              <w:bottom w:val="nil"/>
              <w:right w:val="nil"/>
            </w:tcBorders>
          </w:tcPr>
          <w:p w14:paraId="49ADCFCC" w14:textId="77777777" w:rsidR="006822EF" w:rsidRPr="00C7354B" w:rsidRDefault="006822EF" w:rsidP="00004775">
            <w:pPr>
              <w:widowControl w:val="0"/>
              <w:spacing w:line="240" w:lineRule="auto"/>
              <w:jc w:val="left"/>
              <w:rPr>
                <w:color w:val="000000" w:themeColor="text1"/>
                <w:kern w:val="2"/>
                <w:sz w:val="22"/>
                <w:lang w:eastAsia="zh-CN"/>
              </w:rPr>
            </w:pPr>
          </w:p>
        </w:tc>
      </w:tr>
      <w:tr w:rsidR="006822EF" w:rsidRPr="00C7354B" w14:paraId="2AE5971C" w14:textId="77777777" w:rsidTr="00394BE7">
        <w:trPr>
          <w:trHeight w:val="21"/>
          <w:jc w:val="center"/>
        </w:trPr>
        <w:tc>
          <w:tcPr>
            <w:tcW w:w="2106" w:type="dxa"/>
            <w:tcBorders>
              <w:top w:val="nil"/>
              <w:left w:val="nil"/>
              <w:right w:val="nil"/>
            </w:tcBorders>
            <w:shd w:val="clear" w:color="auto" w:fill="auto"/>
            <w:noWrap/>
          </w:tcPr>
          <w:p w14:paraId="3DACC7B7" w14:textId="77777777" w:rsidR="002323D7" w:rsidRPr="002323D7" w:rsidRDefault="002323D7" w:rsidP="002323D7">
            <w:pPr>
              <w:widowControl w:val="0"/>
              <w:spacing w:line="240" w:lineRule="auto"/>
              <w:jc w:val="center"/>
              <w:rPr>
                <w:i/>
                <w:iCs/>
                <w:color w:val="000000" w:themeColor="text1"/>
                <w:kern w:val="2"/>
                <w:sz w:val="22"/>
                <w:lang w:eastAsia="zh-CN"/>
              </w:rPr>
            </w:pPr>
            <w:r w:rsidRPr="002323D7">
              <w:rPr>
                <w:i/>
                <w:iCs/>
                <w:color w:val="000000" w:themeColor="text1"/>
                <w:kern w:val="2"/>
                <w:sz w:val="22"/>
                <w:lang w:eastAsia="zh-CN"/>
              </w:rPr>
              <w:t>r</w:t>
            </w:r>
          </w:p>
          <w:p w14:paraId="28769824" w14:textId="77777777" w:rsidR="002323D7" w:rsidRPr="00C7354B" w:rsidRDefault="002323D7" w:rsidP="002323D7">
            <w:pPr>
              <w:widowControl w:val="0"/>
              <w:spacing w:line="240" w:lineRule="auto"/>
              <w:jc w:val="center"/>
              <w:rPr>
                <w:color w:val="000000" w:themeColor="text1"/>
                <w:kern w:val="2"/>
                <w:sz w:val="22"/>
                <w:lang w:eastAsia="zh-CN"/>
              </w:rPr>
            </w:pPr>
            <w:r w:rsidRPr="00C7354B">
              <w:rPr>
                <w:color w:val="000000" w:themeColor="text1"/>
                <w:kern w:val="2"/>
                <w:sz w:val="22"/>
                <w:lang w:eastAsia="zh-CN"/>
              </w:rPr>
              <w:t>95% CI</w:t>
            </w:r>
          </w:p>
          <w:p w14:paraId="5B706371" w14:textId="68B75CB1" w:rsidR="006822EF" w:rsidRPr="00C7354B" w:rsidRDefault="002323D7" w:rsidP="002323D7">
            <w:pPr>
              <w:widowControl w:val="0"/>
              <w:spacing w:line="240" w:lineRule="auto"/>
              <w:jc w:val="center"/>
              <w:rPr>
                <w:color w:val="000000" w:themeColor="text1"/>
                <w:kern w:val="2"/>
                <w:sz w:val="22"/>
                <w:lang w:eastAsia="zh-CN"/>
              </w:rPr>
            </w:pPr>
            <w:r w:rsidRPr="002323D7">
              <w:rPr>
                <w:i/>
                <w:iCs/>
                <w:color w:val="000000" w:themeColor="text1"/>
                <w:kern w:val="2"/>
                <w:sz w:val="22"/>
                <w:lang w:eastAsia="zh-CN"/>
              </w:rPr>
              <w:t>n</w:t>
            </w:r>
            <w:r w:rsidRPr="00C7354B">
              <w:rPr>
                <w:color w:val="000000" w:themeColor="text1"/>
                <w:kern w:val="2"/>
                <w:sz w:val="22"/>
                <w:lang w:eastAsia="zh-CN"/>
              </w:rPr>
              <w:t xml:space="preserve"> (</w:t>
            </w:r>
            <w:r w:rsidRPr="002323D7">
              <w:rPr>
                <w:i/>
                <w:iCs/>
                <w:color w:val="000000" w:themeColor="text1"/>
                <w:kern w:val="2"/>
                <w:sz w:val="22"/>
                <w:lang w:eastAsia="zh-CN"/>
              </w:rPr>
              <w:t>k</w:t>
            </w:r>
            <w:r w:rsidRPr="00C7354B">
              <w:rPr>
                <w:color w:val="000000" w:themeColor="text1"/>
                <w:kern w:val="2"/>
                <w:sz w:val="22"/>
                <w:lang w:eastAsia="zh-CN"/>
              </w:rPr>
              <w:t>)</w:t>
            </w:r>
          </w:p>
        </w:tc>
        <w:tc>
          <w:tcPr>
            <w:tcW w:w="1552" w:type="dxa"/>
            <w:tcBorders>
              <w:top w:val="nil"/>
              <w:left w:val="nil"/>
              <w:right w:val="nil"/>
            </w:tcBorders>
            <w:shd w:val="clear" w:color="auto" w:fill="auto"/>
            <w:noWrap/>
          </w:tcPr>
          <w:p w14:paraId="01A3D0C1" w14:textId="77777777" w:rsidR="006822EF" w:rsidRPr="00C7354B" w:rsidRDefault="006822EF" w:rsidP="00004775">
            <w:pPr>
              <w:widowControl w:val="0"/>
              <w:spacing w:line="240" w:lineRule="auto"/>
              <w:jc w:val="center"/>
              <w:rPr>
                <w:color w:val="000000" w:themeColor="text1"/>
                <w:kern w:val="2"/>
                <w:sz w:val="22"/>
                <w:lang w:eastAsia="zh-CN"/>
              </w:rPr>
            </w:pPr>
            <w:r w:rsidRPr="00C7354B">
              <w:rPr>
                <w:color w:val="000000" w:themeColor="text1"/>
                <w:kern w:val="2"/>
                <w:sz w:val="22"/>
                <w:lang w:eastAsia="zh-CN"/>
              </w:rPr>
              <w:t>.24</w:t>
            </w:r>
          </w:p>
          <w:p w14:paraId="048C2268" w14:textId="77777777" w:rsidR="006822EF" w:rsidRPr="00C7354B" w:rsidRDefault="006822EF" w:rsidP="00004775">
            <w:pPr>
              <w:widowControl w:val="0"/>
              <w:spacing w:line="240" w:lineRule="auto"/>
              <w:jc w:val="center"/>
              <w:rPr>
                <w:color w:val="000000" w:themeColor="text1"/>
                <w:kern w:val="2"/>
                <w:sz w:val="22"/>
                <w:lang w:eastAsia="zh-CN"/>
              </w:rPr>
            </w:pPr>
            <w:r w:rsidRPr="00C7354B">
              <w:rPr>
                <w:color w:val="000000" w:themeColor="text1"/>
                <w:kern w:val="2"/>
                <w:sz w:val="22"/>
                <w:lang w:eastAsia="zh-CN"/>
              </w:rPr>
              <w:t>[.20: .27]</w:t>
            </w:r>
          </w:p>
          <w:p w14:paraId="0F109C4B" w14:textId="77777777" w:rsidR="006822EF" w:rsidRPr="00C7354B" w:rsidRDefault="006822EF" w:rsidP="00004775">
            <w:pPr>
              <w:widowControl w:val="0"/>
              <w:spacing w:line="240" w:lineRule="auto"/>
              <w:jc w:val="center"/>
              <w:rPr>
                <w:color w:val="000000" w:themeColor="text1"/>
                <w:kern w:val="2"/>
                <w:sz w:val="22"/>
                <w:lang w:eastAsia="zh-CN"/>
              </w:rPr>
            </w:pPr>
            <w:r w:rsidRPr="00C7354B">
              <w:rPr>
                <w:color w:val="000000" w:themeColor="text1"/>
                <w:kern w:val="2"/>
                <w:sz w:val="22"/>
                <w:lang w:eastAsia="zh-CN"/>
              </w:rPr>
              <w:t>635,659 (140)</w:t>
            </w:r>
          </w:p>
        </w:tc>
        <w:tc>
          <w:tcPr>
            <w:tcW w:w="1894" w:type="dxa"/>
            <w:tcBorders>
              <w:top w:val="nil"/>
              <w:left w:val="nil"/>
              <w:right w:val="nil"/>
            </w:tcBorders>
            <w:shd w:val="clear" w:color="auto" w:fill="auto"/>
            <w:noWrap/>
          </w:tcPr>
          <w:p w14:paraId="0B48A42D" w14:textId="77777777" w:rsidR="006822EF" w:rsidRPr="00C7354B" w:rsidRDefault="006822EF" w:rsidP="00004775">
            <w:pPr>
              <w:widowControl w:val="0"/>
              <w:spacing w:line="240" w:lineRule="auto"/>
              <w:jc w:val="center"/>
              <w:rPr>
                <w:color w:val="000000" w:themeColor="text1"/>
                <w:kern w:val="2"/>
                <w:sz w:val="22"/>
                <w:lang w:eastAsia="zh-CN"/>
              </w:rPr>
            </w:pPr>
            <w:r w:rsidRPr="00C7354B">
              <w:rPr>
                <w:color w:val="000000" w:themeColor="text1"/>
                <w:kern w:val="2"/>
                <w:sz w:val="22"/>
                <w:lang w:eastAsia="zh-CN"/>
              </w:rPr>
              <w:t>.10</w:t>
            </w:r>
          </w:p>
          <w:p w14:paraId="7CCF0C05" w14:textId="77777777" w:rsidR="006822EF" w:rsidRPr="00C7354B" w:rsidRDefault="006822EF" w:rsidP="00004775">
            <w:pPr>
              <w:widowControl w:val="0"/>
              <w:spacing w:line="240" w:lineRule="auto"/>
              <w:jc w:val="center"/>
              <w:rPr>
                <w:color w:val="000000" w:themeColor="text1"/>
                <w:kern w:val="2"/>
                <w:sz w:val="22"/>
                <w:lang w:eastAsia="zh-CN"/>
              </w:rPr>
            </w:pPr>
            <w:r w:rsidRPr="00C7354B">
              <w:rPr>
                <w:color w:val="000000" w:themeColor="text1"/>
                <w:kern w:val="2"/>
                <w:sz w:val="22"/>
                <w:lang w:eastAsia="zh-CN"/>
              </w:rPr>
              <w:t>[.02: .18]</w:t>
            </w:r>
            <w:r w:rsidRPr="00C7354B">
              <w:rPr>
                <w:color w:val="000000" w:themeColor="text1"/>
                <w:kern w:val="2"/>
                <w:sz w:val="22"/>
                <w:lang w:eastAsia="zh-CN"/>
              </w:rPr>
              <w:br/>
              <w:t>200,477 (62)</w:t>
            </w:r>
          </w:p>
        </w:tc>
        <w:tc>
          <w:tcPr>
            <w:tcW w:w="1896" w:type="dxa"/>
            <w:tcBorders>
              <w:top w:val="nil"/>
              <w:left w:val="nil"/>
              <w:right w:val="nil"/>
            </w:tcBorders>
            <w:shd w:val="clear" w:color="auto" w:fill="auto"/>
            <w:noWrap/>
          </w:tcPr>
          <w:p w14:paraId="2E0D1EA0" w14:textId="77777777" w:rsidR="006822EF" w:rsidRPr="00C7354B" w:rsidRDefault="006822EF" w:rsidP="00004775">
            <w:pPr>
              <w:widowControl w:val="0"/>
              <w:spacing w:line="240" w:lineRule="auto"/>
              <w:jc w:val="center"/>
              <w:rPr>
                <w:color w:val="000000" w:themeColor="text1"/>
                <w:kern w:val="2"/>
                <w:sz w:val="22"/>
                <w:lang w:eastAsia="zh-CN"/>
              </w:rPr>
            </w:pPr>
            <w:r w:rsidRPr="00C7354B">
              <w:rPr>
                <w:color w:val="000000" w:themeColor="text1"/>
                <w:kern w:val="2"/>
                <w:sz w:val="22"/>
                <w:lang w:eastAsia="zh-CN"/>
              </w:rPr>
              <w:t>.11</w:t>
            </w:r>
          </w:p>
          <w:p w14:paraId="485CA116" w14:textId="77777777" w:rsidR="006822EF" w:rsidRPr="00C7354B" w:rsidRDefault="006822EF" w:rsidP="00004775">
            <w:pPr>
              <w:widowControl w:val="0"/>
              <w:spacing w:line="240" w:lineRule="auto"/>
              <w:jc w:val="center"/>
              <w:rPr>
                <w:color w:val="000000" w:themeColor="text1"/>
                <w:kern w:val="2"/>
                <w:sz w:val="22"/>
                <w:lang w:eastAsia="zh-CN"/>
              </w:rPr>
            </w:pPr>
            <w:r w:rsidRPr="00C7354B">
              <w:rPr>
                <w:color w:val="000000" w:themeColor="text1"/>
                <w:kern w:val="2"/>
                <w:sz w:val="22"/>
                <w:lang w:eastAsia="zh-CN"/>
              </w:rPr>
              <w:t>[.07: .14]</w:t>
            </w:r>
            <w:r w:rsidRPr="00C7354B">
              <w:rPr>
                <w:color w:val="000000" w:themeColor="text1"/>
                <w:kern w:val="2"/>
                <w:sz w:val="22"/>
                <w:lang w:eastAsia="zh-CN"/>
              </w:rPr>
              <w:br/>
              <w:t>487,126 (114)</w:t>
            </w:r>
          </w:p>
        </w:tc>
        <w:tc>
          <w:tcPr>
            <w:tcW w:w="1894" w:type="dxa"/>
            <w:tcBorders>
              <w:top w:val="nil"/>
              <w:left w:val="nil"/>
              <w:right w:val="nil"/>
            </w:tcBorders>
          </w:tcPr>
          <w:p w14:paraId="249CB557" w14:textId="77777777" w:rsidR="006822EF" w:rsidRPr="00C7354B" w:rsidRDefault="006822EF" w:rsidP="00004775">
            <w:pPr>
              <w:widowControl w:val="0"/>
              <w:spacing w:line="240" w:lineRule="auto"/>
              <w:jc w:val="center"/>
              <w:rPr>
                <w:color w:val="000000" w:themeColor="text1"/>
                <w:kern w:val="2"/>
                <w:sz w:val="22"/>
                <w:lang w:eastAsia="zh-CN"/>
              </w:rPr>
            </w:pPr>
          </w:p>
        </w:tc>
      </w:tr>
      <w:tr w:rsidR="006822EF" w:rsidRPr="00C7354B" w14:paraId="24A91BE3" w14:textId="77777777" w:rsidTr="00394BE7">
        <w:trPr>
          <w:trHeight w:val="21"/>
          <w:jc w:val="center"/>
        </w:trPr>
        <w:tc>
          <w:tcPr>
            <w:tcW w:w="2106" w:type="dxa"/>
            <w:tcBorders>
              <w:top w:val="nil"/>
              <w:left w:val="nil"/>
              <w:right w:val="nil"/>
            </w:tcBorders>
            <w:shd w:val="clear" w:color="auto" w:fill="auto"/>
            <w:noWrap/>
          </w:tcPr>
          <w:p w14:paraId="44E2D21B" w14:textId="77777777" w:rsidR="006822EF" w:rsidRPr="00C7354B" w:rsidRDefault="006822EF" w:rsidP="00004775">
            <w:pPr>
              <w:widowControl w:val="0"/>
              <w:spacing w:line="240" w:lineRule="auto"/>
              <w:jc w:val="left"/>
              <w:rPr>
                <w:b/>
                <w:bCs/>
                <w:color w:val="000000" w:themeColor="text1"/>
                <w:kern w:val="2"/>
                <w:sz w:val="22"/>
                <w:lang w:eastAsia="zh-CN"/>
              </w:rPr>
            </w:pPr>
            <w:r w:rsidRPr="00C7354B">
              <w:rPr>
                <w:b/>
                <w:bCs/>
                <w:color w:val="000000" w:themeColor="text1"/>
                <w:kern w:val="2"/>
                <w:sz w:val="22"/>
                <w:lang w:eastAsia="zh-CN"/>
              </w:rPr>
              <w:t>(5) Performance</w:t>
            </w:r>
          </w:p>
        </w:tc>
        <w:tc>
          <w:tcPr>
            <w:tcW w:w="1552" w:type="dxa"/>
            <w:tcBorders>
              <w:top w:val="nil"/>
              <w:left w:val="nil"/>
              <w:right w:val="nil"/>
            </w:tcBorders>
            <w:shd w:val="clear" w:color="auto" w:fill="auto"/>
            <w:noWrap/>
          </w:tcPr>
          <w:p w14:paraId="4CA333D8" w14:textId="77777777" w:rsidR="006822EF" w:rsidRPr="00C7354B" w:rsidRDefault="006822EF" w:rsidP="00004775">
            <w:pPr>
              <w:widowControl w:val="0"/>
              <w:spacing w:line="240" w:lineRule="auto"/>
              <w:jc w:val="left"/>
              <w:rPr>
                <w:color w:val="000000" w:themeColor="text1"/>
                <w:kern w:val="2"/>
                <w:sz w:val="22"/>
                <w:lang w:eastAsia="zh-CN"/>
              </w:rPr>
            </w:pPr>
          </w:p>
        </w:tc>
        <w:tc>
          <w:tcPr>
            <w:tcW w:w="1894" w:type="dxa"/>
            <w:tcBorders>
              <w:top w:val="nil"/>
              <w:left w:val="nil"/>
              <w:right w:val="nil"/>
            </w:tcBorders>
            <w:shd w:val="clear" w:color="auto" w:fill="auto"/>
            <w:noWrap/>
          </w:tcPr>
          <w:p w14:paraId="2C08BDBC" w14:textId="77777777" w:rsidR="006822EF" w:rsidRPr="00C7354B" w:rsidRDefault="006822EF" w:rsidP="00004775">
            <w:pPr>
              <w:widowControl w:val="0"/>
              <w:spacing w:line="240" w:lineRule="auto"/>
              <w:jc w:val="left"/>
              <w:rPr>
                <w:color w:val="000000" w:themeColor="text1"/>
                <w:kern w:val="2"/>
                <w:sz w:val="22"/>
                <w:lang w:eastAsia="zh-CN"/>
              </w:rPr>
            </w:pPr>
          </w:p>
        </w:tc>
        <w:tc>
          <w:tcPr>
            <w:tcW w:w="1896" w:type="dxa"/>
            <w:tcBorders>
              <w:top w:val="nil"/>
              <w:left w:val="nil"/>
              <w:right w:val="nil"/>
            </w:tcBorders>
            <w:shd w:val="clear" w:color="auto" w:fill="auto"/>
            <w:noWrap/>
          </w:tcPr>
          <w:p w14:paraId="6663AE16" w14:textId="77777777" w:rsidR="006822EF" w:rsidRPr="00C7354B" w:rsidRDefault="006822EF" w:rsidP="00004775">
            <w:pPr>
              <w:widowControl w:val="0"/>
              <w:spacing w:line="240" w:lineRule="auto"/>
              <w:jc w:val="left"/>
              <w:rPr>
                <w:color w:val="000000" w:themeColor="text1"/>
                <w:kern w:val="2"/>
                <w:sz w:val="22"/>
                <w:lang w:eastAsia="zh-CN"/>
              </w:rPr>
            </w:pPr>
          </w:p>
        </w:tc>
        <w:tc>
          <w:tcPr>
            <w:tcW w:w="1894" w:type="dxa"/>
            <w:tcBorders>
              <w:top w:val="nil"/>
              <w:left w:val="nil"/>
              <w:right w:val="nil"/>
            </w:tcBorders>
          </w:tcPr>
          <w:p w14:paraId="191A6533" w14:textId="77777777" w:rsidR="006822EF" w:rsidRPr="00C7354B" w:rsidRDefault="006822EF" w:rsidP="00004775">
            <w:pPr>
              <w:widowControl w:val="0"/>
              <w:spacing w:line="240" w:lineRule="auto"/>
              <w:jc w:val="left"/>
              <w:rPr>
                <w:color w:val="000000" w:themeColor="text1"/>
                <w:kern w:val="2"/>
                <w:sz w:val="22"/>
                <w:lang w:eastAsia="zh-CN"/>
              </w:rPr>
            </w:pPr>
          </w:p>
        </w:tc>
      </w:tr>
      <w:tr w:rsidR="006822EF" w:rsidRPr="00C7354B" w14:paraId="6EA02F6B" w14:textId="77777777" w:rsidTr="00394BE7">
        <w:trPr>
          <w:trHeight w:val="73"/>
          <w:jc w:val="center"/>
        </w:trPr>
        <w:tc>
          <w:tcPr>
            <w:tcW w:w="2106" w:type="dxa"/>
            <w:tcBorders>
              <w:left w:val="nil"/>
              <w:bottom w:val="single" w:sz="4" w:space="0" w:color="auto"/>
              <w:right w:val="nil"/>
            </w:tcBorders>
            <w:shd w:val="clear" w:color="auto" w:fill="auto"/>
            <w:noWrap/>
          </w:tcPr>
          <w:p w14:paraId="68D552F3" w14:textId="77777777" w:rsidR="002323D7" w:rsidRPr="002323D7" w:rsidRDefault="002323D7" w:rsidP="002323D7">
            <w:pPr>
              <w:widowControl w:val="0"/>
              <w:spacing w:line="240" w:lineRule="auto"/>
              <w:jc w:val="center"/>
              <w:rPr>
                <w:i/>
                <w:iCs/>
                <w:color w:val="000000" w:themeColor="text1"/>
                <w:kern w:val="2"/>
                <w:sz w:val="22"/>
                <w:lang w:eastAsia="zh-CN"/>
              </w:rPr>
            </w:pPr>
            <w:r w:rsidRPr="002323D7">
              <w:rPr>
                <w:i/>
                <w:iCs/>
                <w:color w:val="000000" w:themeColor="text1"/>
                <w:kern w:val="2"/>
                <w:sz w:val="22"/>
                <w:lang w:eastAsia="zh-CN"/>
              </w:rPr>
              <w:t>r</w:t>
            </w:r>
          </w:p>
          <w:p w14:paraId="5ADC1C20" w14:textId="77777777" w:rsidR="002323D7" w:rsidRPr="00C7354B" w:rsidRDefault="002323D7" w:rsidP="002323D7">
            <w:pPr>
              <w:widowControl w:val="0"/>
              <w:spacing w:line="240" w:lineRule="auto"/>
              <w:jc w:val="center"/>
              <w:rPr>
                <w:color w:val="000000" w:themeColor="text1"/>
                <w:kern w:val="2"/>
                <w:sz w:val="22"/>
                <w:lang w:eastAsia="zh-CN"/>
              </w:rPr>
            </w:pPr>
            <w:r w:rsidRPr="00C7354B">
              <w:rPr>
                <w:color w:val="000000" w:themeColor="text1"/>
                <w:kern w:val="2"/>
                <w:sz w:val="22"/>
                <w:lang w:eastAsia="zh-CN"/>
              </w:rPr>
              <w:t>95% CI</w:t>
            </w:r>
          </w:p>
          <w:p w14:paraId="537523B7" w14:textId="492FEE63" w:rsidR="006822EF" w:rsidRPr="00C7354B" w:rsidRDefault="002323D7" w:rsidP="002323D7">
            <w:pPr>
              <w:widowControl w:val="0"/>
              <w:spacing w:line="240" w:lineRule="auto"/>
              <w:jc w:val="center"/>
              <w:rPr>
                <w:color w:val="000000" w:themeColor="text1"/>
                <w:kern w:val="2"/>
                <w:sz w:val="22"/>
                <w:lang w:eastAsia="zh-CN"/>
              </w:rPr>
            </w:pPr>
            <w:r w:rsidRPr="002323D7">
              <w:rPr>
                <w:i/>
                <w:iCs/>
                <w:color w:val="000000" w:themeColor="text1"/>
                <w:kern w:val="2"/>
                <w:sz w:val="22"/>
                <w:lang w:eastAsia="zh-CN"/>
              </w:rPr>
              <w:t>n</w:t>
            </w:r>
            <w:r w:rsidRPr="00C7354B">
              <w:rPr>
                <w:color w:val="000000" w:themeColor="text1"/>
                <w:kern w:val="2"/>
                <w:sz w:val="22"/>
                <w:lang w:eastAsia="zh-CN"/>
              </w:rPr>
              <w:t xml:space="preserve"> (</w:t>
            </w:r>
            <w:r w:rsidRPr="002323D7">
              <w:rPr>
                <w:i/>
                <w:iCs/>
                <w:color w:val="000000" w:themeColor="text1"/>
                <w:kern w:val="2"/>
                <w:sz w:val="22"/>
                <w:lang w:eastAsia="zh-CN"/>
              </w:rPr>
              <w:t>k</w:t>
            </w:r>
            <w:r w:rsidRPr="00C7354B">
              <w:rPr>
                <w:color w:val="000000" w:themeColor="text1"/>
                <w:kern w:val="2"/>
                <w:sz w:val="22"/>
                <w:lang w:eastAsia="zh-CN"/>
              </w:rPr>
              <w:t>)</w:t>
            </w:r>
          </w:p>
        </w:tc>
        <w:tc>
          <w:tcPr>
            <w:tcW w:w="1552" w:type="dxa"/>
            <w:tcBorders>
              <w:left w:val="nil"/>
              <w:bottom w:val="single" w:sz="4" w:space="0" w:color="auto"/>
              <w:right w:val="nil"/>
            </w:tcBorders>
            <w:shd w:val="clear" w:color="auto" w:fill="auto"/>
            <w:noWrap/>
          </w:tcPr>
          <w:p w14:paraId="4FE81080" w14:textId="77777777" w:rsidR="006822EF" w:rsidRPr="00C7354B" w:rsidRDefault="006822EF" w:rsidP="00004775">
            <w:pPr>
              <w:widowControl w:val="0"/>
              <w:spacing w:line="240" w:lineRule="auto"/>
              <w:jc w:val="center"/>
              <w:rPr>
                <w:color w:val="000000" w:themeColor="text1"/>
                <w:kern w:val="2"/>
                <w:sz w:val="22"/>
                <w:lang w:eastAsia="zh-CN"/>
              </w:rPr>
            </w:pPr>
            <w:r w:rsidRPr="00C7354B">
              <w:rPr>
                <w:color w:val="000000" w:themeColor="text1"/>
                <w:kern w:val="2"/>
                <w:sz w:val="22"/>
                <w:lang w:eastAsia="zh-CN"/>
              </w:rPr>
              <w:t>.03</w:t>
            </w:r>
          </w:p>
          <w:p w14:paraId="14CDE35B" w14:textId="77777777" w:rsidR="006822EF" w:rsidRPr="00C7354B" w:rsidRDefault="006822EF" w:rsidP="00004775">
            <w:pPr>
              <w:widowControl w:val="0"/>
              <w:spacing w:line="240" w:lineRule="auto"/>
              <w:jc w:val="center"/>
              <w:rPr>
                <w:color w:val="000000" w:themeColor="text1"/>
                <w:kern w:val="2"/>
                <w:sz w:val="22"/>
                <w:lang w:eastAsia="zh-CN"/>
              </w:rPr>
            </w:pPr>
            <w:r w:rsidRPr="00C7354B">
              <w:rPr>
                <w:color w:val="000000" w:themeColor="text1"/>
                <w:kern w:val="2"/>
                <w:sz w:val="22"/>
                <w:lang w:eastAsia="zh-CN"/>
              </w:rPr>
              <w:t>[.01: .05]</w:t>
            </w:r>
          </w:p>
          <w:p w14:paraId="3997E044" w14:textId="77777777" w:rsidR="006822EF" w:rsidRPr="00C7354B" w:rsidRDefault="006822EF" w:rsidP="00004775">
            <w:pPr>
              <w:widowControl w:val="0"/>
              <w:spacing w:line="240" w:lineRule="auto"/>
              <w:jc w:val="center"/>
              <w:rPr>
                <w:color w:val="000000" w:themeColor="text1"/>
                <w:kern w:val="2"/>
                <w:sz w:val="22"/>
                <w:lang w:eastAsia="zh-CN"/>
              </w:rPr>
            </w:pPr>
            <w:r w:rsidRPr="00C7354B">
              <w:rPr>
                <w:color w:val="000000" w:themeColor="text1"/>
                <w:kern w:val="2"/>
                <w:sz w:val="22"/>
                <w:lang w:eastAsia="zh-CN"/>
              </w:rPr>
              <w:t>1,133,014 (191)</w:t>
            </w:r>
          </w:p>
        </w:tc>
        <w:tc>
          <w:tcPr>
            <w:tcW w:w="1894" w:type="dxa"/>
            <w:tcBorders>
              <w:left w:val="nil"/>
              <w:bottom w:val="single" w:sz="4" w:space="0" w:color="auto"/>
              <w:right w:val="nil"/>
            </w:tcBorders>
            <w:shd w:val="clear" w:color="auto" w:fill="auto"/>
            <w:noWrap/>
          </w:tcPr>
          <w:p w14:paraId="1283721D" w14:textId="77777777" w:rsidR="006822EF" w:rsidRPr="00C7354B" w:rsidRDefault="006822EF" w:rsidP="00004775">
            <w:pPr>
              <w:widowControl w:val="0"/>
              <w:spacing w:line="240" w:lineRule="auto"/>
              <w:jc w:val="center"/>
              <w:rPr>
                <w:color w:val="000000" w:themeColor="text1"/>
                <w:kern w:val="2"/>
                <w:sz w:val="22"/>
                <w:lang w:eastAsia="zh-CN"/>
              </w:rPr>
            </w:pPr>
            <w:r w:rsidRPr="00C7354B">
              <w:rPr>
                <w:color w:val="000000" w:themeColor="text1"/>
                <w:kern w:val="2"/>
                <w:sz w:val="22"/>
                <w:lang w:eastAsia="zh-CN"/>
              </w:rPr>
              <w:t>.05</w:t>
            </w:r>
          </w:p>
          <w:p w14:paraId="57BD7B1B" w14:textId="77777777" w:rsidR="006822EF" w:rsidRPr="00C7354B" w:rsidRDefault="006822EF" w:rsidP="00004775">
            <w:pPr>
              <w:widowControl w:val="0"/>
              <w:spacing w:line="240" w:lineRule="auto"/>
              <w:jc w:val="center"/>
              <w:rPr>
                <w:color w:val="000000" w:themeColor="text1"/>
                <w:kern w:val="2"/>
                <w:sz w:val="22"/>
                <w:lang w:eastAsia="zh-CN"/>
              </w:rPr>
            </w:pPr>
            <w:r w:rsidRPr="00C7354B">
              <w:rPr>
                <w:color w:val="000000" w:themeColor="text1"/>
                <w:kern w:val="2"/>
                <w:sz w:val="22"/>
                <w:lang w:eastAsia="zh-CN"/>
              </w:rPr>
              <w:t>[.00: .09]</w:t>
            </w:r>
            <w:r w:rsidRPr="00C7354B">
              <w:rPr>
                <w:color w:val="000000" w:themeColor="text1"/>
                <w:kern w:val="2"/>
                <w:sz w:val="22"/>
                <w:lang w:eastAsia="zh-CN"/>
              </w:rPr>
              <w:br/>
              <w:t>177,090 (68)</w:t>
            </w:r>
          </w:p>
        </w:tc>
        <w:tc>
          <w:tcPr>
            <w:tcW w:w="1896" w:type="dxa"/>
            <w:tcBorders>
              <w:left w:val="nil"/>
              <w:bottom w:val="single" w:sz="4" w:space="0" w:color="auto"/>
              <w:right w:val="nil"/>
            </w:tcBorders>
            <w:shd w:val="clear" w:color="auto" w:fill="auto"/>
            <w:noWrap/>
          </w:tcPr>
          <w:p w14:paraId="1B2899F8" w14:textId="77777777" w:rsidR="006822EF" w:rsidRPr="00C7354B" w:rsidRDefault="006822EF" w:rsidP="00004775">
            <w:pPr>
              <w:widowControl w:val="0"/>
              <w:spacing w:line="240" w:lineRule="auto"/>
              <w:jc w:val="center"/>
              <w:rPr>
                <w:color w:val="000000" w:themeColor="text1"/>
                <w:kern w:val="2"/>
                <w:sz w:val="22"/>
                <w:lang w:eastAsia="zh-CN"/>
              </w:rPr>
            </w:pPr>
            <w:r w:rsidRPr="00C7354B">
              <w:rPr>
                <w:color w:val="000000" w:themeColor="text1"/>
                <w:kern w:val="2"/>
                <w:sz w:val="22"/>
                <w:lang w:eastAsia="zh-CN"/>
              </w:rPr>
              <w:t>-.03</w:t>
            </w:r>
          </w:p>
          <w:p w14:paraId="7FA78CCA" w14:textId="77777777" w:rsidR="006822EF" w:rsidRPr="00C7354B" w:rsidRDefault="006822EF" w:rsidP="00004775">
            <w:pPr>
              <w:widowControl w:val="0"/>
              <w:spacing w:line="240" w:lineRule="auto"/>
              <w:jc w:val="center"/>
              <w:rPr>
                <w:color w:val="000000" w:themeColor="text1"/>
                <w:kern w:val="2"/>
                <w:sz w:val="22"/>
                <w:lang w:eastAsia="zh-CN"/>
              </w:rPr>
            </w:pPr>
            <w:r w:rsidRPr="00C7354B">
              <w:rPr>
                <w:color w:val="000000" w:themeColor="text1"/>
                <w:kern w:val="2"/>
                <w:sz w:val="22"/>
                <w:lang w:eastAsia="zh-CN"/>
              </w:rPr>
              <w:t>[-.08: .01]</w:t>
            </w:r>
            <w:r w:rsidRPr="00C7354B">
              <w:rPr>
                <w:color w:val="000000" w:themeColor="text1"/>
                <w:kern w:val="2"/>
                <w:sz w:val="22"/>
                <w:lang w:eastAsia="zh-CN"/>
              </w:rPr>
              <w:br/>
              <w:t>504,446 (121)</w:t>
            </w:r>
          </w:p>
        </w:tc>
        <w:tc>
          <w:tcPr>
            <w:tcW w:w="1894" w:type="dxa"/>
            <w:tcBorders>
              <w:left w:val="nil"/>
              <w:bottom w:val="single" w:sz="4" w:space="0" w:color="auto"/>
              <w:right w:val="nil"/>
            </w:tcBorders>
          </w:tcPr>
          <w:p w14:paraId="59D12F72" w14:textId="77777777" w:rsidR="006822EF" w:rsidRPr="00C7354B" w:rsidRDefault="006822EF" w:rsidP="00004775">
            <w:pPr>
              <w:widowControl w:val="0"/>
              <w:spacing w:line="240" w:lineRule="auto"/>
              <w:jc w:val="center"/>
              <w:rPr>
                <w:color w:val="000000" w:themeColor="text1"/>
                <w:kern w:val="2"/>
                <w:sz w:val="22"/>
                <w:lang w:eastAsia="zh-CN"/>
              </w:rPr>
            </w:pPr>
            <w:r w:rsidRPr="00C7354B">
              <w:rPr>
                <w:color w:val="000000" w:themeColor="text1"/>
                <w:kern w:val="2"/>
                <w:sz w:val="22"/>
                <w:lang w:eastAsia="zh-CN"/>
              </w:rPr>
              <w:t>.06</w:t>
            </w:r>
          </w:p>
          <w:p w14:paraId="4916113D" w14:textId="77777777" w:rsidR="006822EF" w:rsidRPr="00C7354B" w:rsidRDefault="006822EF" w:rsidP="00004775">
            <w:pPr>
              <w:widowControl w:val="0"/>
              <w:spacing w:line="240" w:lineRule="auto"/>
              <w:jc w:val="center"/>
              <w:rPr>
                <w:color w:val="000000" w:themeColor="text1"/>
                <w:kern w:val="2"/>
                <w:sz w:val="22"/>
                <w:lang w:eastAsia="zh-CN"/>
              </w:rPr>
            </w:pPr>
            <w:r w:rsidRPr="00C7354B">
              <w:rPr>
                <w:color w:val="000000" w:themeColor="text1"/>
                <w:kern w:val="2"/>
                <w:sz w:val="22"/>
                <w:lang w:eastAsia="zh-CN"/>
              </w:rPr>
              <w:t>[.03: .10]</w:t>
            </w:r>
            <w:r w:rsidRPr="00C7354B">
              <w:rPr>
                <w:color w:val="000000" w:themeColor="text1"/>
                <w:kern w:val="2"/>
                <w:sz w:val="22"/>
                <w:lang w:eastAsia="zh-CN"/>
              </w:rPr>
              <w:br/>
              <w:t>669,506 (149)</w:t>
            </w:r>
          </w:p>
        </w:tc>
      </w:tr>
    </w:tbl>
    <w:p w14:paraId="1248090B" w14:textId="77777777" w:rsidR="006822EF" w:rsidRPr="00C7354B" w:rsidRDefault="006822EF" w:rsidP="00004775">
      <w:pPr>
        <w:widowControl w:val="0"/>
        <w:adjustRightInd w:val="0"/>
        <w:snapToGrid w:val="0"/>
        <w:spacing w:before="60" w:after="60" w:line="240" w:lineRule="auto"/>
        <w:rPr>
          <w:rFonts w:eastAsia="SimSun"/>
          <w:i/>
          <w:iCs/>
          <w:color w:val="000000" w:themeColor="text1"/>
          <w:kern w:val="2"/>
          <w:sz w:val="22"/>
          <w:lang w:val="en-US" w:eastAsia="zh-CN"/>
        </w:rPr>
      </w:pPr>
      <w:r w:rsidRPr="00C7354B">
        <w:rPr>
          <w:rFonts w:eastAsia="SimSun"/>
          <w:i/>
          <w:iCs/>
          <w:color w:val="000000" w:themeColor="text1"/>
          <w:kern w:val="2"/>
          <w:sz w:val="22"/>
          <w:lang w:val="en-US" w:eastAsia="zh-CN"/>
        </w:rPr>
        <w:t>Note: r = inverse variance weighted effect size; 95% CI = 95% confidence interval; n = observations in primary studies (sample size); k = number of effect sizes.</w:t>
      </w:r>
    </w:p>
    <w:p w14:paraId="1184C14B" w14:textId="590970EB" w:rsidR="00004775" w:rsidRDefault="00004775">
      <w:pPr>
        <w:spacing w:after="160" w:line="259" w:lineRule="auto"/>
        <w:jc w:val="left"/>
        <w:rPr>
          <w:rFonts w:eastAsia="Times New Roman" w:cs="Times New Roman"/>
          <w:szCs w:val="24"/>
          <w:lang w:val="en-US" w:eastAsia="de-DE"/>
        </w:rPr>
      </w:pPr>
      <w:r w:rsidRPr="0011589D">
        <w:rPr>
          <w:lang w:val="en-US"/>
        </w:rPr>
        <w:br w:type="page"/>
      </w:r>
    </w:p>
    <w:p w14:paraId="708FB77F" w14:textId="3FAE01B8" w:rsidR="006822EF" w:rsidRPr="001E4BB8" w:rsidRDefault="006822EF" w:rsidP="009572A7">
      <w:pPr>
        <w:pStyle w:val="1fake"/>
      </w:pPr>
      <w:r w:rsidRPr="001E4BB8">
        <w:lastRenderedPageBreak/>
        <w:t>TABLE 4</w:t>
      </w:r>
    </w:p>
    <w:p w14:paraId="1BE3AD49" w14:textId="3E55094D" w:rsidR="008D3B08" w:rsidRPr="001E4BB8" w:rsidRDefault="008D3B08" w:rsidP="003A640A">
      <w:pPr>
        <w:pStyle w:val="Tabelle"/>
      </w:pPr>
      <w:bookmarkStart w:id="239" w:name="_Toc180964654"/>
      <w:r>
        <w:t xml:space="preserve">T - I - </w:t>
      </w:r>
      <w:r>
        <w:fldChar w:fldCharType="begin"/>
      </w:r>
      <w:r>
        <w:instrText xml:space="preserve"> SEQ T_-_I_- \* ARABIC </w:instrText>
      </w:r>
      <w:r>
        <w:fldChar w:fldCharType="separate"/>
      </w:r>
      <w:r w:rsidR="00E91088">
        <w:rPr>
          <w:noProof/>
        </w:rPr>
        <w:t>4</w:t>
      </w:r>
      <w:r>
        <w:fldChar w:fldCharType="end"/>
      </w:r>
      <w:r>
        <w:t xml:space="preserve">: </w:t>
      </w:r>
      <w:r w:rsidRPr="00600C2F">
        <w:t xml:space="preserve">OSMASEM </w:t>
      </w:r>
      <w:r w:rsidR="007F2F08">
        <w:t>r</w:t>
      </w:r>
      <w:r w:rsidRPr="00600C2F">
        <w:t>esults</w:t>
      </w:r>
      <w:bookmarkEnd w:id="239"/>
    </w:p>
    <w:tbl>
      <w:tblPr>
        <w:tblW w:w="9072" w:type="dxa"/>
        <w:jc w:val="center"/>
        <w:tblLayout w:type="fixed"/>
        <w:tblCellMar>
          <w:top w:w="6" w:type="dxa"/>
          <w:left w:w="6" w:type="dxa"/>
          <w:bottom w:w="6" w:type="dxa"/>
          <w:right w:w="6" w:type="dxa"/>
        </w:tblCellMar>
        <w:tblLook w:val="05A0" w:firstRow="1" w:lastRow="0" w:firstColumn="1" w:lastColumn="1" w:noHBand="0" w:noVBand="1"/>
      </w:tblPr>
      <w:tblGrid>
        <w:gridCol w:w="2694"/>
        <w:gridCol w:w="2126"/>
        <w:gridCol w:w="2126"/>
        <w:gridCol w:w="2126"/>
      </w:tblGrid>
      <w:tr w:rsidR="006822EF" w:rsidRPr="00C7354B" w14:paraId="308B85A7" w14:textId="77777777" w:rsidTr="00394BE7">
        <w:trPr>
          <w:trHeight w:val="154"/>
          <w:jc w:val="center"/>
        </w:trPr>
        <w:tc>
          <w:tcPr>
            <w:tcW w:w="2694" w:type="dxa"/>
            <w:tcBorders>
              <w:top w:val="single" w:sz="4" w:space="0" w:color="auto"/>
              <w:left w:val="nil"/>
              <w:bottom w:val="single" w:sz="4" w:space="0" w:color="auto"/>
              <w:right w:val="nil"/>
            </w:tcBorders>
            <w:shd w:val="clear" w:color="auto" w:fill="auto"/>
            <w:noWrap/>
            <w:hideMark/>
          </w:tcPr>
          <w:p w14:paraId="37BC765C" w14:textId="77777777" w:rsidR="006822EF" w:rsidRPr="00C7354B" w:rsidRDefault="006822EF" w:rsidP="00AB066F">
            <w:pPr>
              <w:widowControl w:val="0"/>
              <w:spacing w:line="240" w:lineRule="auto"/>
              <w:jc w:val="left"/>
              <w:rPr>
                <w:b/>
                <w:bCs/>
                <w:color w:val="000000" w:themeColor="text1"/>
                <w:kern w:val="2"/>
                <w:sz w:val="22"/>
                <w:lang w:eastAsia="zh-CN"/>
              </w:rPr>
            </w:pPr>
          </w:p>
        </w:tc>
        <w:tc>
          <w:tcPr>
            <w:tcW w:w="2126" w:type="dxa"/>
            <w:tcBorders>
              <w:top w:val="single" w:sz="4" w:space="0" w:color="auto"/>
              <w:left w:val="nil"/>
              <w:bottom w:val="single" w:sz="4" w:space="0" w:color="auto"/>
              <w:right w:val="nil"/>
            </w:tcBorders>
          </w:tcPr>
          <w:p w14:paraId="54157FB0" w14:textId="77777777" w:rsidR="006822EF" w:rsidRPr="00C7354B" w:rsidRDefault="006822EF" w:rsidP="00AB066F">
            <w:pPr>
              <w:widowControl w:val="0"/>
              <w:spacing w:line="240" w:lineRule="auto"/>
              <w:jc w:val="center"/>
              <w:rPr>
                <w:b/>
                <w:bCs/>
                <w:color w:val="000000" w:themeColor="text1"/>
                <w:kern w:val="2"/>
                <w:sz w:val="22"/>
                <w:lang w:eastAsia="zh-CN"/>
              </w:rPr>
            </w:pPr>
            <w:r w:rsidRPr="00C7354B">
              <w:rPr>
                <w:b/>
                <w:bCs/>
                <w:color w:val="000000" w:themeColor="text1"/>
                <w:kern w:val="2"/>
                <w:sz w:val="22"/>
                <w:lang w:eastAsia="zh-CN"/>
              </w:rPr>
              <w:t>Resource provision</w:t>
            </w:r>
          </w:p>
        </w:tc>
        <w:tc>
          <w:tcPr>
            <w:tcW w:w="2126" w:type="dxa"/>
            <w:tcBorders>
              <w:top w:val="single" w:sz="4" w:space="0" w:color="auto"/>
              <w:left w:val="nil"/>
              <w:bottom w:val="single" w:sz="4" w:space="0" w:color="auto"/>
              <w:right w:val="nil"/>
            </w:tcBorders>
          </w:tcPr>
          <w:p w14:paraId="57D05BBA" w14:textId="77777777" w:rsidR="006822EF" w:rsidRPr="00C7354B" w:rsidRDefault="006822EF" w:rsidP="00AB066F">
            <w:pPr>
              <w:widowControl w:val="0"/>
              <w:spacing w:line="240" w:lineRule="auto"/>
              <w:jc w:val="center"/>
              <w:rPr>
                <w:b/>
                <w:bCs/>
                <w:color w:val="000000" w:themeColor="text1"/>
                <w:kern w:val="2"/>
                <w:sz w:val="22"/>
                <w:lang w:eastAsia="zh-CN"/>
              </w:rPr>
            </w:pPr>
            <w:r w:rsidRPr="00C7354B">
              <w:rPr>
                <w:b/>
                <w:bCs/>
                <w:color w:val="000000" w:themeColor="text1"/>
                <w:kern w:val="2"/>
                <w:sz w:val="22"/>
                <w:lang w:eastAsia="zh-CN"/>
              </w:rPr>
              <w:t>Agency costs</w:t>
            </w:r>
          </w:p>
        </w:tc>
        <w:tc>
          <w:tcPr>
            <w:tcW w:w="2126" w:type="dxa"/>
            <w:tcBorders>
              <w:top w:val="single" w:sz="4" w:space="0" w:color="auto"/>
              <w:left w:val="nil"/>
              <w:bottom w:val="single" w:sz="4" w:space="0" w:color="auto"/>
              <w:right w:val="nil"/>
            </w:tcBorders>
          </w:tcPr>
          <w:p w14:paraId="6F5BD1C6" w14:textId="77777777" w:rsidR="006822EF" w:rsidRPr="00C7354B" w:rsidRDefault="006822EF" w:rsidP="00AB066F">
            <w:pPr>
              <w:widowControl w:val="0"/>
              <w:spacing w:line="240" w:lineRule="auto"/>
              <w:jc w:val="center"/>
              <w:rPr>
                <w:b/>
                <w:bCs/>
                <w:color w:val="000000" w:themeColor="text1"/>
                <w:kern w:val="2"/>
                <w:sz w:val="22"/>
                <w:lang w:eastAsia="zh-CN"/>
              </w:rPr>
            </w:pPr>
            <w:r w:rsidRPr="00C7354B">
              <w:rPr>
                <w:b/>
                <w:bCs/>
                <w:color w:val="000000" w:themeColor="text1"/>
                <w:kern w:val="2"/>
                <w:sz w:val="22"/>
                <w:lang w:eastAsia="zh-CN"/>
              </w:rPr>
              <w:t>Performance</w:t>
            </w:r>
          </w:p>
        </w:tc>
      </w:tr>
      <w:tr w:rsidR="006822EF" w:rsidRPr="00C7354B" w14:paraId="657E48D3" w14:textId="77777777" w:rsidTr="00394BE7">
        <w:trPr>
          <w:trHeight w:val="107"/>
          <w:jc w:val="center"/>
        </w:trPr>
        <w:tc>
          <w:tcPr>
            <w:tcW w:w="2694" w:type="dxa"/>
            <w:tcBorders>
              <w:top w:val="nil"/>
              <w:left w:val="nil"/>
              <w:bottom w:val="nil"/>
              <w:right w:val="nil"/>
            </w:tcBorders>
            <w:shd w:val="clear" w:color="auto" w:fill="auto"/>
            <w:noWrap/>
          </w:tcPr>
          <w:p w14:paraId="739320B8" w14:textId="77777777" w:rsidR="006822EF" w:rsidRPr="00C7354B" w:rsidRDefault="006822EF" w:rsidP="00AB066F">
            <w:pPr>
              <w:widowControl w:val="0"/>
              <w:spacing w:line="240" w:lineRule="auto"/>
              <w:jc w:val="left"/>
              <w:rPr>
                <w:b/>
                <w:bCs/>
                <w:color w:val="000000" w:themeColor="text1"/>
                <w:kern w:val="2"/>
                <w:sz w:val="22"/>
                <w:lang w:eastAsia="zh-CN"/>
              </w:rPr>
            </w:pPr>
            <w:r w:rsidRPr="00C7354B">
              <w:rPr>
                <w:b/>
                <w:bCs/>
                <w:color w:val="000000" w:themeColor="text1"/>
                <w:kern w:val="2"/>
                <w:sz w:val="22"/>
                <w:lang w:eastAsia="zh-CN"/>
              </w:rPr>
              <w:t>Main Relationships</w:t>
            </w:r>
          </w:p>
        </w:tc>
        <w:tc>
          <w:tcPr>
            <w:tcW w:w="2126" w:type="dxa"/>
            <w:tcBorders>
              <w:top w:val="nil"/>
              <w:left w:val="nil"/>
              <w:bottom w:val="nil"/>
              <w:right w:val="nil"/>
            </w:tcBorders>
          </w:tcPr>
          <w:p w14:paraId="6E5B36DD" w14:textId="77777777" w:rsidR="006822EF" w:rsidRPr="00C7354B" w:rsidRDefault="006822EF" w:rsidP="00AB066F">
            <w:pPr>
              <w:widowControl w:val="0"/>
              <w:spacing w:line="240" w:lineRule="auto"/>
              <w:jc w:val="center"/>
              <w:rPr>
                <w:color w:val="000000" w:themeColor="text1"/>
                <w:sz w:val="22"/>
              </w:rPr>
            </w:pPr>
          </w:p>
        </w:tc>
        <w:tc>
          <w:tcPr>
            <w:tcW w:w="2126" w:type="dxa"/>
            <w:tcBorders>
              <w:top w:val="nil"/>
              <w:left w:val="nil"/>
              <w:bottom w:val="nil"/>
              <w:right w:val="nil"/>
            </w:tcBorders>
          </w:tcPr>
          <w:p w14:paraId="3C54BE96" w14:textId="77777777" w:rsidR="006822EF" w:rsidRPr="00C7354B" w:rsidRDefault="006822EF" w:rsidP="00AB066F">
            <w:pPr>
              <w:widowControl w:val="0"/>
              <w:spacing w:line="240" w:lineRule="auto"/>
              <w:jc w:val="center"/>
              <w:rPr>
                <w:color w:val="000000" w:themeColor="text1"/>
                <w:sz w:val="22"/>
              </w:rPr>
            </w:pPr>
          </w:p>
        </w:tc>
        <w:tc>
          <w:tcPr>
            <w:tcW w:w="2126" w:type="dxa"/>
            <w:tcBorders>
              <w:top w:val="nil"/>
              <w:left w:val="nil"/>
              <w:bottom w:val="nil"/>
              <w:right w:val="nil"/>
            </w:tcBorders>
          </w:tcPr>
          <w:p w14:paraId="1A20558A" w14:textId="77777777" w:rsidR="006822EF" w:rsidRPr="00C7354B" w:rsidRDefault="006822EF" w:rsidP="00AB066F">
            <w:pPr>
              <w:widowControl w:val="0"/>
              <w:spacing w:line="240" w:lineRule="auto"/>
              <w:jc w:val="center"/>
              <w:rPr>
                <w:color w:val="000000" w:themeColor="text1"/>
                <w:sz w:val="22"/>
              </w:rPr>
            </w:pPr>
          </w:p>
        </w:tc>
      </w:tr>
      <w:tr w:rsidR="006822EF" w:rsidRPr="00C7354B" w14:paraId="6759E0A9" w14:textId="77777777" w:rsidTr="00394BE7">
        <w:trPr>
          <w:trHeight w:val="107"/>
          <w:jc w:val="center"/>
        </w:trPr>
        <w:tc>
          <w:tcPr>
            <w:tcW w:w="2694" w:type="dxa"/>
            <w:tcBorders>
              <w:top w:val="nil"/>
              <w:left w:val="nil"/>
              <w:bottom w:val="nil"/>
              <w:right w:val="nil"/>
            </w:tcBorders>
            <w:shd w:val="clear" w:color="auto" w:fill="auto"/>
            <w:noWrap/>
            <w:hideMark/>
          </w:tcPr>
          <w:p w14:paraId="38BCC19C" w14:textId="77777777" w:rsidR="006822EF" w:rsidRPr="00C7354B" w:rsidRDefault="006822EF" w:rsidP="00AB066F">
            <w:pPr>
              <w:widowControl w:val="0"/>
              <w:spacing w:line="240" w:lineRule="auto"/>
              <w:jc w:val="left"/>
              <w:rPr>
                <w:color w:val="000000" w:themeColor="text1"/>
                <w:kern w:val="2"/>
                <w:sz w:val="22"/>
                <w:lang w:eastAsia="zh-CN"/>
              </w:rPr>
            </w:pPr>
            <w:r w:rsidRPr="00C7354B">
              <w:rPr>
                <w:color w:val="000000" w:themeColor="text1"/>
                <w:kern w:val="2"/>
                <w:sz w:val="22"/>
                <w:lang w:eastAsia="zh-CN"/>
              </w:rPr>
              <w:t xml:space="preserve">   Board interlocks</w:t>
            </w:r>
          </w:p>
        </w:tc>
        <w:tc>
          <w:tcPr>
            <w:tcW w:w="2126" w:type="dxa"/>
            <w:tcBorders>
              <w:top w:val="nil"/>
              <w:left w:val="nil"/>
              <w:bottom w:val="nil"/>
              <w:right w:val="nil"/>
            </w:tcBorders>
          </w:tcPr>
          <w:p w14:paraId="3C5C5A49"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.07 (.02) [&lt;.001]</w:t>
            </w:r>
          </w:p>
        </w:tc>
        <w:tc>
          <w:tcPr>
            <w:tcW w:w="2126" w:type="dxa"/>
            <w:tcBorders>
              <w:top w:val="nil"/>
              <w:left w:val="nil"/>
              <w:bottom w:val="nil"/>
              <w:right w:val="nil"/>
            </w:tcBorders>
          </w:tcPr>
          <w:p w14:paraId="3E00697A"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.03 (.01) [.005]</w:t>
            </w:r>
          </w:p>
        </w:tc>
        <w:tc>
          <w:tcPr>
            <w:tcW w:w="2126" w:type="dxa"/>
            <w:tcBorders>
              <w:top w:val="nil"/>
              <w:left w:val="nil"/>
              <w:bottom w:val="nil"/>
              <w:right w:val="nil"/>
            </w:tcBorders>
          </w:tcPr>
          <w:p w14:paraId="30DB47AF"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.01 (.01) [.409]</w:t>
            </w:r>
          </w:p>
        </w:tc>
      </w:tr>
      <w:tr w:rsidR="006822EF" w:rsidRPr="00C7354B" w14:paraId="0B32F63A" w14:textId="77777777" w:rsidTr="00394BE7">
        <w:trPr>
          <w:trHeight w:val="107"/>
          <w:jc w:val="center"/>
        </w:trPr>
        <w:tc>
          <w:tcPr>
            <w:tcW w:w="2694" w:type="dxa"/>
            <w:tcBorders>
              <w:top w:val="nil"/>
              <w:left w:val="nil"/>
              <w:bottom w:val="nil"/>
              <w:right w:val="nil"/>
            </w:tcBorders>
            <w:shd w:val="clear" w:color="auto" w:fill="auto"/>
            <w:noWrap/>
          </w:tcPr>
          <w:p w14:paraId="7E0C964C" w14:textId="77777777" w:rsidR="006822EF" w:rsidRPr="00C7354B" w:rsidRDefault="006822EF" w:rsidP="00AB066F">
            <w:pPr>
              <w:widowControl w:val="0"/>
              <w:spacing w:line="240" w:lineRule="auto"/>
              <w:jc w:val="left"/>
              <w:rPr>
                <w:color w:val="000000" w:themeColor="text1"/>
                <w:kern w:val="2"/>
                <w:sz w:val="22"/>
                <w:lang w:eastAsia="zh-CN"/>
              </w:rPr>
            </w:pPr>
            <w:r w:rsidRPr="00C7354B">
              <w:rPr>
                <w:color w:val="000000" w:themeColor="text1"/>
                <w:kern w:val="2"/>
                <w:sz w:val="22"/>
                <w:lang w:eastAsia="zh-CN"/>
              </w:rPr>
              <w:t xml:space="preserve">   Resource provision</w:t>
            </w:r>
          </w:p>
        </w:tc>
        <w:tc>
          <w:tcPr>
            <w:tcW w:w="2126" w:type="dxa"/>
            <w:tcBorders>
              <w:top w:val="nil"/>
              <w:left w:val="nil"/>
              <w:bottom w:val="nil"/>
              <w:right w:val="nil"/>
            </w:tcBorders>
          </w:tcPr>
          <w:p w14:paraId="43EED8D2" w14:textId="77777777" w:rsidR="006822EF" w:rsidRPr="00C7354B" w:rsidRDefault="006822EF" w:rsidP="00AB066F">
            <w:pPr>
              <w:widowControl w:val="0"/>
              <w:spacing w:line="240" w:lineRule="auto"/>
              <w:jc w:val="center"/>
              <w:rPr>
                <w:color w:val="000000" w:themeColor="text1"/>
                <w:sz w:val="22"/>
              </w:rPr>
            </w:pPr>
          </w:p>
        </w:tc>
        <w:tc>
          <w:tcPr>
            <w:tcW w:w="2126" w:type="dxa"/>
            <w:tcBorders>
              <w:top w:val="nil"/>
              <w:left w:val="nil"/>
              <w:bottom w:val="nil"/>
              <w:right w:val="nil"/>
            </w:tcBorders>
          </w:tcPr>
          <w:p w14:paraId="3D00C9D4" w14:textId="77777777" w:rsidR="006822EF" w:rsidRPr="00C7354B" w:rsidRDefault="006822EF" w:rsidP="00AB066F">
            <w:pPr>
              <w:widowControl w:val="0"/>
              <w:spacing w:line="240" w:lineRule="auto"/>
              <w:jc w:val="center"/>
              <w:rPr>
                <w:color w:val="000000" w:themeColor="text1"/>
                <w:sz w:val="22"/>
              </w:rPr>
            </w:pPr>
          </w:p>
        </w:tc>
        <w:tc>
          <w:tcPr>
            <w:tcW w:w="2126" w:type="dxa"/>
            <w:tcBorders>
              <w:top w:val="nil"/>
              <w:left w:val="nil"/>
              <w:bottom w:val="nil"/>
              <w:right w:val="nil"/>
            </w:tcBorders>
          </w:tcPr>
          <w:p w14:paraId="624BA62D"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.06 (.03) [.019]</w:t>
            </w:r>
          </w:p>
        </w:tc>
      </w:tr>
      <w:tr w:rsidR="006822EF" w:rsidRPr="00C7354B" w14:paraId="46A23D6C" w14:textId="77777777" w:rsidTr="00394BE7">
        <w:trPr>
          <w:trHeight w:val="107"/>
          <w:jc w:val="center"/>
        </w:trPr>
        <w:tc>
          <w:tcPr>
            <w:tcW w:w="2694" w:type="dxa"/>
            <w:tcBorders>
              <w:top w:val="nil"/>
              <w:left w:val="nil"/>
              <w:bottom w:val="nil"/>
              <w:right w:val="nil"/>
            </w:tcBorders>
            <w:shd w:val="clear" w:color="auto" w:fill="auto"/>
            <w:noWrap/>
          </w:tcPr>
          <w:p w14:paraId="3D1CB56F" w14:textId="77777777" w:rsidR="006822EF" w:rsidRPr="00C7354B" w:rsidRDefault="006822EF" w:rsidP="00AB066F">
            <w:pPr>
              <w:widowControl w:val="0"/>
              <w:spacing w:line="240" w:lineRule="auto"/>
              <w:jc w:val="left"/>
              <w:rPr>
                <w:color w:val="000000" w:themeColor="text1"/>
                <w:kern w:val="2"/>
                <w:sz w:val="22"/>
                <w:lang w:eastAsia="zh-CN"/>
              </w:rPr>
            </w:pPr>
            <w:r w:rsidRPr="00C7354B">
              <w:rPr>
                <w:color w:val="000000" w:themeColor="text1"/>
                <w:kern w:val="2"/>
                <w:sz w:val="22"/>
                <w:lang w:eastAsia="zh-CN"/>
              </w:rPr>
              <w:t xml:space="preserve">   Agency costs</w:t>
            </w:r>
          </w:p>
        </w:tc>
        <w:tc>
          <w:tcPr>
            <w:tcW w:w="2126" w:type="dxa"/>
            <w:tcBorders>
              <w:top w:val="nil"/>
              <w:left w:val="nil"/>
              <w:bottom w:val="nil"/>
              <w:right w:val="nil"/>
            </w:tcBorders>
          </w:tcPr>
          <w:p w14:paraId="11693D2B" w14:textId="77777777" w:rsidR="006822EF" w:rsidRPr="00C7354B" w:rsidRDefault="006822EF" w:rsidP="00AB066F">
            <w:pPr>
              <w:widowControl w:val="0"/>
              <w:spacing w:line="240" w:lineRule="auto"/>
              <w:jc w:val="center"/>
              <w:rPr>
                <w:color w:val="000000" w:themeColor="text1"/>
                <w:sz w:val="22"/>
              </w:rPr>
            </w:pPr>
          </w:p>
        </w:tc>
        <w:tc>
          <w:tcPr>
            <w:tcW w:w="2126" w:type="dxa"/>
            <w:tcBorders>
              <w:top w:val="nil"/>
              <w:left w:val="nil"/>
              <w:bottom w:val="nil"/>
              <w:right w:val="nil"/>
            </w:tcBorders>
          </w:tcPr>
          <w:p w14:paraId="0D5C45EF" w14:textId="77777777" w:rsidR="006822EF" w:rsidRPr="00C7354B" w:rsidRDefault="006822EF" w:rsidP="00AB066F">
            <w:pPr>
              <w:widowControl w:val="0"/>
              <w:spacing w:line="240" w:lineRule="auto"/>
              <w:jc w:val="center"/>
              <w:rPr>
                <w:color w:val="000000" w:themeColor="text1"/>
                <w:sz w:val="22"/>
              </w:rPr>
            </w:pPr>
          </w:p>
        </w:tc>
        <w:tc>
          <w:tcPr>
            <w:tcW w:w="2126" w:type="dxa"/>
            <w:tcBorders>
              <w:top w:val="nil"/>
              <w:left w:val="nil"/>
              <w:bottom w:val="nil"/>
              <w:right w:val="nil"/>
            </w:tcBorders>
          </w:tcPr>
          <w:p w14:paraId="27F394DA"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-.04 (.02) [.059]</w:t>
            </w:r>
          </w:p>
        </w:tc>
      </w:tr>
      <w:tr w:rsidR="006822EF" w:rsidRPr="00C7354B" w14:paraId="066FB758" w14:textId="77777777" w:rsidTr="00394BE7">
        <w:trPr>
          <w:trHeight w:val="107"/>
          <w:jc w:val="center"/>
        </w:trPr>
        <w:tc>
          <w:tcPr>
            <w:tcW w:w="2694" w:type="dxa"/>
            <w:tcBorders>
              <w:top w:val="nil"/>
              <w:left w:val="nil"/>
              <w:bottom w:val="nil"/>
              <w:right w:val="nil"/>
            </w:tcBorders>
            <w:shd w:val="clear" w:color="auto" w:fill="auto"/>
            <w:noWrap/>
          </w:tcPr>
          <w:p w14:paraId="591B23FC" w14:textId="77777777" w:rsidR="006822EF" w:rsidRPr="00C7354B" w:rsidRDefault="006822EF" w:rsidP="00AB066F">
            <w:pPr>
              <w:widowControl w:val="0"/>
              <w:spacing w:line="240" w:lineRule="auto"/>
              <w:jc w:val="left"/>
              <w:rPr>
                <w:color w:val="000000" w:themeColor="text1"/>
                <w:kern w:val="2"/>
                <w:sz w:val="22"/>
                <w:lang w:eastAsia="zh-CN"/>
              </w:rPr>
            </w:pPr>
            <w:r w:rsidRPr="00C7354B">
              <w:rPr>
                <w:b/>
                <w:bCs/>
                <w:color w:val="000000" w:themeColor="text1"/>
                <w:sz w:val="22"/>
              </w:rPr>
              <w:t>Controls</w:t>
            </w:r>
          </w:p>
        </w:tc>
        <w:tc>
          <w:tcPr>
            <w:tcW w:w="2126" w:type="dxa"/>
            <w:tcBorders>
              <w:top w:val="nil"/>
              <w:left w:val="nil"/>
              <w:bottom w:val="nil"/>
              <w:right w:val="nil"/>
            </w:tcBorders>
          </w:tcPr>
          <w:p w14:paraId="01406CE4" w14:textId="77777777" w:rsidR="006822EF" w:rsidRPr="00C7354B" w:rsidRDefault="006822EF" w:rsidP="00AB066F">
            <w:pPr>
              <w:widowControl w:val="0"/>
              <w:spacing w:line="240" w:lineRule="auto"/>
              <w:jc w:val="center"/>
              <w:rPr>
                <w:color w:val="000000" w:themeColor="text1"/>
                <w:sz w:val="22"/>
              </w:rPr>
            </w:pPr>
          </w:p>
        </w:tc>
        <w:tc>
          <w:tcPr>
            <w:tcW w:w="2126" w:type="dxa"/>
            <w:tcBorders>
              <w:top w:val="nil"/>
              <w:left w:val="nil"/>
              <w:bottom w:val="nil"/>
              <w:right w:val="nil"/>
            </w:tcBorders>
          </w:tcPr>
          <w:p w14:paraId="1F9E2159" w14:textId="77777777" w:rsidR="006822EF" w:rsidRPr="00C7354B" w:rsidRDefault="006822EF" w:rsidP="00AB066F">
            <w:pPr>
              <w:widowControl w:val="0"/>
              <w:spacing w:line="240" w:lineRule="auto"/>
              <w:jc w:val="center"/>
              <w:rPr>
                <w:color w:val="000000" w:themeColor="text1"/>
                <w:sz w:val="22"/>
              </w:rPr>
            </w:pPr>
          </w:p>
        </w:tc>
        <w:tc>
          <w:tcPr>
            <w:tcW w:w="2126" w:type="dxa"/>
            <w:tcBorders>
              <w:top w:val="nil"/>
              <w:left w:val="nil"/>
              <w:bottom w:val="nil"/>
              <w:right w:val="nil"/>
            </w:tcBorders>
          </w:tcPr>
          <w:p w14:paraId="107227DB" w14:textId="77777777" w:rsidR="006822EF" w:rsidRPr="00C7354B" w:rsidRDefault="006822EF" w:rsidP="00AB066F">
            <w:pPr>
              <w:widowControl w:val="0"/>
              <w:spacing w:line="240" w:lineRule="auto"/>
              <w:jc w:val="center"/>
              <w:rPr>
                <w:color w:val="000000" w:themeColor="text1"/>
                <w:sz w:val="22"/>
              </w:rPr>
            </w:pPr>
          </w:p>
        </w:tc>
      </w:tr>
      <w:tr w:rsidR="006822EF" w:rsidRPr="00C7354B" w14:paraId="5A1794C7" w14:textId="77777777" w:rsidTr="00394BE7">
        <w:trPr>
          <w:trHeight w:val="107"/>
          <w:jc w:val="center"/>
        </w:trPr>
        <w:tc>
          <w:tcPr>
            <w:tcW w:w="2694" w:type="dxa"/>
            <w:tcBorders>
              <w:top w:val="nil"/>
              <w:left w:val="nil"/>
              <w:bottom w:val="nil"/>
              <w:right w:val="nil"/>
            </w:tcBorders>
            <w:shd w:val="clear" w:color="auto" w:fill="auto"/>
            <w:noWrap/>
          </w:tcPr>
          <w:p w14:paraId="06D95E56" w14:textId="77777777" w:rsidR="006822EF" w:rsidRPr="00C7354B" w:rsidRDefault="006822EF" w:rsidP="00AB066F">
            <w:pPr>
              <w:widowControl w:val="0"/>
              <w:spacing w:line="240" w:lineRule="auto"/>
              <w:jc w:val="left"/>
              <w:rPr>
                <w:color w:val="000000" w:themeColor="text1"/>
                <w:kern w:val="2"/>
                <w:sz w:val="22"/>
                <w:lang w:eastAsia="zh-CN"/>
              </w:rPr>
            </w:pPr>
            <w:r w:rsidRPr="00C7354B">
              <w:rPr>
                <w:color w:val="000000" w:themeColor="text1"/>
                <w:kern w:val="2"/>
                <w:sz w:val="22"/>
                <w:lang w:eastAsia="zh-CN"/>
              </w:rPr>
              <w:t xml:space="preserve">   Firm size</w:t>
            </w:r>
          </w:p>
        </w:tc>
        <w:tc>
          <w:tcPr>
            <w:tcW w:w="2126" w:type="dxa"/>
            <w:tcBorders>
              <w:top w:val="nil"/>
              <w:left w:val="nil"/>
              <w:bottom w:val="nil"/>
              <w:right w:val="nil"/>
            </w:tcBorders>
          </w:tcPr>
          <w:p w14:paraId="5C04BD47"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.09 (.04) [.018]</w:t>
            </w:r>
          </w:p>
        </w:tc>
        <w:tc>
          <w:tcPr>
            <w:tcW w:w="2126" w:type="dxa"/>
            <w:tcBorders>
              <w:top w:val="nil"/>
              <w:left w:val="nil"/>
              <w:bottom w:val="nil"/>
              <w:right w:val="nil"/>
            </w:tcBorders>
          </w:tcPr>
          <w:p w14:paraId="3CDE3F8C"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.10 (.02) [&lt;.001]</w:t>
            </w:r>
          </w:p>
        </w:tc>
        <w:tc>
          <w:tcPr>
            <w:tcW w:w="2126" w:type="dxa"/>
            <w:tcBorders>
              <w:top w:val="nil"/>
              <w:left w:val="nil"/>
              <w:bottom w:val="nil"/>
              <w:right w:val="nil"/>
            </w:tcBorders>
          </w:tcPr>
          <w:p w14:paraId="3538AB7C"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.07 (.02) [&lt;.001]</w:t>
            </w:r>
          </w:p>
        </w:tc>
      </w:tr>
      <w:tr w:rsidR="006822EF" w:rsidRPr="00C7354B" w14:paraId="29670F8D" w14:textId="77777777" w:rsidTr="00394BE7">
        <w:trPr>
          <w:trHeight w:val="107"/>
          <w:jc w:val="center"/>
        </w:trPr>
        <w:tc>
          <w:tcPr>
            <w:tcW w:w="2694" w:type="dxa"/>
            <w:tcBorders>
              <w:top w:val="nil"/>
              <w:left w:val="nil"/>
              <w:bottom w:val="nil"/>
              <w:right w:val="nil"/>
            </w:tcBorders>
            <w:shd w:val="clear" w:color="auto" w:fill="auto"/>
            <w:noWrap/>
            <w:vAlign w:val="center"/>
          </w:tcPr>
          <w:p w14:paraId="55B3833D" w14:textId="77777777" w:rsidR="006822EF" w:rsidRPr="00C7354B" w:rsidRDefault="006822EF" w:rsidP="00AB066F">
            <w:pPr>
              <w:widowControl w:val="0"/>
              <w:spacing w:line="240" w:lineRule="auto"/>
              <w:jc w:val="left"/>
              <w:rPr>
                <w:color w:val="000000" w:themeColor="text1"/>
                <w:sz w:val="22"/>
              </w:rPr>
            </w:pPr>
            <w:r w:rsidRPr="00C7354B">
              <w:rPr>
                <w:rFonts w:eastAsia="Helvetica"/>
                <w:color w:val="000000" w:themeColor="text1"/>
                <w:sz w:val="22"/>
              </w:rPr>
              <w:t xml:space="preserve">   Accounting indicator (0/1)</w:t>
            </w:r>
          </w:p>
        </w:tc>
        <w:tc>
          <w:tcPr>
            <w:tcW w:w="2126" w:type="dxa"/>
            <w:tcBorders>
              <w:top w:val="nil"/>
              <w:left w:val="nil"/>
              <w:bottom w:val="nil"/>
              <w:right w:val="nil"/>
            </w:tcBorders>
          </w:tcPr>
          <w:p w14:paraId="62BE990B"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True</w:t>
            </w:r>
          </w:p>
        </w:tc>
        <w:tc>
          <w:tcPr>
            <w:tcW w:w="2126" w:type="dxa"/>
            <w:tcBorders>
              <w:top w:val="nil"/>
              <w:left w:val="nil"/>
              <w:bottom w:val="nil"/>
              <w:right w:val="nil"/>
            </w:tcBorders>
            <w:vAlign w:val="center"/>
          </w:tcPr>
          <w:p w14:paraId="45022BB0" w14:textId="77777777" w:rsidR="006822EF" w:rsidRPr="00C7354B" w:rsidRDefault="006822EF" w:rsidP="00AB066F">
            <w:pPr>
              <w:widowControl w:val="0"/>
              <w:spacing w:line="240" w:lineRule="auto"/>
              <w:jc w:val="center"/>
              <w:rPr>
                <w:color w:val="000000" w:themeColor="text1"/>
                <w:sz w:val="22"/>
              </w:rPr>
            </w:pPr>
          </w:p>
        </w:tc>
        <w:tc>
          <w:tcPr>
            <w:tcW w:w="2126" w:type="dxa"/>
            <w:tcBorders>
              <w:top w:val="nil"/>
              <w:left w:val="nil"/>
              <w:bottom w:val="nil"/>
              <w:right w:val="nil"/>
            </w:tcBorders>
          </w:tcPr>
          <w:p w14:paraId="7F52DFF7" w14:textId="77777777" w:rsidR="006822EF" w:rsidRPr="00C7354B" w:rsidRDefault="006822EF" w:rsidP="00AB066F">
            <w:pPr>
              <w:widowControl w:val="0"/>
              <w:spacing w:line="240" w:lineRule="auto"/>
              <w:jc w:val="center"/>
              <w:rPr>
                <w:color w:val="000000" w:themeColor="text1"/>
                <w:sz w:val="22"/>
              </w:rPr>
            </w:pPr>
          </w:p>
        </w:tc>
      </w:tr>
      <w:tr w:rsidR="006822EF" w:rsidRPr="00C7354B" w14:paraId="30057507" w14:textId="77777777" w:rsidTr="00394BE7">
        <w:trPr>
          <w:trHeight w:val="107"/>
          <w:jc w:val="center"/>
        </w:trPr>
        <w:tc>
          <w:tcPr>
            <w:tcW w:w="2694" w:type="dxa"/>
            <w:tcBorders>
              <w:top w:val="nil"/>
              <w:left w:val="nil"/>
              <w:bottom w:val="nil"/>
              <w:right w:val="nil"/>
            </w:tcBorders>
            <w:shd w:val="clear" w:color="auto" w:fill="auto"/>
            <w:noWrap/>
            <w:vAlign w:val="center"/>
          </w:tcPr>
          <w:p w14:paraId="71CC61C5" w14:textId="77777777" w:rsidR="006822EF" w:rsidRPr="00C7354B" w:rsidRDefault="006822EF" w:rsidP="00AB066F">
            <w:pPr>
              <w:widowControl w:val="0"/>
              <w:spacing w:line="240" w:lineRule="auto"/>
              <w:jc w:val="left"/>
              <w:rPr>
                <w:color w:val="000000" w:themeColor="text1"/>
                <w:sz w:val="22"/>
              </w:rPr>
            </w:pPr>
            <w:r w:rsidRPr="00C7354B">
              <w:rPr>
                <w:rFonts w:eastAsia="Helvetica"/>
                <w:color w:val="000000" w:themeColor="text1"/>
                <w:sz w:val="22"/>
              </w:rPr>
              <w:t xml:space="preserve">   Endogeneity control (0/1)</w:t>
            </w:r>
          </w:p>
        </w:tc>
        <w:tc>
          <w:tcPr>
            <w:tcW w:w="2126" w:type="dxa"/>
            <w:tcBorders>
              <w:top w:val="nil"/>
              <w:left w:val="nil"/>
              <w:bottom w:val="nil"/>
              <w:right w:val="nil"/>
            </w:tcBorders>
          </w:tcPr>
          <w:p w14:paraId="48CFC2B2"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True</w:t>
            </w:r>
          </w:p>
        </w:tc>
        <w:tc>
          <w:tcPr>
            <w:tcW w:w="2126" w:type="dxa"/>
            <w:tcBorders>
              <w:top w:val="nil"/>
              <w:left w:val="nil"/>
              <w:bottom w:val="nil"/>
              <w:right w:val="nil"/>
            </w:tcBorders>
            <w:vAlign w:val="center"/>
          </w:tcPr>
          <w:p w14:paraId="656CF184" w14:textId="77777777" w:rsidR="006822EF" w:rsidRPr="00C7354B" w:rsidRDefault="006822EF" w:rsidP="00AB066F">
            <w:pPr>
              <w:widowControl w:val="0"/>
              <w:spacing w:line="240" w:lineRule="auto"/>
              <w:jc w:val="center"/>
              <w:rPr>
                <w:color w:val="000000" w:themeColor="text1"/>
                <w:sz w:val="22"/>
              </w:rPr>
            </w:pPr>
          </w:p>
        </w:tc>
        <w:tc>
          <w:tcPr>
            <w:tcW w:w="2126" w:type="dxa"/>
            <w:tcBorders>
              <w:top w:val="nil"/>
              <w:left w:val="nil"/>
              <w:bottom w:val="nil"/>
              <w:right w:val="nil"/>
            </w:tcBorders>
          </w:tcPr>
          <w:p w14:paraId="1F7A4067" w14:textId="77777777" w:rsidR="006822EF" w:rsidRPr="00C7354B" w:rsidRDefault="006822EF" w:rsidP="00AB066F">
            <w:pPr>
              <w:widowControl w:val="0"/>
              <w:spacing w:line="240" w:lineRule="auto"/>
              <w:jc w:val="center"/>
              <w:rPr>
                <w:color w:val="000000" w:themeColor="text1"/>
                <w:sz w:val="22"/>
              </w:rPr>
            </w:pPr>
          </w:p>
        </w:tc>
      </w:tr>
      <w:tr w:rsidR="006822EF" w:rsidRPr="00C7354B" w14:paraId="1449EE5F" w14:textId="77777777" w:rsidTr="00394BE7">
        <w:trPr>
          <w:trHeight w:val="107"/>
          <w:jc w:val="center"/>
        </w:trPr>
        <w:tc>
          <w:tcPr>
            <w:tcW w:w="2694" w:type="dxa"/>
            <w:tcBorders>
              <w:top w:val="nil"/>
              <w:left w:val="nil"/>
              <w:bottom w:val="nil"/>
              <w:right w:val="nil"/>
            </w:tcBorders>
            <w:shd w:val="clear" w:color="auto" w:fill="auto"/>
            <w:noWrap/>
            <w:vAlign w:val="center"/>
          </w:tcPr>
          <w:p w14:paraId="5C675D91" w14:textId="77777777" w:rsidR="006822EF" w:rsidRPr="00C7354B" w:rsidRDefault="006822EF" w:rsidP="00AB066F">
            <w:pPr>
              <w:widowControl w:val="0"/>
              <w:spacing w:line="240" w:lineRule="auto"/>
              <w:jc w:val="left"/>
              <w:rPr>
                <w:color w:val="000000" w:themeColor="text1"/>
                <w:sz w:val="22"/>
              </w:rPr>
            </w:pPr>
            <w:r w:rsidRPr="00C7354B">
              <w:rPr>
                <w:rFonts w:eastAsia="Helvetica"/>
                <w:color w:val="000000" w:themeColor="text1"/>
                <w:sz w:val="22"/>
              </w:rPr>
              <w:t xml:space="preserve">   Journal impact factor</w:t>
            </w:r>
          </w:p>
        </w:tc>
        <w:tc>
          <w:tcPr>
            <w:tcW w:w="2126" w:type="dxa"/>
            <w:tcBorders>
              <w:top w:val="nil"/>
              <w:left w:val="nil"/>
              <w:bottom w:val="nil"/>
              <w:right w:val="nil"/>
            </w:tcBorders>
          </w:tcPr>
          <w:p w14:paraId="047D5D38"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True</w:t>
            </w:r>
          </w:p>
        </w:tc>
        <w:tc>
          <w:tcPr>
            <w:tcW w:w="2126" w:type="dxa"/>
            <w:tcBorders>
              <w:top w:val="nil"/>
              <w:left w:val="nil"/>
              <w:bottom w:val="nil"/>
              <w:right w:val="nil"/>
            </w:tcBorders>
            <w:vAlign w:val="center"/>
          </w:tcPr>
          <w:p w14:paraId="586DE324" w14:textId="77777777" w:rsidR="006822EF" w:rsidRPr="00C7354B" w:rsidRDefault="006822EF" w:rsidP="00AB066F">
            <w:pPr>
              <w:widowControl w:val="0"/>
              <w:spacing w:line="240" w:lineRule="auto"/>
              <w:jc w:val="center"/>
              <w:rPr>
                <w:color w:val="000000" w:themeColor="text1"/>
                <w:sz w:val="22"/>
              </w:rPr>
            </w:pPr>
          </w:p>
        </w:tc>
        <w:tc>
          <w:tcPr>
            <w:tcW w:w="2126" w:type="dxa"/>
            <w:tcBorders>
              <w:top w:val="nil"/>
              <w:left w:val="nil"/>
              <w:bottom w:val="nil"/>
              <w:right w:val="nil"/>
            </w:tcBorders>
          </w:tcPr>
          <w:p w14:paraId="0AAFC5F5" w14:textId="77777777" w:rsidR="006822EF" w:rsidRPr="00C7354B" w:rsidRDefault="006822EF" w:rsidP="00AB066F">
            <w:pPr>
              <w:widowControl w:val="0"/>
              <w:spacing w:line="240" w:lineRule="auto"/>
              <w:jc w:val="center"/>
              <w:rPr>
                <w:color w:val="000000" w:themeColor="text1"/>
                <w:sz w:val="22"/>
              </w:rPr>
            </w:pPr>
          </w:p>
        </w:tc>
      </w:tr>
      <w:tr w:rsidR="006822EF" w:rsidRPr="00C7354B" w14:paraId="01C73109" w14:textId="77777777" w:rsidTr="00394BE7">
        <w:trPr>
          <w:trHeight w:val="107"/>
          <w:jc w:val="center"/>
        </w:trPr>
        <w:tc>
          <w:tcPr>
            <w:tcW w:w="2694" w:type="dxa"/>
            <w:tcBorders>
              <w:top w:val="nil"/>
              <w:left w:val="nil"/>
              <w:bottom w:val="nil"/>
              <w:right w:val="nil"/>
            </w:tcBorders>
            <w:shd w:val="clear" w:color="auto" w:fill="auto"/>
            <w:noWrap/>
            <w:vAlign w:val="center"/>
          </w:tcPr>
          <w:p w14:paraId="734A65FC" w14:textId="77777777" w:rsidR="006822EF" w:rsidRPr="00C7354B" w:rsidRDefault="006822EF" w:rsidP="00AB066F">
            <w:pPr>
              <w:widowControl w:val="0"/>
              <w:spacing w:line="240" w:lineRule="auto"/>
              <w:jc w:val="left"/>
              <w:rPr>
                <w:color w:val="000000" w:themeColor="text1"/>
                <w:sz w:val="22"/>
              </w:rPr>
            </w:pPr>
            <w:r w:rsidRPr="00C7354B">
              <w:rPr>
                <w:rFonts w:eastAsia="Helvetica"/>
                <w:color w:val="000000" w:themeColor="text1"/>
                <w:sz w:val="22"/>
              </w:rPr>
              <w:t xml:space="preserve">   Industry control</w:t>
            </w:r>
          </w:p>
        </w:tc>
        <w:tc>
          <w:tcPr>
            <w:tcW w:w="2126" w:type="dxa"/>
            <w:tcBorders>
              <w:top w:val="nil"/>
              <w:left w:val="nil"/>
              <w:bottom w:val="nil"/>
              <w:right w:val="nil"/>
            </w:tcBorders>
          </w:tcPr>
          <w:p w14:paraId="08376C96"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True</w:t>
            </w:r>
          </w:p>
        </w:tc>
        <w:tc>
          <w:tcPr>
            <w:tcW w:w="2126" w:type="dxa"/>
            <w:tcBorders>
              <w:top w:val="nil"/>
              <w:left w:val="nil"/>
              <w:bottom w:val="nil"/>
              <w:right w:val="nil"/>
            </w:tcBorders>
            <w:vAlign w:val="center"/>
          </w:tcPr>
          <w:p w14:paraId="514D69AB" w14:textId="77777777" w:rsidR="006822EF" w:rsidRPr="00C7354B" w:rsidRDefault="006822EF" w:rsidP="00AB066F">
            <w:pPr>
              <w:widowControl w:val="0"/>
              <w:spacing w:line="240" w:lineRule="auto"/>
              <w:jc w:val="center"/>
              <w:rPr>
                <w:color w:val="000000" w:themeColor="text1"/>
                <w:sz w:val="22"/>
              </w:rPr>
            </w:pPr>
          </w:p>
        </w:tc>
        <w:tc>
          <w:tcPr>
            <w:tcW w:w="2126" w:type="dxa"/>
            <w:tcBorders>
              <w:top w:val="nil"/>
              <w:left w:val="nil"/>
              <w:bottom w:val="nil"/>
              <w:right w:val="nil"/>
            </w:tcBorders>
          </w:tcPr>
          <w:p w14:paraId="21DBA149" w14:textId="77777777" w:rsidR="006822EF" w:rsidRPr="00C7354B" w:rsidRDefault="006822EF" w:rsidP="00AB066F">
            <w:pPr>
              <w:widowControl w:val="0"/>
              <w:spacing w:line="240" w:lineRule="auto"/>
              <w:jc w:val="center"/>
              <w:rPr>
                <w:color w:val="000000" w:themeColor="text1"/>
                <w:sz w:val="22"/>
              </w:rPr>
            </w:pPr>
          </w:p>
        </w:tc>
      </w:tr>
      <w:tr w:rsidR="006822EF" w:rsidRPr="00C7354B" w14:paraId="2F2FAF7E" w14:textId="77777777" w:rsidTr="00394BE7">
        <w:trPr>
          <w:trHeight w:val="107"/>
          <w:jc w:val="center"/>
        </w:trPr>
        <w:tc>
          <w:tcPr>
            <w:tcW w:w="2694" w:type="dxa"/>
            <w:tcBorders>
              <w:top w:val="nil"/>
              <w:left w:val="nil"/>
              <w:bottom w:val="nil"/>
              <w:right w:val="nil"/>
            </w:tcBorders>
            <w:shd w:val="clear" w:color="auto" w:fill="auto"/>
            <w:noWrap/>
          </w:tcPr>
          <w:p w14:paraId="51B0CCA2" w14:textId="77777777" w:rsidR="006822EF" w:rsidRPr="00C7354B" w:rsidRDefault="006822EF" w:rsidP="00AB066F">
            <w:pPr>
              <w:widowControl w:val="0"/>
              <w:spacing w:line="240" w:lineRule="auto"/>
              <w:jc w:val="left"/>
              <w:rPr>
                <w:b/>
                <w:bCs/>
                <w:color w:val="000000" w:themeColor="text1"/>
                <w:sz w:val="22"/>
              </w:rPr>
            </w:pPr>
            <w:r w:rsidRPr="00C7354B">
              <w:rPr>
                <w:b/>
                <w:bCs/>
                <w:color w:val="000000" w:themeColor="text1"/>
                <w:sz w:val="22"/>
              </w:rPr>
              <w:t>Model indices</w:t>
            </w:r>
          </w:p>
        </w:tc>
        <w:tc>
          <w:tcPr>
            <w:tcW w:w="2126" w:type="dxa"/>
            <w:tcBorders>
              <w:top w:val="nil"/>
              <w:left w:val="nil"/>
              <w:bottom w:val="nil"/>
              <w:right w:val="nil"/>
            </w:tcBorders>
          </w:tcPr>
          <w:p w14:paraId="06A73CB2" w14:textId="77777777" w:rsidR="006822EF" w:rsidRPr="00C7354B" w:rsidRDefault="006822EF" w:rsidP="00AB066F">
            <w:pPr>
              <w:widowControl w:val="0"/>
              <w:spacing w:line="240" w:lineRule="auto"/>
              <w:jc w:val="center"/>
              <w:rPr>
                <w:color w:val="000000" w:themeColor="text1"/>
                <w:sz w:val="22"/>
              </w:rPr>
            </w:pPr>
          </w:p>
        </w:tc>
        <w:tc>
          <w:tcPr>
            <w:tcW w:w="2126" w:type="dxa"/>
            <w:tcBorders>
              <w:top w:val="nil"/>
              <w:left w:val="nil"/>
              <w:bottom w:val="nil"/>
              <w:right w:val="nil"/>
            </w:tcBorders>
          </w:tcPr>
          <w:p w14:paraId="58D03AF9" w14:textId="77777777" w:rsidR="006822EF" w:rsidRPr="00C7354B" w:rsidRDefault="006822EF" w:rsidP="00AB066F">
            <w:pPr>
              <w:widowControl w:val="0"/>
              <w:spacing w:line="240" w:lineRule="auto"/>
              <w:jc w:val="center"/>
              <w:rPr>
                <w:color w:val="000000" w:themeColor="text1"/>
                <w:sz w:val="22"/>
              </w:rPr>
            </w:pPr>
          </w:p>
        </w:tc>
        <w:tc>
          <w:tcPr>
            <w:tcW w:w="2126" w:type="dxa"/>
            <w:tcBorders>
              <w:top w:val="nil"/>
              <w:left w:val="nil"/>
              <w:bottom w:val="nil"/>
              <w:right w:val="nil"/>
            </w:tcBorders>
          </w:tcPr>
          <w:p w14:paraId="47735925" w14:textId="77777777" w:rsidR="006822EF" w:rsidRPr="00C7354B" w:rsidRDefault="006822EF" w:rsidP="00AB066F">
            <w:pPr>
              <w:widowControl w:val="0"/>
              <w:spacing w:line="240" w:lineRule="auto"/>
              <w:jc w:val="center"/>
              <w:rPr>
                <w:color w:val="000000" w:themeColor="text1"/>
                <w:sz w:val="22"/>
              </w:rPr>
            </w:pPr>
          </w:p>
        </w:tc>
      </w:tr>
      <w:tr w:rsidR="006822EF" w:rsidRPr="00C7354B" w14:paraId="44C2A722" w14:textId="77777777" w:rsidTr="00394BE7">
        <w:trPr>
          <w:trHeight w:val="107"/>
          <w:jc w:val="center"/>
        </w:trPr>
        <w:tc>
          <w:tcPr>
            <w:tcW w:w="2694" w:type="dxa"/>
            <w:tcBorders>
              <w:top w:val="nil"/>
              <w:left w:val="nil"/>
              <w:bottom w:val="nil"/>
              <w:right w:val="nil"/>
            </w:tcBorders>
            <w:shd w:val="clear" w:color="auto" w:fill="auto"/>
            <w:noWrap/>
          </w:tcPr>
          <w:p w14:paraId="536C4073" w14:textId="77777777" w:rsidR="006822EF" w:rsidRPr="00C7354B" w:rsidRDefault="006822EF" w:rsidP="00AB066F">
            <w:pPr>
              <w:widowControl w:val="0"/>
              <w:spacing w:line="240" w:lineRule="auto"/>
              <w:jc w:val="left"/>
              <w:rPr>
                <w:color w:val="000000" w:themeColor="text1"/>
                <w:sz w:val="22"/>
              </w:rPr>
            </w:pPr>
            <w:r w:rsidRPr="00C7354B">
              <w:rPr>
                <w:color w:val="000000" w:themeColor="text1"/>
                <w:kern w:val="2"/>
                <w:sz w:val="22"/>
                <w:lang w:eastAsia="zh-CN"/>
              </w:rPr>
              <w:t xml:space="preserve">   </w:t>
            </w:r>
            <w:r w:rsidRPr="00C7354B">
              <w:rPr>
                <w:rFonts w:eastAsia="SimSun"/>
                <w:color w:val="000000" w:themeColor="text1"/>
                <w:kern w:val="2"/>
                <w:sz w:val="22"/>
                <w:lang w:eastAsia="zh-CN"/>
              </w:rPr>
              <w:t>χ2 (</w:t>
            </w:r>
            <w:r w:rsidRPr="00C7354B">
              <w:rPr>
                <w:rFonts w:eastAsia="SimSun"/>
                <w:i/>
                <w:iCs/>
                <w:color w:val="000000" w:themeColor="text1"/>
                <w:kern w:val="2"/>
                <w:sz w:val="22"/>
                <w:lang w:eastAsia="zh-CN"/>
              </w:rPr>
              <w:t>df</w:t>
            </w:r>
            <w:r w:rsidRPr="00C7354B">
              <w:rPr>
                <w:rFonts w:eastAsia="SimSun"/>
                <w:color w:val="000000" w:themeColor="text1"/>
                <w:kern w:val="2"/>
                <w:sz w:val="22"/>
                <w:lang w:eastAsia="zh-CN"/>
              </w:rPr>
              <w:t>)</w:t>
            </w:r>
          </w:p>
        </w:tc>
        <w:tc>
          <w:tcPr>
            <w:tcW w:w="2126" w:type="dxa"/>
            <w:tcBorders>
              <w:top w:val="nil"/>
              <w:left w:val="nil"/>
              <w:bottom w:val="nil"/>
              <w:right w:val="nil"/>
            </w:tcBorders>
          </w:tcPr>
          <w:p w14:paraId="7AF16725" w14:textId="77777777" w:rsidR="006822EF" w:rsidRPr="00C7354B" w:rsidRDefault="006822EF" w:rsidP="00AB066F">
            <w:pPr>
              <w:widowControl w:val="0"/>
              <w:spacing w:line="240" w:lineRule="auto"/>
              <w:jc w:val="center"/>
              <w:rPr>
                <w:color w:val="000000" w:themeColor="text1"/>
                <w:sz w:val="22"/>
              </w:rPr>
            </w:pPr>
            <w:r w:rsidRPr="00C7354B">
              <w:rPr>
                <w:rFonts w:eastAsia="SimSun"/>
                <w:color w:val="000000" w:themeColor="text1"/>
                <w:kern w:val="2"/>
                <w:sz w:val="22"/>
                <w:lang w:eastAsia="zh-CN"/>
              </w:rPr>
              <w:t>25.88</w:t>
            </w:r>
            <w:r w:rsidRPr="00C7354B">
              <w:rPr>
                <w:color w:val="000000" w:themeColor="text1"/>
                <w:sz w:val="22"/>
              </w:rPr>
              <w:t xml:space="preserve"> (</w:t>
            </w:r>
            <w:r w:rsidRPr="00C7354B">
              <w:rPr>
                <w:rFonts w:eastAsia="SimSun"/>
                <w:color w:val="000000" w:themeColor="text1"/>
                <w:kern w:val="2"/>
                <w:sz w:val="22"/>
                <w:lang w:eastAsia="zh-CN"/>
              </w:rPr>
              <w:t>23</w:t>
            </w:r>
            <w:r w:rsidRPr="00C7354B">
              <w:rPr>
                <w:color w:val="000000" w:themeColor="text1"/>
                <w:sz w:val="22"/>
              </w:rPr>
              <w:t>)</w:t>
            </w:r>
          </w:p>
        </w:tc>
        <w:tc>
          <w:tcPr>
            <w:tcW w:w="2126" w:type="dxa"/>
            <w:tcBorders>
              <w:top w:val="nil"/>
              <w:left w:val="nil"/>
              <w:bottom w:val="nil"/>
              <w:right w:val="nil"/>
            </w:tcBorders>
          </w:tcPr>
          <w:p w14:paraId="1A0F01D0" w14:textId="77777777" w:rsidR="006822EF" w:rsidRPr="00C7354B" w:rsidRDefault="006822EF" w:rsidP="00AB066F">
            <w:pPr>
              <w:widowControl w:val="0"/>
              <w:spacing w:line="240" w:lineRule="auto"/>
              <w:jc w:val="center"/>
              <w:rPr>
                <w:color w:val="000000" w:themeColor="text1"/>
                <w:sz w:val="22"/>
              </w:rPr>
            </w:pPr>
          </w:p>
        </w:tc>
        <w:tc>
          <w:tcPr>
            <w:tcW w:w="2126" w:type="dxa"/>
            <w:tcBorders>
              <w:top w:val="nil"/>
              <w:left w:val="nil"/>
              <w:bottom w:val="nil"/>
              <w:right w:val="nil"/>
            </w:tcBorders>
          </w:tcPr>
          <w:p w14:paraId="4CC53658" w14:textId="77777777" w:rsidR="006822EF" w:rsidRPr="00C7354B" w:rsidRDefault="006822EF" w:rsidP="00AB066F">
            <w:pPr>
              <w:widowControl w:val="0"/>
              <w:spacing w:line="240" w:lineRule="auto"/>
              <w:jc w:val="center"/>
              <w:rPr>
                <w:color w:val="000000" w:themeColor="text1"/>
                <w:sz w:val="22"/>
              </w:rPr>
            </w:pPr>
          </w:p>
        </w:tc>
      </w:tr>
      <w:tr w:rsidR="006822EF" w:rsidRPr="00C7354B" w14:paraId="0AE6F97D" w14:textId="77777777" w:rsidTr="00394BE7">
        <w:trPr>
          <w:trHeight w:val="107"/>
          <w:jc w:val="center"/>
        </w:trPr>
        <w:tc>
          <w:tcPr>
            <w:tcW w:w="2694" w:type="dxa"/>
            <w:tcBorders>
              <w:top w:val="nil"/>
              <w:left w:val="nil"/>
              <w:bottom w:val="nil"/>
              <w:right w:val="nil"/>
            </w:tcBorders>
            <w:shd w:val="clear" w:color="auto" w:fill="auto"/>
            <w:noWrap/>
          </w:tcPr>
          <w:p w14:paraId="7A92A308" w14:textId="77777777" w:rsidR="006822EF" w:rsidRPr="00C7354B" w:rsidRDefault="006822EF" w:rsidP="00AB066F">
            <w:pPr>
              <w:widowControl w:val="0"/>
              <w:spacing w:line="240" w:lineRule="auto"/>
              <w:jc w:val="left"/>
              <w:rPr>
                <w:color w:val="000000" w:themeColor="text1"/>
                <w:kern w:val="2"/>
                <w:sz w:val="22"/>
                <w:lang w:eastAsia="zh-CN"/>
              </w:rPr>
            </w:pPr>
            <w:r w:rsidRPr="00C7354B">
              <w:rPr>
                <w:color w:val="000000" w:themeColor="text1"/>
                <w:kern w:val="2"/>
                <w:sz w:val="22"/>
                <w:lang w:eastAsia="zh-CN"/>
              </w:rPr>
              <w:t xml:space="preserve">   AIC</w:t>
            </w:r>
          </w:p>
        </w:tc>
        <w:tc>
          <w:tcPr>
            <w:tcW w:w="2126" w:type="dxa"/>
            <w:tcBorders>
              <w:top w:val="nil"/>
              <w:left w:val="nil"/>
              <w:bottom w:val="nil"/>
              <w:right w:val="nil"/>
            </w:tcBorders>
          </w:tcPr>
          <w:p w14:paraId="66856862"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-690.93</w:t>
            </w:r>
          </w:p>
        </w:tc>
        <w:tc>
          <w:tcPr>
            <w:tcW w:w="2126" w:type="dxa"/>
            <w:tcBorders>
              <w:top w:val="nil"/>
              <w:left w:val="nil"/>
              <w:bottom w:val="nil"/>
              <w:right w:val="nil"/>
            </w:tcBorders>
          </w:tcPr>
          <w:p w14:paraId="270268D2" w14:textId="77777777" w:rsidR="006822EF" w:rsidRPr="00C7354B" w:rsidRDefault="006822EF" w:rsidP="00AB066F">
            <w:pPr>
              <w:widowControl w:val="0"/>
              <w:spacing w:line="240" w:lineRule="auto"/>
              <w:jc w:val="center"/>
              <w:rPr>
                <w:color w:val="000000" w:themeColor="text1"/>
                <w:sz w:val="22"/>
              </w:rPr>
            </w:pPr>
          </w:p>
        </w:tc>
        <w:tc>
          <w:tcPr>
            <w:tcW w:w="2126" w:type="dxa"/>
            <w:tcBorders>
              <w:top w:val="nil"/>
              <w:left w:val="nil"/>
              <w:bottom w:val="nil"/>
              <w:right w:val="nil"/>
            </w:tcBorders>
          </w:tcPr>
          <w:p w14:paraId="227C0560" w14:textId="77777777" w:rsidR="006822EF" w:rsidRPr="00C7354B" w:rsidRDefault="006822EF" w:rsidP="00AB066F">
            <w:pPr>
              <w:widowControl w:val="0"/>
              <w:spacing w:line="240" w:lineRule="auto"/>
              <w:jc w:val="center"/>
              <w:rPr>
                <w:color w:val="000000" w:themeColor="text1"/>
                <w:sz w:val="22"/>
              </w:rPr>
            </w:pPr>
          </w:p>
        </w:tc>
      </w:tr>
      <w:tr w:rsidR="006822EF" w:rsidRPr="00C7354B" w14:paraId="10E33A81" w14:textId="77777777" w:rsidTr="00394BE7">
        <w:trPr>
          <w:trHeight w:val="107"/>
          <w:jc w:val="center"/>
        </w:trPr>
        <w:tc>
          <w:tcPr>
            <w:tcW w:w="2694" w:type="dxa"/>
            <w:tcBorders>
              <w:top w:val="nil"/>
              <w:left w:val="nil"/>
              <w:bottom w:val="nil"/>
              <w:right w:val="nil"/>
            </w:tcBorders>
            <w:shd w:val="clear" w:color="auto" w:fill="auto"/>
            <w:noWrap/>
          </w:tcPr>
          <w:p w14:paraId="59FDDA12" w14:textId="77777777" w:rsidR="006822EF" w:rsidRPr="00C7354B" w:rsidRDefault="006822EF" w:rsidP="00AB066F">
            <w:pPr>
              <w:widowControl w:val="0"/>
              <w:spacing w:line="240" w:lineRule="auto"/>
              <w:jc w:val="left"/>
              <w:rPr>
                <w:color w:val="000000" w:themeColor="text1"/>
                <w:kern w:val="2"/>
                <w:sz w:val="22"/>
                <w:lang w:eastAsia="zh-CN"/>
              </w:rPr>
            </w:pPr>
            <w:r w:rsidRPr="00C7354B">
              <w:rPr>
                <w:color w:val="000000" w:themeColor="text1"/>
                <w:kern w:val="2"/>
                <w:sz w:val="22"/>
                <w:lang w:eastAsia="zh-CN"/>
              </w:rPr>
              <w:t xml:space="preserve">   BIC</w:t>
            </w:r>
          </w:p>
        </w:tc>
        <w:tc>
          <w:tcPr>
            <w:tcW w:w="2126" w:type="dxa"/>
            <w:tcBorders>
              <w:top w:val="nil"/>
              <w:left w:val="nil"/>
              <w:bottom w:val="nil"/>
              <w:right w:val="nil"/>
            </w:tcBorders>
          </w:tcPr>
          <w:p w14:paraId="7AA3BE13"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-329.90</w:t>
            </w:r>
          </w:p>
        </w:tc>
        <w:tc>
          <w:tcPr>
            <w:tcW w:w="2126" w:type="dxa"/>
            <w:tcBorders>
              <w:top w:val="nil"/>
              <w:left w:val="nil"/>
              <w:bottom w:val="nil"/>
              <w:right w:val="nil"/>
            </w:tcBorders>
          </w:tcPr>
          <w:p w14:paraId="76BFE16D" w14:textId="77777777" w:rsidR="006822EF" w:rsidRPr="00C7354B" w:rsidRDefault="006822EF" w:rsidP="00AB066F">
            <w:pPr>
              <w:widowControl w:val="0"/>
              <w:spacing w:line="240" w:lineRule="auto"/>
              <w:jc w:val="center"/>
              <w:rPr>
                <w:color w:val="000000" w:themeColor="text1"/>
                <w:sz w:val="22"/>
              </w:rPr>
            </w:pPr>
          </w:p>
        </w:tc>
        <w:tc>
          <w:tcPr>
            <w:tcW w:w="2126" w:type="dxa"/>
            <w:tcBorders>
              <w:top w:val="nil"/>
              <w:left w:val="nil"/>
              <w:bottom w:val="nil"/>
              <w:right w:val="nil"/>
            </w:tcBorders>
          </w:tcPr>
          <w:p w14:paraId="3A37FC9F" w14:textId="77777777" w:rsidR="006822EF" w:rsidRPr="00C7354B" w:rsidRDefault="006822EF" w:rsidP="00AB066F">
            <w:pPr>
              <w:widowControl w:val="0"/>
              <w:spacing w:line="240" w:lineRule="auto"/>
              <w:jc w:val="center"/>
              <w:rPr>
                <w:color w:val="000000" w:themeColor="text1"/>
                <w:sz w:val="22"/>
              </w:rPr>
            </w:pPr>
          </w:p>
        </w:tc>
      </w:tr>
      <w:tr w:rsidR="006822EF" w:rsidRPr="00C7354B" w14:paraId="71C2F8D7" w14:textId="77777777" w:rsidTr="00394BE7">
        <w:trPr>
          <w:trHeight w:val="107"/>
          <w:jc w:val="center"/>
        </w:trPr>
        <w:tc>
          <w:tcPr>
            <w:tcW w:w="2694" w:type="dxa"/>
            <w:tcBorders>
              <w:top w:val="nil"/>
              <w:left w:val="nil"/>
              <w:bottom w:val="nil"/>
              <w:right w:val="nil"/>
            </w:tcBorders>
            <w:shd w:val="clear" w:color="auto" w:fill="auto"/>
            <w:noWrap/>
          </w:tcPr>
          <w:p w14:paraId="78481910" w14:textId="77777777" w:rsidR="006822EF" w:rsidRPr="00C7354B" w:rsidRDefault="006822EF" w:rsidP="00AB066F">
            <w:pPr>
              <w:widowControl w:val="0"/>
              <w:spacing w:line="240" w:lineRule="auto"/>
              <w:jc w:val="left"/>
              <w:rPr>
                <w:color w:val="000000" w:themeColor="text1"/>
                <w:sz w:val="22"/>
              </w:rPr>
            </w:pPr>
            <w:r w:rsidRPr="00C7354B">
              <w:rPr>
                <w:color w:val="000000" w:themeColor="text1"/>
                <w:kern w:val="2"/>
                <w:sz w:val="22"/>
                <w:lang w:eastAsia="zh-CN"/>
              </w:rPr>
              <w:t xml:space="preserve">   </w:t>
            </w:r>
            <w:r w:rsidRPr="00C7354B">
              <w:rPr>
                <w:color w:val="000000" w:themeColor="text1"/>
                <w:sz w:val="22"/>
              </w:rPr>
              <w:t>TLI</w:t>
            </w:r>
          </w:p>
        </w:tc>
        <w:tc>
          <w:tcPr>
            <w:tcW w:w="2126" w:type="dxa"/>
            <w:tcBorders>
              <w:top w:val="nil"/>
              <w:left w:val="nil"/>
              <w:bottom w:val="nil"/>
              <w:right w:val="nil"/>
            </w:tcBorders>
          </w:tcPr>
          <w:p w14:paraId="00F66F7B"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.99</w:t>
            </w:r>
          </w:p>
        </w:tc>
        <w:tc>
          <w:tcPr>
            <w:tcW w:w="2126" w:type="dxa"/>
            <w:tcBorders>
              <w:top w:val="nil"/>
              <w:left w:val="nil"/>
              <w:bottom w:val="nil"/>
              <w:right w:val="nil"/>
            </w:tcBorders>
          </w:tcPr>
          <w:p w14:paraId="091F6E1F" w14:textId="77777777" w:rsidR="006822EF" w:rsidRPr="00C7354B" w:rsidRDefault="006822EF" w:rsidP="00AB066F">
            <w:pPr>
              <w:widowControl w:val="0"/>
              <w:spacing w:line="240" w:lineRule="auto"/>
              <w:jc w:val="center"/>
              <w:rPr>
                <w:color w:val="000000" w:themeColor="text1"/>
                <w:sz w:val="22"/>
              </w:rPr>
            </w:pPr>
          </w:p>
        </w:tc>
        <w:tc>
          <w:tcPr>
            <w:tcW w:w="2126" w:type="dxa"/>
            <w:tcBorders>
              <w:top w:val="nil"/>
              <w:left w:val="nil"/>
              <w:bottom w:val="nil"/>
              <w:right w:val="nil"/>
            </w:tcBorders>
          </w:tcPr>
          <w:p w14:paraId="15D043BA" w14:textId="77777777" w:rsidR="006822EF" w:rsidRPr="00C7354B" w:rsidRDefault="006822EF" w:rsidP="00AB066F">
            <w:pPr>
              <w:widowControl w:val="0"/>
              <w:spacing w:line="240" w:lineRule="auto"/>
              <w:jc w:val="center"/>
              <w:rPr>
                <w:color w:val="000000" w:themeColor="text1"/>
                <w:sz w:val="22"/>
              </w:rPr>
            </w:pPr>
          </w:p>
        </w:tc>
      </w:tr>
      <w:tr w:rsidR="006822EF" w:rsidRPr="00C7354B" w14:paraId="0F67F7FB" w14:textId="77777777" w:rsidTr="00394BE7">
        <w:trPr>
          <w:trHeight w:val="107"/>
          <w:jc w:val="center"/>
        </w:trPr>
        <w:tc>
          <w:tcPr>
            <w:tcW w:w="2694" w:type="dxa"/>
            <w:tcBorders>
              <w:top w:val="nil"/>
              <w:left w:val="nil"/>
              <w:right w:val="nil"/>
            </w:tcBorders>
            <w:shd w:val="clear" w:color="auto" w:fill="auto"/>
            <w:noWrap/>
          </w:tcPr>
          <w:p w14:paraId="5FD1567D" w14:textId="77777777" w:rsidR="006822EF" w:rsidRPr="00C7354B" w:rsidRDefault="006822EF" w:rsidP="00AB066F">
            <w:pPr>
              <w:widowControl w:val="0"/>
              <w:spacing w:line="240" w:lineRule="auto"/>
              <w:jc w:val="left"/>
              <w:rPr>
                <w:color w:val="000000" w:themeColor="text1"/>
                <w:sz w:val="22"/>
              </w:rPr>
            </w:pPr>
            <w:r w:rsidRPr="00C7354B">
              <w:rPr>
                <w:color w:val="000000" w:themeColor="text1"/>
                <w:kern w:val="2"/>
                <w:sz w:val="22"/>
                <w:lang w:eastAsia="zh-CN"/>
              </w:rPr>
              <w:t xml:space="preserve">   </w:t>
            </w:r>
            <w:r w:rsidRPr="00C7354B">
              <w:rPr>
                <w:color w:val="000000" w:themeColor="text1"/>
                <w:sz w:val="22"/>
              </w:rPr>
              <w:t>CFI</w:t>
            </w:r>
          </w:p>
        </w:tc>
        <w:tc>
          <w:tcPr>
            <w:tcW w:w="2126" w:type="dxa"/>
            <w:tcBorders>
              <w:top w:val="nil"/>
              <w:left w:val="nil"/>
              <w:right w:val="nil"/>
            </w:tcBorders>
          </w:tcPr>
          <w:p w14:paraId="7CEFDDBC"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1</w:t>
            </w:r>
          </w:p>
        </w:tc>
        <w:tc>
          <w:tcPr>
            <w:tcW w:w="2126" w:type="dxa"/>
            <w:tcBorders>
              <w:top w:val="nil"/>
              <w:left w:val="nil"/>
              <w:right w:val="nil"/>
            </w:tcBorders>
          </w:tcPr>
          <w:p w14:paraId="191A7DD2" w14:textId="77777777" w:rsidR="006822EF" w:rsidRPr="00C7354B" w:rsidRDefault="006822EF" w:rsidP="00AB066F">
            <w:pPr>
              <w:widowControl w:val="0"/>
              <w:spacing w:line="240" w:lineRule="auto"/>
              <w:jc w:val="center"/>
              <w:rPr>
                <w:color w:val="000000" w:themeColor="text1"/>
                <w:sz w:val="22"/>
              </w:rPr>
            </w:pPr>
          </w:p>
        </w:tc>
        <w:tc>
          <w:tcPr>
            <w:tcW w:w="2126" w:type="dxa"/>
            <w:tcBorders>
              <w:top w:val="nil"/>
              <w:left w:val="nil"/>
              <w:right w:val="nil"/>
            </w:tcBorders>
          </w:tcPr>
          <w:p w14:paraId="285992F8" w14:textId="77777777" w:rsidR="006822EF" w:rsidRPr="00C7354B" w:rsidRDefault="006822EF" w:rsidP="00AB066F">
            <w:pPr>
              <w:widowControl w:val="0"/>
              <w:spacing w:line="240" w:lineRule="auto"/>
              <w:jc w:val="center"/>
              <w:rPr>
                <w:color w:val="000000" w:themeColor="text1"/>
                <w:sz w:val="22"/>
              </w:rPr>
            </w:pPr>
          </w:p>
        </w:tc>
      </w:tr>
      <w:tr w:rsidR="006822EF" w:rsidRPr="00C7354B" w14:paraId="5553CBAE" w14:textId="77777777" w:rsidTr="00394BE7">
        <w:trPr>
          <w:trHeight w:val="107"/>
          <w:jc w:val="center"/>
        </w:trPr>
        <w:tc>
          <w:tcPr>
            <w:tcW w:w="2694" w:type="dxa"/>
            <w:tcBorders>
              <w:top w:val="nil"/>
              <w:left w:val="nil"/>
              <w:right w:val="nil"/>
            </w:tcBorders>
            <w:shd w:val="clear" w:color="auto" w:fill="auto"/>
            <w:noWrap/>
          </w:tcPr>
          <w:p w14:paraId="22A12164" w14:textId="77777777" w:rsidR="006822EF" w:rsidRPr="00C7354B" w:rsidRDefault="006822EF" w:rsidP="00AB066F">
            <w:pPr>
              <w:widowControl w:val="0"/>
              <w:spacing w:line="240" w:lineRule="auto"/>
              <w:jc w:val="left"/>
              <w:rPr>
                <w:color w:val="000000" w:themeColor="text1"/>
                <w:kern w:val="2"/>
                <w:sz w:val="22"/>
                <w:lang w:eastAsia="zh-CN"/>
              </w:rPr>
            </w:pPr>
            <w:r w:rsidRPr="00C7354B">
              <w:rPr>
                <w:color w:val="000000" w:themeColor="text1"/>
                <w:kern w:val="2"/>
                <w:sz w:val="22"/>
                <w:lang w:eastAsia="zh-CN"/>
              </w:rPr>
              <w:t xml:space="preserve">   RMSEA</w:t>
            </w:r>
          </w:p>
        </w:tc>
        <w:tc>
          <w:tcPr>
            <w:tcW w:w="2126" w:type="dxa"/>
            <w:tcBorders>
              <w:top w:val="nil"/>
              <w:left w:val="nil"/>
              <w:right w:val="nil"/>
            </w:tcBorders>
          </w:tcPr>
          <w:p w14:paraId="1A8ABE91"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.00 [.00, .01]</w:t>
            </w:r>
          </w:p>
        </w:tc>
        <w:tc>
          <w:tcPr>
            <w:tcW w:w="2126" w:type="dxa"/>
            <w:tcBorders>
              <w:top w:val="nil"/>
              <w:left w:val="nil"/>
              <w:right w:val="nil"/>
            </w:tcBorders>
          </w:tcPr>
          <w:p w14:paraId="57BD6DDB" w14:textId="77777777" w:rsidR="006822EF" w:rsidRPr="00C7354B" w:rsidRDefault="006822EF" w:rsidP="00AB066F">
            <w:pPr>
              <w:widowControl w:val="0"/>
              <w:spacing w:line="240" w:lineRule="auto"/>
              <w:jc w:val="center"/>
              <w:rPr>
                <w:color w:val="000000" w:themeColor="text1"/>
                <w:sz w:val="22"/>
              </w:rPr>
            </w:pPr>
          </w:p>
        </w:tc>
        <w:tc>
          <w:tcPr>
            <w:tcW w:w="2126" w:type="dxa"/>
            <w:tcBorders>
              <w:top w:val="nil"/>
              <w:left w:val="nil"/>
              <w:right w:val="nil"/>
            </w:tcBorders>
          </w:tcPr>
          <w:p w14:paraId="192C58B5" w14:textId="77777777" w:rsidR="006822EF" w:rsidRPr="00C7354B" w:rsidRDefault="006822EF" w:rsidP="00AB066F">
            <w:pPr>
              <w:widowControl w:val="0"/>
              <w:spacing w:line="240" w:lineRule="auto"/>
              <w:jc w:val="center"/>
              <w:rPr>
                <w:color w:val="000000" w:themeColor="text1"/>
                <w:sz w:val="22"/>
              </w:rPr>
            </w:pPr>
          </w:p>
        </w:tc>
      </w:tr>
      <w:tr w:rsidR="006822EF" w:rsidRPr="00C7354B" w14:paraId="34AE0011" w14:textId="77777777" w:rsidTr="00394BE7">
        <w:trPr>
          <w:trHeight w:val="107"/>
          <w:jc w:val="center"/>
        </w:trPr>
        <w:tc>
          <w:tcPr>
            <w:tcW w:w="2694" w:type="dxa"/>
            <w:tcBorders>
              <w:left w:val="nil"/>
              <w:right w:val="nil"/>
            </w:tcBorders>
            <w:shd w:val="clear" w:color="auto" w:fill="auto"/>
            <w:noWrap/>
          </w:tcPr>
          <w:p w14:paraId="0AB9A755" w14:textId="77777777" w:rsidR="006822EF" w:rsidRPr="00C7354B" w:rsidRDefault="006822EF" w:rsidP="00AB066F">
            <w:pPr>
              <w:widowControl w:val="0"/>
              <w:spacing w:line="240" w:lineRule="auto"/>
              <w:jc w:val="left"/>
              <w:rPr>
                <w:color w:val="000000" w:themeColor="text1"/>
                <w:kern w:val="2"/>
                <w:sz w:val="22"/>
                <w:lang w:eastAsia="zh-CN"/>
              </w:rPr>
            </w:pPr>
            <w:r w:rsidRPr="00C7354B">
              <w:rPr>
                <w:color w:val="000000" w:themeColor="text1"/>
                <w:kern w:val="2"/>
                <w:sz w:val="22"/>
                <w:lang w:eastAsia="zh-CN"/>
              </w:rPr>
              <w:t xml:space="preserve">   SRMR</w:t>
            </w:r>
          </w:p>
        </w:tc>
        <w:tc>
          <w:tcPr>
            <w:tcW w:w="2126" w:type="dxa"/>
            <w:tcBorders>
              <w:left w:val="nil"/>
              <w:right w:val="nil"/>
            </w:tcBorders>
          </w:tcPr>
          <w:p w14:paraId="0F55288C"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&lt; .01</w:t>
            </w:r>
          </w:p>
        </w:tc>
        <w:tc>
          <w:tcPr>
            <w:tcW w:w="2126" w:type="dxa"/>
            <w:tcBorders>
              <w:left w:val="nil"/>
              <w:right w:val="nil"/>
            </w:tcBorders>
          </w:tcPr>
          <w:p w14:paraId="51012CF8" w14:textId="77777777" w:rsidR="006822EF" w:rsidRPr="00C7354B" w:rsidRDefault="006822EF" w:rsidP="00AB066F">
            <w:pPr>
              <w:widowControl w:val="0"/>
              <w:spacing w:line="240" w:lineRule="auto"/>
              <w:jc w:val="center"/>
              <w:rPr>
                <w:color w:val="000000" w:themeColor="text1"/>
                <w:sz w:val="22"/>
              </w:rPr>
            </w:pPr>
          </w:p>
        </w:tc>
        <w:tc>
          <w:tcPr>
            <w:tcW w:w="2126" w:type="dxa"/>
            <w:tcBorders>
              <w:left w:val="nil"/>
              <w:right w:val="nil"/>
            </w:tcBorders>
          </w:tcPr>
          <w:p w14:paraId="35270315" w14:textId="77777777" w:rsidR="006822EF" w:rsidRPr="00C7354B" w:rsidRDefault="006822EF" w:rsidP="00AB066F">
            <w:pPr>
              <w:widowControl w:val="0"/>
              <w:spacing w:line="240" w:lineRule="auto"/>
              <w:jc w:val="center"/>
              <w:rPr>
                <w:color w:val="000000" w:themeColor="text1"/>
                <w:sz w:val="22"/>
              </w:rPr>
            </w:pPr>
          </w:p>
        </w:tc>
      </w:tr>
      <w:tr w:rsidR="006822EF" w:rsidRPr="00C7354B" w14:paraId="2926BD13" w14:textId="77777777" w:rsidTr="00394BE7">
        <w:trPr>
          <w:trHeight w:val="107"/>
          <w:jc w:val="center"/>
        </w:trPr>
        <w:tc>
          <w:tcPr>
            <w:tcW w:w="2694" w:type="dxa"/>
            <w:tcBorders>
              <w:left w:val="nil"/>
              <w:right w:val="nil"/>
            </w:tcBorders>
            <w:shd w:val="clear" w:color="auto" w:fill="auto"/>
            <w:noWrap/>
          </w:tcPr>
          <w:p w14:paraId="124551F0" w14:textId="77777777" w:rsidR="006822EF" w:rsidRPr="00C7354B" w:rsidRDefault="006822EF" w:rsidP="00AB066F">
            <w:pPr>
              <w:widowControl w:val="0"/>
              <w:spacing w:line="240" w:lineRule="auto"/>
              <w:jc w:val="left"/>
              <w:rPr>
                <w:color w:val="000000" w:themeColor="text1"/>
                <w:kern w:val="2"/>
                <w:sz w:val="22"/>
                <w:lang w:eastAsia="zh-CN"/>
              </w:rPr>
            </w:pPr>
            <w:r w:rsidRPr="00C7354B">
              <w:rPr>
                <w:color w:val="000000" w:themeColor="text1"/>
                <w:kern w:val="2"/>
                <w:sz w:val="22"/>
                <w:lang w:eastAsia="zh-CN"/>
              </w:rPr>
              <w:t xml:space="preserve">   </w:t>
            </w:r>
            <w:r w:rsidRPr="00C7354B">
              <w:rPr>
                <w:i/>
                <w:iCs/>
                <w:color w:val="000000" w:themeColor="text1"/>
                <w:kern w:val="2"/>
                <w:sz w:val="22"/>
                <w:lang w:eastAsia="zh-CN"/>
              </w:rPr>
              <w:t>N</w:t>
            </w:r>
          </w:p>
        </w:tc>
        <w:tc>
          <w:tcPr>
            <w:tcW w:w="2126" w:type="dxa"/>
            <w:tcBorders>
              <w:left w:val="nil"/>
              <w:right w:val="nil"/>
            </w:tcBorders>
          </w:tcPr>
          <w:p w14:paraId="08651BCA"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340,826</w:t>
            </w:r>
          </w:p>
        </w:tc>
        <w:tc>
          <w:tcPr>
            <w:tcW w:w="2126" w:type="dxa"/>
            <w:tcBorders>
              <w:left w:val="nil"/>
              <w:right w:val="nil"/>
            </w:tcBorders>
          </w:tcPr>
          <w:p w14:paraId="29E7BF52" w14:textId="77777777" w:rsidR="006822EF" w:rsidRPr="00C7354B" w:rsidRDefault="006822EF" w:rsidP="00AB066F">
            <w:pPr>
              <w:widowControl w:val="0"/>
              <w:spacing w:line="240" w:lineRule="auto"/>
              <w:jc w:val="center"/>
              <w:rPr>
                <w:color w:val="000000" w:themeColor="text1"/>
                <w:sz w:val="22"/>
              </w:rPr>
            </w:pPr>
          </w:p>
        </w:tc>
        <w:tc>
          <w:tcPr>
            <w:tcW w:w="2126" w:type="dxa"/>
            <w:tcBorders>
              <w:left w:val="nil"/>
              <w:right w:val="nil"/>
            </w:tcBorders>
          </w:tcPr>
          <w:p w14:paraId="3AA36356" w14:textId="77777777" w:rsidR="006822EF" w:rsidRPr="00C7354B" w:rsidRDefault="006822EF" w:rsidP="00AB066F">
            <w:pPr>
              <w:widowControl w:val="0"/>
              <w:spacing w:line="240" w:lineRule="auto"/>
              <w:jc w:val="center"/>
              <w:rPr>
                <w:color w:val="000000" w:themeColor="text1"/>
                <w:sz w:val="22"/>
              </w:rPr>
            </w:pPr>
          </w:p>
        </w:tc>
      </w:tr>
      <w:tr w:rsidR="006822EF" w:rsidRPr="00C7354B" w14:paraId="0DA57539" w14:textId="77777777" w:rsidTr="00394BE7">
        <w:trPr>
          <w:trHeight w:val="107"/>
          <w:jc w:val="center"/>
        </w:trPr>
        <w:tc>
          <w:tcPr>
            <w:tcW w:w="2694" w:type="dxa"/>
            <w:tcBorders>
              <w:left w:val="nil"/>
              <w:bottom w:val="single" w:sz="4" w:space="0" w:color="auto"/>
              <w:right w:val="nil"/>
            </w:tcBorders>
            <w:shd w:val="clear" w:color="auto" w:fill="auto"/>
            <w:noWrap/>
          </w:tcPr>
          <w:p w14:paraId="4E304BC8" w14:textId="77777777" w:rsidR="006822EF" w:rsidRPr="00C7354B" w:rsidRDefault="006822EF" w:rsidP="00AB066F">
            <w:pPr>
              <w:widowControl w:val="0"/>
              <w:spacing w:line="240" w:lineRule="auto"/>
              <w:jc w:val="left"/>
              <w:rPr>
                <w:color w:val="000000" w:themeColor="text1"/>
                <w:kern w:val="2"/>
                <w:sz w:val="22"/>
                <w:lang w:eastAsia="zh-CN"/>
              </w:rPr>
            </w:pPr>
            <w:r w:rsidRPr="00C7354B">
              <w:rPr>
                <w:color w:val="000000" w:themeColor="text1"/>
                <w:kern w:val="2"/>
                <w:sz w:val="22"/>
                <w:lang w:eastAsia="zh-CN"/>
              </w:rPr>
              <w:t xml:space="preserve">   </w:t>
            </w:r>
            <w:r w:rsidRPr="00C7354B">
              <w:rPr>
                <w:i/>
                <w:iCs/>
                <w:color w:val="000000" w:themeColor="text1"/>
                <w:kern w:val="2"/>
                <w:sz w:val="22"/>
                <w:lang w:eastAsia="zh-CN"/>
              </w:rPr>
              <w:t>k</w:t>
            </w:r>
          </w:p>
        </w:tc>
        <w:tc>
          <w:tcPr>
            <w:tcW w:w="2126" w:type="dxa"/>
            <w:tcBorders>
              <w:left w:val="nil"/>
              <w:bottom w:val="single" w:sz="4" w:space="0" w:color="auto"/>
              <w:right w:val="nil"/>
            </w:tcBorders>
          </w:tcPr>
          <w:p w14:paraId="2DD8153E"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99</w:t>
            </w:r>
          </w:p>
        </w:tc>
        <w:tc>
          <w:tcPr>
            <w:tcW w:w="2126" w:type="dxa"/>
            <w:tcBorders>
              <w:left w:val="nil"/>
              <w:bottom w:val="single" w:sz="4" w:space="0" w:color="auto"/>
              <w:right w:val="nil"/>
            </w:tcBorders>
          </w:tcPr>
          <w:p w14:paraId="55B3C057" w14:textId="77777777" w:rsidR="006822EF" w:rsidRPr="00C7354B" w:rsidRDefault="006822EF" w:rsidP="00AB066F">
            <w:pPr>
              <w:widowControl w:val="0"/>
              <w:spacing w:line="240" w:lineRule="auto"/>
              <w:jc w:val="center"/>
              <w:rPr>
                <w:color w:val="000000" w:themeColor="text1"/>
                <w:sz w:val="22"/>
              </w:rPr>
            </w:pPr>
          </w:p>
        </w:tc>
        <w:tc>
          <w:tcPr>
            <w:tcW w:w="2126" w:type="dxa"/>
            <w:tcBorders>
              <w:left w:val="nil"/>
              <w:bottom w:val="single" w:sz="4" w:space="0" w:color="auto"/>
              <w:right w:val="nil"/>
            </w:tcBorders>
          </w:tcPr>
          <w:p w14:paraId="6BE6BB1F" w14:textId="77777777" w:rsidR="006822EF" w:rsidRPr="00C7354B" w:rsidRDefault="006822EF" w:rsidP="00AB066F">
            <w:pPr>
              <w:widowControl w:val="0"/>
              <w:spacing w:line="240" w:lineRule="auto"/>
              <w:jc w:val="center"/>
              <w:rPr>
                <w:color w:val="000000" w:themeColor="text1"/>
                <w:sz w:val="22"/>
              </w:rPr>
            </w:pPr>
          </w:p>
        </w:tc>
      </w:tr>
    </w:tbl>
    <w:p w14:paraId="1F8EC0FC" w14:textId="77777777" w:rsidR="006822EF" w:rsidRPr="00C7354B" w:rsidRDefault="006822EF" w:rsidP="006822EF">
      <w:pPr>
        <w:widowControl w:val="0"/>
        <w:adjustRightInd w:val="0"/>
        <w:snapToGrid w:val="0"/>
        <w:spacing w:before="60" w:after="60" w:line="240" w:lineRule="auto"/>
        <w:rPr>
          <w:rFonts w:eastAsia="SimSun"/>
          <w:color w:val="000000" w:themeColor="text1"/>
          <w:kern w:val="2"/>
          <w:sz w:val="22"/>
          <w:lang w:val="en-US" w:eastAsia="zh-CN"/>
        </w:rPr>
      </w:pPr>
      <w:r w:rsidRPr="00C7354B">
        <w:rPr>
          <w:rFonts w:eastAsia="SimSun"/>
          <w:i/>
          <w:iCs/>
          <w:color w:val="000000" w:themeColor="text1"/>
          <w:kern w:val="2"/>
          <w:sz w:val="22"/>
          <w:lang w:val="en-US" w:eastAsia="zh-CN"/>
        </w:rPr>
        <w:t>Note</w:t>
      </w:r>
      <w:r w:rsidRPr="00C7354B">
        <w:rPr>
          <w:rFonts w:eastAsia="SimSun"/>
          <w:color w:val="000000" w:themeColor="text1"/>
          <w:kern w:val="2"/>
          <w:sz w:val="22"/>
          <w:lang w:val="en-US" w:eastAsia="zh-CN"/>
        </w:rPr>
        <w:t xml:space="preserve">: Standardized coefficients are shown with standard errors in parentheses; MASEM = meta-analytic structural equation modeling; </w:t>
      </w:r>
      <w:r w:rsidRPr="00C7354B">
        <w:rPr>
          <w:rFonts w:eastAsia="SimSun"/>
          <w:i/>
          <w:iCs/>
          <w:color w:val="000000" w:themeColor="text1"/>
          <w:kern w:val="2"/>
          <w:sz w:val="22"/>
          <w:lang w:val="en-US" w:eastAsia="zh-CN"/>
        </w:rPr>
        <w:t>N</w:t>
      </w:r>
      <w:r w:rsidRPr="00C7354B">
        <w:rPr>
          <w:rFonts w:eastAsia="SimSun"/>
          <w:color w:val="000000" w:themeColor="text1"/>
          <w:kern w:val="2"/>
          <w:sz w:val="22"/>
          <w:lang w:val="en-US" w:eastAsia="zh-CN"/>
        </w:rPr>
        <w:t xml:space="preserve"> = harmonic mean of total sample size; </w:t>
      </w:r>
      <w:r w:rsidRPr="00C7354B">
        <w:rPr>
          <w:rFonts w:eastAsia="SimSun"/>
          <w:i/>
          <w:iCs/>
          <w:color w:val="000000" w:themeColor="text1"/>
          <w:kern w:val="2"/>
          <w:sz w:val="22"/>
          <w:lang w:val="en-US" w:eastAsia="zh-CN"/>
        </w:rPr>
        <w:t>k</w:t>
      </w:r>
      <w:r w:rsidRPr="00C7354B">
        <w:rPr>
          <w:rFonts w:eastAsia="SimSun"/>
          <w:color w:val="000000" w:themeColor="text1"/>
          <w:kern w:val="2"/>
          <w:sz w:val="22"/>
          <w:lang w:val="en-US" w:eastAsia="zh-CN"/>
        </w:rPr>
        <w:t xml:space="preserve"> = harmonic mean of independent studies; </w:t>
      </w:r>
      <w:r w:rsidRPr="00C7354B">
        <w:rPr>
          <w:rFonts w:eastAsia="SimSun"/>
          <w:i/>
          <w:iCs/>
          <w:color w:val="000000" w:themeColor="text1"/>
          <w:kern w:val="2"/>
          <w:sz w:val="22"/>
          <w:lang w:val="en-US" w:eastAsia="zh-CN"/>
        </w:rPr>
        <w:t>AIC</w:t>
      </w:r>
      <w:r w:rsidRPr="00C7354B">
        <w:rPr>
          <w:rFonts w:eastAsia="SimSun"/>
          <w:color w:val="000000" w:themeColor="text1"/>
          <w:kern w:val="2"/>
          <w:sz w:val="22"/>
          <w:lang w:val="en-US" w:eastAsia="zh-CN"/>
        </w:rPr>
        <w:t xml:space="preserve"> = Akaike information criterion; </w:t>
      </w:r>
      <w:r w:rsidRPr="00C7354B">
        <w:rPr>
          <w:rFonts w:eastAsia="SimSun"/>
          <w:i/>
          <w:iCs/>
          <w:color w:val="000000" w:themeColor="text1"/>
          <w:kern w:val="2"/>
          <w:sz w:val="22"/>
          <w:lang w:val="en-US" w:eastAsia="zh-CN"/>
        </w:rPr>
        <w:t>BIC</w:t>
      </w:r>
      <w:r w:rsidRPr="00C7354B">
        <w:rPr>
          <w:rFonts w:eastAsia="SimSun"/>
          <w:color w:val="000000" w:themeColor="text1"/>
          <w:kern w:val="2"/>
          <w:sz w:val="22"/>
          <w:lang w:val="en-US" w:eastAsia="zh-CN"/>
        </w:rPr>
        <w:t xml:space="preserve"> = Bayesian information criterion; </w:t>
      </w:r>
      <w:r w:rsidRPr="00C7354B">
        <w:rPr>
          <w:rFonts w:eastAsia="SimSun"/>
          <w:i/>
          <w:iCs/>
          <w:color w:val="000000" w:themeColor="text1"/>
          <w:kern w:val="2"/>
          <w:sz w:val="22"/>
          <w:lang w:val="en-US" w:eastAsia="zh-CN"/>
        </w:rPr>
        <w:t>TLI</w:t>
      </w:r>
      <w:r w:rsidRPr="00C7354B">
        <w:rPr>
          <w:rFonts w:eastAsia="SimSun"/>
          <w:color w:val="000000" w:themeColor="text1"/>
          <w:kern w:val="2"/>
          <w:sz w:val="22"/>
          <w:lang w:val="en-US" w:eastAsia="zh-CN"/>
        </w:rPr>
        <w:t xml:space="preserve"> = Tucker-Lewis index; </w:t>
      </w:r>
      <w:r w:rsidRPr="00C7354B">
        <w:rPr>
          <w:rFonts w:eastAsia="SimSun"/>
          <w:i/>
          <w:iCs/>
          <w:color w:val="000000" w:themeColor="text1"/>
          <w:kern w:val="2"/>
          <w:sz w:val="22"/>
          <w:lang w:val="en-US" w:eastAsia="zh-CN"/>
        </w:rPr>
        <w:t>CFI</w:t>
      </w:r>
      <w:r w:rsidRPr="00C7354B">
        <w:rPr>
          <w:rFonts w:eastAsia="SimSun"/>
          <w:color w:val="000000" w:themeColor="text1"/>
          <w:kern w:val="2"/>
          <w:sz w:val="22"/>
          <w:lang w:val="en-US" w:eastAsia="zh-CN"/>
        </w:rPr>
        <w:t xml:space="preserve"> = comparative fit index; </w:t>
      </w:r>
      <w:r w:rsidRPr="00C7354B">
        <w:rPr>
          <w:rFonts w:eastAsia="SimSun"/>
          <w:i/>
          <w:iCs/>
          <w:color w:val="000000" w:themeColor="text1"/>
          <w:kern w:val="2"/>
          <w:sz w:val="22"/>
          <w:lang w:val="en-US" w:eastAsia="zh-CN"/>
        </w:rPr>
        <w:t>RMSEA</w:t>
      </w:r>
      <w:r w:rsidRPr="00C7354B">
        <w:rPr>
          <w:rFonts w:eastAsia="SimSun"/>
          <w:color w:val="000000" w:themeColor="text1"/>
          <w:kern w:val="2"/>
          <w:sz w:val="22"/>
          <w:lang w:val="en-US" w:eastAsia="zh-CN"/>
        </w:rPr>
        <w:t xml:space="preserve"> = root mean square error of approximation; </w:t>
      </w:r>
      <w:r w:rsidRPr="00C7354B">
        <w:rPr>
          <w:rFonts w:eastAsia="SimSun"/>
          <w:i/>
          <w:iCs/>
          <w:color w:val="000000" w:themeColor="text1"/>
          <w:kern w:val="2"/>
          <w:sz w:val="22"/>
          <w:lang w:val="en-US" w:eastAsia="zh-CN"/>
        </w:rPr>
        <w:t>SRMR</w:t>
      </w:r>
      <w:r w:rsidRPr="00C7354B">
        <w:rPr>
          <w:rFonts w:eastAsia="SimSun"/>
          <w:color w:val="000000" w:themeColor="text1"/>
          <w:kern w:val="2"/>
          <w:sz w:val="22"/>
          <w:lang w:val="en-US" w:eastAsia="zh-CN"/>
        </w:rPr>
        <w:t xml:space="preserve"> = standard root mean square residual.</w:t>
      </w:r>
    </w:p>
    <w:p w14:paraId="428E3CA4" w14:textId="77777777" w:rsidR="006822EF" w:rsidRDefault="006822EF" w:rsidP="006822EF">
      <w:pPr>
        <w:spacing w:line="240" w:lineRule="auto"/>
        <w:jc w:val="left"/>
        <w:rPr>
          <w:color w:val="000000" w:themeColor="text1"/>
          <w:szCs w:val="16"/>
          <w:lang w:val="en-US"/>
        </w:rPr>
      </w:pPr>
      <w:r>
        <w:rPr>
          <w:color w:val="000000" w:themeColor="text1"/>
          <w:lang w:val="en-US"/>
        </w:rPr>
        <w:br w:type="page"/>
      </w:r>
    </w:p>
    <w:p w14:paraId="65B94926" w14:textId="77777777" w:rsidR="006822EF" w:rsidRPr="009572A7" w:rsidRDefault="006822EF" w:rsidP="009572A7">
      <w:pPr>
        <w:pStyle w:val="1fake"/>
      </w:pPr>
      <w:r w:rsidRPr="009572A7">
        <w:lastRenderedPageBreak/>
        <w:t>TABLE 5</w:t>
      </w:r>
    </w:p>
    <w:p w14:paraId="4C27AE73" w14:textId="0E7A163B" w:rsidR="008D3B08" w:rsidRPr="0021383A" w:rsidRDefault="008D3B08" w:rsidP="003A640A">
      <w:pPr>
        <w:pStyle w:val="Tabelle"/>
      </w:pPr>
      <w:bookmarkStart w:id="240" w:name="_Toc180964655"/>
      <w:r>
        <w:t xml:space="preserve">T - I - </w:t>
      </w:r>
      <w:r>
        <w:fldChar w:fldCharType="begin"/>
      </w:r>
      <w:r>
        <w:instrText xml:space="preserve"> SEQ T_-_I_- \* ARABIC </w:instrText>
      </w:r>
      <w:r>
        <w:fldChar w:fldCharType="separate"/>
      </w:r>
      <w:r w:rsidR="00E91088">
        <w:rPr>
          <w:noProof/>
        </w:rPr>
        <w:t>5</w:t>
      </w:r>
      <w:r>
        <w:fldChar w:fldCharType="end"/>
      </w:r>
      <w:r>
        <w:t xml:space="preserve">: </w:t>
      </w:r>
      <w:r w:rsidRPr="008D6850">
        <w:t xml:space="preserve">Board </w:t>
      </w:r>
      <w:r w:rsidR="007F2F08">
        <w:t>p</w:t>
      </w:r>
      <w:r w:rsidRPr="008D6850">
        <w:t xml:space="preserve">ower </w:t>
      </w:r>
      <w:r w:rsidR="007F2F08">
        <w:t>r</w:t>
      </w:r>
      <w:r w:rsidRPr="008D6850">
        <w:t xml:space="preserve">elations and </w:t>
      </w:r>
      <w:r w:rsidR="007F2F08">
        <w:t>i</w:t>
      </w:r>
      <w:r w:rsidRPr="008D6850">
        <w:t xml:space="preserve">nstitutional </w:t>
      </w:r>
      <w:r w:rsidR="007F2F08">
        <w:t>e</w:t>
      </w:r>
      <w:r w:rsidRPr="008D6850">
        <w:t xml:space="preserve">nvironment </w:t>
      </w:r>
      <w:r w:rsidR="007F2F08">
        <w:t>M</w:t>
      </w:r>
      <w:r w:rsidRPr="008D6850">
        <w:t xml:space="preserve">ASEM </w:t>
      </w:r>
      <w:r w:rsidR="007F2F08">
        <w:t>r</w:t>
      </w:r>
      <w:r w:rsidRPr="008D6850">
        <w:t>esults</w:t>
      </w:r>
      <w:bookmarkEnd w:id="240"/>
    </w:p>
    <w:tbl>
      <w:tblPr>
        <w:tblW w:w="9072" w:type="dxa"/>
        <w:jc w:val="center"/>
        <w:tblLayout w:type="fixed"/>
        <w:tblCellMar>
          <w:top w:w="6" w:type="dxa"/>
          <w:left w:w="6" w:type="dxa"/>
          <w:bottom w:w="6" w:type="dxa"/>
          <w:right w:w="6" w:type="dxa"/>
        </w:tblCellMar>
        <w:tblLook w:val="04A0" w:firstRow="1" w:lastRow="0" w:firstColumn="1" w:lastColumn="0" w:noHBand="0" w:noVBand="1"/>
      </w:tblPr>
      <w:tblGrid>
        <w:gridCol w:w="3686"/>
        <w:gridCol w:w="1795"/>
        <w:gridCol w:w="1795"/>
        <w:gridCol w:w="1796"/>
      </w:tblGrid>
      <w:tr w:rsidR="006822EF" w:rsidRPr="00C7354B" w14:paraId="292D3422" w14:textId="77777777" w:rsidTr="00394BE7">
        <w:trPr>
          <w:trHeight w:val="85"/>
          <w:jc w:val="center"/>
        </w:trPr>
        <w:tc>
          <w:tcPr>
            <w:tcW w:w="3686" w:type="dxa"/>
            <w:tcBorders>
              <w:top w:val="single" w:sz="4" w:space="0" w:color="auto"/>
              <w:left w:val="nil"/>
              <w:bottom w:val="single" w:sz="4" w:space="0" w:color="auto"/>
              <w:right w:val="nil"/>
            </w:tcBorders>
            <w:shd w:val="clear" w:color="auto" w:fill="auto"/>
            <w:noWrap/>
            <w:hideMark/>
          </w:tcPr>
          <w:p w14:paraId="573E7DEC" w14:textId="77777777" w:rsidR="006822EF" w:rsidRPr="00C7354B" w:rsidRDefault="006822EF" w:rsidP="00AB066F">
            <w:pPr>
              <w:widowControl w:val="0"/>
              <w:spacing w:line="240" w:lineRule="auto"/>
              <w:jc w:val="left"/>
              <w:rPr>
                <w:b/>
                <w:bCs/>
                <w:color w:val="000000" w:themeColor="text1"/>
                <w:kern w:val="2"/>
                <w:sz w:val="22"/>
                <w:lang w:eastAsia="zh-CN"/>
              </w:rPr>
            </w:pPr>
            <w:r w:rsidRPr="00C7354B">
              <w:rPr>
                <w:b/>
                <w:bCs/>
                <w:color w:val="000000" w:themeColor="text1"/>
                <w:kern w:val="2"/>
                <w:sz w:val="22"/>
                <w:lang w:eastAsia="zh-CN"/>
              </w:rPr>
              <w:t>Relationship</w:t>
            </w:r>
          </w:p>
        </w:tc>
        <w:tc>
          <w:tcPr>
            <w:tcW w:w="1795" w:type="dxa"/>
            <w:tcBorders>
              <w:top w:val="single" w:sz="4" w:space="0" w:color="auto"/>
              <w:left w:val="nil"/>
              <w:bottom w:val="single" w:sz="4" w:space="0" w:color="auto"/>
              <w:right w:val="nil"/>
            </w:tcBorders>
            <w:shd w:val="clear" w:color="auto" w:fill="auto"/>
            <w:noWrap/>
            <w:hideMark/>
          </w:tcPr>
          <w:p w14:paraId="1371BD46" w14:textId="77777777" w:rsidR="006822EF" w:rsidRPr="00C7354B" w:rsidRDefault="006822EF" w:rsidP="00AB066F">
            <w:pPr>
              <w:widowControl w:val="0"/>
              <w:spacing w:line="240" w:lineRule="auto"/>
              <w:jc w:val="center"/>
              <w:rPr>
                <w:b/>
                <w:bCs/>
                <w:color w:val="000000" w:themeColor="text1"/>
                <w:kern w:val="2"/>
                <w:sz w:val="22"/>
                <w:lang w:val="en-US" w:eastAsia="zh-CN"/>
              </w:rPr>
            </w:pPr>
            <w:r w:rsidRPr="00C7354B">
              <w:rPr>
                <w:b/>
                <w:bCs/>
                <w:color w:val="000000" w:themeColor="text1"/>
                <w:kern w:val="2"/>
                <w:sz w:val="22"/>
                <w:lang w:val="en-US" w:eastAsia="zh-CN"/>
              </w:rPr>
              <w:t xml:space="preserve">Model 1 </w:t>
            </w:r>
          </w:p>
        </w:tc>
        <w:tc>
          <w:tcPr>
            <w:tcW w:w="1795" w:type="dxa"/>
            <w:tcBorders>
              <w:top w:val="single" w:sz="4" w:space="0" w:color="auto"/>
              <w:left w:val="nil"/>
              <w:bottom w:val="single" w:sz="4" w:space="0" w:color="auto"/>
              <w:right w:val="nil"/>
            </w:tcBorders>
          </w:tcPr>
          <w:p w14:paraId="0D76E78C" w14:textId="77777777" w:rsidR="006822EF" w:rsidRPr="00C7354B" w:rsidRDefault="006822EF" w:rsidP="00AB066F">
            <w:pPr>
              <w:widowControl w:val="0"/>
              <w:spacing w:line="240" w:lineRule="auto"/>
              <w:jc w:val="center"/>
              <w:rPr>
                <w:b/>
                <w:bCs/>
                <w:color w:val="000000" w:themeColor="text1"/>
                <w:kern w:val="2"/>
                <w:sz w:val="22"/>
                <w:lang w:eastAsia="zh-CN"/>
              </w:rPr>
            </w:pPr>
            <w:r w:rsidRPr="00C7354B">
              <w:rPr>
                <w:b/>
                <w:bCs/>
                <w:color w:val="000000" w:themeColor="text1"/>
                <w:kern w:val="2"/>
                <w:sz w:val="22"/>
                <w:lang w:eastAsia="zh-CN"/>
              </w:rPr>
              <w:t>Modell 2</w:t>
            </w:r>
          </w:p>
        </w:tc>
        <w:tc>
          <w:tcPr>
            <w:tcW w:w="1796" w:type="dxa"/>
            <w:tcBorders>
              <w:top w:val="single" w:sz="4" w:space="0" w:color="auto"/>
              <w:left w:val="nil"/>
              <w:bottom w:val="single" w:sz="4" w:space="0" w:color="auto"/>
              <w:right w:val="nil"/>
            </w:tcBorders>
          </w:tcPr>
          <w:p w14:paraId="259D936B" w14:textId="77777777" w:rsidR="006822EF" w:rsidRPr="00C7354B" w:rsidRDefault="006822EF" w:rsidP="00AB066F">
            <w:pPr>
              <w:widowControl w:val="0"/>
              <w:spacing w:line="240" w:lineRule="auto"/>
              <w:jc w:val="center"/>
              <w:rPr>
                <w:b/>
                <w:bCs/>
                <w:color w:val="000000" w:themeColor="text1"/>
                <w:kern w:val="2"/>
                <w:sz w:val="22"/>
                <w:lang w:eastAsia="zh-CN"/>
              </w:rPr>
            </w:pPr>
            <w:r w:rsidRPr="00C7354B">
              <w:rPr>
                <w:b/>
                <w:bCs/>
                <w:color w:val="000000" w:themeColor="text1"/>
                <w:kern w:val="2"/>
                <w:sz w:val="22"/>
                <w:lang w:eastAsia="zh-CN"/>
              </w:rPr>
              <w:t>Model 3</w:t>
            </w:r>
          </w:p>
        </w:tc>
      </w:tr>
      <w:tr w:rsidR="006822EF" w:rsidRPr="00C7354B" w14:paraId="1B139572" w14:textId="77777777" w:rsidTr="00394BE7">
        <w:trPr>
          <w:trHeight w:val="59"/>
          <w:jc w:val="center"/>
        </w:trPr>
        <w:tc>
          <w:tcPr>
            <w:tcW w:w="3686" w:type="dxa"/>
            <w:tcBorders>
              <w:top w:val="nil"/>
              <w:left w:val="nil"/>
              <w:bottom w:val="nil"/>
              <w:right w:val="nil"/>
            </w:tcBorders>
            <w:shd w:val="clear" w:color="auto" w:fill="auto"/>
            <w:noWrap/>
          </w:tcPr>
          <w:p w14:paraId="4635C209" w14:textId="77777777" w:rsidR="006822EF" w:rsidRPr="00C7354B" w:rsidRDefault="006822EF" w:rsidP="00AB066F">
            <w:pPr>
              <w:widowControl w:val="0"/>
              <w:spacing w:line="240" w:lineRule="auto"/>
              <w:jc w:val="left"/>
              <w:rPr>
                <w:b/>
                <w:bCs/>
                <w:color w:val="000000" w:themeColor="text1"/>
                <w:kern w:val="2"/>
                <w:sz w:val="22"/>
                <w:lang w:eastAsia="zh-CN"/>
              </w:rPr>
            </w:pPr>
            <w:r w:rsidRPr="00C7354B">
              <w:rPr>
                <w:b/>
                <w:bCs/>
                <w:color w:val="000000" w:themeColor="text1"/>
                <w:kern w:val="2"/>
                <w:sz w:val="22"/>
                <w:lang w:eastAsia="zh-CN"/>
              </w:rPr>
              <w:t>Main Relationships</w:t>
            </w:r>
          </w:p>
        </w:tc>
        <w:tc>
          <w:tcPr>
            <w:tcW w:w="1795" w:type="dxa"/>
            <w:tcBorders>
              <w:top w:val="nil"/>
              <w:left w:val="nil"/>
              <w:bottom w:val="nil"/>
              <w:right w:val="nil"/>
            </w:tcBorders>
            <w:shd w:val="clear" w:color="auto" w:fill="auto"/>
            <w:noWrap/>
          </w:tcPr>
          <w:p w14:paraId="1761AA44" w14:textId="77777777" w:rsidR="006822EF" w:rsidRPr="00C7354B" w:rsidRDefault="006822EF" w:rsidP="00AB066F">
            <w:pPr>
              <w:widowControl w:val="0"/>
              <w:spacing w:line="240" w:lineRule="auto"/>
              <w:jc w:val="center"/>
              <w:rPr>
                <w:color w:val="000000" w:themeColor="text1"/>
                <w:sz w:val="22"/>
              </w:rPr>
            </w:pPr>
          </w:p>
        </w:tc>
        <w:tc>
          <w:tcPr>
            <w:tcW w:w="1795" w:type="dxa"/>
            <w:tcBorders>
              <w:top w:val="nil"/>
              <w:left w:val="nil"/>
              <w:bottom w:val="nil"/>
              <w:right w:val="nil"/>
            </w:tcBorders>
          </w:tcPr>
          <w:p w14:paraId="18CDA1C3" w14:textId="77777777" w:rsidR="006822EF" w:rsidRPr="00C7354B" w:rsidRDefault="006822EF" w:rsidP="00AB066F">
            <w:pPr>
              <w:widowControl w:val="0"/>
              <w:spacing w:line="240" w:lineRule="auto"/>
              <w:jc w:val="center"/>
              <w:rPr>
                <w:color w:val="000000" w:themeColor="text1"/>
                <w:sz w:val="22"/>
              </w:rPr>
            </w:pPr>
          </w:p>
        </w:tc>
        <w:tc>
          <w:tcPr>
            <w:tcW w:w="1796" w:type="dxa"/>
            <w:tcBorders>
              <w:top w:val="nil"/>
              <w:left w:val="nil"/>
              <w:bottom w:val="nil"/>
              <w:right w:val="nil"/>
            </w:tcBorders>
          </w:tcPr>
          <w:p w14:paraId="23C36C04" w14:textId="77777777" w:rsidR="006822EF" w:rsidRPr="00C7354B" w:rsidRDefault="006822EF" w:rsidP="00AB066F">
            <w:pPr>
              <w:widowControl w:val="0"/>
              <w:spacing w:line="240" w:lineRule="auto"/>
              <w:jc w:val="center"/>
              <w:rPr>
                <w:color w:val="000000" w:themeColor="text1"/>
                <w:sz w:val="22"/>
              </w:rPr>
            </w:pPr>
          </w:p>
        </w:tc>
      </w:tr>
      <w:tr w:rsidR="006822EF" w:rsidRPr="00C7354B" w14:paraId="017A26B8" w14:textId="77777777" w:rsidTr="00394BE7">
        <w:trPr>
          <w:trHeight w:val="59"/>
          <w:jc w:val="center"/>
        </w:trPr>
        <w:tc>
          <w:tcPr>
            <w:tcW w:w="3686" w:type="dxa"/>
            <w:tcBorders>
              <w:top w:val="nil"/>
              <w:left w:val="nil"/>
              <w:bottom w:val="nil"/>
              <w:right w:val="nil"/>
            </w:tcBorders>
            <w:shd w:val="clear" w:color="auto" w:fill="auto"/>
            <w:noWrap/>
            <w:hideMark/>
          </w:tcPr>
          <w:p w14:paraId="5958EE89" w14:textId="77777777" w:rsidR="006822EF" w:rsidRPr="00C7354B" w:rsidRDefault="006822EF" w:rsidP="00AB066F">
            <w:pPr>
              <w:widowControl w:val="0"/>
              <w:spacing w:line="240" w:lineRule="auto"/>
              <w:jc w:val="left"/>
              <w:rPr>
                <w:color w:val="000000" w:themeColor="text1"/>
                <w:kern w:val="2"/>
                <w:sz w:val="22"/>
                <w:lang w:eastAsia="zh-CN"/>
              </w:rPr>
            </w:pPr>
            <w:r w:rsidRPr="00C7354B">
              <w:rPr>
                <w:color w:val="000000" w:themeColor="text1"/>
                <w:kern w:val="2"/>
                <w:sz w:val="22"/>
                <w:lang w:eastAsia="zh-CN"/>
              </w:rPr>
              <w:t xml:space="preserve">   Board interlocks </w:t>
            </w:r>
            <w:r w:rsidRPr="00C7354B">
              <w:rPr>
                <w:color w:val="000000" w:themeColor="text1"/>
                <w:sz w:val="22"/>
              </w:rPr>
              <w:t>–</w:t>
            </w:r>
            <w:r w:rsidRPr="00C7354B">
              <w:rPr>
                <w:color w:val="000000" w:themeColor="text1"/>
                <w:kern w:val="2"/>
                <w:sz w:val="22"/>
                <w:lang w:eastAsia="zh-CN"/>
              </w:rPr>
              <w:t xml:space="preserve"> Performance</w:t>
            </w:r>
          </w:p>
        </w:tc>
        <w:tc>
          <w:tcPr>
            <w:tcW w:w="1795" w:type="dxa"/>
            <w:tcBorders>
              <w:top w:val="nil"/>
              <w:left w:val="nil"/>
              <w:bottom w:val="nil"/>
              <w:right w:val="nil"/>
            </w:tcBorders>
            <w:shd w:val="clear" w:color="auto" w:fill="auto"/>
            <w:noWrap/>
            <w:hideMark/>
          </w:tcPr>
          <w:p w14:paraId="43C3D97B"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.01 (.01) [.972]</w:t>
            </w:r>
          </w:p>
        </w:tc>
        <w:tc>
          <w:tcPr>
            <w:tcW w:w="1795" w:type="dxa"/>
            <w:tcBorders>
              <w:top w:val="nil"/>
              <w:left w:val="nil"/>
              <w:bottom w:val="nil"/>
              <w:right w:val="nil"/>
            </w:tcBorders>
          </w:tcPr>
          <w:p w14:paraId="4B7B2A1C"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.01 (.01) [.426]</w:t>
            </w:r>
          </w:p>
        </w:tc>
        <w:tc>
          <w:tcPr>
            <w:tcW w:w="1796" w:type="dxa"/>
            <w:tcBorders>
              <w:top w:val="nil"/>
              <w:left w:val="nil"/>
              <w:bottom w:val="nil"/>
              <w:right w:val="nil"/>
            </w:tcBorders>
          </w:tcPr>
          <w:p w14:paraId="4F0B59A0"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.01 (.01) [.407]</w:t>
            </w:r>
          </w:p>
        </w:tc>
      </w:tr>
      <w:tr w:rsidR="006822EF" w:rsidRPr="00C7354B" w14:paraId="6C84B7C0" w14:textId="77777777" w:rsidTr="00394BE7">
        <w:trPr>
          <w:trHeight w:val="59"/>
          <w:jc w:val="center"/>
        </w:trPr>
        <w:tc>
          <w:tcPr>
            <w:tcW w:w="3686" w:type="dxa"/>
            <w:tcBorders>
              <w:top w:val="nil"/>
              <w:left w:val="nil"/>
              <w:bottom w:val="nil"/>
              <w:right w:val="nil"/>
            </w:tcBorders>
            <w:shd w:val="clear" w:color="auto" w:fill="auto"/>
            <w:noWrap/>
          </w:tcPr>
          <w:p w14:paraId="462C2148" w14:textId="77777777" w:rsidR="006822EF" w:rsidRPr="00C7354B" w:rsidRDefault="006822EF" w:rsidP="00AB066F">
            <w:pPr>
              <w:widowControl w:val="0"/>
              <w:spacing w:line="240" w:lineRule="auto"/>
              <w:jc w:val="left"/>
              <w:rPr>
                <w:color w:val="000000" w:themeColor="text1"/>
                <w:kern w:val="2"/>
                <w:sz w:val="22"/>
                <w:lang w:eastAsia="zh-CN"/>
              </w:rPr>
            </w:pPr>
            <w:r w:rsidRPr="00C7354B">
              <w:rPr>
                <w:color w:val="000000" w:themeColor="text1"/>
                <w:kern w:val="2"/>
                <w:sz w:val="22"/>
                <w:lang w:eastAsia="zh-CN"/>
              </w:rPr>
              <w:t xml:space="preserve">   Board interlocks</w:t>
            </w:r>
            <w:r w:rsidRPr="00C7354B">
              <w:rPr>
                <w:color w:val="000000" w:themeColor="text1"/>
                <w:sz w:val="22"/>
              </w:rPr>
              <w:t xml:space="preserve"> –</w:t>
            </w:r>
            <w:r w:rsidRPr="00C7354B">
              <w:rPr>
                <w:color w:val="000000" w:themeColor="text1"/>
                <w:kern w:val="2"/>
                <w:sz w:val="22"/>
                <w:lang w:eastAsia="zh-CN"/>
              </w:rPr>
              <w:t xml:space="preserve"> Resource provision</w:t>
            </w:r>
          </w:p>
        </w:tc>
        <w:tc>
          <w:tcPr>
            <w:tcW w:w="1795" w:type="dxa"/>
            <w:tcBorders>
              <w:top w:val="nil"/>
              <w:left w:val="nil"/>
              <w:bottom w:val="nil"/>
              <w:right w:val="nil"/>
            </w:tcBorders>
            <w:shd w:val="clear" w:color="auto" w:fill="auto"/>
            <w:noWrap/>
          </w:tcPr>
          <w:p w14:paraId="2605A917"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.07 (.02) [&lt; .001]</w:t>
            </w:r>
          </w:p>
        </w:tc>
        <w:tc>
          <w:tcPr>
            <w:tcW w:w="1795" w:type="dxa"/>
            <w:tcBorders>
              <w:top w:val="nil"/>
              <w:left w:val="nil"/>
              <w:bottom w:val="nil"/>
              <w:right w:val="nil"/>
            </w:tcBorders>
          </w:tcPr>
          <w:p w14:paraId="4234A5CE"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.08 (.02) [&lt; .001]</w:t>
            </w:r>
          </w:p>
        </w:tc>
        <w:tc>
          <w:tcPr>
            <w:tcW w:w="1796" w:type="dxa"/>
            <w:tcBorders>
              <w:top w:val="nil"/>
              <w:left w:val="nil"/>
              <w:bottom w:val="nil"/>
              <w:right w:val="nil"/>
            </w:tcBorders>
          </w:tcPr>
          <w:p w14:paraId="78C9B07E"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.08 (.02) [&lt; .001]</w:t>
            </w:r>
          </w:p>
        </w:tc>
      </w:tr>
      <w:tr w:rsidR="006822EF" w:rsidRPr="00C7354B" w14:paraId="1E8F9FD8" w14:textId="77777777" w:rsidTr="00394BE7">
        <w:trPr>
          <w:trHeight w:val="59"/>
          <w:jc w:val="center"/>
        </w:trPr>
        <w:tc>
          <w:tcPr>
            <w:tcW w:w="3686" w:type="dxa"/>
            <w:tcBorders>
              <w:top w:val="nil"/>
              <w:left w:val="nil"/>
              <w:bottom w:val="nil"/>
              <w:right w:val="nil"/>
            </w:tcBorders>
            <w:shd w:val="clear" w:color="auto" w:fill="auto"/>
            <w:noWrap/>
          </w:tcPr>
          <w:p w14:paraId="3A8A22D5" w14:textId="77777777" w:rsidR="006822EF" w:rsidRPr="00C7354B" w:rsidRDefault="006822EF" w:rsidP="00AB066F">
            <w:pPr>
              <w:widowControl w:val="0"/>
              <w:spacing w:line="240" w:lineRule="auto"/>
              <w:jc w:val="left"/>
              <w:rPr>
                <w:color w:val="000000" w:themeColor="text1"/>
                <w:kern w:val="2"/>
                <w:sz w:val="22"/>
                <w:lang w:eastAsia="zh-CN"/>
              </w:rPr>
            </w:pPr>
            <w:r w:rsidRPr="00C7354B">
              <w:rPr>
                <w:color w:val="000000" w:themeColor="text1"/>
                <w:kern w:val="2"/>
                <w:sz w:val="22"/>
                <w:lang w:eastAsia="zh-CN"/>
              </w:rPr>
              <w:t xml:space="preserve">   Board interlocks</w:t>
            </w:r>
            <w:r w:rsidRPr="00C7354B">
              <w:rPr>
                <w:color w:val="000000" w:themeColor="text1"/>
                <w:sz w:val="22"/>
              </w:rPr>
              <w:t xml:space="preserve"> –</w:t>
            </w:r>
            <w:r w:rsidRPr="00C7354B">
              <w:rPr>
                <w:color w:val="000000" w:themeColor="text1"/>
                <w:kern w:val="2"/>
                <w:sz w:val="22"/>
                <w:lang w:eastAsia="zh-CN"/>
              </w:rPr>
              <w:t xml:space="preserve"> Agency costs</w:t>
            </w:r>
          </w:p>
        </w:tc>
        <w:tc>
          <w:tcPr>
            <w:tcW w:w="1795" w:type="dxa"/>
            <w:tcBorders>
              <w:top w:val="nil"/>
              <w:left w:val="nil"/>
              <w:bottom w:val="nil"/>
              <w:right w:val="nil"/>
            </w:tcBorders>
            <w:shd w:val="clear" w:color="auto" w:fill="auto"/>
            <w:noWrap/>
          </w:tcPr>
          <w:p w14:paraId="60671660"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.03 (.01) [.003]</w:t>
            </w:r>
          </w:p>
        </w:tc>
        <w:tc>
          <w:tcPr>
            <w:tcW w:w="1795" w:type="dxa"/>
            <w:tcBorders>
              <w:top w:val="nil"/>
              <w:left w:val="nil"/>
              <w:bottom w:val="nil"/>
              <w:right w:val="nil"/>
            </w:tcBorders>
          </w:tcPr>
          <w:p w14:paraId="6DD24846"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.02 (.01) [.043]</w:t>
            </w:r>
          </w:p>
        </w:tc>
        <w:tc>
          <w:tcPr>
            <w:tcW w:w="1796" w:type="dxa"/>
            <w:tcBorders>
              <w:top w:val="nil"/>
              <w:left w:val="nil"/>
              <w:bottom w:val="nil"/>
              <w:right w:val="nil"/>
            </w:tcBorders>
          </w:tcPr>
          <w:p w14:paraId="372B98BF"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.02 (.01) [.035]</w:t>
            </w:r>
          </w:p>
        </w:tc>
      </w:tr>
      <w:tr w:rsidR="006822EF" w:rsidRPr="00C7354B" w14:paraId="4148FD7B" w14:textId="77777777" w:rsidTr="00394BE7">
        <w:trPr>
          <w:trHeight w:val="59"/>
          <w:jc w:val="center"/>
        </w:trPr>
        <w:tc>
          <w:tcPr>
            <w:tcW w:w="3686" w:type="dxa"/>
            <w:tcBorders>
              <w:top w:val="nil"/>
              <w:left w:val="nil"/>
              <w:bottom w:val="nil"/>
              <w:right w:val="nil"/>
            </w:tcBorders>
            <w:shd w:val="clear" w:color="auto" w:fill="auto"/>
            <w:noWrap/>
          </w:tcPr>
          <w:p w14:paraId="06F3EDC0" w14:textId="77777777" w:rsidR="006822EF" w:rsidRPr="00C7354B" w:rsidRDefault="006822EF" w:rsidP="00AB066F">
            <w:pPr>
              <w:widowControl w:val="0"/>
              <w:spacing w:line="240" w:lineRule="auto"/>
              <w:jc w:val="left"/>
              <w:rPr>
                <w:color w:val="000000" w:themeColor="text1"/>
                <w:kern w:val="2"/>
                <w:sz w:val="22"/>
                <w:lang w:eastAsia="zh-CN"/>
              </w:rPr>
            </w:pPr>
            <w:r w:rsidRPr="00C7354B">
              <w:rPr>
                <w:color w:val="000000" w:themeColor="text1"/>
                <w:kern w:val="2"/>
                <w:sz w:val="22"/>
                <w:lang w:eastAsia="zh-CN"/>
              </w:rPr>
              <w:t xml:space="preserve">   Resource provision</w:t>
            </w:r>
            <w:r w:rsidRPr="00C7354B">
              <w:rPr>
                <w:color w:val="000000" w:themeColor="text1"/>
                <w:sz w:val="22"/>
              </w:rPr>
              <w:t xml:space="preserve"> – Performance</w:t>
            </w:r>
          </w:p>
        </w:tc>
        <w:tc>
          <w:tcPr>
            <w:tcW w:w="1795" w:type="dxa"/>
            <w:tcBorders>
              <w:top w:val="nil"/>
              <w:left w:val="nil"/>
              <w:bottom w:val="nil"/>
              <w:right w:val="nil"/>
            </w:tcBorders>
            <w:shd w:val="clear" w:color="auto" w:fill="auto"/>
            <w:noWrap/>
          </w:tcPr>
          <w:p w14:paraId="56F48EC7"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.05 (.02) [.023]</w:t>
            </w:r>
          </w:p>
        </w:tc>
        <w:tc>
          <w:tcPr>
            <w:tcW w:w="1795" w:type="dxa"/>
            <w:tcBorders>
              <w:top w:val="nil"/>
              <w:left w:val="nil"/>
              <w:bottom w:val="nil"/>
              <w:right w:val="nil"/>
            </w:tcBorders>
          </w:tcPr>
          <w:p w14:paraId="7F1652B0"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.06 (.03) [.021]</w:t>
            </w:r>
          </w:p>
        </w:tc>
        <w:tc>
          <w:tcPr>
            <w:tcW w:w="1796" w:type="dxa"/>
            <w:tcBorders>
              <w:top w:val="nil"/>
              <w:left w:val="nil"/>
              <w:bottom w:val="nil"/>
              <w:right w:val="nil"/>
            </w:tcBorders>
          </w:tcPr>
          <w:p w14:paraId="166F2772"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.05 (.03) [.044]</w:t>
            </w:r>
          </w:p>
        </w:tc>
      </w:tr>
      <w:tr w:rsidR="006822EF" w:rsidRPr="00C7354B" w14:paraId="3D1ABA1C" w14:textId="77777777" w:rsidTr="00394BE7">
        <w:trPr>
          <w:trHeight w:val="59"/>
          <w:jc w:val="center"/>
        </w:trPr>
        <w:tc>
          <w:tcPr>
            <w:tcW w:w="3686" w:type="dxa"/>
            <w:tcBorders>
              <w:top w:val="nil"/>
              <w:left w:val="nil"/>
              <w:bottom w:val="nil"/>
              <w:right w:val="nil"/>
            </w:tcBorders>
            <w:shd w:val="clear" w:color="auto" w:fill="auto"/>
            <w:noWrap/>
          </w:tcPr>
          <w:p w14:paraId="283132F3" w14:textId="77777777" w:rsidR="006822EF" w:rsidRPr="00C7354B" w:rsidRDefault="006822EF" w:rsidP="00AB066F">
            <w:pPr>
              <w:widowControl w:val="0"/>
              <w:spacing w:line="240" w:lineRule="auto"/>
              <w:jc w:val="left"/>
              <w:rPr>
                <w:color w:val="000000" w:themeColor="text1"/>
                <w:kern w:val="2"/>
                <w:sz w:val="22"/>
                <w:lang w:eastAsia="zh-CN"/>
              </w:rPr>
            </w:pPr>
            <w:r w:rsidRPr="00C7354B">
              <w:rPr>
                <w:color w:val="000000" w:themeColor="text1"/>
                <w:kern w:val="2"/>
                <w:sz w:val="22"/>
                <w:lang w:eastAsia="zh-CN"/>
              </w:rPr>
              <w:t xml:space="preserve">   Agency costs</w:t>
            </w:r>
            <w:r w:rsidRPr="00C7354B">
              <w:rPr>
                <w:color w:val="000000" w:themeColor="text1"/>
                <w:sz w:val="22"/>
              </w:rPr>
              <w:t xml:space="preserve"> – Performance</w:t>
            </w:r>
          </w:p>
        </w:tc>
        <w:tc>
          <w:tcPr>
            <w:tcW w:w="1795" w:type="dxa"/>
            <w:tcBorders>
              <w:top w:val="nil"/>
              <w:left w:val="nil"/>
              <w:bottom w:val="nil"/>
              <w:right w:val="nil"/>
            </w:tcBorders>
            <w:shd w:val="clear" w:color="auto" w:fill="auto"/>
            <w:noWrap/>
          </w:tcPr>
          <w:p w14:paraId="027C50E6"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-.04 (.02) [.030]</w:t>
            </w:r>
          </w:p>
        </w:tc>
        <w:tc>
          <w:tcPr>
            <w:tcW w:w="1795" w:type="dxa"/>
            <w:tcBorders>
              <w:top w:val="nil"/>
              <w:left w:val="nil"/>
              <w:bottom w:val="nil"/>
              <w:right w:val="nil"/>
            </w:tcBorders>
          </w:tcPr>
          <w:p w14:paraId="76383901"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-.04 (.02) [.058]</w:t>
            </w:r>
          </w:p>
        </w:tc>
        <w:tc>
          <w:tcPr>
            <w:tcW w:w="1796" w:type="dxa"/>
            <w:tcBorders>
              <w:top w:val="nil"/>
              <w:left w:val="nil"/>
              <w:bottom w:val="nil"/>
              <w:right w:val="nil"/>
            </w:tcBorders>
          </w:tcPr>
          <w:p w14:paraId="65EFD712"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-.04 (.02) [.061]</w:t>
            </w:r>
          </w:p>
        </w:tc>
      </w:tr>
      <w:tr w:rsidR="006822EF" w:rsidRPr="00C7354B" w14:paraId="1AC53C29" w14:textId="77777777" w:rsidTr="00394BE7">
        <w:trPr>
          <w:trHeight w:val="59"/>
          <w:jc w:val="center"/>
        </w:trPr>
        <w:tc>
          <w:tcPr>
            <w:tcW w:w="3686" w:type="dxa"/>
            <w:tcBorders>
              <w:top w:val="nil"/>
              <w:left w:val="nil"/>
              <w:right w:val="nil"/>
            </w:tcBorders>
            <w:shd w:val="clear" w:color="auto" w:fill="auto"/>
            <w:noWrap/>
          </w:tcPr>
          <w:p w14:paraId="4562A594" w14:textId="77777777" w:rsidR="006822EF" w:rsidRPr="00C7354B" w:rsidRDefault="006822EF" w:rsidP="00AB066F">
            <w:pPr>
              <w:widowControl w:val="0"/>
              <w:spacing w:line="240" w:lineRule="auto"/>
              <w:jc w:val="left"/>
              <w:rPr>
                <w:b/>
                <w:bCs/>
                <w:color w:val="000000" w:themeColor="text1"/>
                <w:sz w:val="22"/>
              </w:rPr>
            </w:pPr>
            <w:r w:rsidRPr="00C7354B">
              <w:rPr>
                <w:b/>
                <w:bCs/>
                <w:color w:val="000000" w:themeColor="text1"/>
                <w:sz w:val="22"/>
              </w:rPr>
              <w:t>Moderators</w:t>
            </w:r>
          </w:p>
        </w:tc>
        <w:tc>
          <w:tcPr>
            <w:tcW w:w="1795" w:type="dxa"/>
            <w:tcBorders>
              <w:top w:val="nil"/>
              <w:left w:val="nil"/>
              <w:right w:val="nil"/>
            </w:tcBorders>
            <w:shd w:val="clear" w:color="auto" w:fill="auto"/>
            <w:noWrap/>
          </w:tcPr>
          <w:p w14:paraId="7476FDB2" w14:textId="77777777" w:rsidR="006822EF" w:rsidRPr="00C7354B" w:rsidRDefault="006822EF" w:rsidP="00AB066F">
            <w:pPr>
              <w:widowControl w:val="0"/>
              <w:spacing w:line="240" w:lineRule="auto"/>
              <w:jc w:val="center"/>
              <w:rPr>
                <w:color w:val="000000" w:themeColor="text1"/>
                <w:sz w:val="22"/>
              </w:rPr>
            </w:pPr>
          </w:p>
        </w:tc>
        <w:tc>
          <w:tcPr>
            <w:tcW w:w="1795" w:type="dxa"/>
            <w:tcBorders>
              <w:top w:val="nil"/>
              <w:left w:val="nil"/>
              <w:right w:val="nil"/>
            </w:tcBorders>
          </w:tcPr>
          <w:p w14:paraId="13EF9B30" w14:textId="77777777" w:rsidR="006822EF" w:rsidRPr="00C7354B" w:rsidRDefault="006822EF" w:rsidP="00AB066F">
            <w:pPr>
              <w:widowControl w:val="0"/>
              <w:spacing w:line="240" w:lineRule="auto"/>
              <w:jc w:val="center"/>
              <w:rPr>
                <w:color w:val="000000" w:themeColor="text1"/>
                <w:sz w:val="22"/>
              </w:rPr>
            </w:pPr>
          </w:p>
        </w:tc>
        <w:tc>
          <w:tcPr>
            <w:tcW w:w="1796" w:type="dxa"/>
            <w:tcBorders>
              <w:top w:val="nil"/>
              <w:left w:val="nil"/>
              <w:right w:val="nil"/>
            </w:tcBorders>
          </w:tcPr>
          <w:p w14:paraId="6A214E49" w14:textId="77777777" w:rsidR="006822EF" w:rsidRPr="00C7354B" w:rsidRDefault="006822EF" w:rsidP="00AB066F">
            <w:pPr>
              <w:widowControl w:val="0"/>
              <w:spacing w:line="240" w:lineRule="auto"/>
              <w:jc w:val="center"/>
              <w:rPr>
                <w:color w:val="000000" w:themeColor="text1"/>
                <w:sz w:val="22"/>
              </w:rPr>
            </w:pPr>
          </w:p>
        </w:tc>
      </w:tr>
      <w:tr w:rsidR="006822EF" w:rsidRPr="00C7354B" w14:paraId="30597078" w14:textId="77777777" w:rsidTr="00394BE7">
        <w:trPr>
          <w:trHeight w:val="59"/>
          <w:jc w:val="center"/>
        </w:trPr>
        <w:tc>
          <w:tcPr>
            <w:tcW w:w="3686" w:type="dxa"/>
            <w:tcBorders>
              <w:top w:val="nil"/>
              <w:left w:val="nil"/>
              <w:right w:val="nil"/>
            </w:tcBorders>
            <w:shd w:val="clear" w:color="auto" w:fill="auto"/>
            <w:noWrap/>
          </w:tcPr>
          <w:p w14:paraId="1BA1AB1E" w14:textId="77777777" w:rsidR="006822EF" w:rsidRPr="00C7354B" w:rsidRDefault="006822EF" w:rsidP="00AB066F">
            <w:pPr>
              <w:widowControl w:val="0"/>
              <w:spacing w:line="240" w:lineRule="auto"/>
              <w:jc w:val="left"/>
              <w:rPr>
                <w:b/>
                <w:bCs/>
                <w:color w:val="000000" w:themeColor="text1"/>
                <w:sz w:val="22"/>
              </w:rPr>
            </w:pPr>
            <w:r w:rsidRPr="00C7354B">
              <w:rPr>
                <w:color w:val="000000" w:themeColor="text1"/>
                <w:kern w:val="2"/>
                <w:sz w:val="22"/>
                <w:lang w:eastAsia="zh-CN"/>
              </w:rPr>
              <w:t xml:space="preserve">   CEO Power</w:t>
            </w:r>
            <w:r w:rsidRPr="00C7354B">
              <w:rPr>
                <w:color w:val="000000" w:themeColor="text1"/>
                <w:sz w:val="22"/>
              </w:rPr>
              <w:t xml:space="preserve"> –</w:t>
            </w:r>
            <w:r w:rsidRPr="00C7354B">
              <w:rPr>
                <w:color w:val="000000" w:themeColor="text1"/>
                <w:kern w:val="2"/>
                <w:sz w:val="22"/>
                <w:lang w:eastAsia="zh-CN"/>
              </w:rPr>
              <w:t xml:space="preserve"> BIxRp </w:t>
            </w:r>
          </w:p>
        </w:tc>
        <w:tc>
          <w:tcPr>
            <w:tcW w:w="1795" w:type="dxa"/>
            <w:tcBorders>
              <w:top w:val="nil"/>
              <w:left w:val="nil"/>
              <w:right w:val="nil"/>
            </w:tcBorders>
            <w:shd w:val="clear" w:color="auto" w:fill="auto"/>
            <w:noWrap/>
          </w:tcPr>
          <w:p w14:paraId="242E568C"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-.07 (.02) [&lt; .001]</w:t>
            </w:r>
          </w:p>
        </w:tc>
        <w:tc>
          <w:tcPr>
            <w:tcW w:w="1795" w:type="dxa"/>
            <w:tcBorders>
              <w:top w:val="nil"/>
              <w:left w:val="nil"/>
              <w:right w:val="nil"/>
            </w:tcBorders>
          </w:tcPr>
          <w:p w14:paraId="20BAF8A0" w14:textId="77777777" w:rsidR="006822EF" w:rsidRPr="00C7354B" w:rsidRDefault="006822EF" w:rsidP="00AB066F">
            <w:pPr>
              <w:widowControl w:val="0"/>
              <w:spacing w:line="240" w:lineRule="auto"/>
              <w:jc w:val="center"/>
              <w:rPr>
                <w:color w:val="000000" w:themeColor="text1"/>
                <w:sz w:val="22"/>
              </w:rPr>
            </w:pPr>
          </w:p>
        </w:tc>
        <w:tc>
          <w:tcPr>
            <w:tcW w:w="1796" w:type="dxa"/>
            <w:tcBorders>
              <w:top w:val="nil"/>
              <w:left w:val="nil"/>
              <w:right w:val="nil"/>
            </w:tcBorders>
          </w:tcPr>
          <w:p w14:paraId="3FE0DBB4" w14:textId="77777777" w:rsidR="006822EF" w:rsidRPr="00C7354B" w:rsidRDefault="006822EF" w:rsidP="00AB066F">
            <w:pPr>
              <w:widowControl w:val="0"/>
              <w:spacing w:line="240" w:lineRule="auto"/>
              <w:jc w:val="center"/>
              <w:rPr>
                <w:color w:val="000000" w:themeColor="text1"/>
                <w:sz w:val="22"/>
              </w:rPr>
            </w:pPr>
          </w:p>
        </w:tc>
      </w:tr>
      <w:tr w:rsidR="006822EF" w:rsidRPr="00C7354B" w14:paraId="2D854BBE" w14:textId="77777777" w:rsidTr="00394BE7">
        <w:trPr>
          <w:trHeight w:val="59"/>
          <w:jc w:val="center"/>
        </w:trPr>
        <w:tc>
          <w:tcPr>
            <w:tcW w:w="3686" w:type="dxa"/>
            <w:tcBorders>
              <w:top w:val="nil"/>
              <w:left w:val="nil"/>
              <w:right w:val="nil"/>
            </w:tcBorders>
            <w:shd w:val="clear" w:color="auto" w:fill="auto"/>
            <w:noWrap/>
          </w:tcPr>
          <w:p w14:paraId="723C6A88" w14:textId="77777777" w:rsidR="006822EF" w:rsidRPr="00C7354B" w:rsidRDefault="006822EF" w:rsidP="00AB066F">
            <w:pPr>
              <w:widowControl w:val="0"/>
              <w:spacing w:line="240" w:lineRule="auto"/>
              <w:jc w:val="left"/>
              <w:rPr>
                <w:b/>
                <w:bCs/>
                <w:color w:val="000000" w:themeColor="text1"/>
                <w:sz w:val="22"/>
              </w:rPr>
            </w:pPr>
            <w:r w:rsidRPr="00C7354B">
              <w:rPr>
                <w:color w:val="000000" w:themeColor="text1"/>
                <w:kern w:val="2"/>
                <w:sz w:val="22"/>
                <w:lang w:eastAsia="zh-CN"/>
              </w:rPr>
              <w:t xml:space="preserve">   CEO Power</w:t>
            </w:r>
            <w:r w:rsidRPr="00C7354B">
              <w:rPr>
                <w:color w:val="000000" w:themeColor="text1"/>
                <w:sz w:val="22"/>
              </w:rPr>
              <w:t xml:space="preserve"> –</w:t>
            </w:r>
            <w:r w:rsidRPr="00C7354B">
              <w:rPr>
                <w:color w:val="000000" w:themeColor="text1"/>
                <w:kern w:val="2"/>
                <w:sz w:val="22"/>
                <w:lang w:eastAsia="zh-CN"/>
              </w:rPr>
              <w:t xml:space="preserve"> BIxAc</w:t>
            </w:r>
          </w:p>
        </w:tc>
        <w:tc>
          <w:tcPr>
            <w:tcW w:w="1795" w:type="dxa"/>
            <w:tcBorders>
              <w:top w:val="nil"/>
              <w:left w:val="nil"/>
              <w:right w:val="nil"/>
            </w:tcBorders>
            <w:shd w:val="clear" w:color="auto" w:fill="auto"/>
            <w:noWrap/>
          </w:tcPr>
          <w:p w14:paraId="12CFD36D"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.04 (.01) [&lt; .001]</w:t>
            </w:r>
          </w:p>
        </w:tc>
        <w:tc>
          <w:tcPr>
            <w:tcW w:w="1795" w:type="dxa"/>
            <w:tcBorders>
              <w:top w:val="nil"/>
              <w:left w:val="nil"/>
              <w:right w:val="nil"/>
            </w:tcBorders>
          </w:tcPr>
          <w:p w14:paraId="49EEC55A" w14:textId="77777777" w:rsidR="006822EF" w:rsidRPr="00C7354B" w:rsidRDefault="006822EF" w:rsidP="00AB066F">
            <w:pPr>
              <w:widowControl w:val="0"/>
              <w:spacing w:line="240" w:lineRule="auto"/>
              <w:jc w:val="center"/>
              <w:rPr>
                <w:color w:val="000000" w:themeColor="text1"/>
                <w:sz w:val="22"/>
              </w:rPr>
            </w:pPr>
          </w:p>
        </w:tc>
        <w:tc>
          <w:tcPr>
            <w:tcW w:w="1796" w:type="dxa"/>
            <w:tcBorders>
              <w:top w:val="nil"/>
              <w:left w:val="nil"/>
              <w:right w:val="nil"/>
            </w:tcBorders>
          </w:tcPr>
          <w:p w14:paraId="6815F5D8" w14:textId="77777777" w:rsidR="006822EF" w:rsidRPr="00C7354B" w:rsidRDefault="006822EF" w:rsidP="00AB066F">
            <w:pPr>
              <w:widowControl w:val="0"/>
              <w:spacing w:line="240" w:lineRule="auto"/>
              <w:jc w:val="center"/>
              <w:rPr>
                <w:color w:val="000000" w:themeColor="text1"/>
                <w:sz w:val="22"/>
              </w:rPr>
            </w:pPr>
          </w:p>
        </w:tc>
      </w:tr>
      <w:tr w:rsidR="006822EF" w:rsidRPr="00C7354B" w14:paraId="5B04BC04" w14:textId="77777777" w:rsidTr="00394BE7">
        <w:trPr>
          <w:trHeight w:val="59"/>
          <w:jc w:val="center"/>
        </w:trPr>
        <w:tc>
          <w:tcPr>
            <w:tcW w:w="3686" w:type="dxa"/>
            <w:tcBorders>
              <w:top w:val="nil"/>
              <w:left w:val="nil"/>
              <w:right w:val="nil"/>
            </w:tcBorders>
            <w:shd w:val="clear" w:color="auto" w:fill="auto"/>
            <w:noWrap/>
          </w:tcPr>
          <w:p w14:paraId="6DB77D8E" w14:textId="77777777" w:rsidR="006822EF" w:rsidRPr="00C7354B" w:rsidRDefault="006822EF" w:rsidP="00AB066F">
            <w:pPr>
              <w:widowControl w:val="0"/>
              <w:spacing w:line="240" w:lineRule="auto"/>
              <w:jc w:val="left"/>
              <w:rPr>
                <w:b/>
                <w:bCs/>
                <w:color w:val="000000" w:themeColor="text1"/>
                <w:sz w:val="22"/>
              </w:rPr>
            </w:pPr>
            <w:r w:rsidRPr="00C7354B">
              <w:rPr>
                <w:color w:val="000000" w:themeColor="text1"/>
                <w:kern w:val="2"/>
                <w:sz w:val="22"/>
                <w:lang w:eastAsia="zh-CN"/>
              </w:rPr>
              <w:t xml:space="preserve">   Formal institutions</w:t>
            </w:r>
            <w:r w:rsidRPr="00C7354B">
              <w:rPr>
                <w:color w:val="000000" w:themeColor="text1"/>
                <w:sz w:val="22"/>
              </w:rPr>
              <w:t xml:space="preserve"> –</w:t>
            </w:r>
            <w:r w:rsidRPr="00C7354B">
              <w:rPr>
                <w:color w:val="000000" w:themeColor="text1"/>
                <w:kern w:val="2"/>
                <w:sz w:val="22"/>
                <w:lang w:eastAsia="zh-CN"/>
              </w:rPr>
              <w:t xml:space="preserve"> BIxRp</w:t>
            </w:r>
          </w:p>
        </w:tc>
        <w:tc>
          <w:tcPr>
            <w:tcW w:w="1795" w:type="dxa"/>
            <w:tcBorders>
              <w:top w:val="nil"/>
              <w:left w:val="nil"/>
              <w:right w:val="nil"/>
            </w:tcBorders>
            <w:shd w:val="clear" w:color="auto" w:fill="auto"/>
            <w:noWrap/>
          </w:tcPr>
          <w:p w14:paraId="3358A001" w14:textId="77777777" w:rsidR="006822EF" w:rsidRPr="00C7354B" w:rsidRDefault="006822EF" w:rsidP="00AB066F">
            <w:pPr>
              <w:widowControl w:val="0"/>
              <w:spacing w:line="240" w:lineRule="auto"/>
              <w:jc w:val="center"/>
              <w:rPr>
                <w:color w:val="000000" w:themeColor="text1"/>
                <w:sz w:val="22"/>
              </w:rPr>
            </w:pPr>
          </w:p>
        </w:tc>
        <w:tc>
          <w:tcPr>
            <w:tcW w:w="1795" w:type="dxa"/>
            <w:tcBorders>
              <w:top w:val="nil"/>
              <w:left w:val="nil"/>
              <w:right w:val="nil"/>
            </w:tcBorders>
          </w:tcPr>
          <w:p w14:paraId="69FF2419"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.09 (.02) [&lt; .001]</w:t>
            </w:r>
          </w:p>
        </w:tc>
        <w:tc>
          <w:tcPr>
            <w:tcW w:w="1796" w:type="dxa"/>
            <w:tcBorders>
              <w:top w:val="nil"/>
              <w:left w:val="nil"/>
              <w:right w:val="nil"/>
            </w:tcBorders>
          </w:tcPr>
          <w:p w14:paraId="7C18B5D6" w14:textId="77777777" w:rsidR="006822EF" w:rsidRPr="00C7354B" w:rsidRDefault="006822EF" w:rsidP="00AB066F">
            <w:pPr>
              <w:widowControl w:val="0"/>
              <w:spacing w:line="240" w:lineRule="auto"/>
              <w:jc w:val="center"/>
              <w:rPr>
                <w:color w:val="000000" w:themeColor="text1"/>
                <w:sz w:val="22"/>
              </w:rPr>
            </w:pPr>
          </w:p>
        </w:tc>
      </w:tr>
      <w:tr w:rsidR="006822EF" w:rsidRPr="00C7354B" w14:paraId="7A9DD50A" w14:textId="77777777" w:rsidTr="00394BE7">
        <w:trPr>
          <w:trHeight w:val="59"/>
          <w:jc w:val="center"/>
        </w:trPr>
        <w:tc>
          <w:tcPr>
            <w:tcW w:w="3686" w:type="dxa"/>
            <w:tcBorders>
              <w:top w:val="nil"/>
              <w:left w:val="nil"/>
              <w:right w:val="nil"/>
            </w:tcBorders>
            <w:shd w:val="clear" w:color="auto" w:fill="auto"/>
            <w:noWrap/>
          </w:tcPr>
          <w:p w14:paraId="5FADC73C" w14:textId="77777777" w:rsidR="006822EF" w:rsidRPr="00C7354B" w:rsidRDefault="006822EF" w:rsidP="00AB066F">
            <w:pPr>
              <w:widowControl w:val="0"/>
              <w:spacing w:line="240" w:lineRule="auto"/>
              <w:jc w:val="left"/>
              <w:rPr>
                <w:b/>
                <w:bCs/>
                <w:color w:val="000000" w:themeColor="text1"/>
                <w:sz w:val="22"/>
              </w:rPr>
            </w:pPr>
            <w:r w:rsidRPr="00C7354B">
              <w:rPr>
                <w:color w:val="000000" w:themeColor="text1"/>
                <w:kern w:val="2"/>
                <w:sz w:val="22"/>
                <w:lang w:eastAsia="zh-CN"/>
              </w:rPr>
              <w:t xml:space="preserve">   Formal institutions</w:t>
            </w:r>
            <w:r w:rsidRPr="00C7354B">
              <w:rPr>
                <w:color w:val="000000" w:themeColor="text1"/>
                <w:sz w:val="22"/>
              </w:rPr>
              <w:t xml:space="preserve"> –</w:t>
            </w:r>
            <w:r w:rsidRPr="00C7354B">
              <w:rPr>
                <w:color w:val="000000" w:themeColor="text1"/>
                <w:kern w:val="2"/>
                <w:sz w:val="22"/>
                <w:lang w:eastAsia="zh-CN"/>
              </w:rPr>
              <w:t xml:space="preserve"> BIxAc</w:t>
            </w:r>
          </w:p>
        </w:tc>
        <w:tc>
          <w:tcPr>
            <w:tcW w:w="1795" w:type="dxa"/>
            <w:tcBorders>
              <w:top w:val="nil"/>
              <w:left w:val="nil"/>
              <w:right w:val="nil"/>
            </w:tcBorders>
            <w:shd w:val="clear" w:color="auto" w:fill="auto"/>
            <w:noWrap/>
          </w:tcPr>
          <w:p w14:paraId="28C12436" w14:textId="77777777" w:rsidR="006822EF" w:rsidRPr="00C7354B" w:rsidRDefault="006822EF" w:rsidP="00AB066F">
            <w:pPr>
              <w:widowControl w:val="0"/>
              <w:spacing w:line="240" w:lineRule="auto"/>
              <w:jc w:val="center"/>
              <w:rPr>
                <w:color w:val="000000" w:themeColor="text1"/>
                <w:sz w:val="22"/>
              </w:rPr>
            </w:pPr>
          </w:p>
        </w:tc>
        <w:tc>
          <w:tcPr>
            <w:tcW w:w="1795" w:type="dxa"/>
            <w:tcBorders>
              <w:top w:val="nil"/>
              <w:left w:val="nil"/>
              <w:right w:val="nil"/>
            </w:tcBorders>
          </w:tcPr>
          <w:p w14:paraId="1496F62C"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-.02 (.01) [.115]</w:t>
            </w:r>
          </w:p>
        </w:tc>
        <w:tc>
          <w:tcPr>
            <w:tcW w:w="1796" w:type="dxa"/>
            <w:tcBorders>
              <w:top w:val="nil"/>
              <w:left w:val="nil"/>
              <w:right w:val="nil"/>
            </w:tcBorders>
          </w:tcPr>
          <w:p w14:paraId="7E6EC58E" w14:textId="77777777" w:rsidR="006822EF" w:rsidRPr="00C7354B" w:rsidRDefault="006822EF" w:rsidP="00AB066F">
            <w:pPr>
              <w:widowControl w:val="0"/>
              <w:spacing w:line="240" w:lineRule="auto"/>
              <w:jc w:val="center"/>
              <w:rPr>
                <w:color w:val="000000" w:themeColor="text1"/>
                <w:sz w:val="22"/>
              </w:rPr>
            </w:pPr>
          </w:p>
        </w:tc>
      </w:tr>
      <w:tr w:rsidR="006822EF" w:rsidRPr="00C7354B" w14:paraId="55F21656" w14:textId="77777777" w:rsidTr="00394BE7">
        <w:trPr>
          <w:trHeight w:val="59"/>
          <w:jc w:val="center"/>
        </w:trPr>
        <w:tc>
          <w:tcPr>
            <w:tcW w:w="3686" w:type="dxa"/>
            <w:tcBorders>
              <w:top w:val="nil"/>
              <w:left w:val="nil"/>
              <w:right w:val="nil"/>
            </w:tcBorders>
            <w:shd w:val="clear" w:color="auto" w:fill="auto"/>
            <w:noWrap/>
          </w:tcPr>
          <w:p w14:paraId="1402D599" w14:textId="77777777" w:rsidR="006822EF" w:rsidRPr="00C7354B" w:rsidRDefault="006822EF" w:rsidP="00AB066F">
            <w:pPr>
              <w:spacing w:before="100" w:beforeAutospacing="1" w:after="100" w:afterAutospacing="1" w:line="240" w:lineRule="auto"/>
              <w:jc w:val="left"/>
              <w:rPr>
                <w:color w:val="000000" w:themeColor="text1"/>
                <w:sz w:val="22"/>
              </w:rPr>
            </w:pPr>
            <w:r w:rsidRPr="00C7354B">
              <w:rPr>
                <w:color w:val="000000" w:themeColor="text1"/>
                <w:kern w:val="2"/>
                <w:sz w:val="22"/>
                <w:lang w:eastAsia="zh-CN"/>
              </w:rPr>
              <w:t xml:space="preserve">   Informal institutions</w:t>
            </w:r>
            <w:r w:rsidRPr="00C7354B">
              <w:rPr>
                <w:color w:val="000000" w:themeColor="text1"/>
                <w:sz w:val="22"/>
              </w:rPr>
              <w:t xml:space="preserve"> –</w:t>
            </w:r>
            <w:r w:rsidRPr="00C7354B">
              <w:rPr>
                <w:color w:val="000000" w:themeColor="text1"/>
                <w:kern w:val="2"/>
                <w:sz w:val="22"/>
                <w:lang w:eastAsia="zh-CN"/>
              </w:rPr>
              <w:t xml:space="preserve"> BIxRp</w:t>
            </w:r>
          </w:p>
        </w:tc>
        <w:tc>
          <w:tcPr>
            <w:tcW w:w="1795" w:type="dxa"/>
            <w:tcBorders>
              <w:top w:val="nil"/>
              <w:left w:val="nil"/>
              <w:right w:val="nil"/>
            </w:tcBorders>
            <w:shd w:val="clear" w:color="auto" w:fill="auto"/>
            <w:noWrap/>
          </w:tcPr>
          <w:p w14:paraId="4BC916E3" w14:textId="77777777" w:rsidR="006822EF" w:rsidRPr="00C7354B" w:rsidRDefault="006822EF" w:rsidP="00AB066F">
            <w:pPr>
              <w:widowControl w:val="0"/>
              <w:spacing w:line="240" w:lineRule="auto"/>
              <w:jc w:val="center"/>
              <w:rPr>
                <w:color w:val="000000" w:themeColor="text1"/>
                <w:sz w:val="22"/>
              </w:rPr>
            </w:pPr>
          </w:p>
        </w:tc>
        <w:tc>
          <w:tcPr>
            <w:tcW w:w="1795" w:type="dxa"/>
            <w:tcBorders>
              <w:top w:val="nil"/>
              <w:left w:val="nil"/>
              <w:right w:val="nil"/>
            </w:tcBorders>
          </w:tcPr>
          <w:p w14:paraId="7C7FE72A" w14:textId="77777777" w:rsidR="006822EF" w:rsidRPr="00C7354B" w:rsidRDefault="006822EF" w:rsidP="00AB066F">
            <w:pPr>
              <w:widowControl w:val="0"/>
              <w:spacing w:line="240" w:lineRule="auto"/>
              <w:jc w:val="center"/>
              <w:rPr>
                <w:color w:val="000000" w:themeColor="text1"/>
                <w:sz w:val="22"/>
              </w:rPr>
            </w:pPr>
          </w:p>
        </w:tc>
        <w:tc>
          <w:tcPr>
            <w:tcW w:w="1796" w:type="dxa"/>
            <w:tcBorders>
              <w:top w:val="nil"/>
              <w:left w:val="nil"/>
              <w:right w:val="nil"/>
            </w:tcBorders>
          </w:tcPr>
          <w:p w14:paraId="51D43B41"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.10 (.02) [&lt; .001]</w:t>
            </w:r>
          </w:p>
        </w:tc>
      </w:tr>
      <w:tr w:rsidR="006822EF" w:rsidRPr="00C7354B" w14:paraId="76B0868F" w14:textId="77777777" w:rsidTr="00394BE7">
        <w:trPr>
          <w:trHeight w:val="59"/>
          <w:jc w:val="center"/>
        </w:trPr>
        <w:tc>
          <w:tcPr>
            <w:tcW w:w="3686" w:type="dxa"/>
            <w:tcBorders>
              <w:top w:val="nil"/>
              <w:left w:val="nil"/>
              <w:right w:val="nil"/>
            </w:tcBorders>
            <w:shd w:val="clear" w:color="auto" w:fill="auto"/>
            <w:noWrap/>
          </w:tcPr>
          <w:p w14:paraId="434FC665" w14:textId="77777777" w:rsidR="006822EF" w:rsidRPr="00C7354B" w:rsidRDefault="006822EF" w:rsidP="00AB066F">
            <w:pPr>
              <w:widowControl w:val="0"/>
              <w:spacing w:line="240" w:lineRule="auto"/>
              <w:jc w:val="left"/>
              <w:rPr>
                <w:b/>
                <w:bCs/>
                <w:color w:val="000000" w:themeColor="text1"/>
                <w:sz w:val="22"/>
              </w:rPr>
            </w:pPr>
            <w:r w:rsidRPr="00C7354B">
              <w:rPr>
                <w:color w:val="000000" w:themeColor="text1"/>
                <w:kern w:val="2"/>
                <w:sz w:val="22"/>
                <w:lang w:eastAsia="zh-CN"/>
              </w:rPr>
              <w:t xml:space="preserve">   Informal institutions</w:t>
            </w:r>
            <w:r w:rsidRPr="00C7354B">
              <w:rPr>
                <w:color w:val="000000" w:themeColor="text1"/>
                <w:sz w:val="22"/>
              </w:rPr>
              <w:t xml:space="preserve"> –</w:t>
            </w:r>
            <w:r w:rsidRPr="00C7354B">
              <w:rPr>
                <w:color w:val="000000" w:themeColor="text1"/>
                <w:kern w:val="2"/>
                <w:sz w:val="22"/>
                <w:lang w:eastAsia="zh-CN"/>
              </w:rPr>
              <w:t xml:space="preserve"> BIxAc</w:t>
            </w:r>
          </w:p>
        </w:tc>
        <w:tc>
          <w:tcPr>
            <w:tcW w:w="1795" w:type="dxa"/>
            <w:tcBorders>
              <w:top w:val="nil"/>
              <w:left w:val="nil"/>
              <w:right w:val="nil"/>
            </w:tcBorders>
            <w:shd w:val="clear" w:color="auto" w:fill="auto"/>
            <w:noWrap/>
          </w:tcPr>
          <w:p w14:paraId="667AF2C5" w14:textId="77777777" w:rsidR="006822EF" w:rsidRPr="00C7354B" w:rsidRDefault="006822EF" w:rsidP="00AB066F">
            <w:pPr>
              <w:widowControl w:val="0"/>
              <w:spacing w:line="240" w:lineRule="auto"/>
              <w:jc w:val="center"/>
              <w:rPr>
                <w:color w:val="000000" w:themeColor="text1"/>
                <w:sz w:val="22"/>
              </w:rPr>
            </w:pPr>
          </w:p>
        </w:tc>
        <w:tc>
          <w:tcPr>
            <w:tcW w:w="1795" w:type="dxa"/>
            <w:tcBorders>
              <w:top w:val="nil"/>
              <w:left w:val="nil"/>
              <w:right w:val="nil"/>
            </w:tcBorders>
          </w:tcPr>
          <w:p w14:paraId="15C066DB" w14:textId="77777777" w:rsidR="006822EF" w:rsidRPr="00C7354B" w:rsidRDefault="006822EF" w:rsidP="00AB066F">
            <w:pPr>
              <w:widowControl w:val="0"/>
              <w:spacing w:line="240" w:lineRule="auto"/>
              <w:jc w:val="center"/>
              <w:rPr>
                <w:color w:val="000000" w:themeColor="text1"/>
                <w:sz w:val="22"/>
              </w:rPr>
            </w:pPr>
          </w:p>
        </w:tc>
        <w:tc>
          <w:tcPr>
            <w:tcW w:w="1796" w:type="dxa"/>
            <w:tcBorders>
              <w:top w:val="nil"/>
              <w:left w:val="nil"/>
              <w:right w:val="nil"/>
            </w:tcBorders>
          </w:tcPr>
          <w:p w14:paraId="113699A2"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-.02 (.01) [.157]</w:t>
            </w:r>
          </w:p>
        </w:tc>
      </w:tr>
      <w:tr w:rsidR="006822EF" w:rsidRPr="00C7354B" w14:paraId="02007BD0" w14:textId="77777777" w:rsidTr="00394BE7">
        <w:trPr>
          <w:trHeight w:val="59"/>
          <w:jc w:val="center"/>
        </w:trPr>
        <w:tc>
          <w:tcPr>
            <w:tcW w:w="3686" w:type="dxa"/>
            <w:tcBorders>
              <w:top w:val="nil"/>
              <w:left w:val="nil"/>
              <w:right w:val="nil"/>
            </w:tcBorders>
            <w:shd w:val="clear" w:color="auto" w:fill="auto"/>
            <w:noWrap/>
          </w:tcPr>
          <w:p w14:paraId="6D270A51" w14:textId="77777777" w:rsidR="006822EF" w:rsidRPr="00C7354B" w:rsidRDefault="006822EF" w:rsidP="00AB066F">
            <w:pPr>
              <w:widowControl w:val="0"/>
              <w:spacing w:line="240" w:lineRule="auto"/>
              <w:jc w:val="left"/>
              <w:rPr>
                <w:b/>
                <w:bCs/>
                <w:color w:val="000000" w:themeColor="text1"/>
                <w:sz w:val="22"/>
              </w:rPr>
            </w:pPr>
            <w:r w:rsidRPr="00C7354B">
              <w:rPr>
                <w:b/>
                <w:bCs/>
                <w:color w:val="000000" w:themeColor="text1"/>
                <w:sz w:val="22"/>
              </w:rPr>
              <w:t>Controls</w:t>
            </w:r>
          </w:p>
        </w:tc>
        <w:tc>
          <w:tcPr>
            <w:tcW w:w="1795" w:type="dxa"/>
            <w:tcBorders>
              <w:top w:val="nil"/>
              <w:left w:val="nil"/>
              <w:right w:val="nil"/>
            </w:tcBorders>
            <w:shd w:val="clear" w:color="auto" w:fill="auto"/>
            <w:noWrap/>
          </w:tcPr>
          <w:p w14:paraId="0DC3B4B3" w14:textId="77777777" w:rsidR="006822EF" w:rsidRPr="00C7354B" w:rsidRDefault="006822EF" w:rsidP="00AB066F">
            <w:pPr>
              <w:widowControl w:val="0"/>
              <w:spacing w:line="240" w:lineRule="auto"/>
              <w:jc w:val="center"/>
              <w:rPr>
                <w:color w:val="000000" w:themeColor="text1"/>
                <w:sz w:val="22"/>
              </w:rPr>
            </w:pPr>
          </w:p>
        </w:tc>
        <w:tc>
          <w:tcPr>
            <w:tcW w:w="1795" w:type="dxa"/>
            <w:tcBorders>
              <w:top w:val="nil"/>
              <w:left w:val="nil"/>
              <w:right w:val="nil"/>
            </w:tcBorders>
          </w:tcPr>
          <w:p w14:paraId="27F7E077" w14:textId="77777777" w:rsidR="006822EF" w:rsidRPr="00C7354B" w:rsidRDefault="006822EF" w:rsidP="00AB066F">
            <w:pPr>
              <w:widowControl w:val="0"/>
              <w:spacing w:line="240" w:lineRule="auto"/>
              <w:jc w:val="center"/>
              <w:rPr>
                <w:color w:val="000000" w:themeColor="text1"/>
                <w:sz w:val="22"/>
              </w:rPr>
            </w:pPr>
          </w:p>
        </w:tc>
        <w:tc>
          <w:tcPr>
            <w:tcW w:w="1796" w:type="dxa"/>
            <w:tcBorders>
              <w:top w:val="nil"/>
              <w:left w:val="nil"/>
              <w:right w:val="nil"/>
            </w:tcBorders>
          </w:tcPr>
          <w:p w14:paraId="6B6AF9DD" w14:textId="77777777" w:rsidR="006822EF" w:rsidRPr="00C7354B" w:rsidRDefault="006822EF" w:rsidP="00AB066F">
            <w:pPr>
              <w:widowControl w:val="0"/>
              <w:spacing w:line="240" w:lineRule="auto"/>
              <w:jc w:val="center"/>
              <w:rPr>
                <w:color w:val="000000" w:themeColor="text1"/>
                <w:sz w:val="22"/>
              </w:rPr>
            </w:pPr>
          </w:p>
        </w:tc>
      </w:tr>
      <w:tr w:rsidR="006822EF" w:rsidRPr="00C7354B" w14:paraId="07018919" w14:textId="77777777" w:rsidTr="00394BE7">
        <w:trPr>
          <w:trHeight w:val="59"/>
          <w:jc w:val="center"/>
        </w:trPr>
        <w:tc>
          <w:tcPr>
            <w:tcW w:w="3686" w:type="dxa"/>
            <w:tcBorders>
              <w:top w:val="nil"/>
              <w:left w:val="nil"/>
              <w:right w:val="nil"/>
            </w:tcBorders>
            <w:shd w:val="clear" w:color="auto" w:fill="auto"/>
            <w:noWrap/>
          </w:tcPr>
          <w:p w14:paraId="679A9D06" w14:textId="77777777" w:rsidR="006822EF" w:rsidRPr="00C7354B" w:rsidRDefault="006822EF" w:rsidP="00AB066F">
            <w:pPr>
              <w:widowControl w:val="0"/>
              <w:spacing w:line="240" w:lineRule="auto"/>
              <w:jc w:val="left"/>
              <w:rPr>
                <w:b/>
                <w:bCs/>
                <w:color w:val="000000" w:themeColor="text1"/>
                <w:sz w:val="22"/>
              </w:rPr>
            </w:pPr>
            <w:r w:rsidRPr="00C7354B">
              <w:rPr>
                <w:color w:val="000000" w:themeColor="text1"/>
                <w:kern w:val="2"/>
                <w:sz w:val="22"/>
                <w:lang w:eastAsia="zh-CN"/>
              </w:rPr>
              <w:t xml:space="preserve">   Firm size </w:t>
            </w:r>
            <w:r w:rsidRPr="00C7354B">
              <w:rPr>
                <w:color w:val="000000" w:themeColor="text1"/>
                <w:sz w:val="22"/>
              </w:rPr>
              <w:t>–</w:t>
            </w:r>
            <w:r w:rsidRPr="00C7354B">
              <w:rPr>
                <w:color w:val="000000" w:themeColor="text1"/>
                <w:kern w:val="2"/>
                <w:sz w:val="22"/>
                <w:lang w:eastAsia="zh-CN"/>
              </w:rPr>
              <w:t xml:space="preserve"> Performance</w:t>
            </w:r>
          </w:p>
        </w:tc>
        <w:tc>
          <w:tcPr>
            <w:tcW w:w="1795" w:type="dxa"/>
            <w:tcBorders>
              <w:top w:val="nil"/>
              <w:left w:val="nil"/>
              <w:right w:val="nil"/>
            </w:tcBorders>
            <w:shd w:val="clear" w:color="auto" w:fill="auto"/>
            <w:noWrap/>
          </w:tcPr>
          <w:p w14:paraId="3186CD71"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.07 (.02) [&lt; .001]</w:t>
            </w:r>
          </w:p>
        </w:tc>
        <w:tc>
          <w:tcPr>
            <w:tcW w:w="1795" w:type="dxa"/>
            <w:tcBorders>
              <w:top w:val="nil"/>
              <w:left w:val="nil"/>
              <w:right w:val="nil"/>
            </w:tcBorders>
          </w:tcPr>
          <w:p w14:paraId="1B8445DD"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kern w:val="2"/>
                <w:sz w:val="22"/>
                <w:lang w:eastAsia="zh-CN"/>
              </w:rPr>
              <w:t>.07 (.02)</w:t>
            </w:r>
            <w:r w:rsidRPr="00C7354B">
              <w:rPr>
                <w:color w:val="000000" w:themeColor="text1"/>
                <w:sz w:val="22"/>
              </w:rPr>
              <w:t xml:space="preserve"> [&lt; .001]</w:t>
            </w:r>
          </w:p>
        </w:tc>
        <w:tc>
          <w:tcPr>
            <w:tcW w:w="1796" w:type="dxa"/>
            <w:tcBorders>
              <w:top w:val="nil"/>
              <w:left w:val="nil"/>
              <w:right w:val="nil"/>
            </w:tcBorders>
          </w:tcPr>
          <w:p w14:paraId="3C78F2A5"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kern w:val="2"/>
                <w:sz w:val="22"/>
                <w:lang w:eastAsia="zh-CN"/>
              </w:rPr>
              <w:t>.07 (.02)</w:t>
            </w:r>
            <w:r w:rsidRPr="00C7354B">
              <w:rPr>
                <w:color w:val="000000" w:themeColor="text1"/>
                <w:sz w:val="22"/>
              </w:rPr>
              <w:t xml:space="preserve"> [&lt; .001]</w:t>
            </w:r>
          </w:p>
        </w:tc>
      </w:tr>
      <w:tr w:rsidR="006822EF" w:rsidRPr="00C7354B" w14:paraId="6C5DBE08" w14:textId="77777777" w:rsidTr="00394BE7">
        <w:trPr>
          <w:trHeight w:val="59"/>
          <w:jc w:val="center"/>
        </w:trPr>
        <w:tc>
          <w:tcPr>
            <w:tcW w:w="3686" w:type="dxa"/>
            <w:tcBorders>
              <w:top w:val="nil"/>
              <w:left w:val="nil"/>
              <w:right w:val="nil"/>
            </w:tcBorders>
            <w:shd w:val="clear" w:color="auto" w:fill="auto"/>
            <w:noWrap/>
          </w:tcPr>
          <w:p w14:paraId="60F53FCC" w14:textId="77777777" w:rsidR="006822EF" w:rsidRPr="00C7354B" w:rsidRDefault="006822EF" w:rsidP="00AB066F">
            <w:pPr>
              <w:widowControl w:val="0"/>
              <w:spacing w:line="240" w:lineRule="auto"/>
              <w:jc w:val="left"/>
              <w:rPr>
                <w:rFonts w:eastAsia="Helvetica"/>
                <w:color w:val="000000" w:themeColor="text1"/>
                <w:sz w:val="22"/>
              </w:rPr>
            </w:pPr>
            <w:r w:rsidRPr="00C7354B">
              <w:rPr>
                <w:color w:val="000000" w:themeColor="text1"/>
                <w:kern w:val="2"/>
                <w:sz w:val="22"/>
                <w:lang w:eastAsia="zh-CN"/>
              </w:rPr>
              <w:t xml:space="preserve">   Firm size </w:t>
            </w:r>
            <w:r w:rsidRPr="00C7354B">
              <w:rPr>
                <w:color w:val="000000" w:themeColor="text1"/>
                <w:sz w:val="22"/>
              </w:rPr>
              <w:t>–</w:t>
            </w:r>
            <w:r w:rsidRPr="00C7354B">
              <w:rPr>
                <w:color w:val="000000" w:themeColor="text1"/>
                <w:kern w:val="2"/>
                <w:sz w:val="22"/>
                <w:lang w:eastAsia="zh-CN"/>
              </w:rPr>
              <w:t xml:space="preserve"> Resource provision</w:t>
            </w:r>
          </w:p>
        </w:tc>
        <w:tc>
          <w:tcPr>
            <w:tcW w:w="1795" w:type="dxa"/>
            <w:tcBorders>
              <w:top w:val="nil"/>
              <w:left w:val="nil"/>
              <w:right w:val="nil"/>
            </w:tcBorders>
            <w:shd w:val="clear" w:color="auto" w:fill="auto"/>
            <w:noWrap/>
          </w:tcPr>
          <w:p w14:paraId="3B9D6C65"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.09 (.04) [&lt; .001]</w:t>
            </w:r>
          </w:p>
        </w:tc>
        <w:tc>
          <w:tcPr>
            <w:tcW w:w="1795" w:type="dxa"/>
            <w:tcBorders>
              <w:top w:val="nil"/>
              <w:left w:val="nil"/>
              <w:right w:val="nil"/>
            </w:tcBorders>
          </w:tcPr>
          <w:p w14:paraId="21543F20"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kern w:val="2"/>
                <w:sz w:val="22"/>
                <w:lang w:eastAsia="zh-CN"/>
              </w:rPr>
              <w:t>.09 (.04)</w:t>
            </w:r>
            <w:r w:rsidRPr="00C7354B">
              <w:rPr>
                <w:color w:val="000000" w:themeColor="text1"/>
                <w:sz w:val="22"/>
              </w:rPr>
              <w:t xml:space="preserve"> [&lt; .001]</w:t>
            </w:r>
          </w:p>
        </w:tc>
        <w:tc>
          <w:tcPr>
            <w:tcW w:w="1796" w:type="dxa"/>
            <w:tcBorders>
              <w:top w:val="nil"/>
              <w:left w:val="nil"/>
              <w:right w:val="nil"/>
            </w:tcBorders>
          </w:tcPr>
          <w:p w14:paraId="38067FB3"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kern w:val="2"/>
                <w:sz w:val="22"/>
                <w:lang w:eastAsia="zh-CN"/>
              </w:rPr>
              <w:t>.09 (.04)</w:t>
            </w:r>
            <w:r w:rsidRPr="00C7354B">
              <w:rPr>
                <w:color w:val="000000" w:themeColor="text1"/>
                <w:sz w:val="22"/>
              </w:rPr>
              <w:t xml:space="preserve"> [&lt; .001]</w:t>
            </w:r>
          </w:p>
        </w:tc>
      </w:tr>
      <w:tr w:rsidR="006822EF" w:rsidRPr="00C7354B" w14:paraId="6CAE39CB" w14:textId="77777777" w:rsidTr="00394BE7">
        <w:trPr>
          <w:trHeight w:val="59"/>
          <w:jc w:val="center"/>
        </w:trPr>
        <w:tc>
          <w:tcPr>
            <w:tcW w:w="3686" w:type="dxa"/>
            <w:tcBorders>
              <w:top w:val="nil"/>
              <w:left w:val="nil"/>
              <w:right w:val="nil"/>
            </w:tcBorders>
            <w:shd w:val="clear" w:color="auto" w:fill="auto"/>
            <w:noWrap/>
          </w:tcPr>
          <w:p w14:paraId="63502819" w14:textId="77777777" w:rsidR="006822EF" w:rsidRPr="00C7354B" w:rsidRDefault="006822EF" w:rsidP="00AB066F">
            <w:pPr>
              <w:widowControl w:val="0"/>
              <w:spacing w:line="240" w:lineRule="auto"/>
              <w:jc w:val="left"/>
              <w:rPr>
                <w:rFonts w:eastAsia="Helvetica"/>
                <w:color w:val="000000" w:themeColor="text1"/>
                <w:sz w:val="22"/>
              </w:rPr>
            </w:pPr>
            <w:r w:rsidRPr="00C7354B">
              <w:rPr>
                <w:color w:val="000000" w:themeColor="text1"/>
                <w:kern w:val="2"/>
                <w:sz w:val="22"/>
                <w:lang w:eastAsia="zh-CN"/>
              </w:rPr>
              <w:t xml:space="preserve">   Firm size </w:t>
            </w:r>
            <w:r w:rsidRPr="00C7354B">
              <w:rPr>
                <w:color w:val="000000" w:themeColor="text1"/>
                <w:sz w:val="22"/>
              </w:rPr>
              <w:t>–</w:t>
            </w:r>
            <w:r w:rsidRPr="00C7354B">
              <w:rPr>
                <w:color w:val="000000" w:themeColor="text1"/>
                <w:kern w:val="2"/>
                <w:sz w:val="22"/>
                <w:lang w:eastAsia="zh-CN"/>
              </w:rPr>
              <w:t xml:space="preserve"> Agency costs</w:t>
            </w:r>
          </w:p>
        </w:tc>
        <w:tc>
          <w:tcPr>
            <w:tcW w:w="1795" w:type="dxa"/>
            <w:tcBorders>
              <w:top w:val="nil"/>
              <w:left w:val="nil"/>
              <w:right w:val="nil"/>
            </w:tcBorders>
            <w:shd w:val="clear" w:color="auto" w:fill="auto"/>
            <w:noWrap/>
          </w:tcPr>
          <w:p w14:paraId="151F3634"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.09 (.01) [&lt; .001]</w:t>
            </w:r>
          </w:p>
        </w:tc>
        <w:tc>
          <w:tcPr>
            <w:tcW w:w="1795" w:type="dxa"/>
            <w:tcBorders>
              <w:top w:val="nil"/>
              <w:left w:val="nil"/>
              <w:right w:val="nil"/>
            </w:tcBorders>
          </w:tcPr>
          <w:p w14:paraId="696F2AAD"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kern w:val="2"/>
                <w:sz w:val="22"/>
                <w:lang w:eastAsia="zh-CN"/>
              </w:rPr>
              <w:t>.10 (.02)</w:t>
            </w:r>
            <w:r w:rsidRPr="00C7354B">
              <w:rPr>
                <w:color w:val="000000" w:themeColor="text1"/>
                <w:sz w:val="22"/>
              </w:rPr>
              <w:t xml:space="preserve"> [&lt; .001]</w:t>
            </w:r>
          </w:p>
        </w:tc>
        <w:tc>
          <w:tcPr>
            <w:tcW w:w="1796" w:type="dxa"/>
            <w:tcBorders>
              <w:top w:val="nil"/>
              <w:left w:val="nil"/>
              <w:right w:val="nil"/>
            </w:tcBorders>
          </w:tcPr>
          <w:p w14:paraId="68C51B1E"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kern w:val="2"/>
                <w:sz w:val="22"/>
                <w:lang w:eastAsia="zh-CN"/>
              </w:rPr>
              <w:t>.09 (.01)</w:t>
            </w:r>
            <w:r w:rsidRPr="00C7354B">
              <w:rPr>
                <w:color w:val="000000" w:themeColor="text1"/>
                <w:sz w:val="22"/>
              </w:rPr>
              <w:t xml:space="preserve"> [&lt; .001]</w:t>
            </w:r>
          </w:p>
        </w:tc>
      </w:tr>
      <w:tr w:rsidR="006822EF" w:rsidRPr="00C7354B" w14:paraId="79134185" w14:textId="77777777" w:rsidTr="00394BE7">
        <w:trPr>
          <w:trHeight w:val="59"/>
          <w:jc w:val="center"/>
        </w:trPr>
        <w:tc>
          <w:tcPr>
            <w:tcW w:w="3686" w:type="dxa"/>
            <w:tcBorders>
              <w:top w:val="nil"/>
              <w:left w:val="nil"/>
              <w:right w:val="nil"/>
            </w:tcBorders>
            <w:shd w:val="clear" w:color="auto" w:fill="auto"/>
            <w:noWrap/>
            <w:vAlign w:val="center"/>
          </w:tcPr>
          <w:p w14:paraId="72EC1029" w14:textId="77777777" w:rsidR="006822EF" w:rsidRPr="00C7354B" w:rsidRDefault="006822EF" w:rsidP="00AB066F">
            <w:pPr>
              <w:widowControl w:val="0"/>
              <w:spacing w:line="240" w:lineRule="auto"/>
              <w:jc w:val="left"/>
              <w:rPr>
                <w:b/>
                <w:bCs/>
                <w:color w:val="000000" w:themeColor="text1"/>
                <w:sz w:val="22"/>
              </w:rPr>
            </w:pPr>
            <w:r w:rsidRPr="00C7354B">
              <w:rPr>
                <w:rFonts w:eastAsia="Helvetica"/>
                <w:color w:val="000000" w:themeColor="text1"/>
                <w:sz w:val="22"/>
              </w:rPr>
              <w:t xml:space="preserve">   Accounting indicator (0/1)</w:t>
            </w:r>
          </w:p>
        </w:tc>
        <w:tc>
          <w:tcPr>
            <w:tcW w:w="1795" w:type="dxa"/>
            <w:tcBorders>
              <w:top w:val="nil"/>
              <w:left w:val="nil"/>
              <w:right w:val="nil"/>
            </w:tcBorders>
            <w:shd w:val="clear" w:color="auto" w:fill="auto"/>
            <w:noWrap/>
          </w:tcPr>
          <w:p w14:paraId="6534F8FE"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True</w:t>
            </w:r>
          </w:p>
        </w:tc>
        <w:tc>
          <w:tcPr>
            <w:tcW w:w="1795" w:type="dxa"/>
            <w:tcBorders>
              <w:top w:val="nil"/>
              <w:left w:val="nil"/>
              <w:right w:val="nil"/>
            </w:tcBorders>
          </w:tcPr>
          <w:p w14:paraId="3C410B1B"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True</w:t>
            </w:r>
          </w:p>
        </w:tc>
        <w:tc>
          <w:tcPr>
            <w:tcW w:w="1796" w:type="dxa"/>
            <w:tcBorders>
              <w:top w:val="nil"/>
              <w:left w:val="nil"/>
              <w:right w:val="nil"/>
            </w:tcBorders>
          </w:tcPr>
          <w:p w14:paraId="2653D4B1"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True</w:t>
            </w:r>
          </w:p>
        </w:tc>
      </w:tr>
      <w:tr w:rsidR="006822EF" w:rsidRPr="00C7354B" w14:paraId="2C0BC573" w14:textId="77777777" w:rsidTr="00394BE7">
        <w:trPr>
          <w:trHeight w:val="59"/>
          <w:jc w:val="center"/>
        </w:trPr>
        <w:tc>
          <w:tcPr>
            <w:tcW w:w="3686" w:type="dxa"/>
            <w:tcBorders>
              <w:top w:val="nil"/>
              <w:left w:val="nil"/>
              <w:right w:val="nil"/>
            </w:tcBorders>
            <w:shd w:val="clear" w:color="auto" w:fill="auto"/>
            <w:noWrap/>
            <w:vAlign w:val="center"/>
          </w:tcPr>
          <w:p w14:paraId="72C5867F" w14:textId="77777777" w:rsidR="006822EF" w:rsidRPr="00C7354B" w:rsidRDefault="006822EF" w:rsidP="00AB066F">
            <w:pPr>
              <w:widowControl w:val="0"/>
              <w:spacing w:line="240" w:lineRule="auto"/>
              <w:jc w:val="left"/>
              <w:rPr>
                <w:color w:val="000000" w:themeColor="text1"/>
                <w:kern w:val="2"/>
                <w:sz w:val="22"/>
                <w:lang w:eastAsia="zh-CN"/>
              </w:rPr>
            </w:pPr>
            <w:r w:rsidRPr="00C7354B">
              <w:rPr>
                <w:rFonts w:eastAsia="Helvetica"/>
                <w:color w:val="000000" w:themeColor="text1"/>
                <w:sz w:val="22"/>
              </w:rPr>
              <w:t xml:space="preserve">   Endogeneity control (0/1)</w:t>
            </w:r>
          </w:p>
        </w:tc>
        <w:tc>
          <w:tcPr>
            <w:tcW w:w="1795" w:type="dxa"/>
            <w:tcBorders>
              <w:top w:val="nil"/>
              <w:left w:val="nil"/>
              <w:right w:val="nil"/>
            </w:tcBorders>
            <w:shd w:val="clear" w:color="auto" w:fill="auto"/>
            <w:noWrap/>
          </w:tcPr>
          <w:p w14:paraId="1EC5A7A8"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True</w:t>
            </w:r>
          </w:p>
        </w:tc>
        <w:tc>
          <w:tcPr>
            <w:tcW w:w="1795" w:type="dxa"/>
            <w:tcBorders>
              <w:top w:val="nil"/>
              <w:left w:val="nil"/>
              <w:right w:val="nil"/>
            </w:tcBorders>
          </w:tcPr>
          <w:p w14:paraId="1FBD92B4"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True</w:t>
            </w:r>
          </w:p>
        </w:tc>
        <w:tc>
          <w:tcPr>
            <w:tcW w:w="1796" w:type="dxa"/>
            <w:tcBorders>
              <w:top w:val="nil"/>
              <w:left w:val="nil"/>
              <w:right w:val="nil"/>
            </w:tcBorders>
          </w:tcPr>
          <w:p w14:paraId="46B1BF7C"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True</w:t>
            </w:r>
          </w:p>
        </w:tc>
      </w:tr>
      <w:tr w:rsidR="006822EF" w:rsidRPr="00C7354B" w14:paraId="2B6A95C4" w14:textId="77777777" w:rsidTr="00394BE7">
        <w:trPr>
          <w:trHeight w:val="59"/>
          <w:jc w:val="center"/>
        </w:trPr>
        <w:tc>
          <w:tcPr>
            <w:tcW w:w="3686" w:type="dxa"/>
            <w:tcBorders>
              <w:top w:val="nil"/>
              <w:left w:val="nil"/>
              <w:right w:val="nil"/>
            </w:tcBorders>
            <w:shd w:val="clear" w:color="auto" w:fill="auto"/>
            <w:noWrap/>
            <w:vAlign w:val="center"/>
          </w:tcPr>
          <w:p w14:paraId="5AA2989A" w14:textId="77777777" w:rsidR="006822EF" w:rsidRPr="00C7354B" w:rsidRDefault="006822EF" w:rsidP="00AB066F">
            <w:pPr>
              <w:widowControl w:val="0"/>
              <w:spacing w:line="240" w:lineRule="auto"/>
              <w:jc w:val="left"/>
              <w:rPr>
                <w:color w:val="000000" w:themeColor="text1"/>
                <w:kern w:val="2"/>
                <w:sz w:val="22"/>
                <w:lang w:eastAsia="zh-CN"/>
              </w:rPr>
            </w:pPr>
            <w:r w:rsidRPr="00C7354B">
              <w:rPr>
                <w:rFonts w:eastAsia="Helvetica"/>
                <w:color w:val="000000" w:themeColor="text1"/>
                <w:sz w:val="22"/>
              </w:rPr>
              <w:t xml:space="preserve">   Journal impact factor</w:t>
            </w:r>
          </w:p>
        </w:tc>
        <w:tc>
          <w:tcPr>
            <w:tcW w:w="1795" w:type="dxa"/>
            <w:tcBorders>
              <w:top w:val="nil"/>
              <w:left w:val="nil"/>
              <w:right w:val="nil"/>
            </w:tcBorders>
            <w:shd w:val="clear" w:color="auto" w:fill="auto"/>
            <w:noWrap/>
          </w:tcPr>
          <w:p w14:paraId="2AC54541"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True</w:t>
            </w:r>
          </w:p>
        </w:tc>
        <w:tc>
          <w:tcPr>
            <w:tcW w:w="1795" w:type="dxa"/>
            <w:tcBorders>
              <w:top w:val="nil"/>
              <w:left w:val="nil"/>
              <w:right w:val="nil"/>
            </w:tcBorders>
          </w:tcPr>
          <w:p w14:paraId="6CFEAB5F"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True</w:t>
            </w:r>
          </w:p>
        </w:tc>
        <w:tc>
          <w:tcPr>
            <w:tcW w:w="1796" w:type="dxa"/>
            <w:tcBorders>
              <w:top w:val="nil"/>
              <w:left w:val="nil"/>
              <w:right w:val="nil"/>
            </w:tcBorders>
          </w:tcPr>
          <w:p w14:paraId="010156C6"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True</w:t>
            </w:r>
          </w:p>
        </w:tc>
      </w:tr>
      <w:tr w:rsidR="006822EF" w:rsidRPr="00C7354B" w14:paraId="20DB7CFE" w14:textId="77777777" w:rsidTr="00394BE7">
        <w:trPr>
          <w:trHeight w:val="59"/>
          <w:jc w:val="center"/>
        </w:trPr>
        <w:tc>
          <w:tcPr>
            <w:tcW w:w="3686" w:type="dxa"/>
            <w:tcBorders>
              <w:top w:val="nil"/>
              <w:left w:val="nil"/>
              <w:right w:val="nil"/>
            </w:tcBorders>
            <w:shd w:val="clear" w:color="auto" w:fill="auto"/>
            <w:noWrap/>
            <w:vAlign w:val="center"/>
          </w:tcPr>
          <w:p w14:paraId="33003DA6" w14:textId="77777777" w:rsidR="006822EF" w:rsidRPr="00C7354B" w:rsidRDefault="006822EF" w:rsidP="00AB066F">
            <w:pPr>
              <w:widowControl w:val="0"/>
              <w:spacing w:line="240" w:lineRule="auto"/>
              <w:jc w:val="left"/>
              <w:rPr>
                <w:color w:val="000000" w:themeColor="text1"/>
                <w:kern w:val="2"/>
                <w:sz w:val="22"/>
                <w:lang w:eastAsia="zh-CN"/>
              </w:rPr>
            </w:pPr>
            <w:r w:rsidRPr="00C7354B">
              <w:rPr>
                <w:rFonts w:eastAsia="Helvetica"/>
                <w:color w:val="000000" w:themeColor="text1"/>
                <w:sz w:val="22"/>
              </w:rPr>
              <w:t xml:space="preserve">   Industry control</w:t>
            </w:r>
          </w:p>
        </w:tc>
        <w:tc>
          <w:tcPr>
            <w:tcW w:w="1795" w:type="dxa"/>
            <w:tcBorders>
              <w:top w:val="nil"/>
              <w:left w:val="nil"/>
              <w:right w:val="nil"/>
            </w:tcBorders>
            <w:shd w:val="clear" w:color="auto" w:fill="auto"/>
            <w:noWrap/>
          </w:tcPr>
          <w:p w14:paraId="2B49C62F"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True</w:t>
            </w:r>
          </w:p>
        </w:tc>
        <w:tc>
          <w:tcPr>
            <w:tcW w:w="1795" w:type="dxa"/>
            <w:tcBorders>
              <w:top w:val="nil"/>
              <w:left w:val="nil"/>
              <w:right w:val="nil"/>
            </w:tcBorders>
          </w:tcPr>
          <w:p w14:paraId="4844D619"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True</w:t>
            </w:r>
          </w:p>
        </w:tc>
        <w:tc>
          <w:tcPr>
            <w:tcW w:w="1796" w:type="dxa"/>
            <w:tcBorders>
              <w:top w:val="nil"/>
              <w:left w:val="nil"/>
              <w:right w:val="nil"/>
            </w:tcBorders>
          </w:tcPr>
          <w:p w14:paraId="13D65730"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True</w:t>
            </w:r>
          </w:p>
        </w:tc>
      </w:tr>
      <w:tr w:rsidR="006822EF" w:rsidRPr="00C7354B" w14:paraId="4DF90749" w14:textId="77777777" w:rsidTr="00394BE7">
        <w:trPr>
          <w:trHeight w:val="59"/>
          <w:jc w:val="center"/>
        </w:trPr>
        <w:tc>
          <w:tcPr>
            <w:tcW w:w="3686" w:type="dxa"/>
            <w:tcBorders>
              <w:top w:val="nil"/>
              <w:left w:val="nil"/>
              <w:bottom w:val="nil"/>
              <w:right w:val="nil"/>
            </w:tcBorders>
            <w:shd w:val="clear" w:color="auto" w:fill="auto"/>
            <w:noWrap/>
          </w:tcPr>
          <w:p w14:paraId="1F56EABA" w14:textId="77777777" w:rsidR="006822EF" w:rsidRPr="00C7354B" w:rsidRDefault="006822EF" w:rsidP="00AB066F">
            <w:pPr>
              <w:widowControl w:val="0"/>
              <w:spacing w:line="240" w:lineRule="auto"/>
              <w:jc w:val="left"/>
              <w:rPr>
                <w:b/>
                <w:bCs/>
                <w:color w:val="000000" w:themeColor="text1"/>
                <w:sz w:val="22"/>
              </w:rPr>
            </w:pPr>
            <w:r w:rsidRPr="00C7354B">
              <w:rPr>
                <w:b/>
                <w:bCs/>
                <w:color w:val="000000" w:themeColor="text1"/>
                <w:sz w:val="22"/>
              </w:rPr>
              <w:t>Model indices</w:t>
            </w:r>
          </w:p>
        </w:tc>
        <w:tc>
          <w:tcPr>
            <w:tcW w:w="1795" w:type="dxa"/>
            <w:tcBorders>
              <w:top w:val="nil"/>
              <w:left w:val="nil"/>
              <w:bottom w:val="nil"/>
              <w:right w:val="nil"/>
            </w:tcBorders>
            <w:shd w:val="clear" w:color="auto" w:fill="auto"/>
            <w:noWrap/>
          </w:tcPr>
          <w:p w14:paraId="64779BDD" w14:textId="77777777" w:rsidR="006822EF" w:rsidRPr="00C7354B" w:rsidRDefault="006822EF" w:rsidP="00AB066F">
            <w:pPr>
              <w:widowControl w:val="0"/>
              <w:spacing w:line="240" w:lineRule="auto"/>
              <w:jc w:val="center"/>
              <w:rPr>
                <w:color w:val="000000" w:themeColor="text1"/>
                <w:sz w:val="22"/>
              </w:rPr>
            </w:pPr>
          </w:p>
        </w:tc>
        <w:tc>
          <w:tcPr>
            <w:tcW w:w="1795" w:type="dxa"/>
            <w:tcBorders>
              <w:top w:val="nil"/>
              <w:left w:val="nil"/>
              <w:bottom w:val="nil"/>
              <w:right w:val="nil"/>
            </w:tcBorders>
          </w:tcPr>
          <w:p w14:paraId="5BA35343" w14:textId="77777777" w:rsidR="006822EF" w:rsidRPr="00C7354B" w:rsidRDefault="006822EF" w:rsidP="00AB066F">
            <w:pPr>
              <w:widowControl w:val="0"/>
              <w:spacing w:line="240" w:lineRule="auto"/>
              <w:jc w:val="center"/>
              <w:rPr>
                <w:color w:val="000000" w:themeColor="text1"/>
                <w:sz w:val="22"/>
              </w:rPr>
            </w:pPr>
          </w:p>
        </w:tc>
        <w:tc>
          <w:tcPr>
            <w:tcW w:w="1796" w:type="dxa"/>
            <w:tcBorders>
              <w:top w:val="nil"/>
              <w:left w:val="nil"/>
              <w:bottom w:val="nil"/>
              <w:right w:val="nil"/>
            </w:tcBorders>
          </w:tcPr>
          <w:p w14:paraId="23BE1359" w14:textId="77777777" w:rsidR="006822EF" w:rsidRPr="00C7354B" w:rsidRDefault="006822EF" w:rsidP="00AB066F">
            <w:pPr>
              <w:widowControl w:val="0"/>
              <w:spacing w:line="240" w:lineRule="auto"/>
              <w:jc w:val="center"/>
              <w:rPr>
                <w:color w:val="000000" w:themeColor="text1"/>
                <w:sz w:val="22"/>
              </w:rPr>
            </w:pPr>
          </w:p>
        </w:tc>
      </w:tr>
      <w:tr w:rsidR="006822EF" w:rsidRPr="00C7354B" w14:paraId="71335092" w14:textId="77777777" w:rsidTr="00394BE7">
        <w:trPr>
          <w:trHeight w:val="59"/>
          <w:jc w:val="center"/>
        </w:trPr>
        <w:tc>
          <w:tcPr>
            <w:tcW w:w="3686" w:type="dxa"/>
            <w:tcBorders>
              <w:top w:val="nil"/>
              <w:left w:val="nil"/>
              <w:bottom w:val="nil"/>
              <w:right w:val="nil"/>
            </w:tcBorders>
            <w:shd w:val="clear" w:color="auto" w:fill="auto"/>
            <w:noWrap/>
          </w:tcPr>
          <w:p w14:paraId="65996012" w14:textId="77777777" w:rsidR="006822EF" w:rsidRPr="00C7354B" w:rsidRDefault="006822EF" w:rsidP="00AB066F">
            <w:pPr>
              <w:widowControl w:val="0"/>
              <w:spacing w:line="240" w:lineRule="auto"/>
              <w:jc w:val="left"/>
              <w:rPr>
                <w:color w:val="000000" w:themeColor="text1"/>
                <w:sz w:val="22"/>
              </w:rPr>
            </w:pPr>
            <w:r w:rsidRPr="00C7354B">
              <w:rPr>
                <w:color w:val="000000" w:themeColor="text1"/>
                <w:kern w:val="2"/>
                <w:sz w:val="22"/>
                <w:lang w:eastAsia="zh-CN"/>
              </w:rPr>
              <w:t xml:space="preserve">   </w:t>
            </w:r>
            <w:r w:rsidRPr="00C7354B">
              <w:rPr>
                <w:rFonts w:eastAsia="SimSun"/>
                <w:color w:val="000000" w:themeColor="text1"/>
                <w:kern w:val="2"/>
                <w:sz w:val="22"/>
                <w:lang w:eastAsia="zh-CN"/>
              </w:rPr>
              <w:t>χ2 (</w:t>
            </w:r>
            <w:r w:rsidRPr="00C7354B">
              <w:rPr>
                <w:rFonts w:eastAsia="SimSun"/>
                <w:i/>
                <w:iCs/>
                <w:color w:val="000000" w:themeColor="text1"/>
                <w:kern w:val="2"/>
                <w:sz w:val="22"/>
                <w:lang w:eastAsia="zh-CN"/>
              </w:rPr>
              <w:t>df</w:t>
            </w:r>
            <w:r w:rsidRPr="00C7354B">
              <w:rPr>
                <w:rFonts w:eastAsia="SimSun"/>
                <w:color w:val="000000" w:themeColor="text1"/>
                <w:kern w:val="2"/>
                <w:sz w:val="22"/>
                <w:lang w:eastAsia="zh-CN"/>
              </w:rPr>
              <w:t>)</w:t>
            </w:r>
          </w:p>
        </w:tc>
        <w:tc>
          <w:tcPr>
            <w:tcW w:w="1795" w:type="dxa"/>
            <w:tcBorders>
              <w:top w:val="nil"/>
              <w:left w:val="nil"/>
              <w:bottom w:val="nil"/>
              <w:right w:val="nil"/>
            </w:tcBorders>
            <w:shd w:val="clear" w:color="auto" w:fill="auto"/>
            <w:noWrap/>
          </w:tcPr>
          <w:p w14:paraId="4807899A"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18.68 (25)</w:t>
            </w:r>
          </w:p>
        </w:tc>
        <w:tc>
          <w:tcPr>
            <w:tcW w:w="1795" w:type="dxa"/>
            <w:tcBorders>
              <w:top w:val="nil"/>
              <w:left w:val="nil"/>
              <w:bottom w:val="nil"/>
              <w:right w:val="nil"/>
            </w:tcBorders>
          </w:tcPr>
          <w:p w14:paraId="6436A479"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18.24 (25)</w:t>
            </w:r>
          </w:p>
        </w:tc>
        <w:tc>
          <w:tcPr>
            <w:tcW w:w="1796" w:type="dxa"/>
            <w:tcBorders>
              <w:top w:val="nil"/>
              <w:left w:val="nil"/>
              <w:bottom w:val="nil"/>
              <w:right w:val="nil"/>
            </w:tcBorders>
          </w:tcPr>
          <w:p w14:paraId="1F509365"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20.00 (26)</w:t>
            </w:r>
          </w:p>
        </w:tc>
      </w:tr>
      <w:tr w:rsidR="006822EF" w:rsidRPr="00C7354B" w14:paraId="0BB32ACA" w14:textId="77777777" w:rsidTr="00394BE7">
        <w:trPr>
          <w:trHeight w:val="59"/>
          <w:jc w:val="center"/>
        </w:trPr>
        <w:tc>
          <w:tcPr>
            <w:tcW w:w="3686" w:type="dxa"/>
            <w:tcBorders>
              <w:top w:val="nil"/>
              <w:left w:val="nil"/>
              <w:bottom w:val="nil"/>
              <w:right w:val="nil"/>
            </w:tcBorders>
            <w:shd w:val="clear" w:color="auto" w:fill="auto"/>
            <w:noWrap/>
          </w:tcPr>
          <w:p w14:paraId="58A6EACC" w14:textId="77777777" w:rsidR="006822EF" w:rsidRPr="00C7354B" w:rsidRDefault="006822EF" w:rsidP="00AB066F">
            <w:pPr>
              <w:widowControl w:val="0"/>
              <w:spacing w:line="240" w:lineRule="auto"/>
              <w:jc w:val="left"/>
              <w:rPr>
                <w:i/>
                <w:iCs/>
                <w:color w:val="000000" w:themeColor="text1"/>
                <w:sz w:val="22"/>
              </w:rPr>
            </w:pPr>
            <w:r w:rsidRPr="00C7354B">
              <w:rPr>
                <w:color w:val="000000" w:themeColor="text1"/>
                <w:kern w:val="2"/>
                <w:sz w:val="22"/>
                <w:lang w:eastAsia="zh-CN"/>
              </w:rPr>
              <w:t xml:space="preserve">   </w:t>
            </w:r>
            <w:r w:rsidRPr="00C7354B">
              <w:rPr>
                <w:i/>
                <w:iCs/>
                <w:color w:val="000000" w:themeColor="text1"/>
                <w:sz w:val="22"/>
              </w:rPr>
              <w:t>TLI</w:t>
            </w:r>
          </w:p>
        </w:tc>
        <w:tc>
          <w:tcPr>
            <w:tcW w:w="1795" w:type="dxa"/>
            <w:tcBorders>
              <w:top w:val="nil"/>
              <w:left w:val="nil"/>
              <w:bottom w:val="nil"/>
              <w:right w:val="nil"/>
            </w:tcBorders>
            <w:shd w:val="clear" w:color="auto" w:fill="auto"/>
            <w:noWrap/>
          </w:tcPr>
          <w:p w14:paraId="168A7465"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.98</w:t>
            </w:r>
          </w:p>
        </w:tc>
        <w:tc>
          <w:tcPr>
            <w:tcW w:w="1795" w:type="dxa"/>
            <w:tcBorders>
              <w:top w:val="nil"/>
              <w:left w:val="nil"/>
              <w:bottom w:val="nil"/>
              <w:right w:val="nil"/>
            </w:tcBorders>
          </w:tcPr>
          <w:p w14:paraId="58A009D3"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.99</w:t>
            </w:r>
          </w:p>
        </w:tc>
        <w:tc>
          <w:tcPr>
            <w:tcW w:w="1796" w:type="dxa"/>
            <w:tcBorders>
              <w:top w:val="nil"/>
              <w:left w:val="nil"/>
              <w:bottom w:val="nil"/>
              <w:right w:val="nil"/>
            </w:tcBorders>
          </w:tcPr>
          <w:p w14:paraId="0EA5DA44"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.99</w:t>
            </w:r>
          </w:p>
        </w:tc>
      </w:tr>
      <w:tr w:rsidR="006822EF" w:rsidRPr="00C7354B" w14:paraId="3D8F2503" w14:textId="77777777" w:rsidTr="00394BE7">
        <w:trPr>
          <w:trHeight w:val="59"/>
          <w:jc w:val="center"/>
        </w:trPr>
        <w:tc>
          <w:tcPr>
            <w:tcW w:w="3686" w:type="dxa"/>
            <w:tcBorders>
              <w:top w:val="nil"/>
              <w:left w:val="nil"/>
              <w:right w:val="nil"/>
            </w:tcBorders>
            <w:shd w:val="clear" w:color="auto" w:fill="auto"/>
            <w:noWrap/>
          </w:tcPr>
          <w:p w14:paraId="737D30D1" w14:textId="77777777" w:rsidR="006822EF" w:rsidRPr="00C7354B" w:rsidRDefault="006822EF" w:rsidP="00AB066F">
            <w:pPr>
              <w:widowControl w:val="0"/>
              <w:spacing w:line="240" w:lineRule="auto"/>
              <w:jc w:val="left"/>
              <w:rPr>
                <w:i/>
                <w:iCs/>
                <w:color w:val="000000" w:themeColor="text1"/>
                <w:kern w:val="2"/>
                <w:sz w:val="22"/>
                <w:lang w:eastAsia="zh-CN"/>
              </w:rPr>
            </w:pPr>
            <w:r w:rsidRPr="00C7354B">
              <w:rPr>
                <w:color w:val="000000" w:themeColor="text1"/>
                <w:kern w:val="2"/>
                <w:sz w:val="22"/>
                <w:lang w:eastAsia="zh-CN"/>
              </w:rPr>
              <w:t xml:space="preserve">   </w:t>
            </w:r>
            <w:r w:rsidRPr="00C7354B">
              <w:rPr>
                <w:i/>
                <w:iCs/>
                <w:color w:val="000000" w:themeColor="text1"/>
                <w:sz w:val="22"/>
              </w:rPr>
              <w:t>CFI</w:t>
            </w:r>
          </w:p>
        </w:tc>
        <w:tc>
          <w:tcPr>
            <w:tcW w:w="1795" w:type="dxa"/>
            <w:tcBorders>
              <w:top w:val="nil"/>
              <w:left w:val="nil"/>
              <w:right w:val="nil"/>
            </w:tcBorders>
            <w:shd w:val="clear" w:color="auto" w:fill="auto"/>
            <w:noWrap/>
          </w:tcPr>
          <w:p w14:paraId="24C6ACED"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1</w:t>
            </w:r>
          </w:p>
        </w:tc>
        <w:tc>
          <w:tcPr>
            <w:tcW w:w="1795" w:type="dxa"/>
            <w:tcBorders>
              <w:top w:val="nil"/>
              <w:left w:val="nil"/>
              <w:right w:val="nil"/>
            </w:tcBorders>
          </w:tcPr>
          <w:p w14:paraId="74E4C242"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1</w:t>
            </w:r>
          </w:p>
        </w:tc>
        <w:tc>
          <w:tcPr>
            <w:tcW w:w="1796" w:type="dxa"/>
            <w:tcBorders>
              <w:top w:val="nil"/>
              <w:left w:val="nil"/>
              <w:right w:val="nil"/>
            </w:tcBorders>
          </w:tcPr>
          <w:p w14:paraId="06FD46BB"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1</w:t>
            </w:r>
          </w:p>
        </w:tc>
      </w:tr>
      <w:tr w:rsidR="006822EF" w:rsidRPr="00C7354B" w14:paraId="616A3034" w14:textId="77777777" w:rsidTr="00394BE7">
        <w:trPr>
          <w:trHeight w:val="59"/>
          <w:jc w:val="center"/>
        </w:trPr>
        <w:tc>
          <w:tcPr>
            <w:tcW w:w="3686" w:type="dxa"/>
            <w:tcBorders>
              <w:top w:val="nil"/>
              <w:left w:val="nil"/>
              <w:right w:val="nil"/>
            </w:tcBorders>
            <w:shd w:val="clear" w:color="auto" w:fill="auto"/>
            <w:noWrap/>
          </w:tcPr>
          <w:p w14:paraId="378BBCF5" w14:textId="77777777" w:rsidR="006822EF" w:rsidRPr="00C7354B" w:rsidRDefault="006822EF" w:rsidP="00AB066F">
            <w:pPr>
              <w:widowControl w:val="0"/>
              <w:spacing w:line="240" w:lineRule="auto"/>
              <w:jc w:val="left"/>
              <w:rPr>
                <w:i/>
                <w:iCs/>
                <w:color w:val="000000" w:themeColor="text1"/>
                <w:kern w:val="2"/>
                <w:sz w:val="22"/>
                <w:lang w:eastAsia="zh-CN"/>
              </w:rPr>
            </w:pPr>
            <w:r w:rsidRPr="00C7354B">
              <w:rPr>
                <w:color w:val="000000" w:themeColor="text1"/>
                <w:kern w:val="2"/>
                <w:sz w:val="22"/>
                <w:lang w:eastAsia="zh-CN"/>
              </w:rPr>
              <w:t xml:space="preserve">   </w:t>
            </w:r>
            <w:r w:rsidRPr="00C7354B">
              <w:rPr>
                <w:i/>
                <w:iCs/>
                <w:color w:val="000000" w:themeColor="text1"/>
                <w:kern w:val="2"/>
                <w:sz w:val="22"/>
                <w:lang w:eastAsia="zh-CN"/>
              </w:rPr>
              <w:t>AIC</w:t>
            </w:r>
          </w:p>
        </w:tc>
        <w:tc>
          <w:tcPr>
            <w:tcW w:w="1795" w:type="dxa"/>
            <w:tcBorders>
              <w:top w:val="nil"/>
              <w:left w:val="nil"/>
              <w:right w:val="nil"/>
            </w:tcBorders>
            <w:shd w:val="clear" w:color="auto" w:fill="auto"/>
            <w:noWrap/>
          </w:tcPr>
          <w:p w14:paraId="06DCC6D1"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-706.83</w:t>
            </w:r>
          </w:p>
        </w:tc>
        <w:tc>
          <w:tcPr>
            <w:tcW w:w="1795" w:type="dxa"/>
            <w:tcBorders>
              <w:top w:val="nil"/>
              <w:left w:val="nil"/>
              <w:right w:val="nil"/>
            </w:tcBorders>
          </w:tcPr>
          <w:p w14:paraId="5EC40229"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-704.64</w:t>
            </w:r>
          </w:p>
        </w:tc>
        <w:tc>
          <w:tcPr>
            <w:tcW w:w="1796" w:type="dxa"/>
            <w:tcBorders>
              <w:top w:val="nil"/>
              <w:left w:val="nil"/>
              <w:right w:val="nil"/>
            </w:tcBorders>
          </w:tcPr>
          <w:p w14:paraId="2093CE9D"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-709.44</w:t>
            </w:r>
          </w:p>
        </w:tc>
      </w:tr>
      <w:tr w:rsidR="006822EF" w:rsidRPr="00C7354B" w14:paraId="0DAFFFB6" w14:textId="77777777" w:rsidTr="00394BE7">
        <w:trPr>
          <w:trHeight w:val="59"/>
          <w:jc w:val="center"/>
        </w:trPr>
        <w:tc>
          <w:tcPr>
            <w:tcW w:w="3686" w:type="dxa"/>
            <w:tcBorders>
              <w:top w:val="nil"/>
              <w:left w:val="nil"/>
              <w:right w:val="nil"/>
            </w:tcBorders>
            <w:shd w:val="clear" w:color="auto" w:fill="auto"/>
            <w:noWrap/>
          </w:tcPr>
          <w:p w14:paraId="41C82C8F" w14:textId="77777777" w:rsidR="006822EF" w:rsidRPr="00C7354B" w:rsidRDefault="006822EF" w:rsidP="00AB066F">
            <w:pPr>
              <w:widowControl w:val="0"/>
              <w:spacing w:line="240" w:lineRule="auto"/>
              <w:jc w:val="left"/>
              <w:rPr>
                <w:i/>
                <w:iCs/>
                <w:color w:val="000000" w:themeColor="text1"/>
                <w:kern w:val="2"/>
                <w:sz w:val="22"/>
                <w:lang w:eastAsia="zh-CN"/>
              </w:rPr>
            </w:pPr>
            <w:r w:rsidRPr="00C7354B">
              <w:rPr>
                <w:color w:val="000000" w:themeColor="text1"/>
                <w:kern w:val="2"/>
                <w:sz w:val="22"/>
                <w:lang w:eastAsia="zh-CN"/>
              </w:rPr>
              <w:t xml:space="preserve">   </w:t>
            </w:r>
            <w:r w:rsidRPr="00C7354B">
              <w:rPr>
                <w:i/>
                <w:iCs/>
                <w:color w:val="000000" w:themeColor="text1"/>
                <w:kern w:val="2"/>
                <w:sz w:val="22"/>
                <w:lang w:eastAsia="zh-CN"/>
              </w:rPr>
              <w:t>BIC</w:t>
            </w:r>
          </w:p>
        </w:tc>
        <w:tc>
          <w:tcPr>
            <w:tcW w:w="1795" w:type="dxa"/>
            <w:tcBorders>
              <w:top w:val="nil"/>
              <w:left w:val="nil"/>
              <w:right w:val="nil"/>
            </w:tcBorders>
            <w:shd w:val="clear" w:color="auto" w:fill="auto"/>
            <w:noWrap/>
          </w:tcPr>
          <w:p w14:paraId="3762327B"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-329.01</w:t>
            </w:r>
          </w:p>
        </w:tc>
        <w:tc>
          <w:tcPr>
            <w:tcW w:w="1795" w:type="dxa"/>
            <w:tcBorders>
              <w:top w:val="nil"/>
              <w:left w:val="nil"/>
              <w:right w:val="nil"/>
            </w:tcBorders>
          </w:tcPr>
          <w:p w14:paraId="4D376BEE"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-318.42</w:t>
            </w:r>
          </w:p>
        </w:tc>
        <w:tc>
          <w:tcPr>
            <w:tcW w:w="1796" w:type="dxa"/>
            <w:tcBorders>
              <w:top w:val="nil"/>
              <w:left w:val="nil"/>
              <w:right w:val="nil"/>
            </w:tcBorders>
          </w:tcPr>
          <w:p w14:paraId="62345BBB"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-323.23</w:t>
            </w:r>
          </w:p>
        </w:tc>
      </w:tr>
      <w:tr w:rsidR="006822EF" w:rsidRPr="00C7354B" w14:paraId="37707B2A" w14:textId="77777777" w:rsidTr="00394BE7">
        <w:trPr>
          <w:trHeight w:val="59"/>
          <w:jc w:val="center"/>
        </w:trPr>
        <w:tc>
          <w:tcPr>
            <w:tcW w:w="3686" w:type="dxa"/>
            <w:tcBorders>
              <w:top w:val="nil"/>
              <w:left w:val="nil"/>
              <w:bottom w:val="nil"/>
              <w:right w:val="nil"/>
            </w:tcBorders>
            <w:shd w:val="clear" w:color="auto" w:fill="auto"/>
            <w:noWrap/>
          </w:tcPr>
          <w:p w14:paraId="33F19660" w14:textId="77777777" w:rsidR="006822EF" w:rsidRPr="00C7354B" w:rsidRDefault="006822EF" w:rsidP="00AB066F">
            <w:pPr>
              <w:widowControl w:val="0"/>
              <w:spacing w:line="240" w:lineRule="auto"/>
              <w:jc w:val="left"/>
              <w:rPr>
                <w:color w:val="000000" w:themeColor="text1"/>
                <w:sz w:val="22"/>
              </w:rPr>
            </w:pPr>
            <w:r w:rsidRPr="00C7354B">
              <w:rPr>
                <w:color w:val="000000" w:themeColor="text1"/>
                <w:kern w:val="2"/>
                <w:sz w:val="22"/>
                <w:lang w:eastAsia="zh-CN"/>
              </w:rPr>
              <w:t xml:space="preserve">   </w:t>
            </w:r>
            <w:r w:rsidRPr="00C7354B">
              <w:rPr>
                <w:i/>
                <w:iCs/>
                <w:color w:val="000000" w:themeColor="text1"/>
                <w:kern w:val="2"/>
                <w:sz w:val="22"/>
                <w:lang w:eastAsia="zh-CN"/>
              </w:rPr>
              <w:t>N</w:t>
            </w:r>
          </w:p>
        </w:tc>
        <w:tc>
          <w:tcPr>
            <w:tcW w:w="1795" w:type="dxa"/>
            <w:tcBorders>
              <w:top w:val="nil"/>
              <w:left w:val="nil"/>
              <w:bottom w:val="nil"/>
              <w:right w:val="nil"/>
            </w:tcBorders>
            <w:shd w:val="clear" w:color="auto" w:fill="auto"/>
            <w:noWrap/>
          </w:tcPr>
          <w:p w14:paraId="5622AFA0"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325,983</w:t>
            </w:r>
          </w:p>
        </w:tc>
        <w:tc>
          <w:tcPr>
            <w:tcW w:w="1795" w:type="dxa"/>
            <w:tcBorders>
              <w:top w:val="nil"/>
              <w:left w:val="nil"/>
              <w:bottom w:val="nil"/>
              <w:right w:val="nil"/>
            </w:tcBorders>
          </w:tcPr>
          <w:p w14:paraId="0BB8634C"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311,242</w:t>
            </w:r>
          </w:p>
        </w:tc>
        <w:tc>
          <w:tcPr>
            <w:tcW w:w="1796" w:type="dxa"/>
            <w:tcBorders>
              <w:top w:val="nil"/>
              <w:left w:val="nil"/>
              <w:bottom w:val="nil"/>
              <w:right w:val="nil"/>
            </w:tcBorders>
          </w:tcPr>
          <w:p w14:paraId="3BC609BD"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302,836</w:t>
            </w:r>
          </w:p>
        </w:tc>
      </w:tr>
      <w:tr w:rsidR="006822EF" w:rsidRPr="00C7354B" w14:paraId="40E3935E" w14:textId="77777777" w:rsidTr="00394BE7">
        <w:trPr>
          <w:trHeight w:val="59"/>
          <w:jc w:val="center"/>
        </w:trPr>
        <w:tc>
          <w:tcPr>
            <w:tcW w:w="3686" w:type="dxa"/>
            <w:tcBorders>
              <w:top w:val="nil"/>
              <w:left w:val="nil"/>
              <w:bottom w:val="single" w:sz="4" w:space="0" w:color="auto"/>
              <w:right w:val="nil"/>
            </w:tcBorders>
            <w:shd w:val="clear" w:color="auto" w:fill="auto"/>
            <w:noWrap/>
          </w:tcPr>
          <w:p w14:paraId="7131DC7C" w14:textId="77777777" w:rsidR="006822EF" w:rsidRPr="00C7354B" w:rsidRDefault="006822EF" w:rsidP="00AB066F">
            <w:pPr>
              <w:widowControl w:val="0"/>
              <w:spacing w:line="240" w:lineRule="auto"/>
              <w:jc w:val="left"/>
              <w:rPr>
                <w:color w:val="000000" w:themeColor="text1"/>
                <w:kern w:val="2"/>
                <w:sz w:val="22"/>
                <w:lang w:eastAsia="zh-CN"/>
              </w:rPr>
            </w:pPr>
            <w:r w:rsidRPr="00C7354B">
              <w:rPr>
                <w:color w:val="000000" w:themeColor="text1"/>
                <w:kern w:val="2"/>
                <w:sz w:val="22"/>
                <w:lang w:eastAsia="zh-CN"/>
              </w:rPr>
              <w:t xml:space="preserve">   </w:t>
            </w:r>
            <w:r w:rsidRPr="00C7354B">
              <w:rPr>
                <w:i/>
                <w:iCs/>
                <w:color w:val="000000" w:themeColor="text1"/>
                <w:kern w:val="2"/>
                <w:sz w:val="22"/>
                <w:lang w:eastAsia="zh-CN"/>
              </w:rPr>
              <w:t>k</w:t>
            </w:r>
          </w:p>
        </w:tc>
        <w:tc>
          <w:tcPr>
            <w:tcW w:w="1795" w:type="dxa"/>
            <w:tcBorders>
              <w:top w:val="nil"/>
              <w:left w:val="nil"/>
              <w:bottom w:val="single" w:sz="4" w:space="0" w:color="auto"/>
              <w:right w:val="nil"/>
            </w:tcBorders>
            <w:shd w:val="clear" w:color="auto" w:fill="auto"/>
            <w:noWrap/>
          </w:tcPr>
          <w:p w14:paraId="20E48646"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95</w:t>
            </w:r>
          </w:p>
        </w:tc>
        <w:tc>
          <w:tcPr>
            <w:tcW w:w="1795" w:type="dxa"/>
            <w:tcBorders>
              <w:top w:val="nil"/>
              <w:left w:val="nil"/>
              <w:bottom w:val="single" w:sz="4" w:space="0" w:color="auto"/>
              <w:right w:val="nil"/>
            </w:tcBorders>
          </w:tcPr>
          <w:p w14:paraId="79FFDD67"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91</w:t>
            </w:r>
          </w:p>
        </w:tc>
        <w:tc>
          <w:tcPr>
            <w:tcW w:w="1796" w:type="dxa"/>
            <w:tcBorders>
              <w:top w:val="nil"/>
              <w:left w:val="nil"/>
              <w:bottom w:val="single" w:sz="4" w:space="0" w:color="auto"/>
              <w:right w:val="nil"/>
            </w:tcBorders>
          </w:tcPr>
          <w:p w14:paraId="67DDBE8A" w14:textId="77777777" w:rsidR="006822EF" w:rsidRPr="00C7354B" w:rsidRDefault="006822EF" w:rsidP="00AB066F">
            <w:pPr>
              <w:widowControl w:val="0"/>
              <w:spacing w:line="240" w:lineRule="auto"/>
              <w:jc w:val="center"/>
              <w:rPr>
                <w:color w:val="000000" w:themeColor="text1"/>
                <w:sz w:val="22"/>
              </w:rPr>
            </w:pPr>
            <w:r w:rsidRPr="00C7354B">
              <w:rPr>
                <w:color w:val="000000" w:themeColor="text1"/>
                <w:sz w:val="22"/>
              </w:rPr>
              <w:t>86</w:t>
            </w:r>
          </w:p>
        </w:tc>
      </w:tr>
    </w:tbl>
    <w:p w14:paraId="759951D1" w14:textId="77777777" w:rsidR="006822EF" w:rsidRPr="00C7354B" w:rsidRDefault="006822EF" w:rsidP="006822EF">
      <w:pPr>
        <w:widowControl w:val="0"/>
        <w:adjustRightInd w:val="0"/>
        <w:snapToGrid w:val="0"/>
        <w:spacing w:before="60" w:after="60" w:line="240" w:lineRule="auto"/>
        <w:rPr>
          <w:rFonts w:eastAsia="SimSun"/>
          <w:color w:val="000000" w:themeColor="text1"/>
          <w:kern w:val="2"/>
          <w:sz w:val="22"/>
          <w:lang w:val="en-US" w:eastAsia="zh-CN"/>
        </w:rPr>
      </w:pPr>
      <w:r w:rsidRPr="00C7354B">
        <w:rPr>
          <w:rFonts w:eastAsia="SimSun"/>
          <w:i/>
          <w:iCs/>
          <w:color w:val="000000" w:themeColor="text1"/>
          <w:kern w:val="2"/>
          <w:sz w:val="22"/>
          <w:lang w:val="en-US" w:eastAsia="zh-CN"/>
        </w:rPr>
        <w:t>Note</w:t>
      </w:r>
      <w:r w:rsidRPr="00C7354B">
        <w:rPr>
          <w:rFonts w:eastAsia="SimSun"/>
          <w:color w:val="000000" w:themeColor="text1"/>
          <w:kern w:val="2"/>
          <w:sz w:val="22"/>
          <w:lang w:val="en-US" w:eastAsia="zh-CN"/>
        </w:rPr>
        <w:t xml:space="preserve">: Standardized coefficients are reported with standard errors in parentheses; Model 1 reports the results of the mediation model that includes the moderating effects of CEO power on the relationship between board interlocks and resource provision and board interlocks and agency costs; Model 2 reports the results of the mediation model that includes the moderating effects of formal institutions on the relationship between board interlocks and resource provision and board interlocks and agency costs; Model 3 reports the results of the mediation model that includes the moderating effects of informal institutions on the relationship between board interlocks and resource provision and board interlocks and agency costs; MASEM = meta-analytic structural equation modeling; </w:t>
      </w:r>
      <w:r w:rsidRPr="00C7354B">
        <w:rPr>
          <w:rFonts w:eastAsia="SimSun"/>
          <w:i/>
          <w:iCs/>
          <w:color w:val="000000" w:themeColor="text1"/>
          <w:kern w:val="2"/>
          <w:sz w:val="22"/>
          <w:lang w:val="en-US" w:eastAsia="zh-CN"/>
        </w:rPr>
        <w:t>N</w:t>
      </w:r>
      <w:r w:rsidRPr="00C7354B">
        <w:rPr>
          <w:rFonts w:eastAsia="SimSun"/>
          <w:color w:val="000000" w:themeColor="text1"/>
          <w:kern w:val="2"/>
          <w:sz w:val="22"/>
          <w:lang w:val="en-US" w:eastAsia="zh-CN"/>
        </w:rPr>
        <w:t xml:space="preserve"> = harmonic mean of total sample size; </w:t>
      </w:r>
      <w:r w:rsidRPr="00C7354B">
        <w:rPr>
          <w:rFonts w:eastAsia="SimSun"/>
          <w:i/>
          <w:iCs/>
          <w:color w:val="000000" w:themeColor="text1"/>
          <w:kern w:val="2"/>
          <w:sz w:val="22"/>
          <w:lang w:val="en-US" w:eastAsia="zh-CN"/>
        </w:rPr>
        <w:t>k</w:t>
      </w:r>
      <w:r w:rsidRPr="00C7354B">
        <w:rPr>
          <w:rFonts w:eastAsia="SimSun"/>
          <w:color w:val="000000" w:themeColor="text1"/>
          <w:kern w:val="2"/>
          <w:sz w:val="22"/>
          <w:lang w:val="en-US" w:eastAsia="zh-CN"/>
        </w:rPr>
        <w:t xml:space="preserve"> = harmonic mean of independent studies; </w:t>
      </w:r>
      <w:r w:rsidRPr="00C7354B">
        <w:rPr>
          <w:rFonts w:eastAsia="SimSun"/>
          <w:i/>
          <w:iCs/>
          <w:color w:val="000000" w:themeColor="text1"/>
          <w:kern w:val="2"/>
          <w:sz w:val="22"/>
          <w:lang w:val="en-US" w:eastAsia="zh-CN"/>
        </w:rPr>
        <w:t>TLI</w:t>
      </w:r>
      <w:r w:rsidRPr="00C7354B">
        <w:rPr>
          <w:rFonts w:eastAsia="SimSun"/>
          <w:color w:val="000000" w:themeColor="text1"/>
          <w:kern w:val="2"/>
          <w:sz w:val="22"/>
          <w:lang w:val="en-US" w:eastAsia="zh-CN"/>
        </w:rPr>
        <w:t xml:space="preserve"> = Tucker–Lewis index; </w:t>
      </w:r>
      <w:r w:rsidRPr="00C7354B">
        <w:rPr>
          <w:rFonts w:eastAsia="SimSun"/>
          <w:i/>
          <w:iCs/>
          <w:color w:val="000000" w:themeColor="text1"/>
          <w:kern w:val="2"/>
          <w:sz w:val="22"/>
          <w:lang w:val="en-US" w:eastAsia="zh-CN"/>
        </w:rPr>
        <w:t>CFI</w:t>
      </w:r>
      <w:r w:rsidRPr="00C7354B">
        <w:rPr>
          <w:rFonts w:eastAsia="SimSun"/>
          <w:color w:val="000000" w:themeColor="text1"/>
          <w:kern w:val="2"/>
          <w:sz w:val="22"/>
          <w:lang w:val="en-US" w:eastAsia="zh-CN"/>
        </w:rPr>
        <w:t xml:space="preserve"> = comparative fit index; </w:t>
      </w:r>
      <w:r w:rsidRPr="00C7354B">
        <w:rPr>
          <w:rFonts w:eastAsia="SimSun"/>
          <w:i/>
          <w:iCs/>
          <w:color w:val="000000" w:themeColor="text1"/>
          <w:kern w:val="2"/>
          <w:sz w:val="22"/>
          <w:lang w:val="en-US" w:eastAsia="zh-CN"/>
        </w:rPr>
        <w:t>RMSEA</w:t>
      </w:r>
      <w:r w:rsidRPr="00C7354B">
        <w:rPr>
          <w:rFonts w:eastAsia="SimSun"/>
          <w:color w:val="000000" w:themeColor="text1"/>
          <w:kern w:val="2"/>
          <w:sz w:val="22"/>
          <w:lang w:val="en-US" w:eastAsia="zh-CN"/>
        </w:rPr>
        <w:t xml:space="preserve"> = root mean square error of approximation; </w:t>
      </w:r>
      <w:r w:rsidRPr="00C7354B">
        <w:rPr>
          <w:rFonts w:eastAsia="SimSun"/>
          <w:i/>
          <w:iCs/>
          <w:color w:val="000000" w:themeColor="text1"/>
          <w:kern w:val="2"/>
          <w:sz w:val="22"/>
          <w:lang w:val="en-US" w:eastAsia="zh-CN"/>
        </w:rPr>
        <w:t>AIC</w:t>
      </w:r>
      <w:r w:rsidRPr="00C7354B">
        <w:rPr>
          <w:rFonts w:eastAsia="SimSun"/>
          <w:color w:val="000000" w:themeColor="text1"/>
          <w:kern w:val="2"/>
          <w:sz w:val="22"/>
          <w:lang w:val="en-US" w:eastAsia="zh-CN"/>
        </w:rPr>
        <w:t xml:space="preserve"> = Akaike information criterion; </w:t>
      </w:r>
      <w:r w:rsidRPr="00C7354B">
        <w:rPr>
          <w:rFonts w:eastAsia="SimSun"/>
          <w:i/>
          <w:iCs/>
          <w:color w:val="000000" w:themeColor="text1"/>
          <w:kern w:val="2"/>
          <w:sz w:val="22"/>
          <w:lang w:val="en-US" w:eastAsia="zh-CN"/>
        </w:rPr>
        <w:t>BIC</w:t>
      </w:r>
      <w:r w:rsidRPr="00C7354B">
        <w:rPr>
          <w:rFonts w:eastAsia="SimSun"/>
          <w:color w:val="000000" w:themeColor="text1"/>
          <w:kern w:val="2"/>
          <w:sz w:val="22"/>
          <w:lang w:val="en-US" w:eastAsia="zh-CN"/>
        </w:rPr>
        <w:t xml:space="preserve"> = Bayesian information criterion.</w:t>
      </w:r>
    </w:p>
    <w:p w14:paraId="15E4A282" w14:textId="77777777" w:rsidR="006822EF" w:rsidRDefault="006822EF" w:rsidP="006822EF">
      <w:pPr>
        <w:spacing w:line="240" w:lineRule="auto"/>
        <w:jc w:val="left"/>
        <w:rPr>
          <w:color w:val="000000" w:themeColor="text1"/>
          <w:sz w:val="20"/>
          <w:szCs w:val="20"/>
          <w:lang w:val="en-US"/>
        </w:rPr>
      </w:pPr>
      <w:r>
        <w:rPr>
          <w:color w:val="000000" w:themeColor="text1"/>
          <w:sz w:val="20"/>
          <w:szCs w:val="20"/>
          <w:lang w:val="en-US"/>
        </w:rPr>
        <w:br w:type="page"/>
      </w:r>
    </w:p>
    <w:p w14:paraId="7F3B1822" w14:textId="77777777" w:rsidR="006822EF" w:rsidRPr="001E4BB8" w:rsidRDefault="006822EF" w:rsidP="009572A7">
      <w:pPr>
        <w:pStyle w:val="1fake"/>
      </w:pPr>
      <w:r w:rsidRPr="001E4BB8">
        <w:lastRenderedPageBreak/>
        <w:t>TABLE 6</w:t>
      </w:r>
    </w:p>
    <w:p w14:paraId="307E2E1C" w14:textId="27C84604" w:rsidR="003A640A" w:rsidRPr="0021383A" w:rsidRDefault="003A640A" w:rsidP="003A640A">
      <w:pPr>
        <w:pStyle w:val="Tabelle"/>
        <w:rPr>
          <w:color w:val="000000" w:themeColor="text1"/>
        </w:rPr>
      </w:pPr>
      <w:bookmarkStart w:id="241" w:name="_Toc180964656"/>
      <w:r>
        <w:t xml:space="preserve">T - I - </w:t>
      </w:r>
      <w:r>
        <w:fldChar w:fldCharType="begin"/>
      </w:r>
      <w:r>
        <w:instrText xml:space="preserve"> SEQ T_-_I_- \* ARABIC </w:instrText>
      </w:r>
      <w:r>
        <w:fldChar w:fldCharType="separate"/>
      </w:r>
      <w:r w:rsidR="00E91088">
        <w:rPr>
          <w:noProof/>
        </w:rPr>
        <w:t>6</w:t>
      </w:r>
      <w:r>
        <w:fldChar w:fldCharType="end"/>
      </w:r>
      <w:r>
        <w:t xml:space="preserve">: </w:t>
      </w:r>
      <w:r w:rsidRPr="00452FDE">
        <w:t xml:space="preserve">Post-hoc </w:t>
      </w:r>
      <w:r w:rsidR="007F2F08">
        <w:t>m</w:t>
      </w:r>
      <w:r w:rsidRPr="00452FDE">
        <w:t xml:space="preserve">ultilevel-MARA </w:t>
      </w:r>
      <w:r w:rsidR="007F2F08">
        <w:t>r</w:t>
      </w:r>
      <w:r w:rsidRPr="00452FDE">
        <w:t>esults (I)</w:t>
      </w:r>
      <w:bookmarkEnd w:id="241"/>
    </w:p>
    <w:tbl>
      <w:tblPr>
        <w:tblW w:w="9072" w:type="dxa"/>
        <w:jc w:val="center"/>
        <w:tblLayout w:type="fixed"/>
        <w:tblCellMar>
          <w:top w:w="6" w:type="dxa"/>
          <w:left w:w="6" w:type="dxa"/>
          <w:bottom w:w="6" w:type="dxa"/>
          <w:right w:w="6" w:type="dxa"/>
        </w:tblCellMar>
        <w:tblLook w:val="04A0" w:firstRow="1" w:lastRow="0" w:firstColumn="1" w:lastColumn="0" w:noHBand="0" w:noVBand="1"/>
      </w:tblPr>
      <w:tblGrid>
        <w:gridCol w:w="2932"/>
        <w:gridCol w:w="1228"/>
        <w:gridCol w:w="1228"/>
        <w:gridCol w:w="1228"/>
        <w:gridCol w:w="1228"/>
        <w:gridCol w:w="1228"/>
      </w:tblGrid>
      <w:tr w:rsidR="006822EF" w:rsidRPr="00C7354B" w14:paraId="2ED807FB" w14:textId="77777777" w:rsidTr="00640871">
        <w:trPr>
          <w:trHeight w:val="89"/>
          <w:jc w:val="center"/>
        </w:trPr>
        <w:tc>
          <w:tcPr>
            <w:tcW w:w="2977" w:type="dxa"/>
            <w:tcBorders>
              <w:top w:val="single" w:sz="4" w:space="0" w:color="auto"/>
              <w:left w:val="nil"/>
              <w:bottom w:val="single" w:sz="4" w:space="0" w:color="auto"/>
              <w:right w:val="nil"/>
            </w:tcBorders>
            <w:shd w:val="clear" w:color="auto" w:fill="auto"/>
            <w:noWrap/>
            <w:vAlign w:val="center"/>
            <w:hideMark/>
          </w:tcPr>
          <w:p w14:paraId="0F907BAF" w14:textId="42F70787" w:rsidR="006822EF" w:rsidRPr="00C7354B" w:rsidRDefault="006822EF" w:rsidP="00AB066F">
            <w:pPr>
              <w:widowControl w:val="0"/>
              <w:spacing w:line="240" w:lineRule="auto"/>
              <w:jc w:val="left"/>
              <w:rPr>
                <w:b/>
                <w:bCs/>
                <w:color w:val="000000" w:themeColor="text1"/>
                <w:kern w:val="2"/>
                <w:sz w:val="22"/>
                <w:lang w:val="en-US" w:eastAsia="zh-CN"/>
              </w:rPr>
            </w:pPr>
            <w:r w:rsidRPr="00C7354B">
              <w:rPr>
                <w:b/>
                <w:bCs/>
                <w:color w:val="000000" w:themeColor="text1"/>
                <w:kern w:val="2"/>
                <w:sz w:val="22"/>
                <w:lang w:val="en-US" w:eastAsia="zh-CN"/>
              </w:rPr>
              <w:t>Coefficients</w:t>
            </w:r>
          </w:p>
        </w:tc>
        <w:tc>
          <w:tcPr>
            <w:tcW w:w="1247" w:type="dxa"/>
            <w:tcBorders>
              <w:top w:val="single" w:sz="4" w:space="0" w:color="auto"/>
              <w:left w:val="nil"/>
              <w:bottom w:val="single" w:sz="4" w:space="0" w:color="auto"/>
              <w:right w:val="nil"/>
            </w:tcBorders>
            <w:vAlign w:val="center"/>
          </w:tcPr>
          <w:p w14:paraId="34E590E3" w14:textId="77777777" w:rsidR="006822EF" w:rsidRPr="00C7354B" w:rsidRDefault="006822EF" w:rsidP="00AB066F">
            <w:pPr>
              <w:widowControl w:val="0"/>
              <w:spacing w:line="240" w:lineRule="auto"/>
              <w:jc w:val="center"/>
              <w:rPr>
                <w:b/>
                <w:bCs/>
                <w:color w:val="000000" w:themeColor="text1"/>
                <w:kern w:val="2"/>
                <w:sz w:val="22"/>
                <w:lang w:val="en-US" w:eastAsia="zh-CN"/>
              </w:rPr>
            </w:pPr>
            <w:r w:rsidRPr="00C7354B">
              <w:rPr>
                <w:b/>
                <w:bCs/>
                <w:color w:val="000000" w:themeColor="text1"/>
                <w:kern w:val="2"/>
                <w:sz w:val="22"/>
                <w:lang w:val="en-US" w:eastAsia="zh-CN"/>
              </w:rPr>
              <w:t>Model 4</w:t>
            </w:r>
          </w:p>
        </w:tc>
        <w:tc>
          <w:tcPr>
            <w:tcW w:w="1247" w:type="dxa"/>
            <w:tcBorders>
              <w:top w:val="single" w:sz="4" w:space="0" w:color="auto"/>
              <w:left w:val="nil"/>
              <w:bottom w:val="single" w:sz="4" w:space="0" w:color="auto"/>
              <w:right w:val="nil"/>
            </w:tcBorders>
            <w:shd w:val="clear" w:color="auto" w:fill="auto"/>
            <w:noWrap/>
            <w:vAlign w:val="center"/>
            <w:hideMark/>
          </w:tcPr>
          <w:p w14:paraId="65F423A9" w14:textId="77777777" w:rsidR="006822EF" w:rsidRPr="00C7354B" w:rsidRDefault="006822EF" w:rsidP="00AB066F">
            <w:pPr>
              <w:widowControl w:val="0"/>
              <w:spacing w:line="240" w:lineRule="auto"/>
              <w:jc w:val="center"/>
              <w:rPr>
                <w:b/>
                <w:bCs/>
                <w:color w:val="000000" w:themeColor="text1"/>
                <w:kern w:val="2"/>
                <w:sz w:val="22"/>
                <w:lang w:val="en-US" w:eastAsia="zh-CN"/>
              </w:rPr>
            </w:pPr>
            <w:r w:rsidRPr="00C7354B">
              <w:rPr>
                <w:b/>
                <w:bCs/>
                <w:color w:val="000000" w:themeColor="text1"/>
                <w:kern w:val="2"/>
                <w:sz w:val="22"/>
                <w:lang w:val="en-US" w:eastAsia="zh-CN"/>
              </w:rPr>
              <w:t>Model 5</w:t>
            </w:r>
          </w:p>
        </w:tc>
        <w:tc>
          <w:tcPr>
            <w:tcW w:w="1247" w:type="dxa"/>
            <w:tcBorders>
              <w:top w:val="single" w:sz="4" w:space="0" w:color="auto"/>
              <w:left w:val="nil"/>
              <w:bottom w:val="single" w:sz="4" w:space="0" w:color="auto"/>
              <w:right w:val="nil"/>
            </w:tcBorders>
            <w:shd w:val="clear" w:color="auto" w:fill="auto"/>
            <w:noWrap/>
            <w:vAlign w:val="center"/>
            <w:hideMark/>
          </w:tcPr>
          <w:p w14:paraId="62090A5F" w14:textId="77777777" w:rsidR="006822EF" w:rsidRPr="00C7354B" w:rsidRDefault="006822EF" w:rsidP="00AB066F">
            <w:pPr>
              <w:widowControl w:val="0"/>
              <w:spacing w:line="240" w:lineRule="auto"/>
              <w:jc w:val="center"/>
              <w:rPr>
                <w:b/>
                <w:bCs/>
                <w:color w:val="000000" w:themeColor="text1"/>
                <w:kern w:val="2"/>
                <w:sz w:val="22"/>
                <w:lang w:val="en-US" w:eastAsia="zh-CN"/>
              </w:rPr>
            </w:pPr>
            <w:r w:rsidRPr="00C7354B">
              <w:rPr>
                <w:b/>
                <w:bCs/>
                <w:color w:val="000000" w:themeColor="text1"/>
                <w:kern w:val="2"/>
                <w:sz w:val="22"/>
                <w:lang w:val="en-US" w:eastAsia="zh-CN"/>
              </w:rPr>
              <w:t>Model 6</w:t>
            </w:r>
          </w:p>
        </w:tc>
        <w:tc>
          <w:tcPr>
            <w:tcW w:w="1247" w:type="dxa"/>
            <w:tcBorders>
              <w:top w:val="single" w:sz="4" w:space="0" w:color="auto"/>
              <w:left w:val="nil"/>
              <w:bottom w:val="single" w:sz="4" w:space="0" w:color="auto"/>
              <w:right w:val="nil"/>
            </w:tcBorders>
            <w:shd w:val="clear" w:color="auto" w:fill="auto"/>
            <w:noWrap/>
            <w:vAlign w:val="center"/>
            <w:hideMark/>
          </w:tcPr>
          <w:p w14:paraId="0FDFC1A5" w14:textId="77777777" w:rsidR="006822EF" w:rsidRPr="00C7354B" w:rsidRDefault="006822EF" w:rsidP="00AB066F">
            <w:pPr>
              <w:widowControl w:val="0"/>
              <w:spacing w:line="240" w:lineRule="auto"/>
              <w:jc w:val="center"/>
              <w:rPr>
                <w:b/>
                <w:bCs/>
                <w:color w:val="000000" w:themeColor="text1"/>
                <w:kern w:val="2"/>
                <w:sz w:val="22"/>
                <w:lang w:val="en-US" w:eastAsia="zh-CN"/>
              </w:rPr>
            </w:pPr>
            <w:r w:rsidRPr="00C7354B">
              <w:rPr>
                <w:b/>
                <w:bCs/>
                <w:color w:val="000000" w:themeColor="text1"/>
                <w:kern w:val="2"/>
                <w:sz w:val="22"/>
                <w:lang w:val="en-US" w:eastAsia="zh-CN"/>
              </w:rPr>
              <w:t>Model 7</w:t>
            </w:r>
          </w:p>
        </w:tc>
        <w:tc>
          <w:tcPr>
            <w:tcW w:w="1247" w:type="dxa"/>
            <w:tcBorders>
              <w:top w:val="single" w:sz="4" w:space="0" w:color="auto"/>
              <w:left w:val="nil"/>
              <w:bottom w:val="single" w:sz="4" w:space="0" w:color="auto"/>
              <w:right w:val="nil"/>
            </w:tcBorders>
            <w:shd w:val="clear" w:color="auto" w:fill="auto"/>
            <w:noWrap/>
            <w:vAlign w:val="center"/>
            <w:hideMark/>
          </w:tcPr>
          <w:p w14:paraId="16149655" w14:textId="77777777" w:rsidR="006822EF" w:rsidRPr="00C7354B" w:rsidRDefault="006822EF" w:rsidP="00AB066F">
            <w:pPr>
              <w:widowControl w:val="0"/>
              <w:spacing w:line="240" w:lineRule="auto"/>
              <w:jc w:val="center"/>
              <w:rPr>
                <w:b/>
                <w:bCs/>
                <w:color w:val="000000" w:themeColor="text1"/>
                <w:kern w:val="2"/>
                <w:sz w:val="22"/>
                <w:lang w:val="en-US" w:eastAsia="zh-CN"/>
              </w:rPr>
            </w:pPr>
            <w:r w:rsidRPr="00C7354B">
              <w:rPr>
                <w:b/>
                <w:bCs/>
                <w:color w:val="000000" w:themeColor="text1"/>
                <w:kern w:val="2"/>
                <w:sz w:val="22"/>
                <w:lang w:val="en-US" w:eastAsia="zh-CN"/>
              </w:rPr>
              <w:t>Model 8</w:t>
            </w:r>
          </w:p>
        </w:tc>
      </w:tr>
      <w:tr w:rsidR="006822EF" w:rsidRPr="00C7354B" w14:paraId="623E73FA" w14:textId="77777777" w:rsidTr="00640871">
        <w:trPr>
          <w:trHeight w:val="89"/>
          <w:jc w:val="center"/>
        </w:trPr>
        <w:tc>
          <w:tcPr>
            <w:tcW w:w="2977" w:type="dxa"/>
            <w:tcBorders>
              <w:top w:val="nil"/>
              <w:left w:val="nil"/>
              <w:bottom w:val="nil"/>
              <w:right w:val="nil"/>
            </w:tcBorders>
            <w:shd w:val="clear" w:color="auto" w:fill="auto"/>
            <w:noWrap/>
            <w:vAlign w:val="center"/>
          </w:tcPr>
          <w:p w14:paraId="30B6FE81" w14:textId="77777777" w:rsidR="006822EF" w:rsidRPr="00C7354B" w:rsidRDefault="006822EF" w:rsidP="00AB066F">
            <w:pPr>
              <w:widowControl w:val="0"/>
              <w:spacing w:line="240" w:lineRule="auto"/>
              <w:jc w:val="left"/>
              <w:rPr>
                <w:b/>
                <w:bCs/>
                <w:color w:val="000000" w:themeColor="text1"/>
                <w:kern w:val="2"/>
                <w:sz w:val="22"/>
                <w:lang w:val="en-US" w:eastAsia="zh-CN"/>
              </w:rPr>
            </w:pPr>
            <w:r w:rsidRPr="00C7354B">
              <w:rPr>
                <w:b/>
                <w:bCs/>
                <w:color w:val="000000" w:themeColor="text1"/>
                <w:kern w:val="2"/>
                <w:sz w:val="22"/>
                <w:lang w:val="en-US" w:eastAsia="zh-CN"/>
              </w:rPr>
              <w:t>Main moderators</w:t>
            </w:r>
          </w:p>
        </w:tc>
        <w:tc>
          <w:tcPr>
            <w:tcW w:w="1247" w:type="dxa"/>
            <w:tcBorders>
              <w:top w:val="nil"/>
              <w:left w:val="nil"/>
              <w:bottom w:val="nil"/>
              <w:right w:val="nil"/>
            </w:tcBorders>
            <w:vAlign w:val="center"/>
          </w:tcPr>
          <w:p w14:paraId="774E57ED" w14:textId="77777777" w:rsidR="006822EF" w:rsidRPr="00C7354B" w:rsidRDefault="006822EF" w:rsidP="00AB066F">
            <w:pPr>
              <w:widowControl w:val="0"/>
              <w:spacing w:line="240" w:lineRule="auto"/>
              <w:jc w:val="center"/>
              <w:rPr>
                <w:color w:val="000000" w:themeColor="text1"/>
                <w:kern w:val="2"/>
                <w:sz w:val="22"/>
                <w:lang w:val="en-US" w:eastAsia="zh-CN"/>
              </w:rPr>
            </w:pPr>
          </w:p>
        </w:tc>
        <w:tc>
          <w:tcPr>
            <w:tcW w:w="1247" w:type="dxa"/>
            <w:tcBorders>
              <w:top w:val="nil"/>
              <w:left w:val="nil"/>
              <w:bottom w:val="nil"/>
              <w:right w:val="nil"/>
            </w:tcBorders>
            <w:shd w:val="clear" w:color="auto" w:fill="auto"/>
            <w:noWrap/>
            <w:vAlign w:val="center"/>
          </w:tcPr>
          <w:p w14:paraId="139020BA" w14:textId="77777777" w:rsidR="006822EF" w:rsidRPr="00C7354B" w:rsidRDefault="006822EF" w:rsidP="00AB066F">
            <w:pPr>
              <w:widowControl w:val="0"/>
              <w:spacing w:line="240" w:lineRule="auto"/>
              <w:jc w:val="center"/>
              <w:rPr>
                <w:color w:val="000000" w:themeColor="text1"/>
                <w:kern w:val="2"/>
                <w:sz w:val="22"/>
                <w:lang w:val="en-US" w:eastAsia="zh-CN"/>
              </w:rPr>
            </w:pPr>
          </w:p>
        </w:tc>
        <w:tc>
          <w:tcPr>
            <w:tcW w:w="1247" w:type="dxa"/>
            <w:tcBorders>
              <w:top w:val="nil"/>
              <w:left w:val="nil"/>
              <w:bottom w:val="nil"/>
              <w:right w:val="nil"/>
            </w:tcBorders>
            <w:shd w:val="clear" w:color="auto" w:fill="auto"/>
            <w:noWrap/>
            <w:vAlign w:val="center"/>
          </w:tcPr>
          <w:p w14:paraId="1B443C57" w14:textId="77777777" w:rsidR="006822EF" w:rsidRPr="00C7354B" w:rsidRDefault="006822EF" w:rsidP="00AB066F">
            <w:pPr>
              <w:widowControl w:val="0"/>
              <w:spacing w:line="240" w:lineRule="auto"/>
              <w:jc w:val="center"/>
              <w:rPr>
                <w:color w:val="000000" w:themeColor="text1"/>
                <w:kern w:val="2"/>
                <w:sz w:val="22"/>
                <w:lang w:val="en-US" w:eastAsia="zh-CN"/>
              </w:rPr>
            </w:pPr>
          </w:p>
        </w:tc>
        <w:tc>
          <w:tcPr>
            <w:tcW w:w="1247" w:type="dxa"/>
            <w:tcBorders>
              <w:top w:val="nil"/>
              <w:left w:val="nil"/>
              <w:bottom w:val="nil"/>
              <w:right w:val="nil"/>
            </w:tcBorders>
            <w:shd w:val="clear" w:color="auto" w:fill="auto"/>
            <w:noWrap/>
            <w:vAlign w:val="center"/>
          </w:tcPr>
          <w:p w14:paraId="23CB94FF" w14:textId="77777777" w:rsidR="006822EF" w:rsidRPr="00C7354B" w:rsidRDefault="006822EF" w:rsidP="00AB066F">
            <w:pPr>
              <w:widowControl w:val="0"/>
              <w:spacing w:line="240" w:lineRule="auto"/>
              <w:jc w:val="center"/>
              <w:rPr>
                <w:color w:val="000000" w:themeColor="text1"/>
                <w:kern w:val="2"/>
                <w:sz w:val="22"/>
                <w:lang w:val="en-US" w:eastAsia="zh-CN"/>
              </w:rPr>
            </w:pPr>
          </w:p>
        </w:tc>
        <w:tc>
          <w:tcPr>
            <w:tcW w:w="1247" w:type="dxa"/>
            <w:tcBorders>
              <w:top w:val="nil"/>
              <w:left w:val="nil"/>
              <w:bottom w:val="nil"/>
              <w:right w:val="nil"/>
            </w:tcBorders>
            <w:shd w:val="clear" w:color="auto" w:fill="auto"/>
            <w:noWrap/>
            <w:vAlign w:val="center"/>
          </w:tcPr>
          <w:p w14:paraId="541FC7BD" w14:textId="77777777" w:rsidR="006822EF" w:rsidRPr="00C7354B" w:rsidRDefault="006822EF" w:rsidP="00AB066F">
            <w:pPr>
              <w:widowControl w:val="0"/>
              <w:spacing w:line="240" w:lineRule="auto"/>
              <w:jc w:val="center"/>
              <w:rPr>
                <w:color w:val="000000" w:themeColor="text1"/>
                <w:kern w:val="2"/>
                <w:sz w:val="22"/>
                <w:lang w:val="en-US" w:eastAsia="zh-CN"/>
              </w:rPr>
            </w:pPr>
          </w:p>
        </w:tc>
      </w:tr>
      <w:tr w:rsidR="006822EF" w:rsidRPr="00C7354B" w14:paraId="7E6E4E8D" w14:textId="77777777" w:rsidTr="00640871">
        <w:trPr>
          <w:trHeight w:val="34"/>
          <w:jc w:val="center"/>
        </w:trPr>
        <w:tc>
          <w:tcPr>
            <w:tcW w:w="2977" w:type="dxa"/>
            <w:tcBorders>
              <w:top w:val="nil"/>
              <w:left w:val="nil"/>
              <w:bottom w:val="nil"/>
              <w:right w:val="nil"/>
            </w:tcBorders>
            <w:shd w:val="clear" w:color="auto" w:fill="auto"/>
            <w:noWrap/>
            <w:vAlign w:val="center"/>
          </w:tcPr>
          <w:p w14:paraId="10F42141" w14:textId="77777777" w:rsidR="006822EF" w:rsidRPr="00C7354B" w:rsidRDefault="006822EF" w:rsidP="00AB066F">
            <w:pPr>
              <w:widowControl w:val="0"/>
              <w:spacing w:line="240" w:lineRule="auto"/>
              <w:jc w:val="left"/>
              <w:rPr>
                <w:color w:val="000000" w:themeColor="text1"/>
                <w:kern w:val="2"/>
                <w:sz w:val="22"/>
                <w:lang w:val="en-US" w:eastAsia="zh-CN"/>
              </w:rPr>
            </w:pPr>
            <w:r w:rsidRPr="00C7354B">
              <w:rPr>
                <w:rFonts w:eastAsia="Helvetica"/>
                <w:color w:val="000000" w:themeColor="text1"/>
                <w:sz w:val="22"/>
                <w:lang w:val="en-US"/>
              </w:rPr>
              <w:t xml:space="preserve">   CEO power</w:t>
            </w:r>
          </w:p>
        </w:tc>
        <w:tc>
          <w:tcPr>
            <w:tcW w:w="1247" w:type="dxa"/>
            <w:tcBorders>
              <w:top w:val="nil"/>
              <w:left w:val="nil"/>
              <w:bottom w:val="nil"/>
              <w:right w:val="nil"/>
            </w:tcBorders>
            <w:vAlign w:val="center"/>
          </w:tcPr>
          <w:p w14:paraId="00AC6F84" w14:textId="77777777" w:rsidR="006822EF" w:rsidRPr="00C7354B" w:rsidRDefault="006822EF" w:rsidP="00AB066F">
            <w:pPr>
              <w:widowControl w:val="0"/>
              <w:spacing w:line="240" w:lineRule="auto"/>
              <w:jc w:val="center"/>
              <w:rPr>
                <w:color w:val="000000" w:themeColor="text1"/>
                <w:kern w:val="2"/>
                <w:sz w:val="22"/>
                <w:lang w:val="en-US" w:eastAsia="zh-CN"/>
              </w:rPr>
            </w:pPr>
          </w:p>
        </w:tc>
        <w:tc>
          <w:tcPr>
            <w:tcW w:w="1247" w:type="dxa"/>
            <w:tcBorders>
              <w:top w:val="nil"/>
              <w:left w:val="nil"/>
              <w:bottom w:val="nil"/>
              <w:right w:val="nil"/>
            </w:tcBorders>
            <w:shd w:val="clear" w:color="auto" w:fill="auto"/>
            <w:noWrap/>
            <w:vAlign w:val="center"/>
          </w:tcPr>
          <w:p w14:paraId="723ED791"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-.04 (.01)</w:t>
            </w:r>
          </w:p>
        </w:tc>
        <w:tc>
          <w:tcPr>
            <w:tcW w:w="1247" w:type="dxa"/>
            <w:tcBorders>
              <w:top w:val="nil"/>
              <w:left w:val="nil"/>
              <w:bottom w:val="nil"/>
              <w:right w:val="nil"/>
            </w:tcBorders>
            <w:shd w:val="clear" w:color="auto" w:fill="auto"/>
            <w:noWrap/>
            <w:vAlign w:val="center"/>
          </w:tcPr>
          <w:p w14:paraId="6FE0D3DB" w14:textId="77777777" w:rsidR="006822EF" w:rsidRPr="00C7354B" w:rsidRDefault="006822EF" w:rsidP="00AB066F">
            <w:pPr>
              <w:widowControl w:val="0"/>
              <w:spacing w:line="240" w:lineRule="auto"/>
              <w:jc w:val="center"/>
              <w:rPr>
                <w:color w:val="000000" w:themeColor="text1"/>
                <w:kern w:val="2"/>
                <w:sz w:val="22"/>
                <w:lang w:val="en-US" w:eastAsia="zh-CN"/>
              </w:rPr>
            </w:pPr>
          </w:p>
        </w:tc>
        <w:tc>
          <w:tcPr>
            <w:tcW w:w="1247" w:type="dxa"/>
            <w:tcBorders>
              <w:top w:val="nil"/>
              <w:left w:val="nil"/>
              <w:bottom w:val="nil"/>
              <w:right w:val="nil"/>
            </w:tcBorders>
            <w:shd w:val="clear" w:color="auto" w:fill="auto"/>
            <w:noWrap/>
            <w:vAlign w:val="center"/>
          </w:tcPr>
          <w:p w14:paraId="1F2C5971" w14:textId="77777777" w:rsidR="006822EF" w:rsidRPr="00C7354B" w:rsidRDefault="006822EF" w:rsidP="00AB066F">
            <w:pPr>
              <w:widowControl w:val="0"/>
              <w:spacing w:line="240" w:lineRule="auto"/>
              <w:jc w:val="center"/>
              <w:rPr>
                <w:color w:val="000000" w:themeColor="text1"/>
                <w:kern w:val="2"/>
                <w:sz w:val="22"/>
                <w:lang w:val="en-US" w:eastAsia="zh-CN"/>
              </w:rPr>
            </w:pPr>
          </w:p>
        </w:tc>
        <w:tc>
          <w:tcPr>
            <w:tcW w:w="1247" w:type="dxa"/>
            <w:tcBorders>
              <w:top w:val="nil"/>
              <w:left w:val="nil"/>
              <w:bottom w:val="nil"/>
              <w:right w:val="nil"/>
            </w:tcBorders>
            <w:shd w:val="clear" w:color="auto" w:fill="auto"/>
            <w:noWrap/>
            <w:vAlign w:val="center"/>
          </w:tcPr>
          <w:p w14:paraId="037018A6"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-.05 (.01)</w:t>
            </w:r>
          </w:p>
        </w:tc>
      </w:tr>
      <w:tr w:rsidR="006822EF" w:rsidRPr="00C7354B" w14:paraId="56A1FE47" w14:textId="77777777" w:rsidTr="00640871">
        <w:trPr>
          <w:trHeight w:val="34"/>
          <w:jc w:val="center"/>
        </w:trPr>
        <w:tc>
          <w:tcPr>
            <w:tcW w:w="2977" w:type="dxa"/>
            <w:tcBorders>
              <w:top w:val="nil"/>
              <w:left w:val="nil"/>
              <w:bottom w:val="nil"/>
              <w:right w:val="nil"/>
            </w:tcBorders>
            <w:shd w:val="clear" w:color="auto" w:fill="auto"/>
            <w:noWrap/>
            <w:vAlign w:val="center"/>
          </w:tcPr>
          <w:p w14:paraId="68C8648A" w14:textId="77777777" w:rsidR="006822EF" w:rsidRPr="00C7354B" w:rsidRDefault="006822EF" w:rsidP="00AB066F">
            <w:pPr>
              <w:widowControl w:val="0"/>
              <w:spacing w:line="240" w:lineRule="auto"/>
              <w:jc w:val="left"/>
              <w:rPr>
                <w:color w:val="000000" w:themeColor="text1"/>
                <w:kern w:val="2"/>
                <w:sz w:val="22"/>
                <w:lang w:val="en-US" w:eastAsia="zh-CN"/>
              </w:rPr>
            </w:pPr>
          </w:p>
        </w:tc>
        <w:tc>
          <w:tcPr>
            <w:tcW w:w="1247" w:type="dxa"/>
            <w:tcBorders>
              <w:top w:val="nil"/>
              <w:left w:val="nil"/>
              <w:bottom w:val="nil"/>
              <w:right w:val="nil"/>
            </w:tcBorders>
            <w:vAlign w:val="center"/>
          </w:tcPr>
          <w:p w14:paraId="6AC602EF" w14:textId="77777777" w:rsidR="006822EF" w:rsidRPr="00C7354B" w:rsidRDefault="006822EF" w:rsidP="00AB066F">
            <w:pPr>
              <w:widowControl w:val="0"/>
              <w:spacing w:line="240" w:lineRule="auto"/>
              <w:jc w:val="center"/>
              <w:rPr>
                <w:color w:val="000000" w:themeColor="text1"/>
                <w:kern w:val="2"/>
                <w:sz w:val="22"/>
                <w:lang w:val="en-US" w:eastAsia="zh-CN"/>
              </w:rPr>
            </w:pPr>
          </w:p>
        </w:tc>
        <w:tc>
          <w:tcPr>
            <w:tcW w:w="1247" w:type="dxa"/>
            <w:tcBorders>
              <w:top w:val="nil"/>
              <w:left w:val="nil"/>
              <w:bottom w:val="nil"/>
              <w:right w:val="nil"/>
            </w:tcBorders>
            <w:shd w:val="clear" w:color="auto" w:fill="auto"/>
            <w:noWrap/>
            <w:vAlign w:val="center"/>
          </w:tcPr>
          <w:p w14:paraId="496B6DE1"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[&lt;.001]</w:t>
            </w:r>
          </w:p>
        </w:tc>
        <w:tc>
          <w:tcPr>
            <w:tcW w:w="1247" w:type="dxa"/>
            <w:tcBorders>
              <w:top w:val="nil"/>
              <w:left w:val="nil"/>
              <w:bottom w:val="nil"/>
              <w:right w:val="nil"/>
            </w:tcBorders>
            <w:shd w:val="clear" w:color="auto" w:fill="auto"/>
            <w:noWrap/>
            <w:vAlign w:val="center"/>
          </w:tcPr>
          <w:p w14:paraId="39632FAC" w14:textId="77777777" w:rsidR="006822EF" w:rsidRPr="00C7354B" w:rsidRDefault="006822EF" w:rsidP="00AB066F">
            <w:pPr>
              <w:widowControl w:val="0"/>
              <w:spacing w:line="240" w:lineRule="auto"/>
              <w:jc w:val="center"/>
              <w:rPr>
                <w:color w:val="000000" w:themeColor="text1"/>
                <w:kern w:val="2"/>
                <w:sz w:val="22"/>
                <w:lang w:val="en-US" w:eastAsia="zh-CN"/>
              </w:rPr>
            </w:pPr>
          </w:p>
        </w:tc>
        <w:tc>
          <w:tcPr>
            <w:tcW w:w="1247" w:type="dxa"/>
            <w:tcBorders>
              <w:top w:val="nil"/>
              <w:left w:val="nil"/>
              <w:bottom w:val="nil"/>
              <w:right w:val="nil"/>
            </w:tcBorders>
            <w:shd w:val="clear" w:color="auto" w:fill="auto"/>
            <w:noWrap/>
            <w:vAlign w:val="center"/>
          </w:tcPr>
          <w:p w14:paraId="2D28B8A5" w14:textId="77777777" w:rsidR="006822EF" w:rsidRPr="00C7354B" w:rsidRDefault="006822EF" w:rsidP="00AB066F">
            <w:pPr>
              <w:widowControl w:val="0"/>
              <w:spacing w:line="240" w:lineRule="auto"/>
              <w:jc w:val="center"/>
              <w:rPr>
                <w:color w:val="000000" w:themeColor="text1"/>
                <w:kern w:val="2"/>
                <w:sz w:val="22"/>
                <w:lang w:val="en-US" w:eastAsia="zh-CN"/>
              </w:rPr>
            </w:pPr>
          </w:p>
        </w:tc>
        <w:tc>
          <w:tcPr>
            <w:tcW w:w="1247" w:type="dxa"/>
            <w:tcBorders>
              <w:top w:val="nil"/>
              <w:left w:val="nil"/>
              <w:bottom w:val="nil"/>
              <w:right w:val="nil"/>
            </w:tcBorders>
            <w:shd w:val="clear" w:color="auto" w:fill="auto"/>
            <w:noWrap/>
            <w:vAlign w:val="center"/>
          </w:tcPr>
          <w:p w14:paraId="0E405FA5"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[&lt;.001]</w:t>
            </w:r>
          </w:p>
        </w:tc>
      </w:tr>
      <w:tr w:rsidR="006822EF" w:rsidRPr="00C7354B" w14:paraId="053DE1F6" w14:textId="77777777" w:rsidTr="00640871">
        <w:trPr>
          <w:trHeight w:val="89"/>
          <w:jc w:val="center"/>
        </w:trPr>
        <w:tc>
          <w:tcPr>
            <w:tcW w:w="2977" w:type="dxa"/>
            <w:tcBorders>
              <w:top w:val="nil"/>
              <w:left w:val="nil"/>
              <w:bottom w:val="nil"/>
              <w:right w:val="nil"/>
            </w:tcBorders>
            <w:shd w:val="clear" w:color="auto" w:fill="auto"/>
            <w:noWrap/>
            <w:vAlign w:val="center"/>
          </w:tcPr>
          <w:p w14:paraId="1FA4D29F" w14:textId="77777777" w:rsidR="006822EF" w:rsidRPr="00C7354B" w:rsidRDefault="006822EF" w:rsidP="00AB066F">
            <w:pPr>
              <w:widowControl w:val="0"/>
              <w:spacing w:line="240" w:lineRule="auto"/>
              <w:jc w:val="left"/>
              <w:rPr>
                <w:color w:val="000000" w:themeColor="text1"/>
                <w:kern w:val="2"/>
                <w:sz w:val="22"/>
                <w:lang w:val="en-US" w:eastAsia="zh-CN"/>
              </w:rPr>
            </w:pPr>
            <w:r w:rsidRPr="00C7354B">
              <w:rPr>
                <w:rFonts w:eastAsia="Helvetica"/>
                <w:color w:val="000000" w:themeColor="text1"/>
                <w:sz w:val="22"/>
                <w:lang w:val="en-US"/>
              </w:rPr>
              <w:t xml:space="preserve">   Formal institutions</w:t>
            </w:r>
          </w:p>
        </w:tc>
        <w:tc>
          <w:tcPr>
            <w:tcW w:w="1247" w:type="dxa"/>
            <w:tcBorders>
              <w:top w:val="nil"/>
              <w:left w:val="nil"/>
              <w:bottom w:val="nil"/>
              <w:right w:val="nil"/>
            </w:tcBorders>
            <w:vAlign w:val="center"/>
          </w:tcPr>
          <w:p w14:paraId="1130D5A9" w14:textId="77777777" w:rsidR="006822EF" w:rsidRPr="00C7354B" w:rsidRDefault="006822EF" w:rsidP="00AB066F">
            <w:pPr>
              <w:widowControl w:val="0"/>
              <w:spacing w:line="240" w:lineRule="auto"/>
              <w:jc w:val="center"/>
              <w:rPr>
                <w:color w:val="000000" w:themeColor="text1"/>
                <w:kern w:val="2"/>
                <w:sz w:val="22"/>
                <w:lang w:val="en-US" w:eastAsia="zh-CN"/>
              </w:rPr>
            </w:pPr>
          </w:p>
        </w:tc>
        <w:tc>
          <w:tcPr>
            <w:tcW w:w="1247" w:type="dxa"/>
            <w:tcBorders>
              <w:top w:val="nil"/>
              <w:left w:val="nil"/>
              <w:bottom w:val="nil"/>
              <w:right w:val="nil"/>
            </w:tcBorders>
            <w:shd w:val="clear" w:color="auto" w:fill="auto"/>
            <w:noWrap/>
            <w:vAlign w:val="center"/>
          </w:tcPr>
          <w:p w14:paraId="19817B34" w14:textId="77777777" w:rsidR="006822EF" w:rsidRPr="00C7354B" w:rsidRDefault="006822EF" w:rsidP="00AB066F">
            <w:pPr>
              <w:widowControl w:val="0"/>
              <w:spacing w:line="240" w:lineRule="auto"/>
              <w:jc w:val="center"/>
              <w:rPr>
                <w:color w:val="000000" w:themeColor="text1"/>
                <w:kern w:val="2"/>
                <w:sz w:val="22"/>
                <w:lang w:val="en-US" w:eastAsia="zh-CN"/>
              </w:rPr>
            </w:pPr>
          </w:p>
        </w:tc>
        <w:tc>
          <w:tcPr>
            <w:tcW w:w="1247" w:type="dxa"/>
            <w:tcBorders>
              <w:top w:val="nil"/>
              <w:left w:val="nil"/>
              <w:bottom w:val="nil"/>
              <w:right w:val="nil"/>
            </w:tcBorders>
            <w:shd w:val="clear" w:color="auto" w:fill="auto"/>
            <w:noWrap/>
            <w:vAlign w:val="center"/>
          </w:tcPr>
          <w:p w14:paraId="17604652"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.02 (.01)</w:t>
            </w:r>
          </w:p>
        </w:tc>
        <w:tc>
          <w:tcPr>
            <w:tcW w:w="1247" w:type="dxa"/>
            <w:tcBorders>
              <w:top w:val="nil"/>
              <w:left w:val="nil"/>
              <w:bottom w:val="nil"/>
              <w:right w:val="nil"/>
            </w:tcBorders>
            <w:shd w:val="clear" w:color="auto" w:fill="auto"/>
            <w:noWrap/>
            <w:vAlign w:val="center"/>
          </w:tcPr>
          <w:p w14:paraId="637675C1" w14:textId="77777777" w:rsidR="006822EF" w:rsidRPr="00C7354B" w:rsidRDefault="006822EF" w:rsidP="00AB066F">
            <w:pPr>
              <w:widowControl w:val="0"/>
              <w:spacing w:line="240" w:lineRule="auto"/>
              <w:jc w:val="center"/>
              <w:rPr>
                <w:color w:val="000000" w:themeColor="text1"/>
                <w:kern w:val="2"/>
                <w:sz w:val="22"/>
                <w:lang w:val="en-US" w:eastAsia="zh-CN"/>
              </w:rPr>
            </w:pPr>
          </w:p>
        </w:tc>
        <w:tc>
          <w:tcPr>
            <w:tcW w:w="1247" w:type="dxa"/>
            <w:tcBorders>
              <w:top w:val="nil"/>
              <w:left w:val="nil"/>
              <w:bottom w:val="nil"/>
              <w:right w:val="nil"/>
            </w:tcBorders>
            <w:shd w:val="clear" w:color="auto" w:fill="auto"/>
            <w:noWrap/>
            <w:vAlign w:val="center"/>
          </w:tcPr>
          <w:p w14:paraId="52904F45"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.01 (.01)</w:t>
            </w:r>
          </w:p>
        </w:tc>
      </w:tr>
      <w:tr w:rsidR="006822EF" w:rsidRPr="00C7354B" w14:paraId="5DC0E76F" w14:textId="77777777" w:rsidTr="00640871">
        <w:trPr>
          <w:trHeight w:val="89"/>
          <w:jc w:val="center"/>
        </w:trPr>
        <w:tc>
          <w:tcPr>
            <w:tcW w:w="2977" w:type="dxa"/>
            <w:tcBorders>
              <w:top w:val="nil"/>
              <w:left w:val="nil"/>
              <w:bottom w:val="nil"/>
              <w:right w:val="nil"/>
            </w:tcBorders>
            <w:shd w:val="clear" w:color="auto" w:fill="auto"/>
            <w:noWrap/>
            <w:vAlign w:val="center"/>
          </w:tcPr>
          <w:p w14:paraId="32125051" w14:textId="77777777" w:rsidR="006822EF" w:rsidRPr="00C7354B" w:rsidRDefault="006822EF" w:rsidP="00AB066F">
            <w:pPr>
              <w:widowControl w:val="0"/>
              <w:spacing w:line="240" w:lineRule="auto"/>
              <w:jc w:val="left"/>
              <w:rPr>
                <w:color w:val="000000" w:themeColor="text1"/>
                <w:kern w:val="2"/>
                <w:sz w:val="22"/>
                <w:lang w:val="en-US" w:eastAsia="zh-CN"/>
              </w:rPr>
            </w:pPr>
          </w:p>
        </w:tc>
        <w:tc>
          <w:tcPr>
            <w:tcW w:w="1247" w:type="dxa"/>
            <w:tcBorders>
              <w:top w:val="nil"/>
              <w:left w:val="nil"/>
              <w:bottom w:val="nil"/>
              <w:right w:val="nil"/>
            </w:tcBorders>
            <w:vAlign w:val="center"/>
          </w:tcPr>
          <w:p w14:paraId="03A004E0" w14:textId="77777777" w:rsidR="006822EF" w:rsidRPr="00C7354B" w:rsidRDefault="006822EF" w:rsidP="00AB066F">
            <w:pPr>
              <w:widowControl w:val="0"/>
              <w:spacing w:line="240" w:lineRule="auto"/>
              <w:jc w:val="center"/>
              <w:rPr>
                <w:color w:val="000000" w:themeColor="text1"/>
                <w:kern w:val="2"/>
                <w:sz w:val="22"/>
                <w:lang w:val="en-US" w:eastAsia="zh-CN"/>
              </w:rPr>
            </w:pPr>
          </w:p>
        </w:tc>
        <w:tc>
          <w:tcPr>
            <w:tcW w:w="1247" w:type="dxa"/>
            <w:tcBorders>
              <w:top w:val="nil"/>
              <w:left w:val="nil"/>
              <w:bottom w:val="nil"/>
              <w:right w:val="nil"/>
            </w:tcBorders>
            <w:shd w:val="clear" w:color="auto" w:fill="auto"/>
            <w:noWrap/>
            <w:vAlign w:val="center"/>
          </w:tcPr>
          <w:p w14:paraId="2CE7C9DC" w14:textId="77777777" w:rsidR="006822EF" w:rsidRPr="00C7354B" w:rsidRDefault="006822EF" w:rsidP="00AB066F">
            <w:pPr>
              <w:widowControl w:val="0"/>
              <w:spacing w:line="240" w:lineRule="auto"/>
              <w:jc w:val="center"/>
              <w:rPr>
                <w:color w:val="000000" w:themeColor="text1"/>
                <w:kern w:val="2"/>
                <w:sz w:val="22"/>
                <w:lang w:val="en-US" w:eastAsia="zh-CN"/>
              </w:rPr>
            </w:pPr>
          </w:p>
        </w:tc>
        <w:tc>
          <w:tcPr>
            <w:tcW w:w="1247" w:type="dxa"/>
            <w:tcBorders>
              <w:top w:val="nil"/>
              <w:left w:val="nil"/>
              <w:bottom w:val="nil"/>
              <w:right w:val="nil"/>
            </w:tcBorders>
            <w:shd w:val="clear" w:color="auto" w:fill="auto"/>
            <w:noWrap/>
            <w:vAlign w:val="center"/>
          </w:tcPr>
          <w:p w14:paraId="5337D782"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[.048]</w:t>
            </w:r>
          </w:p>
        </w:tc>
        <w:tc>
          <w:tcPr>
            <w:tcW w:w="1247" w:type="dxa"/>
            <w:tcBorders>
              <w:top w:val="nil"/>
              <w:left w:val="nil"/>
              <w:bottom w:val="nil"/>
              <w:right w:val="nil"/>
            </w:tcBorders>
            <w:shd w:val="clear" w:color="auto" w:fill="auto"/>
            <w:noWrap/>
            <w:vAlign w:val="center"/>
          </w:tcPr>
          <w:p w14:paraId="20538738" w14:textId="77777777" w:rsidR="006822EF" w:rsidRPr="00C7354B" w:rsidRDefault="006822EF" w:rsidP="00AB066F">
            <w:pPr>
              <w:widowControl w:val="0"/>
              <w:spacing w:line="240" w:lineRule="auto"/>
              <w:jc w:val="center"/>
              <w:rPr>
                <w:color w:val="000000" w:themeColor="text1"/>
                <w:kern w:val="2"/>
                <w:sz w:val="22"/>
                <w:lang w:val="en-US" w:eastAsia="zh-CN"/>
              </w:rPr>
            </w:pPr>
          </w:p>
        </w:tc>
        <w:tc>
          <w:tcPr>
            <w:tcW w:w="1247" w:type="dxa"/>
            <w:tcBorders>
              <w:top w:val="nil"/>
              <w:left w:val="nil"/>
              <w:bottom w:val="nil"/>
              <w:right w:val="nil"/>
            </w:tcBorders>
            <w:shd w:val="clear" w:color="auto" w:fill="auto"/>
            <w:noWrap/>
            <w:vAlign w:val="center"/>
          </w:tcPr>
          <w:p w14:paraId="3F7745E3"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[.091]</w:t>
            </w:r>
          </w:p>
        </w:tc>
      </w:tr>
      <w:tr w:rsidR="006822EF" w:rsidRPr="00C7354B" w14:paraId="4CBEA788" w14:textId="77777777" w:rsidTr="00640871">
        <w:trPr>
          <w:trHeight w:val="89"/>
          <w:jc w:val="center"/>
        </w:trPr>
        <w:tc>
          <w:tcPr>
            <w:tcW w:w="2977" w:type="dxa"/>
            <w:tcBorders>
              <w:top w:val="nil"/>
              <w:left w:val="nil"/>
              <w:bottom w:val="nil"/>
              <w:right w:val="nil"/>
            </w:tcBorders>
            <w:shd w:val="clear" w:color="auto" w:fill="auto"/>
            <w:noWrap/>
            <w:vAlign w:val="center"/>
          </w:tcPr>
          <w:p w14:paraId="4C7B8296" w14:textId="77777777" w:rsidR="006822EF" w:rsidRPr="00C7354B" w:rsidRDefault="006822EF" w:rsidP="00AB066F">
            <w:pPr>
              <w:widowControl w:val="0"/>
              <w:spacing w:line="240" w:lineRule="auto"/>
              <w:jc w:val="left"/>
              <w:rPr>
                <w:color w:val="000000" w:themeColor="text1"/>
                <w:kern w:val="2"/>
                <w:sz w:val="22"/>
                <w:lang w:val="en-US" w:eastAsia="zh-CN"/>
              </w:rPr>
            </w:pPr>
            <w:r w:rsidRPr="00C7354B">
              <w:rPr>
                <w:rFonts w:eastAsia="Helvetica"/>
                <w:color w:val="000000" w:themeColor="text1"/>
                <w:sz w:val="22"/>
                <w:lang w:val="en-US"/>
              </w:rPr>
              <w:t xml:space="preserve">   Informal institutions</w:t>
            </w:r>
          </w:p>
        </w:tc>
        <w:tc>
          <w:tcPr>
            <w:tcW w:w="1247" w:type="dxa"/>
            <w:tcBorders>
              <w:top w:val="nil"/>
              <w:left w:val="nil"/>
              <w:bottom w:val="nil"/>
              <w:right w:val="nil"/>
            </w:tcBorders>
            <w:vAlign w:val="center"/>
          </w:tcPr>
          <w:p w14:paraId="394D9899" w14:textId="77777777" w:rsidR="006822EF" w:rsidRPr="00C7354B" w:rsidRDefault="006822EF" w:rsidP="00AB066F">
            <w:pPr>
              <w:widowControl w:val="0"/>
              <w:spacing w:line="240" w:lineRule="auto"/>
              <w:jc w:val="center"/>
              <w:rPr>
                <w:color w:val="000000" w:themeColor="text1"/>
                <w:kern w:val="2"/>
                <w:sz w:val="22"/>
                <w:lang w:val="en-US" w:eastAsia="zh-CN"/>
              </w:rPr>
            </w:pPr>
          </w:p>
        </w:tc>
        <w:tc>
          <w:tcPr>
            <w:tcW w:w="1247" w:type="dxa"/>
            <w:tcBorders>
              <w:top w:val="nil"/>
              <w:left w:val="nil"/>
              <w:bottom w:val="nil"/>
              <w:right w:val="nil"/>
            </w:tcBorders>
            <w:shd w:val="clear" w:color="auto" w:fill="auto"/>
            <w:noWrap/>
            <w:vAlign w:val="center"/>
          </w:tcPr>
          <w:p w14:paraId="70E3F2D5" w14:textId="77777777" w:rsidR="006822EF" w:rsidRPr="00C7354B" w:rsidRDefault="006822EF" w:rsidP="00AB066F">
            <w:pPr>
              <w:widowControl w:val="0"/>
              <w:spacing w:line="240" w:lineRule="auto"/>
              <w:jc w:val="center"/>
              <w:rPr>
                <w:color w:val="000000" w:themeColor="text1"/>
                <w:kern w:val="2"/>
                <w:sz w:val="22"/>
                <w:lang w:val="en-US" w:eastAsia="zh-CN"/>
              </w:rPr>
            </w:pPr>
          </w:p>
        </w:tc>
        <w:tc>
          <w:tcPr>
            <w:tcW w:w="1247" w:type="dxa"/>
            <w:tcBorders>
              <w:top w:val="nil"/>
              <w:left w:val="nil"/>
              <w:bottom w:val="nil"/>
              <w:right w:val="nil"/>
            </w:tcBorders>
            <w:shd w:val="clear" w:color="auto" w:fill="auto"/>
            <w:noWrap/>
            <w:vAlign w:val="center"/>
          </w:tcPr>
          <w:p w14:paraId="73E7B9A1" w14:textId="77777777" w:rsidR="006822EF" w:rsidRPr="00C7354B" w:rsidRDefault="006822EF" w:rsidP="00AB066F">
            <w:pPr>
              <w:widowControl w:val="0"/>
              <w:spacing w:line="240" w:lineRule="auto"/>
              <w:jc w:val="center"/>
              <w:rPr>
                <w:color w:val="000000" w:themeColor="text1"/>
                <w:kern w:val="2"/>
                <w:sz w:val="22"/>
                <w:lang w:val="en-US" w:eastAsia="zh-CN"/>
              </w:rPr>
            </w:pPr>
          </w:p>
        </w:tc>
        <w:tc>
          <w:tcPr>
            <w:tcW w:w="1247" w:type="dxa"/>
            <w:tcBorders>
              <w:top w:val="nil"/>
              <w:left w:val="nil"/>
              <w:bottom w:val="nil"/>
              <w:right w:val="nil"/>
            </w:tcBorders>
            <w:shd w:val="clear" w:color="auto" w:fill="auto"/>
            <w:noWrap/>
            <w:vAlign w:val="center"/>
          </w:tcPr>
          <w:p w14:paraId="1BC95731"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.07 (.02)</w:t>
            </w:r>
          </w:p>
        </w:tc>
        <w:tc>
          <w:tcPr>
            <w:tcW w:w="1247" w:type="dxa"/>
            <w:tcBorders>
              <w:top w:val="nil"/>
              <w:left w:val="nil"/>
              <w:bottom w:val="nil"/>
              <w:right w:val="nil"/>
            </w:tcBorders>
            <w:shd w:val="clear" w:color="auto" w:fill="auto"/>
            <w:noWrap/>
            <w:vAlign w:val="center"/>
          </w:tcPr>
          <w:p w14:paraId="1622B677"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.09 (.03)</w:t>
            </w:r>
          </w:p>
        </w:tc>
      </w:tr>
      <w:tr w:rsidR="006822EF" w:rsidRPr="00C7354B" w14:paraId="0F84335B" w14:textId="77777777" w:rsidTr="00640871">
        <w:trPr>
          <w:trHeight w:val="89"/>
          <w:jc w:val="center"/>
        </w:trPr>
        <w:tc>
          <w:tcPr>
            <w:tcW w:w="2977" w:type="dxa"/>
            <w:tcBorders>
              <w:top w:val="nil"/>
              <w:left w:val="nil"/>
              <w:bottom w:val="nil"/>
              <w:right w:val="nil"/>
            </w:tcBorders>
            <w:shd w:val="clear" w:color="auto" w:fill="auto"/>
            <w:noWrap/>
            <w:vAlign w:val="center"/>
          </w:tcPr>
          <w:p w14:paraId="492DDE01" w14:textId="77777777" w:rsidR="006822EF" w:rsidRPr="00C7354B" w:rsidRDefault="006822EF" w:rsidP="00AB066F">
            <w:pPr>
              <w:widowControl w:val="0"/>
              <w:spacing w:line="240" w:lineRule="auto"/>
              <w:jc w:val="left"/>
              <w:rPr>
                <w:color w:val="000000" w:themeColor="text1"/>
                <w:kern w:val="2"/>
                <w:sz w:val="22"/>
                <w:lang w:val="en-US" w:eastAsia="zh-CN"/>
              </w:rPr>
            </w:pPr>
          </w:p>
        </w:tc>
        <w:tc>
          <w:tcPr>
            <w:tcW w:w="1247" w:type="dxa"/>
            <w:tcBorders>
              <w:top w:val="nil"/>
              <w:left w:val="nil"/>
              <w:bottom w:val="nil"/>
              <w:right w:val="nil"/>
            </w:tcBorders>
            <w:vAlign w:val="center"/>
          </w:tcPr>
          <w:p w14:paraId="7FAA9EC8" w14:textId="77777777" w:rsidR="006822EF" w:rsidRPr="00C7354B" w:rsidRDefault="006822EF" w:rsidP="00AB066F">
            <w:pPr>
              <w:widowControl w:val="0"/>
              <w:spacing w:line="240" w:lineRule="auto"/>
              <w:jc w:val="center"/>
              <w:rPr>
                <w:color w:val="000000" w:themeColor="text1"/>
                <w:kern w:val="2"/>
                <w:sz w:val="22"/>
                <w:lang w:val="en-US" w:eastAsia="zh-CN"/>
              </w:rPr>
            </w:pPr>
          </w:p>
        </w:tc>
        <w:tc>
          <w:tcPr>
            <w:tcW w:w="1247" w:type="dxa"/>
            <w:tcBorders>
              <w:top w:val="nil"/>
              <w:left w:val="nil"/>
              <w:bottom w:val="nil"/>
              <w:right w:val="nil"/>
            </w:tcBorders>
            <w:shd w:val="clear" w:color="auto" w:fill="auto"/>
            <w:noWrap/>
            <w:vAlign w:val="center"/>
          </w:tcPr>
          <w:p w14:paraId="4F9A575D" w14:textId="77777777" w:rsidR="006822EF" w:rsidRPr="00C7354B" w:rsidRDefault="006822EF" w:rsidP="00AB066F">
            <w:pPr>
              <w:widowControl w:val="0"/>
              <w:spacing w:line="240" w:lineRule="auto"/>
              <w:jc w:val="center"/>
              <w:rPr>
                <w:color w:val="000000" w:themeColor="text1"/>
                <w:kern w:val="2"/>
                <w:sz w:val="22"/>
                <w:lang w:val="en-US" w:eastAsia="zh-CN"/>
              </w:rPr>
            </w:pPr>
          </w:p>
        </w:tc>
        <w:tc>
          <w:tcPr>
            <w:tcW w:w="1247" w:type="dxa"/>
            <w:tcBorders>
              <w:top w:val="nil"/>
              <w:left w:val="nil"/>
              <w:bottom w:val="nil"/>
              <w:right w:val="nil"/>
            </w:tcBorders>
            <w:shd w:val="clear" w:color="auto" w:fill="auto"/>
            <w:noWrap/>
            <w:vAlign w:val="center"/>
          </w:tcPr>
          <w:p w14:paraId="6F167C99" w14:textId="77777777" w:rsidR="006822EF" w:rsidRPr="00C7354B" w:rsidRDefault="006822EF" w:rsidP="00AB066F">
            <w:pPr>
              <w:widowControl w:val="0"/>
              <w:spacing w:line="240" w:lineRule="auto"/>
              <w:jc w:val="center"/>
              <w:rPr>
                <w:color w:val="000000" w:themeColor="text1"/>
                <w:kern w:val="2"/>
                <w:sz w:val="22"/>
                <w:lang w:val="en-US" w:eastAsia="zh-CN"/>
              </w:rPr>
            </w:pPr>
          </w:p>
        </w:tc>
        <w:tc>
          <w:tcPr>
            <w:tcW w:w="1247" w:type="dxa"/>
            <w:tcBorders>
              <w:top w:val="nil"/>
              <w:left w:val="nil"/>
              <w:bottom w:val="nil"/>
              <w:right w:val="nil"/>
            </w:tcBorders>
            <w:shd w:val="clear" w:color="auto" w:fill="auto"/>
            <w:noWrap/>
            <w:vAlign w:val="center"/>
          </w:tcPr>
          <w:p w14:paraId="4CB6F66A"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[.004]</w:t>
            </w:r>
          </w:p>
        </w:tc>
        <w:tc>
          <w:tcPr>
            <w:tcW w:w="1247" w:type="dxa"/>
            <w:tcBorders>
              <w:top w:val="nil"/>
              <w:left w:val="nil"/>
              <w:bottom w:val="nil"/>
              <w:right w:val="nil"/>
            </w:tcBorders>
            <w:shd w:val="clear" w:color="auto" w:fill="auto"/>
            <w:noWrap/>
            <w:vAlign w:val="center"/>
          </w:tcPr>
          <w:p w14:paraId="22180BAA"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[.010]</w:t>
            </w:r>
          </w:p>
        </w:tc>
      </w:tr>
      <w:tr w:rsidR="006822EF" w:rsidRPr="00C7354B" w14:paraId="7E3F7E05" w14:textId="77777777" w:rsidTr="00640871">
        <w:trPr>
          <w:trHeight w:val="204"/>
          <w:jc w:val="center"/>
        </w:trPr>
        <w:tc>
          <w:tcPr>
            <w:tcW w:w="2977" w:type="dxa"/>
            <w:tcBorders>
              <w:top w:val="nil"/>
              <w:left w:val="nil"/>
              <w:right w:val="nil"/>
            </w:tcBorders>
            <w:shd w:val="clear" w:color="auto" w:fill="auto"/>
            <w:noWrap/>
            <w:vAlign w:val="center"/>
          </w:tcPr>
          <w:p w14:paraId="5DB2DF2E" w14:textId="77777777" w:rsidR="006822EF" w:rsidRPr="00C7354B" w:rsidRDefault="006822EF" w:rsidP="00AB066F">
            <w:pPr>
              <w:widowControl w:val="0"/>
              <w:spacing w:line="240" w:lineRule="auto"/>
              <w:jc w:val="left"/>
              <w:rPr>
                <w:b/>
                <w:bCs/>
                <w:color w:val="000000" w:themeColor="text1"/>
                <w:kern w:val="2"/>
                <w:sz w:val="22"/>
                <w:lang w:val="en-US" w:eastAsia="zh-CN"/>
              </w:rPr>
            </w:pPr>
            <w:r w:rsidRPr="00C7354B">
              <w:rPr>
                <w:b/>
                <w:bCs/>
                <w:color w:val="000000" w:themeColor="text1"/>
                <w:kern w:val="2"/>
                <w:sz w:val="22"/>
                <w:lang w:val="en-US" w:eastAsia="zh-CN"/>
              </w:rPr>
              <w:t>Firm-level controls</w:t>
            </w:r>
          </w:p>
        </w:tc>
        <w:tc>
          <w:tcPr>
            <w:tcW w:w="1247" w:type="dxa"/>
            <w:tcBorders>
              <w:top w:val="nil"/>
              <w:left w:val="nil"/>
              <w:right w:val="nil"/>
            </w:tcBorders>
            <w:vAlign w:val="center"/>
          </w:tcPr>
          <w:p w14:paraId="3228DF99" w14:textId="77777777" w:rsidR="006822EF" w:rsidRPr="00C7354B" w:rsidRDefault="006822EF" w:rsidP="00AB066F">
            <w:pPr>
              <w:widowControl w:val="0"/>
              <w:spacing w:line="240" w:lineRule="auto"/>
              <w:jc w:val="center"/>
              <w:rPr>
                <w:color w:val="000000" w:themeColor="text1"/>
                <w:kern w:val="2"/>
                <w:sz w:val="22"/>
                <w:lang w:val="en-US" w:eastAsia="zh-CN"/>
              </w:rPr>
            </w:pPr>
          </w:p>
        </w:tc>
        <w:tc>
          <w:tcPr>
            <w:tcW w:w="1247" w:type="dxa"/>
            <w:tcBorders>
              <w:top w:val="nil"/>
              <w:left w:val="nil"/>
              <w:right w:val="nil"/>
            </w:tcBorders>
            <w:shd w:val="clear" w:color="auto" w:fill="auto"/>
            <w:noWrap/>
            <w:vAlign w:val="center"/>
          </w:tcPr>
          <w:p w14:paraId="6516BC08" w14:textId="77777777" w:rsidR="006822EF" w:rsidRPr="00C7354B" w:rsidRDefault="006822EF" w:rsidP="00AB066F">
            <w:pPr>
              <w:widowControl w:val="0"/>
              <w:spacing w:line="240" w:lineRule="auto"/>
              <w:jc w:val="center"/>
              <w:rPr>
                <w:color w:val="000000" w:themeColor="text1"/>
                <w:kern w:val="2"/>
                <w:sz w:val="22"/>
                <w:lang w:val="en-US" w:eastAsia="zh-CN"/>
              </w:rPr>
            </w:pPr>
          </w:p>
        </w:tc>
        <w:tc>
          <w:tcPr>
            <w:tcW w:w="1247" w:type="dxa"/>
            <w:tcBorders>
              <w:top w:val="nil"/>
              <w:left w:val="nil"/>
              <w:right w:val="nil"/>
            </w:tcBorders>
            <w:shd w:val="clear" w:color="auto" w:fill="auto"/>
            <w:noWrap/>
            <w:vAlign w:val="center"/>
          </w:tcPr>
          <w:p w14:paraId="34387BBD" w14:textId="77777777" w:rsidR="006822EF" w:rsidRPr="00C7354B" w:rsidRDefault="006822EF" w:rsidP="00AB066F">
            <w:pPr>
              <w:widowControl w:val="0"/>
              <w:spacing w:line="240" w:lineRule="auto"/>
              <w:jc w:val="center"/>
              <w:rPr>
                <w:color w:val="000000" w:themeColor="text1"/>
                <w:kern w:val="2"/>
                <w:sz w:val="22"/>
                <w:lang w:val="en-US" w:eastAsia="zh-CN"/>
              </w:rPr>
            </w:pPr>
          </w:p>
        </w:tc>
        <w:tc>
          <w:tcPr>
            <w:tcW w:w="1247" w:type="dxa"/>
            <w:tcBorders>
              <w:top w:val="nil"/>
              <w:left w:val="nil"/>
              <w:right w:val="nil"/>
            </w:tcBorders>
            <w:shd w:val="clear" w:color="auto" w:fill="auto"/>
            <w:noWrap/>
            <w:vAlign w:val="center"/>
          </w:tcPr>
          <w:p w14:paraId="75EFCCA9" w14:textId="77777777" w:rsidR="006822EF" w:rsidRPr="00C7354B" w:rsidRDefault="006822EF" w:rsidP="00AB066F">
            <w:pPr>
              <w:widowControl w:val="0"/>
              <w:spacing w:line="240" w:lineRule="auto"/>
              <w:jc w:val="center"/>
              <w:rPr>
                <w:color w:val="000000" w:themeColor="text1"/>
                <w:kern w:val="2"/>
                <w:sz w:val="22"/>
                <w:lang w:val="en-US" w:eastAsia="zh-CN"/>
              </w:rPr>
            </w:pPr>
          </w:p>
        </w:tc>
        <w:tc>
          <w:tcPr>
            <w:tcW w:w="1247" w:type="dxa"/>
            <w:tcBorders>
              <w:top w:val="nil"/>
              <w:left w:val="nil"/>
              <w:right w:val="nil"/>
            </w:tcBorders>
            <w:shd w:val="clear" w:color="auto" w:fill="auto"/>
            <w:noWrap/>
            <w:vAlign w:val="center"/>
          </w:tcPr>
          <w:p w14:paraId="0B8B68C8" w14:textId="77777777" w:rsidR="006822EF" w:rsidRPr="00C7354B" w:rsidRDefault="006822EF" w:rsidP="00AB066F">
            <w:pPr>
              <w:widowControl w:val="0"/>
              <w:spacing w:line="240" w:lineRule="auto"/>
              <w:jc w:val="center"/>
              <w:rPr>
                <w:color w:val="000000" w:themeColor="text1"/>
                <w:kern w:val="2"/>
                <w:sz w:val="22"/>
                <w:lang w:val="en-US" w:eastAsia="zh-CN"/>
              </w:rPr>
            </w:pPr>
          </w:p>
        </w:tc>
      </w:tr>
      <w:tr w:rsidR="006822EF" w:rsidRPr="00C7354B" w14:paraId="18758244" w14:textId="77777777" w:rsidTr="00640871">
        <w:trPr>
          <w:trHeight w:val="89"/>
          <w:jc w:val="center"/>
        </w:trPr>
        <w:tc>
          <w:tcPr>
            <w:tcW w:w="2977" w:type="dxa"/>
            <w:tcBorders>
              <w:top w:val="nil"/>
              <w:left w:val="nil"/>
              <w:right w:val="nil"/>
            </w:tcBorders>
            <w:shd w:val="clear" w:color="auto" w:fill="auto"/>
            <w:noWrap/>
            <w:vAlign w:val="center"/>
          </w:tcPr>
          <w:p w14:paraId="64D27CF3" w14:textId="77777777" w:rsidR="006822EF" w:rsidRPr="00C7354B" w:rsidRDefault="006822EF" w:rsidP="00AB066F">
            <w:pPr>
              <w:widowControl w:val="0"/>
              <w:spacing w:line="240" w:lineRule="auto"/>
              <w:jc w:val="left"/>
              <w:rPr>
                <w:color w:val="000000" w:themeColor="text1"/>
                <w:kern w:val="2"/>
                <w:sz w:val="22"/>
                <w:lang w:val="en-US" w:eastAsia="zh-CN"/>
              </w:rPr>
            </w:pPr>
            <w:r w:rsidRPr="00C7354B">
              <w:rPr>
                <w:rFonts w:eastAsia="Helvetica"/>
                <w:color w:val="000000" w:themeColor="text1"/>
                <w:sz w:val="22"/>
                <w:lang w:val="en-US"/>
              </w:rPr>
              <w:t xml:space="preserve">   Firm size</w:t>
            </w:r>
          </w:p>
        </w:tc>
        <w:tc>
          <w:tcPr>
            <w:tcW w:w="1247" w:type="dxa"/>
            <w:tcBorders>
              <w:top w:val="nil"/>
              <w:left w:val="nil"/>
              <w:right w:val="nil"/>
            </w:tcBorders>
            <w:vAlign w:val="center"/>
          </w:tcPr>
          <w:p w14:paraId="7A106F49"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.00 (.01)</w:t>
            </w:r>
          </w:p>
        </w:tc>
        <w:tc>
          <w:tcPr>
            <w:tcW w:w="1247" w:type="dxa"/>
            <w:tcBorders>
              <w:top w:val="nil"/>
              <w:left w:val="nil"/>
              <w:right w:val="nil"/>
            </w:tcBorders>
            <w:shd w:val="clear" w:color="auto" w:fill="auto"/>
            <w:noWrap/>
            <w:vAlign w:val="center"/>
          </w:tcPr>
          <w:p w14:paraId="638A2AC5"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.00 (.01)</w:t>
            </w:r>
          </w:p>
        </w:tc>
        <w:tc>
          <w:tcPr>
            <w:tcW w:w="1247" w:type="dxa"/>
            <w:tcBorders>
              <w:top w:val="nil"/>
              <w:left w:val="nil"/>
              <w:right w:val="nil"/>
            </w:tcBorders>
            <w:shd w:val="clear" w:color="auto" w:fill="auto"/>
            <w:noWrap/>
            <w:vAlign w:val="center"/>
          </w:tcPr>
          <w:p w14:paraId="4697AD18"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.01 (.01)</w:t>
            </w:r>
          </w:p>
        </w:tc>
        <w:tc>
          <w:tcPr>
            <w:tcW w:w="1247" w:type="dxa"/>
            <w:tcBorders>
              <w:top w:val="nil"/>
              <w:left w:val="nil"/>
              <w:right w:val="nil"/>
            </w:tcBorders>
            <w:shd w:val="clear" w:color="auto" w:fill="auto"/>
            <w:noWrap/>
            <w:vAlign w:val="center"/>
          </w:tcPr>
          <w:p w14:paraId="43D85047"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.01 (.01)</w:t>
            </w:r>
          </w:p>
        </w:tc>
        <w:tc>
          <w:tcPr>
            <w:tcW w:w="1247" w:type="dxa"/>
            <w:tcBorders>
              <w:top w:val="nil"/>
              <w:left w:val="nil"/>
              <w:right w:val="nil"/>
            </w:tcBorders>
            <w:shd w:val="clear" w:color="auto" w:fill="auto"/>
            <w:noWrap/>
            <w:vAlign w:val="center"/>
          </w:tcPr>
          <w:p w14:paraId="5C8C9679"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.01 (.01)</w:t>
            </w:r>
          </w:p>
        </w:tc>
      </w:tr>
      <w:tr w:rsidR="006822EF" w:rsidRPr="00C7354B" w14:paraId="39E2F5F9" w14:textId="77777777" w:rsidTr="00640871">
        <w:trPr>
          <w:trHeight w:val="89"/>
          <w:jc w:val="center"/>
        </w:trPr>
        <w:tc>
          <w:tcPr>
            <w:tcW w:w="2977" w:type="dxa"/>
            <w:tcBorders>
              <w:top w:val="nil"/>
              <w:left w:val="nil"/>
              <w:right w:val="nil"/>
            </w:tcBorders>
            <w:shd w:val="clear" w:color="auto" w:fill="auto"/>
            <w:noWrap/>
            <w:vAlign w:val="center"/>
          </w:tcPr>
          <w:p w14:paraId="6F132A2A" w14:textId="77777777" w:rsidR="006822EF" w:rsidRPr="00C7354B" w:rsidRDefault="006822EF" w:rsidP="00AB066F">
            <w:pPr>
              <w:widowControl w:val="0"/>
              <w:spacing w:line="240" w:lineRule="auto"/>
              <w:jc w:val="left"/>
              <w:rPr>
                <w:color w:val="000000" w:themeColor="text1"/>
                <w:kern w:val="2"/>
                <w:sz w:val="22"/>
                <w:lang w:val="en-US" w:eastAsia="zh-CN"/>
              </w:rPr>
            </w:pPr>
          </w:p>
        </w:tc>
        <w:tc>
          <w:tcPr>
            <w:tcW w:w="1247" w:type="dxa"/>
            <w:tcBorders>
              <w:top w:val="nil"/>
              <w:left w:val="nil"/>
              <w:right w:val="nil"/>
            </w:tcBorders>
            <w:vAlign w:val="center"/>
          </w:tcPr>
          <w:p w14:paraId="4D4587B1"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[.484]</w:t>
            </w:r>
          </w:p>
        </w:tc>
        <w:tc>
          <w:tcPr>
            <w:tcW w:w="1247" w:type="dxa"/>
            <w:tcBorders>
              <w:top w:val="nil"/>
              <w:left w:val="nil"/>
              <w:right w:val="nil"/>
            </w:tcBorders>
            <w:shd w:val="clear" w:color="auto" w:fill="auto"/>
            <w:noWrap/>
            <w:vAlign w:val="center"/>
          </w:tcPr>
          <w:p w14:paraId="7F7363A5"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[.435]</w:t>
            </w:r>
          </w:p>
        </w:tc>
        <w:tc>
          <w:tcPr>
            <w:tcW w:w="1247" w:type="dxa"/>
            <w:tcBorders>
              <w:top w:val="nil"/>
              <w:left w:val="nil"/>
              <w:right w:val="nil"/>
            </w:tcBorders>
            <w:shd w:val="clear" w:color="auto" w:fill="auto"/>
            <w:noWrap/>
            <w:vAlign w:val="center"/>
          </w:tcPr>
          <w:p w14:paraId="08C2A2B0"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[.337]</w:t>
            </w:r>
          </w:p>
        </w:tc>
        <w:tc>
          <w:tcPr>
            <w:tcW w:w="1247" w:type="dxa"/>
            <w:tcBorders>
              <w:top w:val="nil"/>
              <w:left w:val="nil"/>
              <w:right w:val="nil"/>
            </w:tcBorders>
            <w:shd w:val="clear" w:color="auto" w:fill="auto"/>
            <w:noWrap/>
            <w:vAlign w:val="center"/>
          </w:tcPr>
          <w:p w14:paraId="2DE7E339"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[.106]</w:t>
            </w:r>
          </w:p>
        </w:tc>
        <w:tc>
          <w:tcPr>
            <w:tcW w:w="1247" w:type="dxa"/>
            <w:tcBorders>
              <w:top w:val="nil"/>
              <w:left w:val="nil"/>
              <w:right w:val="nil"/>
            </w:tcBorders>
            <w:shd w:val="clear" w:color="auto" w:fill="auto"/>
            <w:noWrap/>
            <w:vAlign w:val="center"/>
          </w:tcPr>
          <w:p w14:paraId="3404DEC5"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[.104]</w:t>
            </w:r>
          </w:p>
        </w:tc>
      </w:tr>
      <w:tr w:rsidR="006822EF" w:rsidRPr="00C7354B" w14:paraId="1F569F09" w14:textId="77777777" w:rsidTr="00640871">
        <w:trPr>
          <w:trHeight w:val="89"/>
          <w:jc w:val="center"/>
        </w:trPr>
        <w:tc>
          <w:tcPr>
            <w:tcW w:w="2977" w:type="dxa"/>
            <w:tcBorders>
              <w:top w:val="nil"/>
              <w:left w:val="nil"/>
              <w:right w:val="nil"/>
            </w:tcBorders>
            <w:shd w:val="clear" w:color="auto" w:fill="auto"/>
            <w:noWrap/>
            <w:vAlign w:val="center"/>
          </w:tcPr>
          <w:p w14:paraId="53031318" w14:textId="77777777" w:rsidR="006822EF" w:rsidRPr="00C7354B" w:rsidRDefault="006822EF" w:rsidP="00AB066F">
            <w:pPr>
              <w:widowControl w:val="0"/>
              <w:spacing w:line="240" w:lineRule="auto"/>
              <w:jc w:val="left"/>
              <w:rPr>
                <w:color w:val="000000" w:themeColor="text1"/>
                <w:kern w:val="2"/>
                <w:sz w:val="22"/>
                <w:lang w:val="en-US" w:eastAsia="zh-CN"/>
              </w:rPr>
            </w:pPr>
            <w:r w:rsidRPr="00C7354B">
              <w:rPr>
                <w:rFonts w:eastAsia="Helvetica"/>
                <w:color w:val="000000" w:themeColor="text1"/>
                <w:sz w:val="22"/>
                <w:lang w:val="en-US"/>
              </w:rPr>
              <w:t xml:space="preserve">   Industry control</w:t>
            </w:r>
          </w:p>
        </w:tc>
        <w:tc>
          <w:tcPr>
            <w:tcW w:w="1247" w:type="dxa"/>
            <w:tcBorders>
              <w:top w:val="nil"/>
              <w:left w:val="nil"/>
              <w:right w:val="nil"/>
            </w:tcBorders>
            <w:vAlign w:val="center"/>
          </w:tcPr>
          <w:p w14:paraId="38005E0E"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.01 (.02)</w:t>
            </w:r>
          </w:p>
        </w:tc>
        <w:tc>
          <w:tcPr>
            <w:tcW w:w="1247" w:type="dxa"/>
            <w:tcBorders>
              <w:top w:val="nil"/>
              <w:left w:val="nil"/>
              <w:right w:val="nil"/>
            </w:tcBorders>
            <w:shd w:val="clear" w:color="auto" w:fill="auto"/>
            <w:noWrap/>
            <w:vAlign w:val="center"/>
          </w:tcPr>
          <w:p w14:paraId="01250CDE"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.01 (.02)</w:t>
            </w:r>
          </w:p>
        </w:tc>
        <w:tc>
          <w:tcPr>
            <w:tcW w:w="1247" w:type="dxa"/>
            <w:tcBorders>
              <w:top w:val="nil"/>
              <w:left w:val="nil"/>
              <w:right w:val="nil"/>
            </w:tcBorders>
            <w:shd w:val="clear" w:color="auto" w:fill="auto"/>
            <w:noWrap/>
            <w:vAlign w:val="center"/>
          </w:tcPr>
          <w:p w14:paraId="056B4298"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.01 (.02)</w:t>
            </w:r>
          </w:p>
        </w:tc>
        <w:tc>
          <w:tcPr>
            <w:tcW w:w="1247" w:type="dxa"/>
            <w:tcBorders>
              <w:top w:val="nil"/>
              <w:left w:val="nil"/>
              <w:right w:val="nil"/>
            </w:tcBorders>
            <w:shd w:val="clear" w:color="auto" w:fill="auto"/>
            <w:noWrap/>
            <w:vAlign w:val="center"/>
          </w:tcPr>
          <w:p w14:paraId="7EE67F8F"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.00 (.02)</w:t>
            </w:r>
          </w:p>
        </w:tc>
        <w:tc>
          <w:tcPr>
            <w:tcW w:w="1247" w:type="dxa"/>
            <w:tcBorders>
              <w:top w:val="nil"/>
              <w:left w:val="nil"/>
              <w:right w:val="nil"/>
            </w:tcBorders>
            <w:shd w:val="clear" w:color="auto" w:fill="auto"/>
            <w:noWrap/>
            <w:vAlign w:val="center"/>
          </w:tcPr>
          <w:p w14:paraId="6BB87B14"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.01 (.02)</w:t>
            </w:r>
          </w:p>
        </w:tc>
      </w:tr>
      <w:tr w:rsidR="006822EF" w:rsidRPr="00C7354B" w14:paraId="345B1F3F" w14:textId="77777777" w:rsidTr="00640871">
        <w:trPr>
          <w:trHeight w:val="89"/>
          <w:jc w:val="center"/>
        </w:trPr>
        <w:tc>
          <w:tcPr>
            <w:tcW w:w="2977" w:type="dxa"/>
            <w:tcBorders>
              <w:top w:val="nil"/>
              <w:left w:val="nil"/>
              <w:right w:val="nil"/>
            </w:tcBorders>
            <w:shd w:val="clear" w:color="auto" w:fill="auto"/>
            <w:noWrap/>
            <w:vAlign w:val="center"/>
          </w:tcPr>
          <w:p w14:paraId="591FDDFB" w14:textId="77777777" w:rsidR="006822EF" w:rsidRPr="00C7354B" w:rsidRDefault="006822EF" w:rsidP="00AB066F">
            <w:pPr>
              <w:widowControl w:val="0"/>
              <w:spacing w:line="240" w:lineRule="auto"/>
              <w:jc w:val="left"/>
              <w:rPr>
                <w:color w:val="000000" w:themeColor="text1"/>
                <w:kern w:val="2"/>
                <w:sz w:val="22"/>
                <w:lang w:val="en-US" w:eastAsia="zh-CN"/>
              </w:rPr>
            </w:pPr>
          </w:p>
        </w:tc>
        <w:tc>
          <w:tcPr>
            <w:tcW w:w="1247" w:type="dxa"/>
            <w:tcBorders>
              <w:top w:val="nil"/>
              <w:left w:val="nil"/>
              <w:right w:val="nil"/>
            </w:tcBorders>
            <w:vAlign w:val="center"/>
          </w:tcPr>
          <w:p w14:paraId="3693CB7D"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[.561]</w:t>
            </w:r>
          </w:p>
        </w:tc>
        <w:tc>
          <w:tcPr>
            <w:tcW w:w="1247" w:type="dxa"/>
            <w:tcBorders>
              <w:top w:val="nil"/>
              <w:left w:val="nil"/>
              <w:right w:val="nil"/>
            </w:tcBorders>
            <w:shd w:val="clear" w:color="auto" w:fill="auto"/>
            <w:noWrap/>
            <w:vAlign w:val="center"/>
          </w:tcPr>
          <w:p w14:paraId="5EF24410"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[.461]</w:t>
            </w:r>
          </w:p>
        </w:tc>
        <w:tc>
          <w:tcPr>
            <w:tcW w:w="1247" w:type="dxa"/>
            <w:tcBorders>
              <w:top w:val="nil"/>
              <w:left w:val="nil"/>
              <w:right w:val="nil"/>
            </w:tcBorders>
            <w:shd w:val="clear" w:color="auto" w:fill="auto"/>
            <w:noWrap/>
            <w:vAlign w:val="center"/>
          </w:tcPr>
          <w:p w14:paraId="0F2A08DC"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[.697]</w:t>
            </w:r>
          </w:p>
        </w:tc>
        <w:tc>
          <w:tcPr>
            <w:tcW w:w="1247" w:type="dxa"/>
            <w:tcBorders>
              <w:top w:val="nil"/>
              <w:left w:val="nil"/>
              <w:right w:val="nil"/>
            </w:tcBorders>
            <w:shd w:val="clear" w:color="auto" w:fill="auto"/>
            <w:noWrap/>
            <w:vAlign w:val="center"/>
          </w:tcPr>
          <w:p w14:paraId="5AA29ABD"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[.978]</w:t>
            </w:r>
          </w:p>
        </w:tc>
        <w:tc>
          <w:tcPr>
            <w:tcW w:w="1247" w:type="dxa"/>
            <w:tcBorders>
              <w:top w:val="nil"/>
              <w:left w:val="nil"/>
              <w:right w:val="nil"/>
            </w:tcBorders>
            <w:shd w:val="clear" w:color="auto" w:fill="auto"/>
            <w:noWrap/>
            <w:vAlign w:val="center"/>
          </w:tcPr>
          <w:p w14:paraId="2B17350E"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[.634]</w:t>
            </w:r>
          </w:p>
        </w:tc>
      </w:tr>
      <w:tr w:rsidR="006822EF" w:rsidRPr="00C7354B" w14:paraId="37518DF6" w14:textId="77777777" w:rsidTr="00640871">
        <w:trPr>
          <w:trHeight w:val="89"/>
          <w:jc w:val="center"/>
        </w:trPr>
        <w:tc>
          <w:tcPr>
            <w:tcW w:w="2977" w:type="dxa"/>
            <w:tcBorders>
              <w:top w:val="nil"/>
              <w:left w:val="nil"/>
              <w:right w:val="nil"/>
            </w:tcBorders>
            <w:shd w:val="clear" w:color="auto" w:fill="auto"/>
            <w:noWrap/>
            <w:vAlign w:val="center"/>
          </w:tcPr>
          <w:p w14:paraId="26CA8077" w14:textId="77777777" w:rsidR="006822EF" w:rsidRPr="00C7354B" w:rsidRDefault="006822EF" w:rsidP="00AB066F">
            <w:pPr>
              <w:widowControl w:val="0"/>
              <w:spacing w:line="240" w:lineRule="auto"/>
              <w:jc w:val="left"/>
              <w:rPr>
                <w:b/>
                <w:bCs/>
                <w:color w:val="000000" w:themeColor="text1"/>
                <w:kern w:val="2"/>
                <w:sz w:val="22"/>
                <w:lang w:val="en-US" w:eastAsia="zh-CN"/>
              </w:rPr>
            </w:pPr>
            <w:r w:rsidRPr="00C7354B">
              <w:rPr>
                <w:b/>
                <w:bCs/>
                <w:color w:val="000000" w:themeColor="text1"/>
                <w:kern w:val="2"/>
                <w:sz w:val="22"/>
                <w:lang w:val="en-US" w:eastAsia="zh-CN"/>
              </w:rPr>
              <w:t>Study-level controls</w:t>
            </w:r>
          </w:p>
        </w:tc>
        <w:tc>
          <w:tcPr>
            <w:tcW w:w="1247" w:type="dxa"/>
            <w:tcBorders>
              <w:top w:val="nil"/>
              <w:left w:val="nil"/>
              <w:right w:val="nil"/>
            </w:tcBorders>
            <w:vAlign w:val="center"/>
          </w:tcPr>
          <w:p w14:paraId="41AF2122" w14:textId="77777777" w:rsidR="006822EF" w:rsidRPr="00C7354B" w:rsidRDefault="006822EF" w:rsidP="00AB066F">
            <w:pPr>
              <w:widowControl w:val="0"/>
              <w:spacing w:line="240" w:lineRule="auto"/>
              <w:jc w:val="center"/>
              <w:rPr>
                <w:color w:val="000000" w:themeColor="text1"/>
                <w:kern w:val="2"/>
                <w:sz w:val="22"/>
                <w:lang w:val="en-US" w:eastAsia="zh-CN"/>
              </w:rPr>
            </w:pPr>
          </w:p>
        </w:tc>
        <w:tc>
          <w:tcPr>
            <w:tcW w:w="1247" w:type="dxa"/>
            <w:tcBorders>
              <w:top w:val="nil"/>
              <w:left w:val="nil"/>
              <w:right w:val="nil"/>
            </w:tcBorders>
            <w:shd w:val="clear" w:color="auto" w:fill="auto"/>
            <w:noWrap/>
            <w:vAlign w:val="center"/>
          </w:tcPr>
          <w:p w14:paraId="7696EF43" w14:textId="77777777" w:rsidR="006822EF" w:rsidRPr="00C7354B" w:rsidRDefault="006822EF" w:rsidP="00AB066F">
            <w:pPr>
              <w:widowControl w:val="0"/>
              <w:spacing w:line="240" w:lineRule="auto"/>
              <w:jc w:val="center"/>
              <w:rPr>
                <w:color w:val="000000" w:themeColor="text1"/>
                <w:kern w:val="2"/>
                <w:sz w:val="22"/>
                <w:lang w:val="en-US" w:eastAsia="zh-CN"/>
              </w:rPr>
            </w:pPr>
          </w:p>
        </w:tc>
        <w:tc>
          <w:tcPr>
            <w:tcW w:w="1247" w:type="dxa"/>
            <w:tcBorders>
              <w:top w:val="nil"/>
              <w:left w:val="nil"/>
              <w:right w:val="nil"/>
            </w:tcBorders>
            <w:shd w:val="clear" w:color="auto" w:fill="auto"/>
            <w:noWrap/>
            <w:vAlign w:val="center"/>
          </w:tcPr>
          <w:p w14:paraId="1765DC59" w14:textId="77777777" w:rsidR="006822EF" w:rsidRPr="00C7354B" w:rsidRDefault="006822EF" w:rsidP="00AB066F">
            <w:pPr>
              <w:widowControl w:val="0"/>
              <w:spacing w:line="240" w:lineRule="auto"/>
              <w:jc w:val="center"/>
              <w:rPr>
                <w:color w:val="000000" w:themeColor="text1"/>
                <w:kern w:val="2"/>
                <w:sz w:val="22"/>
                <w:lang w:val="en-US" w:eastAsia="zh-CN"/>
              </w:rPr>
            </w:pPr>
          </w:p>
        </w:tc>
        <w:tc>
          <w:tcPr>
            <w:tcW w:w="1247" w:type="dxa"/>
            <w:tcBorders>
              <w:top w:val="nil"/>
              <w:left w:val="nil"/>
              <w:right w:val="nil"/>
            </w:tcBorders>
            <w:shd w:val="clear" w:color="auto" w:fill="auto"/>
            <w:noWrap/>
            <w:vAlign w:val="center"/>
          </w:tcPr>
          <w:p w14:paraId="39C2F150" w14:textId="77777777" w:rsidR="006822EF" w:rsidRPr="00C7354B" w:rsidRDefault="006822EF" w:rsidP="00AB066F">
            <w:pPr>
              <w:widowControl w:val="0"/>
              <w:spacing w:line="240" w:lineRule="auto"/>
              <w:jc w:val="center"/>
              <w:rPr>
                <w:color w:val="000000" w:themeColor="text1"/>
                <w:kern w:val="2"/>
                <w:sz w:val="22"/>
                <w:lang w:val="en-US" w:eastAsia="zh-CN"/>
              </w:rPr>
            </w:pPr>
          </w:p>
        </w:tc>
        <w:tc>
          <w:tcPr>
            <w:tcW w:w="1247" w:type="dxa"/>
            <w:tcBorders>
              <w:top w:val="nil"/>
              <w:left w:val="nil"/>
              <w:right w:val="nil"/>
            </w:tcBorders>
            <w:shd w:val="clear" w:color="auto" w:fill="auto"/>
            <w:noWrap/>
            <w:vAlign w:val="center"/>
          </w:tcPr>
          <w:p w14:paraId="06B05FA2" w14:textId="77777777" w:rsidR="006822EF" w:rsidRPr="00C7354B" w:rsidRDefault="006822EF" w:rsidP="00AB066F">
            <w:pPr>
              <w:widowControl w:val="0"/>
              <w:spacing w:line="240" w:lineRule="auto"/>
              <w:jc w:val="center"/>
              <w:rPr>
                <w:color w:val="000000" w:themeColor="text1"/>
                <w:kern w:val="2"/>
                <w:sz w:val="22"/>
                <w:lang w:val="en-US" w:eastAsia="zh-CN"/>
              </w:rPr>
            </w:pPr>
          </w:p>
        </w:tc>
      </w:tr>
      <w:tr w:rsidR="006822EF" w:rsidRPr="00C7354B" w14:paraId="3EE4563A" w14:textId="77777777" w:rsidTr="00640871">
        <w:trPr>
          <w:trHeight w:val="89"/>
          <w:jc w:val="center"/>
        </w:trPr>
        <w:tc>
          <w:tcPr>
            <w:tcW w:w="2977" w:type="dxa"/>
            <w:tcBorders>
              <w:top w:val="nil"/>
              <w:left w:val="nil"/>
              <w:right w:val="nil"/>
            </w:tcBorders>
            <w:shd w:val="clear" w:color="auto" w:fill="auto"/>
            <w:noWrap/>
            <w:vAlign w:val="center"/>
          </w:tcPr>
          <w:p w14:paraId="4EBFF47A" w14:textId="77777777" w:rsidR="006822EF" w:rsidRPr="00C7354B" w:rsidRDefault="006822EF" w:rsidP="00AB066F">
            <w:pPr>
              <w:widowControl w:val="0"/>
              <w:spacing w:line="240" w:lineRule="auto"/>
              <w:jc w:val="left"/>
              <w:rPr>
                <w:color w:val="000000" w:themeColor="text1"/>
                <w:kern w:val="2"/>
                <w:sz w:val="22"/>
                <w:lang w:val="en-US" w:eastAsia="zh-CN"/>
              </w:rPr>
            </w:pPr>
            <w:r w:rsidRPr="00C7354B">
              <w:rPr>
                <w:rFonts w:eastAsia="Helvetica"/>
                <w:color w:val="000000" w:themeColor="text1"/>
                <w:sz w:val="22"/>
                <w:lang w:val="en-US"/>
              </w:rPr>
              <w:t xml:space="preserve">   Accounting indicator (0/1)</w:t>
            </w:r>
          </w:p>
        </w:tc>
        <w:tc>
          <w:tcPr>
            <w:tcW w:w="1247" w:type="dxa"/>
            <w:tcBorders>
              <w:top w:val="nil"/>
              <w:left w:val="nil"/>
              <w:right w:val="nil"/>
            </w:tcBorders>
            <w:vAlign w:val="center"/>
          </w:tcPr>
          <w:p w14:paraId="3512CB8E"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.03 (.01)</w:t>
            </w:r>
          </w:p>
        </w:tc>
        <w:tc>
          <w:tcPr>
            <w:tcW w:w="1247" w:type="dxa"/>
            <w:tcBorders>
              <w:top w:val="nil"/>
              <w:left w:val="nil"/>
              <w:right w:val="nil"/>
            </w:tcBorders>
            <w:shd w:val="clear" w:color="auto" w:fill="auto"/>
            <w:noWrap/>
            <w:vAlign w:val="center"/>
          </w:tcPr>
          <w:p w14:paraId="2D17DB42"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.02 (.01)</w:t>
            </w:r>
          </w:p>
        </w:tc>
        <w:tc>
          <w:tcPr>
            <w:tcW w:w="1247" w:type="dxa"/>
            <w:tcBorders>
              <w:top w:val="nil"/>
              <w:left w:val="nil"/>
              <w:right w:val="nil"/>
            </w:tcBorders>
            <w:shd w:val="clear" w:color="auto" w:fill="auto"/>
            <w:noWrap/>
            <w:vAlign w:val="center"/>
          </w:tcPr>
          <w:p w14:paraId="07433032"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.03 (.01)</w:t>
            </w:r>
          </w:p>
        </w:tc>
        <w:tc>
          <w:tcPr>
            <w:tcW w:w="1247" w:type="dxa"/>
            <w:tcBorders>
              <w:top w:val="nil"/>
              <w:left w:val="nil"/>
              <w:right w:val="nil"/>
            </w:tcBorders>
            <w:shd w:val="clear" w:color="auto" w:fill="auto"/>
            <w:noWrap/>
            <w:vAlign w:val="center"/>
          </w:tcPr>
          <w:p w14:paraId="379CB100"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.03 (.01)</w:t>
            </w:r>
          </w:p>
        </w:tc>
        <w:tc>
          <w:tcPr>
            <w:tcW w:w="1247" w:type="dxa"/>
            <w:tcBorders>
              <w:top w:val="nil"/>
              <w:left w:val="nil"/>
              <w:right w:val="nil"/>
            </w:tcBorders>
            <w:shd w:val="clear" w:color="auto" w:fill="auto"/>
            <w:noWrap/>
            <w:vAlign w:val="center"/>
          </w:tcPr>
          <w:p w14:paraId="113F27BE"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.03 (.01)</w:t>
            </w:r>
          </w:p>
        </w:tc>
      </w:tr>
      <w:tr w:rsidR="006822EF" w:rsidRPr="00C7354B" w14:paraId="3DA15F37" w14:textId="77777777" w:rsidTr="00640871">
        <w:trPr>
          <w:trHeight w:val="89"/>
          <w:jc w:val="center"/>
        </w:trPr>
        <w:tc>
          <w:tcPr>
            <w:tcW w:w="2977" w:type="dxa"/>
            <w:tcBorders>
              <w:top w:val="nil"/>
              <w:left w:val="nil"/>
              <w:right w:val="nil"/>
            </w:tcBorders>
            <w:shd w:val="clear" w:color="auto" w:fill="auto"/>
            <w:noWrap/>
            <w:vAlign w:val="center"/>
          </w:tcPr>
          <w:p w14:paraId="58CCBD5F" w14:textId="77777777" w:rsidR="006822EF" w:rsidRPr="00C7354B" w:rsidRDefault="006822EF" w:rsidP="00AB066F">
            <w:pPr>
              <w:widowControl w:val="0"/>
              <w:spacing w:line="240" w:lineRule="auto"/>
              <w:jc w:val="left"/>
              <w:rPr>
                <w:color w:val="000000" w:themeColor="text1"/>
                <w:kern w:val="2"/>
                <w:sz w:val="22"/>
                <w:lang w:val="en-US" w:eastAsia="zh-CN"/>
              </w:rPr>
            </w:pPr>
          </w:p>
        </w:tc>
        <w:tc>
          <w:tcPr>
            <w:tcW w:w="1247" w:type="dxa"/>
            <w:tcBorders>
              <w:top w:val="nil"/>
              <w:left w:val="nil"/>
              <w:right w:val="nil"/>
            </w:tcBorders>
            <w:vAlign w:val="center"/>
          </w:tcPr>
          <w:p w14:paraId="4189B83C"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[.012]</w:t>
            </w:r>
          </w:p>
        </w:tc>
        <w:tc>
          <w:tcPr>
            <w:tcW w:w="1247" w:type="dxa"/>
            <w:tcBorders>
              <w:top w:val="nil"/>
              <w:left w:val="nil"/>
              <w:right w:val="nil"/>
            </w:tcBorders>
            <w:shd w:val="clear" w:color="auto" w:fill="auto"/>
            <w:noWrap/>
            <w:vAlign w:val="center"/>
          </w:tcPr>
          <w:p w14:paraId="5B6D9DA7"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[.018]</w:t>
            </w:r>
          </w:p>
        </w:tc>
        <w:tc>
          <w:tcPr>
            <w:tcW w:w="1247" w:type="dxa"/>
            <w:tcBorders>
              <w:top w:val="nil"/>
              <w:left w:val="nil"/>
              <w:right w:val="nil"/>
            </w:tcBorders>
            <w:shd w:val="clear" w:color="auto" w:fill="auto"/>
            <w:noWrap/>
            <w:vAlign w:val="center"/>
          </w:tcPr>
          <w:p w14:paraId="1745F0ED"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[.001]</w:t>
            </w:r>
          </w:p>
        </w:tc>
        <w:tc>
          <w:tcPr>
            <w:tcW w:w="1247" w:type="dxa"/>
            <w:tcBorders>
              <w:top w:val="nil"/>
              <w:left w:val="nil"/>
              <w:right w:val="nil"/>
            </w:tcBorders>
            <w:shd w:val="clear" w:color="auto" w:fill="auto"/>
            <w:noWrap/>
            <w:vAlign w:val="center"/>
          </w:tcPr>
          <w:p w14:paraId="71388518" w14:textId="77777777" w:rsidR="006822EF" w:rsidRPr="00C7354B" w:rsidRDefault="006822EF" w:rsidP="00AB066F">
            <w:pPr>
              <w:widowControl w:val="0"/>
              <w:spacing w:line="240" w:lineRule="auto"/>
              <w:jc w:val="center"/>
              <w:rPr>
                <w:color w:val="000000" w:themeColor="text1"/>
                <w:kern w:val="2"/>
                <w:sz w:val="22"/>
                <w:lang w:val="en-US" w:eastAsia="zh-CN"/>
              </w:rPr>
            </w:pPr>
            <w:r w:rsidRPr="00C7354B">
              <w:rPr>
                <w:rFonts w:eastAsia="Helvetica"/>
                <w:color w:val="000000" w:themeColor="text1"/>
                <w:sz w:val="22"/>
                <w:lang w:val="en-US"/>
              </w:rPr>
              <w:t>[.003]</w:t>
            </w:r>
          </w:p>
        </w:tc>
        <w:tc>
          <w:tcPr>
            <w:tcW w:w="1247" w:type="dxa"/>
            <w:tcBorders>
              <w:top w:val="nil"/>
              <w:left w:val="nil"/>
              <w:right w:val="nil"/>
            </w:tcBorders>
            <w:shd w:val="clear" w:color="auto" w:fill="auto"/>
            <w:noWrap/>
            <w:vAlign w:val="center"/>
          </w:tcPr>
          <w:p w14:paraId="2056D11F" w14:textId="77777777" w:rsidR="006822EF" w:rsidRPr="00C7354B" w:rsidRDefault="006822EF" w:rsidP="00AB066F">
            <w:pPr>
              <w:widowControl w:val="0"/>
              <w:spacing w:line="240" w:lineRule="auto"/>
              <w:jc w:val="center"/>
              <w:rPr>
                <w:color w:val="000000" w:themeColor="text1"/>
                <w:kern w:val="2"/>
                <w:sz w:val="22"/>
                <w:lang w:eastAsia="zh-CN"/>
              </w:rPr>
            </w:pPr>
            <w:r w:rsidRPr="00C7354B">
              <w:rPr>
                <w:rFonts w:eastAsia="Helvetica"/>
                <w:color w:val="000000" w:themeColor="text1"/>
                <w:sz w:val="22"/>
                <w:lang w:val="en-US"/>
              </w:rPr>
              <w:t>[.0</w:t>
            </w:r>
            <w:r w:rsidRPr="00C7354B">
              <w:rPr>
                <w:rFonts w:eastAsia="Helvetica"/>
                <w:color w:val="000000" w:themeColor="text1"/>
                <w:sz w:val="22"/>
              </w:rPr>
              <w:t>09]</w:t>
            </w:r>
          </w:p>
        </w:tc>
      </w:tr>
      <w:tr w:rsidR="006822EF" w:rsidRPr="00C7354B" w14:paraId="0AEF0A57" w14:textId="77777777" w:rsidTr="00640871">
        <w:trPr>
          <w:trHeight w:val="89"/>
          <w:jc w:val="center"/>
        </w:trPr>
        <w:tc>
          <w:tcPr>
            <w:tcW w:w="2977" w:type="dxa"/>
            <w:tcBorders>
              <w:top w:val="nil"/>
              <w:left w:val="nil"/>
              <w:right w:val="nil"/>
            </w:tcBorders>
            <w:shd w:val="clear" w:color="auto" w:fill="auto"/>
            <w:noWrap/>
            <w:vAlign w:val="center"/>
          </w:tcPr>
          <w:p w14:paraId="72CE895C" w14:textId="77777777" w:rsidR="006822EF" w:rsidRPr="00C7354B" w:rsidRDefault="006822EF" w:rsidP="00AB066F">
            <w:pPr>
              <w:widowControl w:val="0"/>
              <w:spacing w:line="240" w:lineRule="auto"/>
              <w:jc w:val="left"/>
              <w:rPr>
                <w:color w:val="000000" w:themeColor="text1"/>
                <w:kern w:val="2"/>
                <w:sz w:val="22"/>
                <w:lang w:eastAsia="zh-CN"/>
              </w:rPr>
            </w:pPr>
            <w:r w:rsidRPr="00C7354B">
              <w:rPr>
                <w:rFonts w:eastAsia="Helvetica"/>
                <w:color w:val="000000" w:themeColor="text1"/>
                <w:sz w:val="22"/>
              </w:rPr>
              <w:t xml:space="preserve">   Endogeneity control (0/1)</w:t>
            </w:r>
          </w:p>
        </w:tc>
        <w:tc>
          <w:tcPr>
            <w:tcW w:w="1247" w:type="dxa"/>
            <w:tcBorders>
              <w:top w:val="nil"/>
              <w:left w:val="nil"/>
              <w:right w:val="nil"/>
            </w:tcBorders>
            <w:vAlign w:val="center"/>
          </w:tcPr>
          <w:p w14:paraId="78787A17" w14:textId="77777777" w:rsidR="006822EF" w:rsidRPr="00C7354B" w:rsidRDefault="006822EF" w:rsidP="00AB066F">
            <w:pPr>
              <w:widowControl w:val="0"/>
              <w:spacing w:line="240" w:lineRule="auto"/>
              <w:jc w:val="center"/>
              <w:rPr>
                <w:color w:val="000000" w:themeColor="text1"/>
                <w:kern w:val="2"/>
                <w:sz w:val="22"/>
                <w:lang w:eastAsia="zh-CN"/>
              </w:rPr>
            </w:pPr>
            <w:r w:rsidRPr="00C7354B">
              <w:rPr>
                <w:rFonts w:eastAsia="Helvetica"/>
                <w:color w:val="000000" w:themeColor="text1"/>
                <w:sz w:val="22"/>
              </w:rPr>
              <w:t>.02 (.01)</w:t>
            </w:r>
          </w:p>
        </w:tc>
        <w:tc>
          <w:tcPr>
            <w:tcW w:w="1247" w:type="dxa"/>
            <w:tcBorders>
              <w:top w:val="nil"/>
              <w:left w:val="nil"/>
              <w:right w:val="nil"/>
            </w:tcBorders>
            <w:shd w:val="clear" w:color="auto" w:fill="auto"/>
            <w:noWrap/>
            <w:vAlign w:val="center"/>
          </w:tcPr>
          <w:p w14:paraId="40F0C54F" w14:textId="77777777" w:rsidR="006822EF" w:rsidRPr="00C7354B" w:rsidRDefault="006822EF" w:rsidP="00AB066F">
            <w:pPr>
              <w:widowControl w:val="0"/>
              <w:spacing w:line="240" w:lineRule="auto"/>
              <w:jc w:val="center"/>
              <w:rPr>
                <w:color w:val="000000" w:themeColor="text1"/>
                <w:kern w:val="2"/>
                <w:sz w:val="22"/>
                <w:lang w:eastAsia="zh-CN"/>
              </w:rPr>
            </w:pPr>
            <w:r w:rsidRPr="00C7354B">
              <w:rPr>
                <w:rFonts w:eastAsia="Helvetica"/>
                <w:color w:val="000000" w:themeColor="text1"/>
                <w:sz w:val="22"/>
              </w:rPr>
              <w:t>.02 (.01)</w:t>
            </w:r>
          </w:p>
        </w:tc>
        <w:tc>
          <w:tcPr>
            <w:tcW w:w="1247" w:type="dxa"/>
            <w:tcBorders>
              <w:top w:val="nil"/>
              <w:left w:val="nil"/>
              <w:right w:val="nil"/>
            </w:tcBorders>
            <w:shd w:val="clear" w:color="auto" w:fill="auto"/>
            <w:noWrap/>
            <w:vAlign w:val="center"/>
          </w:tcPr>
          <w:p w14:paraId="6FCE3266" w14:textId="77777777" w:rsidR="006822EF" w:rsidRPr="00C7354B" w:rsidRDefault="006822EF" w:rsidP="00AB066F">
            <w:pPr>
              <w:widowControl w:val="0"/>
              <w:spacing w:line="240" w:lineRule="auto"/>
              <w:jc w:val="center"/>
              <w:rPr>
                <w:color w:val="000000" w:themeColor="text1"/>
                <w:kern w:val="2"/>
                <w:sz w:val="22"/>
                <w:lang w:eastAsia="zh-CN"/>
              </w:rPr>
            </w:pPr>
            <w:r w:rsidRPr="00C7354B">
              <w:rPr>
                <w:rFonts w:eastAsia="Helvetica"/>
                <w:color w:val="000000" w:themeColor="text1"/>
                <w:sz w:val="22"/>
              </w:rPr>
              <w:t>.02 (.01)</w:t>
            </w:r>
          </w:p>
        </w:tc>
        <w:tc>
          <w:tcPr>
            <w:tcW w:w="1247" w:type="dxa"/>
            <w:tcBorders>
              <w:top w:val="nil"/>
              <w:left w:val="nil"/>
              <w:right w:val="nil"/>
            </w:tcBorders>
            <w:shd w:val="clear" w:color="auto" w:fill="auto"/>
            <w:noWrap/>
            <w:vAlign w:val="center"/>
          </w:tcPr>
          <w:p w14:paraId="547076ED" w14:textId="77777777" w:rsidR="006822EF" w:rsidRPr="00C7354B" w:rsidRDefault="006822EF" w:rsidP="00AB066F">
            <w:pPr>
              <w:widowControl w:val="0"/>
              <w:spacing w:line="240" w:lineRule="auto"/>
              <w:jc w:val="center"/>
              <w:rPr>
                <w:color w:val="000000" w:themeColor="text1"/>
                <w:kern w:val="2"/>
                <w:sz w:val="22"/>
                <w:lang w:eastAsia="zh-CN"/>
              </w:rPr>
            </w:pPr>
            <w:r w:rsidRPr="00C7354B">
              <w:rPr>
                <w:rFonts w:eastAsia="Helvetica"/>
                <w:color w:val="000000" w:themeColor="text1"/>
                <w:sz w:val="22"/>
              </w:rPr>
              <w:t>.03 (.01)</w:t>
            </w:r>
          </w:p>
        </w:tc>
        <w:tc>
          <w:tcPr>
            <w:tcW w:w="1247" w:type="dxa"/>
            <w:tcBorders>
              <w:top w:val="nil"/>
              <w:left w:val="nil"/>
              <w:right w:val="nil"/>
            </w:tcBorders>
            <w:shd w:val="clear" w:color="auto" w:fill="auto"/>
            <w:noWrap/>
            <w:vAlign w:val="center"/>
          </w:tcPr>
          <w:p w14:paraId="798F564F" w14:textId="77777777" w:rsidR="006822EF" w:rsidRPr="00C7354B" w:rsidRDefault="006822EF" w:rsidP="00AB066F">
            <w:pPr>
              <w:widowControl w:val="0"/>
              <w:spacing w:line="240" w:lineRule="auto"/>
              <w:jc w:val="center"/>
              <w:rPr>
                <w:color w:val="000000" w:themeColor="text1"/>
                <w:kern w:val="2"/>
                <w:sz w:val="22"/>
                <w:lang w:eastAsia="zh-CN"/>
              </w:rPr>
            </w:pPr>
            <w:r w:rsidRPr="00C7354B">
              <w:rPr>
                <w:rFonts w:eastAsia="Helvetica"/>
                <w:color w:val="000000" w:themeColor="text1"/>
                <w:sz w:val="22"/>
              </w:rPr>
              <w:t>.03 (.01)</w:t>
            </w:r>
          </w:p>
        </w:tc>
      </w:tr>
      <w:tr w:rsidR="006822EF" w:rsidRPr="00C7354B" w14:paraId="18076F82" w14:textId="77777777" w:rsidTr="00640871">
        <w:trPr>
          <w:trHeight w:val="89"/>
          <w:jc w:val="center"/>
        </w:trPr>
        <w:tc>
          <w:tcPr>
            <w:tcW w:w="2977" w:type="dxa"/>
            <w:tcBorders>
              <w:top w:val="nil"/>
              <w:left w:val="nil"/>
              <w:right w:val="nil"/>
            </w:tcBorders>
            <w:shd w:val="clear" w:color="auto" w:fill="auto"/>
            <w:noWrap/>
            <w:vAlign w:val="center"/>
          </w:tcPr>
          <w:p w14:paraId="0F6C65FA" w14:textId="77777777" w:rsidR="006822EF" w:rsidRPr="00C7354B" w:rsidRDefault="006822EF" w:rsidP="00AB066F">
            <w:pPr>
              <w:widowControl w:val="0"/>
              <w:spacing w:line="240" w:lineRule="auto"/>
              <w:jc w:val="left"/>
              <w:rPr>
                <w:color w:val="000000" w:themeColor="text1"/>
                <w:kern w:val="2"/>
                <w:sz w:val="22"/>
                <w:lang w:eastAsia="zh-CN"/>
              </w:rPr>
            </w:pPr>
          </w:p>
        </w:tc>
        <w:tc>
          <w:tcPr>
            <w:tcW w:w="1247" w:type="dxa"/>
            <w:tcBorders>
              <w:top w:val="nil"/>
              <w:left w:val="nil"/>
              <w:right w:val="nil"/>
            </w:tcBorders>
            <w:vAlign w:val="center"/>
          </w:tcPr>
          <w:p w14:paraId="4C90EE67" w14:textId="77777777" w:rsidR="006822EF" w:rsidRPr="00C7354B" w:rsidRDefault="006822EF" w:rsidP="00AB066F">
            <w:pPr>
              <w:widowControl w:val="0"/>
              <w:spacing w:line="240" w:lineRule="auto"/>
              <w:jc w:val="center"/>
              <w:rPr>
                <w:color w:val="000000" w:themeColor="text1"/>
                <w:kern w:val="2"/>
                <w:sz w:val="22"/>
                <w:lang w:eastAsia="zh-CN"/>
              </w:rPr>
            </w:pPr>
            <w:r w:rsidRPr="00C7354B">
              <w:rPr>
                <w:rFonts w:eastAsia="Helvetica"/>
                <w:color w:val="000000" w:themeColor="text1"/>
                <w:sz w:val="22"/>
              </w:rPr>
              <w:t>[.017]</w:t>
            </w:r>
          </w:p>
        </w:tc>
        <w:tc>
          <w:tcPr>
            <w:tcW w:w="1247" w:type="dxa"/>
            <w:tcBorders>
              <w:top w:val="nil"/>
              <w:left w:val="nil"/>
              <w:right w:val="nil"/>
            </w:tcBorders>
            <w:shd w:val="clear" w:color="auto" w:fill="auto"/>
            <w:noWrap/>
            <w:vAlign w:val="center"/>
          </w:tcPr>
          <w:p w14:paraId="6F16C34D" w14:textId="77777777" w:rsidR="006822EF" w:rsidRPr="00C7354B" w:rsidRDefault="006822EF" w:rsidP="00AB066F">
            <w:pPr>
              <w:widowControl w:val="0"/>
              <w:spacing w:line="240" w:lineRule="auto"/>
              <w:jc w:val="center"/>
              <w:rPr>
                <w:color w:val="000000" w:themeColor="text1"/>
                <w:kern w:val="2"/>
                <w:sz w:val="22"/>
                <w:lang w:eastAsia="zh-CN"/>
              </w:rPr>
            </w:pPr>
            <w:r w:rsidRPr="00C7354B">
              <w:rPr>
                <w:rFonts w:eastAsia="Helvetica"/>
                <w:color w:val="000000" w:themeColor="text1"/>
                <w:sz w:val="22"/>
              </w:rPr>
              <w:t>[.041]</w:t>
            </w:r>
          </w:p>
        </w:tc>
        <w:tc>
          <w:tcPr>
            <w:tcW w:w="1247" w:type="dxa"/>
            <w:tcBorders>
              <w:top w:val="nil"/>
              <w:left w:val="nil"/>
              <w:right w:val="nil"/>
            </w:tcBorders>
            <w:shd w:val="clear" w:color="auto" w:fill="auto"/>
            <w:noWrap/>
            <w:vAlign w:val="center"/>
          </w:tcPr>
          <w:p w14:paraId="574F51AA" w14:textId="77777777" w:rsidR="006822EF" w:rsidRPr="00C7354B" w:rsidRDefault="006822EF" w:rsidP="00AB066F">
            <w:pPr>
              <w:widowControl w:val="0"/>
              <w:spacing w:line="240" w:lineRule="auto"/>
              <w:jc w:val="center"/>
              <w:rPr>
                <w:color w:val="000000" w:themeColor="text1"/>
                <w:kern w:val="2"/>
                <w:sz w:val="22"/>
                <w:lang w:eastAsia="zh-CN"/>
              </w:rPr>
            </w:pPr>
            <w:r w:rsidRPr="00C7354B">
              <w:rPr>
                <w:rFonts w:eastAsia="Helvetica"/>
                <w:color w:val="000000" w:themeColor="text1"/>
                <w:sz w:val="22"/>
              </w:rPr>
              <w:t>[.045]</w:t>
            </w:r>
          </w:p>
        </w:tc>
        <w:tc>
          <w:tcPr>
            <w:tcW w:w="1247" w:type="dxa"/>
            <w:tcBorders>
              <w:top w:val="nil"/>
              <w:left w:val="nil"/>
              <w:right w:val="nil"/>
            </w:tcBorders>
            <w:shd w:val="clear" w:color="auto" w:fill="auto"/>
            <w:noWrap/>
            <w:vAlign w:val="center"/>
          </w:tcPr>
          <w:p w14:paraId="18FCC7CB" w14:textId="77777777" w:rsidR="006822EF" w:rsidRPr="00C7354B" w:rsidRDefault="006822EF" w:rsidP="00AB066F">
            <w:pPr>
              <w:widowControl w:val="0"/>
              <w:spacing w:line="240" w:lineRule="auto"/>
              <w:jc w:val="center"/>
              <w:rPr>
                <w:color w:val="000000" w:themeColor="text1"/>
                <w:kern w:val="2"/>
                <w:sz w:val="22"/>
                <w:lang w:eastAsia="zh-CN"/>
              </w:rPr>
            </w:pPr>
            <w:r w:rsidRPr="00C7354B">
              <w:rPr>
                <w:rFonts w:eastAsia="Helvetica"/>
                <w:color w:val="000000" w:themeColor="text1"/>
                <w:sz w:val="22"/>
              </w:rPr>
              <w:t>[.002]</w:t>
            </w:r>
          </w:p>
        </w:tc>
        <w:tc>
          <w:tcPr>
            <w:tcW w:w="1247" w:type="dxa"/>
            <w:tcBorders>
              <w:top w:val="nil"/>
              <w:left w:val="nil"/>
              <w:right w:val="nil"/>
            </w:tcBorders>
            <w:shd w:val="clear" w:color="auto" w:fill="auto"/>
            <w:noWrap/>
            <w:vAlign w:val="center"/>
          </w:tcPr>
          <w:p w14:paraId="348972D7" w14:textId="77777777" w:rsidR="006822EF" w:rsidRPr="00C7354B" w:rsidRDefault="006822EF" w:rsidP="00AB066F">
            <w:pPr>
              <w:widowControl w:val="0"/>
              <w:spacing w:line="240" w:lineRule="auto"/>
              <w:jc w:val="center"/>
              <w:rPr>
                <w:color w:val="000000" w:themeColor="text1"/>
                <w:kern w:val="2"/>
                <w:sz w:val="22"/>
                <w:lang w:eastAsia="zh-CN"/>
              </w:rPr>
            </w:pPr>
            <w:r w:rsidRPr="00C7354B">
              <w:rPr>
                <w:rFonts w:eastAsia="Helvetica"/>
                <w:color w:val="000000" w:themeColor="text1"/>
                <w:sz w:val="22"/>
              </w:rPr>
              <w:t>[.003]</w:t>
            </w:r>
          </w:p>
        </w:tc>
      </w:tr>
      <w:tr w:rsidR="006822EF" w:rsidRPr="00C7354B" w14:paraId="3A900C98" w14:textId="77777777" w:rsidTr="00640871">
        <w:trPr>
          <w:trHeight w:val="89"/>
          <w:jc w:val="center"/>
        </w:trPr>
        <w:tc>
          <w:tcPr>
            <w:tcW w:w="2977" w:type="dxa"/>
            <w:tcBorders>
              <w:top w:val="nil"/>
              <w:left w:val="nil"/>
              <w:right w:val="nil"/>
            </w:tcBorders>
            <w:shd w:val="clear" w:color="auto" w:fill="auto"/>
            <w:noWrap/>
            <w:vAlign w:val="center"/>
          </w:tcPr>
          <w:p w14:paraId="704D9A0D" w14:textId="77777777" w:rsidR="006822EF" w:rsidRPr="00C7354B" w:rsidRDefault="006822EF" w:rsidP="00AB066F">
            <w:pPr>
              <w:widowControl w:val="0"/>
              <w:spacing w:line="240" w:lineRule="auto"/>
              <w:jc w:val="left"/>
              <w:rPr>
                <w:color w:val="000000" w:themeColor="text1"/>
                <w:kern w:val="2"/>
                <w:sz w:val="22"/>
                <w:lang w:eastAsia="zh-CN"/>
              </w:rPr>
            </w:pPr>
            <w:r w:rsidRPr="00C7354B">
              <w:rPr>
                <w:rFonts w:eastAsia="Helvetica"/>
                <w:color w:val="000000" w:themeColor="text1"/>
                <w:sz w:val="22"/>
              </w:rPr>
              <w:t xml:space="preserve">   Journal impact factor </w:t>
            </w:r>
          </w:p>
        </w:tc>
        <w:tc>
          <w:tcPr>
            <w:tcW w:w="1247" w:type="dxa"/>
            <w:tcBorders>
              <w:top w:val="nil"/>
              <w:left w:val="nil"/>
              <w:right w:val="nil"/>
            </w:tcBorders>
            <w:vAlign w:val="center"/>
          </w:tcPr>
          <w:p w14:paraId="6C1BDE07" w14:textId="77777777" w:rsidR="006822EF" w:rsidRPr="00C7354B" w:rsidRDefault="006822EF" w:rsidP="00AB066F">
            <w:pPr>
              <w:widowControl w:val="0"/>
              <w:spacing w:line="240" w:lineRule="auto"/>
              <w:jc w:val="center"/>
              <w:rPr>
                <w:rFonts w:eastAsia="Helvetica"/>
                <w:color w:val="000000" w:themeColor="text1"/>
                <w:sz w:val="22"/>
              </w:rPr>
            </w:pPr>
            <w:r w:rsidRPr="00C7354B">
              <w:rPr>
                <w:rFonts w:eastAsia="Helvetica"/>
                <w:color w:val="000000" w:themeColor="text1"/>
                <w:sz w:val="22"/>
              </w:rPr>
              <w:t>-.00 (.00)</w:t>
            </w:r>
          </w:p>
        </w:tc>
        <w:tc>
          <w:tcPr>
            <w:tcW w:w="1247" w:type="dxa"/>
            <w:tcBorders>
              <w:top w:val="nil"/>
              <w:left w:val="nil"/>
              <w:right w:val="nil"/>
            </w:tcBorders>
            <w:shd w:val="clear" w:color="auto" w:fill="auto"/>
            <w:noWrap/>
            <w:vAlign w:val="center"/>
          </w:tcPr>
          <w:p w14:paraId="0421B5BF" w14:textId="77777777" w:rsidR="006822EF" w:rsidRPr="00C7354B" w:rsidRDefault="006822EF" w:rsidP="00AB066F">
            <w:pPr>
              <w:widowControl w:val="0"/>
              <w:spacing w:line="240" w:lineRule="auto"/>
              <w:jc w:val="center"/>
              <w:rPr>
                <w:rFonts w:eastAsia="Helvetica"/>
                <w:color w:val="000000" w:themeColor="text1"/>
                <w:sz w:val="22"/>
              </w:rPr>
            </w:pPr>
            <w:r w:rsidRPr="00C7354B">
              <w:rPr>
                <w:rFonts w:eastAsia="Helvetica"/>
                <w:color w:val="000000" w:themeColor="text1"/>
                <w:sz w:val="22"/>
              </w:rPr>
              <w:t>.00 (.00)</w:t>
            </w:r>
          </w:p>
        </w:tc>
        <w:tc>
          <w:tcPr>
            <w:tcW w:w="1247" w:type="dxa"/>
            <w:tcBorders>
              <w:top w:val="nil"/>
              <w:left w:val="nil"/>
              <w:right w:val="nil"/>
            </w:tcBorders>
            <w:shd w:val="clear" w:color="auto" w:fill="auto"/>
            <w:noWrap/>
            <w:vAlign w:val="center"/>
          </w:tcPr>
          <w:p w14:paraId="1C4615F7" w14:textId="77777777" w:rsidR="006822EF" w:rsidRPr="00C7354B" w:rsidRDefault="006822EF" w:rsidP="00AB066F">
            <w:pPr>
              <w:widowControl w:val="0"/>
              <w:spacing w:line="240" w:lineRule="auto"/>
              <w:jc w:val="center"/>
              <w:rPr>
                <w:rFonts w:eastAsia="Helvetica"/>
                <w:color w:val="000000" w:themeColor="text1"/>
                <w:sz w:val="22"/>
              </w:rPr>
            </w:pPr>
            <w:r w:rsidRPr="00C7354B">
              <w:rPr>
                <w:rFonts w:eastAsia="Helvetica"/>
                <w:color w:val="000000" w:themeColor="text1"/>
                <w:sz w:val="22"/>
              </w:rPr>
              <w:t>-.00 (.00)</w:t>
            </w:r>
          </w:p>
        </w:tc>
        <w:tc>
          <w:tcPr>
            <w:tcW w:w="1247" w:type="dxa"/>
            <w:tcBorders>
              <w:top w:val="nil"/>
              <w:left w:val="nil"/>
              <w:right w:val="nil"/>
            </w:tcBorders>
            <w:shd w:val="clear" w:color="auto" w:fill="auto"/>
            <w:noWrap/>
            <w:vAlign w:val="center"/>
          </w:tcPr>
          <w:p w14:paraId="47C55356" w14:textId="77777777" w:rsidR="006822EF" w:rsidRPr="00C7354B" w:rsidRDefault="006822EF" w:rsidP="00AB066F">
            <w:pPr>
              <w:widowControl w:val="0"/>
              <w:spacing w:line="240" w:lineRule="auto"/>
              <w:jc w:val="center"/>
              <w:rPr>
                <w:rFonts w:eastAsia="Helvetica"/>
                <w:color w:val="000000" w:themeColor="text1"/>
                <w:sz w:val="22"/>
              </w:rPr>
            </w:pPr>
            <w:r w:rsidRPr="00C7354B">
              <w:rPr>
                <w:rFonts w:eastAsia="Helvetica"/>
                <w:color w:val="000000" w:themeColor="text1"/>
                <w:sz w:val="22"/>
              </w:rPr>
              <w:t>-.00 (.00)</w:t>
            </w:r>
          </w:p>
        </w:tc>
        <w:tc>
          <w:tcPr>
            <w:tcW w:w="1247" w:type="dxa"/>
            <w:tcBorders>
              <w:top w:val="nil"/>
              <w:left w:val="nil"/>
              <w:right w:val="nil"/>
            </w:tcBorders>
            <w:shd w:val="clear" w:color="auto" w:fill="auto"/>
            <w:noWrap/>
            <w:vAlign w:val="center"/>
          </w:tcPr>
          <w:p w14:paraId="781AE354" w14:textId="77777777" w:rsidR="006822EF" w:rsidRPr="00C7354B" w:rsidRDefault="006822EF" w:rsidP="00AB066F">
            <w:pPr>
              <w:widowControl w:val="0"/>
              <w:spacing w:line="240" w:lineRule="auto"/>
              <w:jc w:val="center"/>
              <w:rPr>
                <w:rFonts w:eastAsia="Helvetica"/>
                <w:color w:val="000000" w:themeColor="text1"/>
                <w:sz w:val="22"/>
              </w:rPr>
            </w:pPr>
            <w:r w:rsidRPr="00C7354B">
              <w:rPr>
                <w:rFonts w:eastAsia="Helvetica"/>
                <w:color w:val="000000" w:themeColor="text1"/>
                <w:sz w:val="22"/>
              </w:rPr>
              <w:t>-.00 (.00)</w:t>
            </w:r>
          </w:p>
        </w:tc>
      </w:tr>
      <w:tr w:rsidR="006822EF" w:rsidRPr="00C7354B" w14:paraId="0A11F3A8" w14:textId="77777777" w:rsidTr="00640871">
        <w:trPr>
          <w:trHeight w:val="89"/>
          <w:jc w:val="center"/>
        </w:trPr>
        <w:tc>
          <w:tcPr>
            <w:tcW w:w="2977" w:type="dxa"/>
            <w:tcBorders>
              <w:top w:val="nil"/>
              <w:left w:val="nil"/>
              <w:right w:val="nil"/>
            </w:tcBorders>
            <w:shd w:val="clear" w:color="auto" w:fill="auto"/>
            <w:noWrap/>
            <w:vAlign w:val="center"/>
          </w:tcPr>
          <w:p w14:paraId="433FFF75" w14:textId="77777777" w:rsidR="006822EF" w:rsidRPr="00C7354B" w:rsidRDefault="006822EF" w:rsidP="00AB066F">
            <w:pPr>
              <w:widowControl w:val="0"/>
              <w:spacing w:line="240" w:lineRule="auto"/>
              <w:jc w:val="left"/>
              <w:rPr>
                <w:color w:val="000000" w:themeColor="text1"/>
                <w:kern w:val="2"/>
                <w:sz w:val="22"/>
                <w:lang w:eastAsia="zh-CN"/>
              </w:rPr>
            </w:pPr>
          </w:p>
        </w:tc>
        <w:tc>
          <w:tcPr>
            <w:tcW w:w="1247" w:type="dxa"/>
            <w:tcBorders>
              <w:top w:val="nil"/>
              <w:left w:val="nil"/>
              <w:right w:val="nil"/>
            </w:tcBorders>
            <w:vAlign w:val="center"/>
          </w:tcPr>
          <w:p w14:paraId="0937F5FC" w14:textId="77777777" w:rsidR="006822EF" w:rsidRPr="00C7354B" w:rsidRDefault="006822EF" w:rsidP="00AB066F">
            <w:pPr>
              <w:widowControl w:val="0"/>
              <w:spacing w:line="240" w:lineRule="auto"/>
              <w:jc w:val="center"/>
              <w:rPr>
                <w:rFonts w:eastAsia="Helvetica"/>
                <w:color w:val="000000" w:themeColor="text1"/>
                <w:sz w:val="22"/>
              </w:rPr>
            </w:pPr>
            <w:r w:rsidRPr="00C7354B">
              <w:rPr>
                <w:rFonts w:eastAsia="Helvetica"/>
                <w:color w:val="000000" w:themeColor="text1"/>
                <w:sz w:val="22"/>
              </w:rPr>
              <w:t>[.302]</w:t>
            </w:r>
          </w:p>
        </w:tc>
        <w:tc>
          <w:tcPr>
            <w:tcW w:w="1247" w:type="dxa"/>
            <w:tcBorders>
              <w:top w:val="nil"/>
              <w:left w:val="nil"/>
              <w:right w:val="nil"/>
            </w:tcBorders>
            <w:shd w:val="clear" w:color="auto" w:fill="auto"/>
            <w:noWrap/>
            <w:vAlign w:val="center"/>
          </w:tcPr>
          <w:p w14:paraId="42E48D27" w14:textId="77777777" w:rsidR="006822EF" w:rsidRPr="00C7354B" w:rsidRDefault="006822EF" w:rsidP="00AB066F">
            <w:pPr>
              <w:widowControl w:val="0"/>
              <w:spacing w:line="240" w:lineRule="auto"/>
              <w:jc w:val="center"/>
              <w:rPr>
                <w:rFonts w:eastAsia="Helvetica"/>
                <w:color w:val="000000" w:themeColor="text1"/>
                <w:sz w:val="22"/>
              </w:rPr>
            </w:pPr>
            <w:r w:rsidRPr="00C7354B">
              <w:rPr>
                <w:rFonts w:eastAsia="Helvetica"/>
                <w:color w:val="000000" w:themeColor="text1"/>
                <w:sz w:val="22"/>
              </w:rPr>
              <w:t>[.897]</w:t>
            </w:r>
          </w:p>
        </w:tc>
        <w:tc>
          <w:tcPr>
            <w:tcW w:w="1247" w:type="dxa"/>
            <w:tcBorders>
              <w:top w:val="nil"/>
              <w:left w:val="nil"/>
              <w:right w:val="nil"/>
            </w:tcBorders>
            <w:shd w:val="clear" w:color="auto" w:fill="auto"/>
            <w:noWrap/>
            <w:vAlign w:val="center"/>
          </w:tcPr>
          <w:p w14:paraId="5507EB61" w14:textId="77777777" w:rsidR="006822EF" w:rsidRPr="00C7354B" w:rsidRDefault="006822EF" w:rsidP="00AB066F">
            <w:pPr>
              <w:widowControl w:val="0"/>
              <w:spacing w:line="240" w:lineRule="auto"/>
              <w:jc w:val="center"/>
              <w:rPr>
                <w:rFonts w:eastAsia="Helvetica"/>
                <w:color w:val="000000" w:themeColor="text1"/>
                <w:sz w:val="22"/>
              </w:rPr>
            </w:pPr>
            <w:r w:rsidRPr="00C7354B">
              <w:rPr>
                <w:rFonts w:eastAsia="Helvetica"/>
                <w:color w:val="000000" w:themeColor="text1"/>
                <w:sz w:val="22"/>
              </w:rPr>
              <w:t>[.212]</w:t>
            </w:r>
          </w:p>
        </w:tc>
        <w:tc>
          <w:tcPr>
            <w:tcW w:w="1247" w:type="dxa"/>
            <w:tcBorders>
              <w:top w:val="nil"/>
              <w:left w:val="nil"/>
              <w:right w:val="nil"/>
            </w:tcBorders>
            <w:shd w:val="clear" w:color="auto" w:fill="auto"/>
            <w:noWrap/>
            <w:vAlign w:val="center"/>
          </w:tcPr>
          <w:p w14:paraId="2BDDDCC1" w14:textId="77777777" w:rsidR="006822EF" w:rsidRPr="00C7354B" w:rsidRDefault="006822EF" w:rsidP="00AB066F">
            <w:pPr>
              <w:widowControl w:val="0"/>
              <w:spacing w:line="240" w:lineRule="auto"/>
              <w:jc w:val="center"/>
              <w:rPr>
                <w:rFonts w:eastAsia="Helvetica"/>
                <w:color w:val="000000" w:themeColor="text1"/>
                <w:sz w:val="22"/>
              </w:rPr>
            </w:pPr>
            <w:r w:rsidRPr="00C7354B">
              <w:rPr>
                <w:rFonts w:eastAsia="Helvetica"/>
                <w:color w:val="000000" w:themeColor="text1"/>
                <w:sz w:val="22"/>
              </w:rPr>
              <w:t>[.148]</w:t>
            </w:r>
          </w:p>
        </w:tc>
        <w:tc>
          <w:tcPr>
            <w:tcW w:w="1247" w:type="dxa"/>
            <w:tcBorders>
              <w:top w:val="nil"/>
              <w:left w:val="nil"/>
              <w:right w:val="nil"/>
            </w:tcBorders>
            <w:shd w:val="clear" w:color="auto" w:fill="auto"/>
            <w:noWrap/>
            <w:vAlign w:val="center"/>
          </w:tcPr>
          <w:p w14:paraId="796A9CE5" w14:textId="77777777" w:rsidR="006822EF" w:rsidRPr="00C7354B" w:rsidRDefault="006822EF" w:rsidP="00AB066F">
            <w:pPr>
              <w:widowControl w:val="0"/>
              <w:spacing w:line="240" w:lineRule="auto"/>
              <w:jc w:val="center"/>
              <w:rPr>
                <w:rFonts w:eastAsia="Helvetica"/>
                <w:color w:val="000000" w:themeColor="text1"/>
                <w:sz w:val="22"/>
              </w:rPr>
            </w:pPr>
            <w:r w:rsidRPr="00C7354B">
              <w:rPr>
                <w:rFonts w:eastAsia="Helvetica"/>
                <w:color w:val="000000" w:themeColor="text1"/>
                <w:sz w:val="22"/>
              </w:rPr>
              <w:t>[.341]</w:t>
            </w:r>
          </w:p>
        </w:tc>
      </w:tr>
      <w:tr w:rsidR="006822EF" w:rsidRPr="00C7354B" w14:paraId="53C7E59F" w14:textId="77777777" w:rsidTr="00640871">
        <w:trPr>
          <w:trHeight w:val="89"/>
          <w:jc w:val="center"/>
        </w:trPr>
        <w:tc>
          <w:tcPr>
            <w:tcW w:w="2977" w:type="dxa"/>
            <w:tcBorders>
              <w:top w:val="nil"/>
              <w:left w:val="nil"/>
              <w:right w:val="nil"/>
            </w:tcBorders>
            <w:shd w:val="clear" w:color="auto" w:fill="auto"/>
            <w:noWrap/>
            <w:vAlign w:val="center"/>
          </w:tcPr>
          <w:p w14:paraId="6DBD2E40" w14:textId="77777777" w:rsidR="006822EF" w:rsidRPr="00C7354B" w:rsidRDefault="006822EF" w:rsidP="00AB066F">
            <w:pPr>
              <w:widowControl w:val="0"/>
              <w:spacing w:line="240" w:lineRule="auto"/>
              <w:jc w:val="left"/>
              <w:rPr>
                <w:b/>
                <w:bCs/>
                <w:color w:val="000000" w:themeColor="text1"/>
                <w:kern w:val="2"/>
                <w:sz w:val="22"/>
                <w:lang w:eastAsia="zh-CN"/>
              </w:rPr>
            </w:pPr>
            <w:r w:rsidRPr="00C7354B">
              <w:rPr>
                <w:rFonts w:eastAsia="Helvetica"/>
                <w:color w:val="000000" w:themeColor="text1"/>
                <w:sz w:val="22"/>
              </w:rPr>
              <w:t xml:space="preserve">   Mean sample year</w:t>
            </w:r>
          </w:p>
        </w:tc>
        <w:tc>
          <w:tcPr>
            <w:tcW w:w="1247" w:type="dxa"/>
            <w:tcBorders>
              <w:top w:val="nil"/>
              <w:left w:val="nil"/>
              <w:right w:val="nil"/>
            </w:tcBorders>
            <w:vAlign w:val="center"/>
          </w:tcPr>
          <w:p w14:paraId="0DA42C43" w14:textId="77777777" w:rsidR="006822EF" w:rsidRPr="00C7354B" w:rsidRDefault="006822EF" w:rsidP="00AB066F">
            <w:pPr>
              <w:widowControl w:val="0"/>
              <w:spacing w:line="240" w:lineRule="auto"/>
              <w:jc w:val="center"/>
              <w:rPr>
                <w:color w:val="000000" w:themeColor="text1"/>
                <w:kern w:val="2"/>
                <w:sz w:val="22"/>
                <w:lang w:eastAsia="zh-CN"/>
              </w:rPr>
            </w:pPr>
            <w:r w:rsidRPr="00C7354B">
              <w:rPr>
                <w:rFonts w:eastAsia="Helvetica"/>
                <w:color w:val="000000" w:themeColor="text1"/>
                <w:sz w:val="22"/>
              </w:rPr>
              <w:t>-.00 (.00)</w:t>
            </w:r>
          </w:p>
        </w:tc>
        <w:tc>
          <w:tcPr>
            <w:tcW w:w="1247" w:type="dxa"/>
            <w:tcBorders>
              <w:top w:val="nil"/>
              <w:left w:val="nil"/>
              <w:right w:val="nil"/>
            </w:tcBorders>
            <w:shd w:val="clear" w:color="auto" w:fill="auto"/>
            <w:noWrap/>
            <w:vAlign w:val="center"/>
          </w:tcPr>
          <w:p w14:paraId="6E42C61A" w14:textId="77777777" w:rsidR="006822EF" w:rsidRPr="00C7354B" w:rsidRDefault="006822EF" w:rsidP="00AB066F">
            <w:pPr>
              <w:widowControl w:val="0"/>
              <w:spacing w:line="240" w:lineRule="auto"/>
              <w:jc w:val="center"/>
              <w:rPr>
                <w:color w:val="000000" w:themeColor="text1"/>
                <w:kern w:val="2"/>
                <w:sz w:val="22"/>
                <w:lang w:eastAsia="zh-CN"/>
              </w:rPr>
            </w:pPr>
            <w:r w:rsidRPr="00C7354B">
              <w:rPr>
                <w:rFonts w:eastAsia="Helvetica"/>
                <w:color w:val="000000" w:themeColor="text1"/>
                <w:sz w:val="22"/>
              </w:rPr>
              <w:t>-.00 (.00)</w:t>
            </w:r>
          </w:p>
        </w:tc>
        <w:tc>
          <w:tcPr>
            <w:tcW w:w="1247" w:type="dxa"/>
            <w:tcBorders>
              <w:top w:val="nil"/>
              <w:left w:val="nil"/>
              <w:right w:val="nil"/>
            </w:tcBorders>
            <w:shd w:val="clear" w:color="auto" w:fill="auto"/>
            <w:noWrap/>
            <w:vAlign w:val="center"/>
          </w:tcPr>
          <w:p w14:paraId="12B6C364" w14:textId="77777777" w:rsidR="006822EF" w:rsidRPr="00C7354B" w:rsidRDefault="006822EF" w:rsidP="00AB066F">
            <w:pPr>
              <w:widowControl w:val="0"/>
              <w:spacing w:line="240" w:lineRule="auto"/>
              <w:jc w:val="center"/>
              <w:rPr>
                <w:color w:val="000000" w:themeColor="text1"/>
                <w:kern w:val="2"/>
                <w:sz w:val="22"/>
                <w:lang w:eastAsia="zh-CN"/>
              </w:rPr>
            </w:pPr>
            <w:r w:rsidRPr="00C7354B">
              <w:rPr>
                <w:rFonts w:eastAsia="Helvetica"/>
                <w:color w:val="000000" w:themeColor="text1"/>
                <w:sz w:val="22"/>
              </w:rPr>
              <w:t>-.00 (.00)</w:t>
            </w:r>
          </w:p>
        </w:tc>
        <w:tc>
          <w:tcPr>
            <w:tcW w:w="1247" w:type="dxa"/>
            <w:tcBorders>
              <w:top w:val="nil"/>
              <w:left w:val="nil"/>
              <w:right w:val="nil"/>
            </w:tcBorders>
            <w:shd w:val="clear" w:color="auto" w:fill="auto"/>
            <w:noWrap/>
            <w:vAlign w:val="center"/>
          </w:tcPr>
          <w:p w14:paraId="08729532" w14:textId="77777777" w:rsidR="006822EF" w:rsidRPr="00C7354B" w:rsidRDefault="006822EF" w:rsidP="00AB066F">
            <w:pPr>
              <w:widowControl w:val="0"/>
              <w:spacing w:line="240" w:lineRule="auto"/>
              <w:jc w:val="center"/>
              <w:rPr>
                <w:color w:val="000000" w:themeColor="text1"/>
                <w:kern w:val="2"/>
                <w:sz w:val="22"/>
                <w:lang w:eastAsia="zh-CN"/>
              </w:rPr>
            </w:pPr>
            <w:r w:rsidRPr="00C7354B">
              <w:rPr>
                <w:rFonts w:eastAsia="Helvetica"/>
                <w:color w:val="000000" w:themeColor="text1"/>
                <w:sz w:val="22"/>
              </w:rPr>
              <w:t>-.00 (.00)</w:t>
            </w:r>
          </w:p>
        </w:tc>
        <w:tc>
          <w:tcPr>
            <w:tcW w:w="1247" w:type="dxa"/>
            <w:tcBorders>
              <w:top w:val="nil"/>
              <w:left w:val="nil"/>
              <w:right w:val="nil"/>
            </w:tcBorders>
            <w:shd w:val="clear" w:color="auto" w:fill="auto"/>
            <w:noWrap/>
            <w:vAlign w:val="center"/>
          </w:tcPr>
          <w:p w14:paraId="2ED245AE" w14:textId="77777777" w:rsidR="006822EF" w:rsidRPr="00C7354B" w:rsidRDefault="006822EF" w:rsidP="00AB066F">
            <w:pPr>
              <w:widowControl w:val="0"/>
              <w:spacing w:line="240" w:lineRule="auto"/>
              <w:jc w:val="center"/>
              <w:rPr>
                <w:color w:val="000000" w:themeColor="text1"/>
                <w:kern w:val="2"/>
                <w:sz w:val="22"/>
                <w:lang w:eastAsia="zh-CN"/>
              </w:rPr>
            </w:pPr>
            <w:r w:rsidRPr="00C7354B">
              <w:rPr>
                <w:rFonts w:eastAsia="Helvetica"/>
                <w:color w:val="000000" w:themeColor="text1"/>
                <w:sz w:val="22"/>
              </w:rPr>
              <w:t>-.00 (.00)</w:t>
            </w:r>
          </w:p>
        </w:tc>
      </w:tr>
      <w:tr w:rsidR="006822EF" w:rsidRPr="00C7354B" w14:paraId="7647D28A" w14:textId="77777777" w:rsidTr="00640871">
        <w:trPr>
          <w:trHeight w:val="89"/>
          <w:jc w:val="center"/>
        </w:trPr>
        <w:tc>
          <w:tcPr>
            <w:tcW w:w="2977" w:type="dxa"/>
            <w:tcBorders>
              <w:top w:val="nil"/>
              <w:left w:val="nil"/>
              <w:right w:val="nil"/>
            </w:tcBorders>
            <w:shd w:val="clear" w:color="auto" w:fill="auto"/>
            <w:noWrap/>
            <w:vAlign w:val="center"/>
          </w:tcPr>
          <w:p w14:paraId="36C0F48E" w14:textId="77777777" w:rsidR="006822EF" w:rsidRPr="00C7354B" w:rsidRDefault="006822EF" w:rsidP="00AB066F">
            <w:pPr>
              <w:widowControl w:val="0"/>
              <w:spacing w:line="240" w:lineRule="auto"/>
              <w:jc w:val="left"/>
              <w:rPr>
                <w:color w:val="000000" w:themeColor="text1"/>
                <w:kern w:val="2"/>
                <w:sz w:val="22"/>
                <w:lang w:eastAsia="zh-CN"/>
              </w:rPr>
            </w:pPr>
          </w:p>
        </w:tc>
        <w:tc>
          <w:tcPr>
            <w:tcW w:w="1247" w:type="dxa"/>
            <w:tcBorders>
              <w:top w:val="nil"/>
              <w:left w:val="nil"/>
              <w:right w:val="nil"/>
            </w:tcBorders>
            <w:vAlign w:val="center"/>
          </w:tcPr>
          <w:p w14:paraId="2372C5BA" w14:textId="77777777" w:rsidR="006822EF" w:rsidRPr="00C7354B" w:rsidRDefault="006822EF" w:rsidP="00AB066F">
            <w:pPr>
              <w:widowControl w:val="0"/>
              <w:spacing w:line="240" w:lineRule="auto"/>
              <w:jc w:val="center"/>
              <w:rPr>
                <w:color w:val="000000" w:themeColor="text1"/>
                <w:kern w:val="2"/>
                <w:sz w:val="22"/>
                <w:lang w:eastAsia="zh-CN"/>
              </w:rPr>
            </w:pPr>
            <w:r w:rsidRPr="00C7354B">
              <w:rPr>
                <w:rFonts w:eastAsia="Helvetica"/>
                <w:color w:val="000000" w:themeColor="text1"/>
                <w:sz w:val="22"/>
              </w:rPr>
              <w:t>[.003]</w:t>
            </w:r>
          </w:p>
        </w:tc>
        <w:tc>
          <w:tcPr>
            <w:tcW w:w="1247" w:type="dxa"/>
            <w:tcBorders>
              <w:top w:val="nil"/>
              <w:left w:val="nil"/>
              <w:right w:val="nil"/>
            </w:tcBorders>
            <w:shd w:val="clear" w:color="auto" w:fill="auto"/>
            <w:noWrap/>
            <w:vAlign w:val="center"/>
          </w:tcPr>
          <w:p w14:paraId="051837C2" w14:textId="77777777" w:rsidR="006822EF" w:rsidRPr="00C7354B" w:rsidRDefault="006822EF" w:rsidP="00AB066F">
            <w:pPr>
              <w:widowControl w:val="0"/>
              <w:spacing w:line="240" w:lineRule="auto"/>
              <w:jc w:val="center"/>
              <w:rPr>
                <w:color w:val="000000" w:themeColor="text1"/>
                <w:kern w:val="2"/>
                <w:sz w:val="22"/>
                <w:lang w:eastAsia="zh-CN"/>
              </w:rPr>
            </w:pPr>
            <w:r w:rsidRPr="00C7354B">
              <w:rPr>
                <w:rFonts w:eastAsia="Helvetica"/>
                <w:color w:val="000000" w:themeColor="text1"/>
                <w:sz w:val="22"/>
              </w:rPr>
              <w:t>[.013]</w:t>
            </w:r>
          </w:p>
        </w:tc>
        <w:tc>
          <w:tcPr>
            <w:tcW w:w="1247" w:type="dxa"/>
            <w:tcBorders>
              <w:top w:val="nil"/>
              <w:left w:val="nil"/>
              <w:right w:val="nil"/>
            </w:tcBorders>
            <w:shd w:val="clear" w:color="auto" w:fill="auto"/>
            <w:noWrap/>
            <w:vAlign w:val="center"/>
          </w:tcPr>
          <w:p w14:paraId="0D1FB006" w14:textId="77777777" w:rsidR="006822EF" w:rsidRPr="00C7354B" w:rsidRDefault="006822EF" w:rsidP="00AB066F">
            <w:pPr>
              <w:widowControl w:val="0"/>
              <w:spacing w:line="240" w:lineRule="auto"/>
              <w:jc w:val="center"/>
              <w:rPr>
                <w:color w:val="000000" w:themeColor="text1"/>
                <w:kern w:val="2"/>
                <w:sz w:val="22"/>
                <w:lang w:eastAsia="zh-CN"/>
              </w:rPr>
            </w:pPr>
            <w:r w:rsidRPr="00C7354B">
              <w:rPr>
                <w:rFonts w:eastAsia="Helvetica"/>
                <w:color w:val="000000" w:themeColor="text1"/>
                <w:sz w:val="22"/>
              </w:rPr>
              <w:t>[.049]</w:t>
            </w:r>
          </w:p>
        </w:tc>
        <w:tc>
          <w:tcPr>
            <w:tcW w:w="1247" w:type="dxa"/>
            <w:tcBorders>
              <w:top w:val="nil"/>
              <w:left w:val="nil"/>
              <w:right w:val="nil"/>
            </w:tcBorders>
            <w:shd w:val="clear" w:color="auto" w:fill="auto"/>
            <w:noWrap/>
            <w:vAlign w:val="center"/>
          </w:tcPr>
          <w:p w14:paraId="13B07F8B" w14:textId="77777777" w:rsidR="006822EF" w:rsidRPr="00C7354B" w:rsidRDefault="006822EF" w:rsidP="00AB066F">
            <w:pPr>
              <w:widowControl w:val="0"/>
              <w:spacing w:line="240" w:lineRule="auto"/>
              <w:jc w:val="center"/>
              <w:rPr>
                <w:color w:val="000000" w:themeColor="text1"/>
                <w:kern w:val="2"/>
                <w:sz w:val="22"/>
                <w:lang w:eastAsia="zh-CN"/>
              </w:rPr>
            </w:pPr>
            <w:r w:rsidRPr="00C7354B">
              <w:rPr>
                <w:rFonts w:eastAsia="Helvetica"/>
                <w:color w:val="000000" w:themeColor="text1"/>
                <w:sz w:val="22"/>
              </w:rPr>
              <w:t>[.020]</w:t>
            </w:r>
          </w:p>
        </w:tc>
        <w:tc>
          <w:tcPr>
            <w:tcW w:w="1247" w:type="dxa"/>
            <w:tcBorders>
              <w:top w:val="nil"/>
              <w:left w:val="nil"/>
              <w:right w:val="nil"/>
            </w:tcBorders>
            <w:shd w:val="clear" w:color="auto" w:fill="auto"/>
            <w:noWrap/>
            <w:vAlign w:val="center"/>
          </w:tcPr>
          <w:p w14:paraId="7519B529" w14:textId="77777777" w:rsidR="006822EF" w:rsidRPr="00C7354B" w:rsidRDefault="006822EF" w:rsidP="00AB066F">
            <w:pPr>
              <w:widowControl w:val="0"/>
              <w:spacing w:line="240" w:lineRule="auto"/>
              <w:jc w:val="center"/>
              <w:rPr>
                <w:color w:val="000000" w:themeColor="text1"/>
                <w:kern w:val="2"/>
                <w:sz w:val="22"/>
                <w:lang w:eastAsia="zh-CN"/>
              </w:rPr>
            </w:pPr>
            <w:r w:rsidRPr="00C7354B">
              <w:rPr>
                <w:rFonts w:eastAsia="Helvetica"/>
                <w:color w:val="000000" w:themeColor="text1"/>
                <w:sz w:val="22"/>
              </w:rPr>
              <w:t>[.127]</w:t>
            </w:r>
          </w:p>
        </w:tc>
      </w:tr>
      <w:tr w:rsidR="006822EF" w:rsidRPr="00C7354B" w14:paraId="02EC3ABF" w14:textId="77777777" w:rsidTr="00640871">
        <w:trPr>
          <w:trHeight w:val="89"/>
          <w:jc w:val="center"/>
        </w:trPr>
        <w:tc>
          <w:tcPr>
            <w:tcW w:w="2977" w:type="dxa"/>
            <w:tcBorders>
              <w:top w:val="nil"/>
              <w:left w:val="nil"/>
              <w:right w:val="nil"/>
            </w:tcBorders>
            <w:shd w:val="clear" w:color="auto" w:fill="auto"/>
            <w:noWrap/>
            <w:vAlign w:val="center"/>
          </w:tcPr>
          <w:p w14:paraId="3C64E0A9" w14:textId="77777777" w:rsidR="006822EF" w:rsidRPr="00C7354B" w:rsidRDefault="006822EF" w:rsidP="00AB066F">
            <w:pPr>
              <w:widowControl w:val="0"/>
              <w:spacing w:line="240" w:lineRule="auto"/>
              <w:jc w:val="left"/>
              <w:rPr>
                <w:b/>
                <w:bCs/>
                <w:color w:val="000000" w:themeColor="text1"/>
                <w:kern w:val="2"/>
                <w:sz w:val="22"/>
                <w:lang w:eastAsia="zh-CN"/>
              </w:rPr>
            </w:pPr>
            <w:r w:rsidRPr="00C7354B">
              <w:rPr>
                <w:b/>
                <w:bCs/>
                <w:color w:val="000000" w:themeColor="text1"/>
                <w:kern w:val="2"/>
                <w:sz w:val="22"/>
                <w:lang w:eastAsia="zh-CN"/>
              </w:rPr>
              <w:t>Model indices</w:t>
            </w:r>
          </w:p>
        </w:tc>
        <w:tc>
          <w:tcPr>
            <w:tcW w:w="1247" w:type="dxa"/>
            <w:tcBorders>
              <w:top w:val="nil"/>
              <w:left w:val="nil"/>
              <w:right w:val="nil"/>
            </w:tcBorders>
            <w:vAlign w:val="center"/>
          </w:tcPr>
          <w:p w14:paraId="050B75DC" w14:textId="77777777" w:rsidR="006822EF" w:rsidRPr="00C7354B" w:rsidRDefault="006822EF" w:rsidP="00AB066F">
            <w:pPr>
              <w:widowControl w:val="0"/>
              <w:spacing w:line="240" w:lineRule="auto"/>
              <w:jc w:val="center"/>
              <w:rPr>
                <w:color w:val="000000" w:themeColor="text1"/>
                <w:kern w:val="2"/>
                <w:sz w:val="22"/>
                <w:lang w:eastAsia="zh-CN"/>
              </w:rPr>
            </w:pPr>
          </w:p>
        </w:tc>
        <w:tc>
          <w:tcPr>
            <w:tcW w:w="1247" w:type="dxa"/>
            <w:tcBorders>
              <w:top w:val="nil"/>
              <w:left w:val="nil"/>
              <w:right w:val="nil"/>
            </w:tcBorders>
            <w:shd w:val="clear" w:color="auto" w:fill="auto"/>
            <w:noWrap/>
            <w:vAlign w:val="center"/>
          </w:tcPr>
          <w:p w14:paraId="23B530D2" w14:textId="77777777" w:rsidR="006822EF" w:rsidRPr="00C7354B" w:rsidRDefault="006822EF" w:rsidP="00AB066F">
            <w:pPr>
              <w:widowControl w:val="0"/>
              <w:spacing w:line="240" w:lineRule="auto"/>
              <w:jc w:val="center"/>
              <w:rPr>
                <w:color w:val="000000" w:themeColor="text1"/>
                <w:kern w:val="2"/>
                <w:sz w:val="22"/>
                <w:lang w:eastAsia="zh-CN"/>
              </w:rPr>
            </w:pPr>
          </w:p>
        </w:tc>
        <w:tc>
          <w:tcPr>
            <w:tcW w:w="1247" w:type="dxa"/>
            <w:tcBorders>
              <w:top w:val="nil"/>
              <w:left w:val="nil"/>
              <w:right w:val="nil"/>
            </w:tcBorders>
            <w:shd w:val="clear" w:color="auto" w:fill="auto"/>
            <w:noWrap/>
            <w:vAlign w:val="center"/>
          </w:tcPr>
          <w:p w14:paraId="791EAF18" w14:textId="77777777" w:rsidR="006822EF" w:rsidRPr="00C7354B" w:rsidRDefault="006822EF" w:rsidP="00AB066F">
            <w:pPr>
              <w:widowControl w:val="0"/>
              <w:spacing w:line="240" w:lineRule="auto"/>
              <w:jc w:val="center"/>
              <w:rPr>
                <w:color w:val="000000" w:themeColor="text1"/>
                <w:kern w:val="2"/>
                <w:sz w:val="22"/>
                <w:lang w:eastAsia="zh-CN"/>
              </w:rPr>
            </w:pPr>
          </w:p>
        </w:tc>
        <w:tc>
          <w:tcPr>
            <w:tcW w:w="1247" w:type="dxa"/>
            <w:tcBorders>
              <w:top w:val="nil"/>
              <w:left w:val="nil"/>
              <w:right w:val="nil"/>
            </w:tcBorders>
            <w:shd w:val="clear" w:color="auto" w:fill="auto"/>
            <w:noWrap/>
            <w:vAlign w:val="center"/>
          </w:tcPr>
          <w:p w14:paraId="29301E83" w14:textId="77777777" w:rsidR="006822EF" w:rsidRPr="00C7354B" w:rsidRDefault="006822EF" w:rsidP="00AB066F">
            <w:pPr>
              <w:widowControl w:val="0"/>
              <w:spacing w:line="240" w:lineRule="auto"/>
              <w:jc w:val="center"/>
              <w:rPr>
                <w:color w:val="000000" w:themeColor="text1"/>
                <w:kern w:val="2"/>
                <w:sz w:val="22"/>
                <w:lang w:eastAsia="zh-CN"/>
              </w:rPr>
            </w:pPr>
          </w:p>
        </w:tc>
        <w:tc>
          <w:tcPr>
            <w:tcW w:w="1247" w:type="dxa"/>
            <w:tcBorders>
              <w:top w:val="nil"/>
              <w:left w:val="nil"/>
              <w:right w:val="nil"/>
            </w:tcBorders>
            <w:shd w:val="clear" w:color="auto" w:fill="auto"/>
            <w:noWrap/>
            <w:vAlign w:val="center"/>
          </w:tcPr>
          <w:p w14:paraId="360F458E" w14:textId="77777777" w:rsidR="006822EF" w:rsidRPr="00C7354B" w:rsidRDefault="006822EF" w:rsidP="00AB066F">
            <w:pPr>
              <w:widowControl w:val="0"/>
              <w:spacing w:line="240" w:lineRule="auto"/>
              <w:jc w:val="center"/>
              <w:rPr>
                <w:color w:val="000000" w:themeColor="text1"/>
                <w:kern w:val="2"/>
                <w:sz w:val="22"/>
                <w:lang w:eastAsia="zh-CN"/>
              </w:rPr>
            </w:pPr>
          </w:p>
        </w:tc>
      </w:tr>
      <w:tr w:rsidR="006822EF" w:rsidRPr="00C7354B" w14:paraId="250E3418" w14:textId="77777777" w:rsidTr="00640871">
        <w:trPr>
          <w:trHeight w:val="89"/>
          <w:jc w:val="center"/>
        </w:trPr>
        <w:tc>
          <w:tcPr>
            <w:tcW w:w="2977" w:type="dxa"/>
            <w:tcBorders>
              <w:top w:val="nil"/>
              <w:left w:val="nil"/>
              <w:right w:val="nil"/>
            </w:tcBorders>
            <w:shd w:val="clear" w:color="auto" w:fill="auto"/>
            <w:noWrap/>
            <w:vAlign w:val="center"/>
          </w:tcPr>
          <w:p w14:paraId="3B9662EA" w14:textId="77777777" w:rsidR="006822EF" w:rsidRPr="00C7354B" w:rsidRDefault="006822EF" w:rsidP="00AB066F">
            <w:pPr>
              <w:widowControl w:val="0"/>
              <w:spacing w:line="240" w:lineRule="auto"/>
              <w:jc w:val="left"/>
              <w:rPr>
                <w:i/>
                <w:iCs/>
                <w:color w:val="000000" w:themeColor="text1"/>
                <w:kern w:val="2"/>
                <w:sz w:val="22"/>
                <w:lang w:eastAsia="zh-CN"/>
              </w:rPr>
            </w:pPr>
            <w:r w:rsidRPr="00C7354B">
              <w:rPr>
                <w:i/>
                <w:iCs/>
                <w:color w:val="000000" w:themeColor="text1"/>
                <w:kern w:val="2"/>
                <w:sz w:val="22"/>
                <w:lang w:eastAsia="zh-CN"/>
              </w:rPr>
              <w:t xml:space="preserve">   Log-likelihood</w:t>
            </w:r>
          </w:p>
        </w:tc>
        <w:tc>
          <w:tcPr>
            <w:tcW w:w="1247" w:type="dxa"/>
            <w:tcBorders>
              <w:top w:val="nil"/>
              <w:left w:val="nil"/>
              <w:right w:val="nil"/>
            </w:tcBorders>
            <w:vAlign w:val="center"/>
          </w:tcPr>
          <w:p w14:paraId="135D8753"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220.48</w:t>
            </w:r>
          </w:p>
        </w:tc>
        <w:tc>
          <w:tcPr>
            <w:tcW w:w="1247" w:type="dxa"/>
            <w:tcBorders>
              <w:top w:val="nil"/>
              <w:left w:val="nil"/>
              <w:right w:val="nil"/>
            </w:tcBorders>
            <w:shd w:val="clear" w:color="auto" w:fill="auto"/>
            <w:noWrap/>
            <w:vAlign w:val="center"/>
          </w:tcPr>
          <w:p w14:paraId="061D3D3E"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221.05</w:t>
            </w:r>
          </w:p>
        </w:tc>
        <w:tc>
          <w:tcPr>
            <w:tcW w:w="1247" w:type="dxa"/>
            <w:tcBorders>
              <w:top w:val="nil"/>
              <w:left w:val="nil"/>
              <w:right w:val="nil"/>
            </w:tcBorders>
            <w:shd w:val="clear" w:color="auto" w:fill="auto"/>
            <w:noWrap/>
            <w:vAlign w:val="center"/>
          </w:tcPr>
          <w:p w14:paraId="2AC32EF1"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205.24</w:t>
            </w:r>
          </w:p>
        </w:tc>
        <w:tc>
          <w:tcPr>
            <w:tcW w:w="1247" w:type="dxa"/>
            <w:tcBorders>
              <w:top w:val="nil"/>
              <w:left w:val="nil"/>
              <w:right w:val="nil"/>
            </w:tcBorders>
            <w:shd w:val="clear" w:color="auto" w:fill="auto"/>
            <w:noWrap/>
            <w:vAlign w:val="center"/>
          </w:tcPr>
          <w:p w14:paraId="1CECAEF7"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192.71</w:t>
            </w:r>
          </w:p>
        </w:tc>
        <w:tc>
          <w:tcPr>
            <w:tcW w:w="1247" w:type="dxa"/>
            <w:tcBorders>
              <w:top w:val="nil"/>
              <w:left w:val="nil"/>
              <w:right w:val="nil"/>
            </w:tcBorders>
            <w:shd w:val="clear" w:color="auto" w:fill="auto"/>
            <w:noWrap/>
            <w:vAlign w:val="center"/>
          </w:tcPr>
          <w:p w14:paraId="3F010449"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191.07</w:t>
            </w:r>
          </w:p>
        </w:tc>
      </w:tr>
      <w:tr w:rsidR="006822EF" w:rsidRPr="00C7354B" w14:paraId="07F6247E" w14:textId="77777777" w:rsidTr="00640871">
        <w:trPr>
          <w:trHeight w:val="89"/>
          <w:jc w:val="center"/>
        </w:trPr>
        <w:tc>
          <w:tcPr>
            <w:tcW w:w="2977" w:type="dxa"/>
            <w:tcBorders>
              <w:top w:val="nil"/>
              <w:left w:val="nil"/>
              <w:right w:val="nil"/>
            </w:tcBorders>
            <w:shd w:val="clear" w:color="auto" w:fill="auto"/>
            <w:noWrap/>
            <w:vAlign w:val="center"/>
          </w:tcPr>
          <w:p w14:paraId="2CF152D0" w14:textId="77777777" w:rsidR="006822EF" w:rsidRPr="00C7354B" w:rsidRDefault="006822EF" w:rsidP="00AB066F">
            <w:pPr>
              <w:widowControl w:val="0"/>
              <w:spacing w:line="240" w:lineRule="auto"/>
              <w:jc w:val="left"/>
              <w:rPr>
                <w:iCs/>
                <w:color w:val="000000" w:themeColor="text1"/>
                <w:kern w:val="2"/>
                <w:sz w:val="22"/>
                <w:lang w:eastAsia="zh-CN"/>
              </w:rPr>
            </w:pPr>
            <w:r w:rsidRPr="00C7354B">
              <w:rPr>
                <w:color w:val="000000" w:themeColor="text1"/>
                <w:kern w:val="2"/>
                <w:sz w:val="22"/>
                <w:lang w:eastAsia="zh-CN"/>
              </w:rPr>
              <w:t xml:space="preserve">   </w:t>
            </w:r>
            <m:oMath>
              <m:sSub>
                <m:sSubPr>
                  <m:ctrlPr>
                    <w:rPr>
                      <w:rFonts w:ascii="Cambria Math" w:hAnsi="Cambria Math"/>
                      <w:iCs/>
                      <w:color w:val="000000" w:themeColor="text1"/>
                      <w:kern w:val="2"/>
                      <w:sz w:val="22"/>
                      <w:lang w:eastAsia="zh-CN"/>
                    </w:rPr>
                  </m:ctrlPr>
                </m:sSubPr>
                <m:e>
                  <m:r>
                    <w:rPr>
                      <w:rFonts w:ascii="Cambria Math" w:hAnsi="Cambria Math"/>
                      <w:color w:val="000000" w:themeColor="text1"/>
                      <w:kern w:val="2"/>
                      <w:sz w:val="22"/>
                      <w:lang w:eastAsia="zh-CN"/>
                    </w:rPr>
                    <m:t>Q</m:t>
                  </m:r>
                </m:e>
                <m:sub>
                  <m:r>
                    <m:rPr>
                      <m:sty m:val="p"/>
                    </m:rPr>
                    <w:rPr>
                      <w:rFonts w:ascii="Cambria Math" w:hAnsi="Cambria Math"/>
                      <w:color w:val="000000" w:themeColor="text1"/>
                      <w:kern w:val="2"/>
                      <w:sz w:val="22"/>
                      <w:lang w:eastAsia="zh-CN"/>
                    </w:rPr>
                    <m:t>E</m:t>
                  </m:r>
                </m:sub>
              </m:sSub>
            </m:oMath>
          </w:p>
        </w:tc>
        <w:tc>
          <w:tcPr>
            <w:tcW w:w="1247" w:type="dxa"/>
            <w:tcBorders>
              <w:top w:val="nil"/>
              <w:left w:val="nil"/>
              <w:right w:val="nil"/>
            </w:tcBorders>
            <w:vAlign w:val="center"/>
          </w:tcPr>
          <w:p w14:paraId="4102C416"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 xml:space="preserve">2013.51 </w:t>
            </w:r>
            <w:r w:rsidRPr="00C7354B">
              <w:rPr>
                <w:rFonts w:eastAsia="Helvetica"/>
                <w:color w:val="000000" w:themeColor="text1"/>
                <w:sz w:val="22"/>
              </w:rPr>
              <w:t>[&lt;.001]</w:t>
            </w:r>
          </w:p>
        </w:tc>
        <w:tc>
          <w:tcPr>
            <w:tcW w:w="1247" w:type="dxa"/>
            <w:tcBorders>
              <w:top w:val="nil"/>
              <w:left w:val="nil"/>
              <w:right w:val="nil"/>
            </w:tcBorders>
            <w:shd w:val="clear" w:color="auto" w:fill="auto"/>
            <w:noWrap/>
            <w:vAlign w:val="center"/>
          </w:tcPr>
          <w:p w14:paraId="2229679F"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 xml:space="preserve">1889.11 </w:t>
            </w:r>
            <w:r w:rsidRPr="00C7354B">
              <w:rPr>
                <w:rFonts w:eastAsia="Helvetica"/>
                <w:color w:val="000000" w:themeColor="text1"/>
                <w:sz w:val="22"/>
              </w:rPr>
              <w:t>[&lt;.001]</w:t>
            </w:r>
          </w:p>
        </w:tc>
        <w:tc>
          <w:tcPr>
            <w:tcW w:w="1247" w:type="dxa"/>
            <w:tcBorders>
              <w:top w:val="nil"/>
              <w:left w:val="nil"/>
              <w:right w:val="nil"/>
            </w:tcBorders>
            <w:shd w:val="clear" w:color="auto" w:fill="auto"/>
            <w:noWrap/>
            <w:vAlign w:val="center"/>
          </w:tcPr>
          <w:p w14:paraId="2978FA42"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 xml:space="preserve">1787.36 </w:t>
            </w:r>
            <w:r w:rsidRPr="00C7354B">
              <w:rPr>
                <w:rFonts w:eastAsia="Helvetica"/>
                <w:color w:val="000000" w:themeColor="text1"/>
                <w:sz w:val="22"/>
              </w:rPr>
              <w:t>[&lt;.001]</w:t>
            </w:r>
          </w:p>
        </w:tc>
        <w:tc>
          <w:tcPr>
            <w:tcW w:w="1247" w:type="dxa"/>
            <w:tcBorders>
              <w:top w:val="nil"/>
              <w:left w:val="nil"/>
              <w:right w:val="nil"/>
            </w:tcBorders>
            <w:shd w:val="clear" w:color="auto" w:fill="auto"/>
            <w:noWrap/>
            <w:vAlign w:val="center"/>
          </w:tcPr>
          <w:p w14:paraId="212571FF"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 xml:space="preserve">1589.07 </w:t>
            </w:r>
            <w:r w:rsidRPr="00C7354B">
              <w:rPr>
                <w:rFonts w:eastAsia="Helvetica"/>
                <w:color w:val="000000" w:themeColor="text1"/>
                <w:sz w:val="22"/>
              </w:rPr>
              <w:t>[&lt;.001]</w:t>
            </w:r>
          </w:p>
        </w:tc>
        <w:tc>
          <w:tcPr>
            <w:tcW w:w="1247" w:type="dxa"/>
            <w:tcBorders>
              <w:top w:val="nil"/>
              <w:left w:val="nil"/>
              <w:right w:val="nil"/>
            </w:tcBorders>
            <w:shd w:val="clear" w:color="auto" w:fill="auto"/>
            <w:noWrap/>
            <w:vAlign w:val="center"/>
          </w:tcPr>
          <w:p w14:paraId="34930A12"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 xml:space="preserve">1468.85 </w:t>
            </w:r>
            <w:r w:rsidRPr="00C7354B">
              <w:rPr>
                <w:rFonts w:eastAsia="Helvetica"/>
                <w:color w:val="000000" w:themeColor="text1"/>
                <w:sz w:val="22"/>
              </w:rPr>
              <w:t>[&lt;.001]</w:t>
            </w:r>
          </w:p>
        </w:tc>
      </w:tr>
      <w:tr w:rsidR="006822EF" w:rsidRPr="00C7354B" w14:paraId="7EDCC082" w14:textId="77777777" w:rsidTr="00640871">
        <w:trPr>
          <w:trHeight w:val="89"/>
          <w:jc w:val="center"/>
        </w:trPr>
        <w:tc>
          <w:tcPr>
            <w:tcW w:w="2977" w:type="dxa"/>
            <w:tcBorders>
              <w:top w:val="nil"/>
              <w:left w:val="nil"/>
              <w:right w:val="nil"/>
            </w:tcBorders>
            <w:shd w:val="clear" w:color="auto" w:fill="auto"/>
            <w:noWrap/>
            <w:vAlign w:val="center"/>
          </w:tcPr>
          <w:p w14:paraId="08E2A1FC" w14:textId="77777777" w:rsidR="006822EF" w:rsidRPr="00C7354B" w:rsidRDefault="006822EF" w:rsidP="00AB066F">
            <w:pPr>
              <w:widowControl w:val="0"/>
              <w:spacing w:line="240" w:lineRule="auto"/>
              <w:jc w:val="left"/>
              <w:rPr>
                <w:color w:val="000000" w:themeColor="text1"/>
                <w:kern w:val="2"/>
                <w:sz w:val="22"/>
                <w:lang w:eastAsia="zh-CN"/>
              </w:rPr>
            </w:pPr>
            <w:r w:rsidRPr="00C7354B">
              <w:rPr>
                <w:color w:val="000000" w:themeColor="text1"/>
                <w:kern w:val="2"/>
                <w:sz w:val="22"/>
                <w:lang w:eastAsia="zh-CN"/>
              </w:rPr>
              <w:t xml:space="preserve">   </w:t>
            </w:r>
            <m:oMath>
              <m:sSub>
                <m:sSubPr>
                  <m:ctrlPr>
                    <w:rPr>
                      <w:rFonts w:ascii="Cambria Math" w:hAnsi="Cambria Math"/>
                      <w:i/>
                      <w:color w:val="000000" w:themeColor="text1"/>
                      <w:kern w:val="2"/>
                      <w:sz w:val="22"/>
                      <w:lang w:eastAsia="zh-CN"/>
                    </w:rPr>
                  </m:ctrlPr>
                </m:sSubPr>
                <m:e>
                  <m:r>
                    <m:rPr>
                      <m:sty m:val="p"/>
                    </m:rPr>
                    <w:rPr>
                      <w:rFonts w:ascii="Cambria Math" w:hAnsi="Cambria Math"/>
                      <w:color w:val="000000" w:themeColor="text1"/>
                      <w:kern w:val="2"/>
                      <w:sz w:val="22"/>
                      <w:lang w:eastAsia="zh-CN"/>
                    </w:rPr>
                    <m:t>Δ</m:t>
                  </m:r>
                  <m:r>
                    <w:rPr>
                      <w:rFonts w:ascii="Cambria Math" w:hAnsi="Cambria Math"/>
                      <w:color w:val="000000" w:themeColor="text1"/>
                      <w:kern w:val="2"/>
                      <w:sz w:val="22"/>
                      <w:lang w:eastAsia="zh-CN"/>
                    </w:rPr>
                    <m:t>Q</m:t>
                  </m:r>
                </m:e>
                <m:sub>
                  <m:r>
                    <m:rPr>
                      <m:sty m:val="p"/>
                    </m:rPr>
                    <w:rPr>
                      <w:rFonts w:ascii="Cambria Math" w:hAnsi="Cambria Math"/>
                      <w:color w:val="000000" w:themeColor="text1"/>
                      <w:kern w:val="2"/>
                      <w:sz w:val="22"/>
                      <w:lang w:eastAsia="zh-CN"/>
                    </w:rPr>
                    <m:t>E</m:t>
                  </m:r>
                </m:sub>
              </m:sSub>
            </m:oMath>
          </w:p>
        </w:tc>
        <w:tc>
          <w:tcPr>
            <w:tcW w:w="1247" w:type="dxa"/>
            <w:tcBorders>
              <w:top w:val="nil"/>
              <w:left w:val="nil"/>
              <w:right w:val="nil"/>
            </w:tcBorders>
            <w:vAlign w:val="center"/>
          </w:tcPr>
          <w:p w14:paraId="796CFA77"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w:t>
            </w:r>
          </w:p>
        </w:tc>
        <w:tc>
          <w:tcPr>
            <w:tcW w:w="1247" w:type="dxa"/>
            <w:tcBorders>
              <w:top w:val="nil"/>
              <w:left w:val="nil"/>
              <w:right w:val="nil"/>
            </w:tcBorders>
            <w:shd w:val="clear" w:color="auto" w:fill="auto"/>
            <w:noWrap/>
            <w:vAlign w:val="center"/>
          </w:tcPr>
          <w:p w14:paraId="64D190BA"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124.40</w:t>
            </w:r>
          </w:p>
        </w:tc>
        <w:tc>
          <w:tcPr>
            <w:tcW w:w="1247" w:type="dxa"/>
            <w:tcBorders>
              <w:top w:val="nil"/>
              <w:left w:val="nil"/>
              <w:right w:val="nil"/>
            </w:tcBorders>
            <w:shd w:val="clear" w:color="auto" w:fill="auto"/>
            <w:noWrap/>
            <w:vAlign w:val="center"/>
          </w:tcPr>
          <w:p w14:paraId="56AA262E"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226.15</w:t>
            </w:r>
          </w:p>
        </w:tc>
        <w:tc>
          <w:tcPr>
            <w:tcW w:w="1247" w:type="dxa"/>
            <w:tcBorders>
              <w:top w:val="nil"/>
              <w:left w:val="nil"/>
              <w:right w:val="nil"/>
            </w:tcBorders>
            <w:shd w:val="clear" w:color="auto" w:fill="auto"/>
            <w:noWrap/>
            <w:vAlign w:val="center"/>
          </w:tcPr>
          <w:p w14:paraId="5887A127"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424.43</w:t>
            </w:r>
          </w:p>
        </w:tc>
        <w:tc>
          <w:tcPr>
            <w:tcW w:w="1247" w:type="dxa"/>
            <w:tcBorders>
              <w:top w:val="nil"/>
              <w:left w:val="nil"/>
              <w:right w:val="nil"/>
            </w:tcBorders>
            <w:shd w:val="clear" w:color="auto" w:fill="auto"/>
            <w:noWrap/>
            <w:vAlign w:val="center"/>
          </w:tcPr>
          <w:p w14:paraId="663E4B54"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544.66</w:t>
            </w:r>
          </w:p>
        </w:tc>
      </w:tr>
      <w:tr w:rsidR="006822EF" w:rsidRPr="00C7354B" w14:paraId="6D442230" w14:textId="77777777" w:rsidTr="00640871">
        <w:trPr>
          <w:trHeight w:val="89"/>
          <w:jc w:val="center"/>
        </w:trPr>
        <w:tc>
          <w:tcPr>
            <w:tcW w:w="2977" w:type="dxa"/>
            <w:tcBorders>
              <w:top w:val="nil"/>
              <w:left w:val="nil"/>
              <w:right w:val="nil"/>
            </w:tcBorders>
            <w:shd w:val="clear" w:color="auto" w:fill="auto"/>
            <w:noWrap/>
            <w:vAlign w:val="center"/>
          </w:tcPr>
          <w:p w14:paraId="75D24A1D" w14:textId="77777777" w:rsidR="006822EF" w:rsidRPr="00C7354B" w:rsidRDefault="006822EF" w:rsidP="00AB066F">
            <w:pPr>
              <w:widowControl w:val="0"/>
              <w:spacing w:line="240" w:lineRule="auto"/>
              <w:jc w:val="left"/>
              <w:rPr>
                <w:i/>
                <w:iCs/>
                <w:color w:val="000000" w:themeColor="text1"/>
                <w:kern w:val="2"/>
                <w:sz w:val="22"/>
                <w:lang w:eastAsia="zh-CN"/>
              </w:rPr>
            </w:pPr>
            <w:r w:rsidRPr="00C7354B">
              <w:rPr>
                <w:rFonts w:eastAsia="Helvetica"/>
                <w:i/>
                <w:iCs/>
                <w:color w:val="000000" w:themeColor="text1"/>
                <w:sz w:val="22"/>
              </w:rPr>
              <w:t xml:space="preserve">   AIC</w:t>
            </w:r>
          </w:p>
        </w:tc>
        <w:tc>
          <w:tcPr>
            <w:tcW w:w="1247" w:type="dxa"/>
            <w:tcBorders>
              <w:top w:val="nil"/>
              <w:left w:val="nil"/>
              <w:right w:val="nil"/>
            </w:tcBorders>
            <w:vAlign w:val="center"/>
          </w:tcPr>
          <w:p w14:paraId="1F72235D" w14:textId="77777777" w:rsidR="006822EF" w:rsidRPr="00C7354B" w:rsidRDefault="006822EF" w:rsidP="00AB066F">
            <w:pPr>
              <w:widowControl w:val="0"/>
              <w:spacing w:line="240" w:lineRule="auto"/>
              <w:jc w:val="center"/>
              <w:rPr>
                <w:color w:val="000000" w:themeColor="text1"/>
                <w:kern w:val="2"/>
                <w:sz w:val="22"/>
                <w:lang w:eastAsia="zh-CN"/>
              </w:rPr>
            </w:pPr>
            <w:r w:rsidRPr="00C7354B">
              <w:rPr>
                <w:rFonts w:eastAsia="Helvetica"/>
                <w:color w:val="000000" w:themeColor="text1"/>
                <w:sz w:val="22"/>
              </w:rPr>
              <w:t>-449.20</w:t>
            </w:r>
          </w:p>
        </w:tc>
        <w:tc>
          <w:tcPr>
            <w:tcW w:w="1247" w:type="dxa"/>
            <w:tcBorders>
              <w:top w:val="nil"/>
              <w:left w:val="nil"/>
              <w:right w:val="nil"/>
            </w:tcBorders>
            <w:shd w:val="clear" w:color="auto" w:fill="auto"/>
            <w:noWrap/>
            <w:vAlign w:val="center"/>
          </w:tcPr>
          <w:p w14:paraId="78C35EC1" w14:textId="77777777" w:rsidR="006822EF" w:rsidRPr="00C7354B" w:rsidRDefault="006822EF" w:rsidP="00AB066F">
            <w:pPr>
              <w:widowControl w:val="0"/>
              <w:spacing w:line="240" w:lineRule="auto"/>
              <w:jc w:val="center"/>
              <w:rPr>
                <w:color w:val="000000" w:themeColor="text1"/>
                <w:kern w:val="2"/>
                <w:sz w:val="22"/>
                <w:lang w:eastAsia="zh-CN"/>
              </w:rPr>
            </w:pPr>
            <w:r w:rsidRPr="00C7354B">
              <w:rPr>
                <w:rFonts w:eastAsia="Helvetica"/>
                <w:color w:val="000000" w:themeColor="text1"/>
                <w:sz w:val="22"/>
              </w:rPr>
              <w:t>-452.90</w:t>
            </w:r>
          </w:p>
        </w:tc>
        <w:tc>
          <w:tcPr>
            <w:tcW w:w="1247" w:type="dxa"/>
            <w:tcBorders>
              <w:top w:val="nil"/>
              <w:left w:val="nil"/>
              <w:right w:val="nil"/>
            </w:tcBorders>
            <w:shd w:val="clear" w:color="auto" w:fill="auto"/>
            <w:noWrap/>
            <w:vAlign w:val="center"/>
          </w:tcPr>
          <w:p w14:paraId="7A170640" w14:textId="77777777" w:rsidR="006822EF" w:rsidRPr="00C7354B" w:rsidRDefault="006822EF" w:rsidP="00AB066F">
            <w:pPr>
              <w:widowControl w:val="0"/>
              <w:spacing w:line="240" w:lineRule="auto"/>
              <w:jc w:val="center"/>
              <w:rPr>
                <w:color w:val="000000" w:themeColor="text1"/>
                <w:kern w:val="2"/>
                <w:sz w:val="22"/>
                <w:lang w:eastAsia="zh-CN"/>
              </w:rPr>
            </w:pPr>
            <w:r w:rsidRPr="00C7354B">
              <w:rPr>
                <w:rFonts w:eastAsia="Helvetica"/>
                <w:color w:val="000000" w:themeColor="text1"/>
                <w:sz w:val="22"/>
              </w:rPr>
              <w:t>-419.90</w:t>
            </w:r>
          </w:p>
        </w:tc>
        <w:tc>
          <w:tcPr>
            <w:tcW w:w="1247" w:type="dxa"/>
            <w:tcBorders>
              <w:top w:val="nil"/>
              <w:left w:val="nil"/>
              <w:right w:val="nil"/>
            </w:tcBorders>
            <w:shd w:val="clear" w:color="auto" w:fill="auto"/>
            <w:noWrap/>
            <w:vAlign w:val="center"/>
          </w:tcPr>
          <w:p w14:paraId="6057B411" w14:textId="77777777" w:rsidR="006822EF" w:rsidRPr="00C7354B" w:rsidRDefault="006822EF" w:rsidP="00AB066F">
            <w:pPr>
              <w:widowControl w:val="0"/>
              <w:spacing w:line="240" w:lineRule="auto"/>
              <w:jc w:val="center"/>
              <w:rPr>
                <w:color w:val="000000" w:themeColor="text1"/>
                <w:kern w:val="2"/>
                <w:sz w:val="22"/>
                <w:lang w:eastAsia="zh-CN"/>
              </w:rPr>
            </w:pPr>
            <w:r w:rsidRPr="00C7354B">
              <w:rPr>
                <w:rFonts w:eastAsia="Helvetica"/>
                <w:color w:val="000000" w:themeColor="text1"/>
                <w:sz w:val="22"/>
              </w:rPr>
              <w:t>-395.30</w:t>
            </w:r>
          </w:p>
        </w:tc>
        <w:tc>
          <w:tcPr>
            <w:tcW w:w="1247" w:type="dxa"/>
            <w:tcBorders>
              <w:top w:val="nil"/>
              <w:left w:val="nil"/>
              <w:right w:val="nil"/>
            </w:tcBorders>
            <w:shd w:val="clear" w:color="auto" w:fill="auto"/>
            <w:noWrap/>
            <w:vAlign w:val="center"/>
          </w:tcPr>
          <w:p w14:paraId="1FA3E2E5" w14:textId="77777777" w:rsidR="006822EF" w:rsidRPr="00C7354B" w:rsidRDefault="006822EF" w:rsidP="00AB066F">
            <w:pPr>
              <w:widowControl w:val="0"/>
              <w:spacing w:line="240" w:lineRule="auto"/>
              <w:jc w:val="center"/>
              <w:rPr>
                <w:color w:val="000000" w:themeColor="text1"/>
                <w:kern w:val="2"/>
                <w:sz w:val="22"/>
                <w:lang w:eastAsia="zh-CN"/>
              </w:rPr>
            </w:pPr>
            <w:r w:rsidRPr="00C7354B">
              <w:rPr>
                <w:rFonts w:eastAsia="Helvetica"/>
                <w:color w:val="000000" w:themeColor="text1"/>
                <w:sz w:val="22"/>
              </w:rPr>
              <w:t>-396.00</w:t>
            </w:r>
          </w:p>
        </w:tc>
      </w:tr>
      <w:tr w:rsidR="006822EF" w:rsidRPr="00C7354B" w14:paraId="1EC478BA" w14:textId="77777777" w:rsidTr="00640871">
        <w:trPr>
          <w:trHeight w:val="89"/>
          <w:jc w:val="center"/>
        </w:trPr>
        <w:tc>
          <w:tcPr>
            <w:tcW w:w="2977" w:type="dxa"/>
            <w:tcBorders>
              <w:top w:val="nil"/>
              <w:left w:val="nil"/>
              <w:right w:val="nil"/>
            </w:tcBorders>
            <w:shd w:val="clear" w:color="auto" w:fill="auto"/>
            <w:noWrap/>
            <w:vAlign w:val="center"/>
          </w:tcPr>
          <w:p w14:paraId="69E071B6" w14:textId="77777777" w:rsidR="006822EF" w:rsidRPr="00C7354B" w:rsidRDefault="006822EF" w:rsidP="00AB066F">
            <w:pPr>
              <w:widowControl w:val="0"/>
              <w:spacing w:line="240" w:lineRule="auto"/>
              <w:jc w:val="left"/>
              <w:rPr>
                <w:i/>
                <w:iCs/>
                <w:color w:val="000000" w:themeColor="text1"/>
                <w:kern w:val="2"/>
                <w:sz w:val="22"/>
                <w:lang w:eastAsia="zh-CN"/>
              </w:rPr>
            </w:pPr>
            <w:r w:rsidRPr="00C7354B">
              <w:rPr>
                <w:rFonts w:eastAsia="Helvetica"/>
                <w:i/>
                <w:iCs/>
                <w:color w:val="000000" w:themeColor="text1"/>
                <w:sz w:val="22"/>
              </w:rPr>
              <w:t xml:space="preserve">   BIC</w:t>
            </w:r>
          </w:p>
        </w:tc>
        <w:tc>
          <w:tcPr>
            <w:tcW w:w="1247" w:type="dxa"/>
            <w:tcBorders>
              <w:top w:val="nil"/>
              <w:left w:val="nil"/>
              <w:right w:val="nil"/>
            </w:tcBorders>
            <w:vAlign w:val="center"/>
          </w:tcPr>
          <w:p w14:paraId="62775112" w14:textId="77777777" w:rsidR="006822EF" w:rsidRPr="00C7354B" w:rsidRDefault="006822EF" w:rsidP="00AB066F">
            <w:pPr>
              <w:widowControl w:val="0"/>
              <w:spacing w:line="240" w:lineRule="auto"/>
              <w:jc w:val="center"/>
              <w:rPr>
                <w:color w:val="000000" w:themeColor="text1"/>
                <w:kern w:val="2"/>
                <w:sz w:val="22"/>
                <w:lang w:eastAsia="zh-CN"/>
              </w:rPr>
            </w:pPr>
            <w:r w:rsidRPr="00C7354B">
              <w:rPr>
                <w:rFonts w:eastAsia="Helvetica"/>
                <w:color w:val="000000" w:themeColor="text1"/>
                <w:sz w:val="22"/>
              </w:rPr>
              <w:t>-421.20</w:t>
            </w:r>
          </w:p>
        </w:tc>
        <w:tc>
          <w:tcPr>
            <w:tcW w:w="1247" w:type="dxa"/>
            <w:tcBorders>
              <w:top w:val="nil"/>
              <w:left w:val="nil"/>
              <w:right w:val="nil"/>
            </w:tcBorders>
            <w:shd w:val="clear" w:color="auto" w:fill="auto"/>
            <w:noWrap/>
            <w:vAlign w:val="center"/>
          </w:tcPr>
          <w:p w14:paraId="166E0658" w14:textId="77777777" w:rsidR="006822EF" w:rsidRPr="00C7354B" w:rsidRDefault="006822EF" w:rsidP="00AB066F">
            <w:pPr>
              <w:widowControl w:val="0"/>
              <w:spacing w:line="240" w:lineRule="auto"/>
              <w:jc w:val="center"/>
              <w:rPr>
                <w:color w:val="000000" w:themeColor="text1"/>
                <w:kern w:val="2"/>
                <w:sz w:val="22"/>
                <w:lang w:eastAsia="zh-CN"/>
              </w:rPr>
            </w:pPr>
            <w:r w:rsidRPr="00C7354B">
              <w:rPr>
                <w:rFonts w:eastAsia="Helvetica"/>
                <w:color w:val="000000" w:themeColor="text1"/>
                <w:sz w:val="22"/>
              </w:rPr>
              <w:t>-422.00</w:t>
            </w:r>
          </w:p>
        </w:tc>
        <w:tc>
          <w:tcPr>
            <w:tcW w:w="1247" w:type="dxa"/>
            <w:tcBorders>
              <w:top w:val="nil"/>
              <w:left w:val="nil"/>
              <w:right w:val="nil"/>
            </w:tcBorders>
            <w:shd w:val="clear" w:color="auto" w:fill="auto"/>
            <w:noWrap/>
            <w:vAlign w:val="center"/>
          </w:tcPr>
          <w:p w14:paraId="15F6198A" w14:textId="77777777" w:rsidR="006822EF" w:rsidRPr="00C7354B" w:rsidRDefault="006822EF" w:rsidP="00AB066F">
            <w:pPr>
              <w:widowControl w:val="0"/>
              <w:spacing w:line="240" w:lineRule="auto"/>
              <w:jc w:val="center"/>
              <w:rPr>
                <w:color w:val="000000" w:themeColor="text1"/>
                <w:kern w:val="2"/>
                <w:sz w:val="22"/>
                <w:lang w:eastAsia="zh-CN"/>
              </w:rPr>
            </w:pPr>
            <w:r w:rsidRPr="00C7354B">
              <w:rPr>
                <w:rFonts w:eastAsia="Helvetica"/>
                <w:color w:val="000000" w:themeColor="text1"/>
                <w:sz w:val="22"/>
              </w:rPr>
              <w:t>-389.60</w:t>
            </w:r>
          </w:p>
        </w:tc>
        <w:tc>
          <w:tcPr>
            <w:tcW w:w="1247" w:type="dxa"/>
            <w:tcBorders>
              <w:top w:val="nil"/>
              <w:left w:val="nil"/>
              <w:right w:val="nil"/>
            </w:tcBorders>
            <w:shd w:val="clear" w:color="auto" w:fill="auto"/>
            <w:noWrap/>
            <w:vAlign w:val="center"/>
          </w:tcPr>
          <w:p w14:paraId="1D3E861F" w14:textId="77777777" w:rsidR="006822EF" w:rsidRPr="00C7354B" w:rsidRDefault="006822EF" w:rsidP="00AB066F">
            <w:pPr>
              <w:widowControl w:val="0"/>
              <w:spacing w:line="240" w:lineRule="auto"/>
              <w:jc w:val="center"/>
              <w:rPr>
                <w:color w:val="000000" w:themeColor="text1"/>
                <w:kern w:val="2"/>
                <w:sz w:val="22"/>
                <w:lang w:eastAsia="zh-CN"/>
              </w:rPr>
            </w:pPr>
            <w:r w:rsidRPr="00C7354B">
              <w:rPr>
                <w:rFonts w:eastAsia="Helvetica"/>
                <w:color w:val="000000" w:themeColor="text1"/>
                <w:sz w:val="22"/>
              </w:rPr>
              <w:t>-365.50</w:t>
            </w:r>
          </w:p>
        </w:tc>
        <w:tc>
          <w:tcPr>
            <w:tcW w:w="1247" w:type="dxa"/>
            <w:tcBorders>
              <w:top w:val="nil"/>
              <w:left w:val="nil"/>
              <w:right w:val="nil"/>
            </w:tcBorders>
            <w:shd w:val="clear" w:color="auto" w:fill="auto"/>
            <w:noWrap/>
            <w:vAlign w:val="center"/>
          </w:tcPr>
          <w:p w14:paraId="02AC1594" w14:textId="77777777" w:rsidR="006822EF" w:rsidRPr="00C7354B" w:rsidRDefault="006822EF" w:rsidP="00AB066F">
            <w:pPr>
              <w:widowControl w:val="0"/>
              <w:spacing w:line="240" w:lineRule="auto"/>
              <w:jc w:val="center"/>
              <w:rPr>
                <w:color w:val="000000" w:themeColor="text1"/>
                <w:kern w:val="2"/>
                <w:sz w:val="22"/>
                <w:lang w:eastAsia="zh-CN"/>
              </w:rPr>
            </w:pPr>
            <w:r w:rsidRPr="00C7354B">
              <w:rPr>
                <w:rFonts w:eastAsia="Helvetica"/>
                <w:color w:val="000000" w:themeColor="text1"/>
                <w:sz w:val="22"/>
              </w:rPr>
              <w:t>-360.60</w:t>
            </w:r>
          </w:p>
        </w:tc>
      </w:tr>
      <w:tr w:rsidR="006822EF" w:rsidRPr="00C7354B" w14:paraId="2DBF28C7" w14:textId="77777777" w:rsidTr="00640871">
        <w:trPr>
          <w:trHeight w:val="89"/>
          <w:jc w:val="center"/>
        </w:trPr>
        <w:tc>
          <w:tcPr>
            <w:tcW w:w="2977" w:type="dxa"/>
            <w:tcBorders>
              <w:top w:val="nil"/>
              <w:left w:val="nil"/>
              <w:right w:val="nil"/>
            </w:tcBorders>
            <w:shd w:val="clear" w:color="auto" w:fill="auto"/>
            <w:noWrap/>
            <w:vAlign w:val="center"/>
          </w:tcPr>
          <w:p w14:paraId="7258469F" w14:textId="77777777" w:rsidR="006822EF" w:rsidRPr="00C7354B" w:rsidRDefault="006822EF" w:rsidP="00AB066F">
            <w:pPr>
              <w:widowControl w:val="0"/>
              <w:spacing w:line="240" w:lineRule="auto"/>
              <w:jc w:val="left"/>
              <w:rPr>
                <w:i/>
                <w:iCs/>
                <w:color w:val="000000" w:themeColor="text1"/>
                <w:kern w:val="2"/>
                <w:sz w:val="22"/>
                <w:lang w:eastAsia="zh-CN"/>
              </w:rPr>
            </w:pPr>
            <w:r w:rsidRPr="00C7354B">
              <w:rPr>
                <w:i/>
                <w:iCs/>
                <w:color w:val="000000" w:themeColor="text1"/>
                <w:kern w:val="2"/>
                <w:sz w:val="22"/>
                <w:lang w:eastAsia="zh-CN"/>
              </w:rPr>
              <w:t xml:space="preserve">   N</w:t>
            </w:r>
          </w:p>
        </w:tc>
        <w:tc>
          <w:tcPr>
            <w:tcW w:w="1247" w:type="dxa"/>
            <w:tcBorders>
              <w:top w:val="nil"/>
              <w:left w:val="nil"/>
              <w:right w:val="nil"/>
            </w:tcBorders>
            <w:vAlign w:val="center"/>
          </w:tcPr>
          <w:p w14:paraId="3F9A2471"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1,078,996</w:t>
            </w:r>
          </w:p>
        </w:tc>
        <w:tc>
          <w:tcPr>
            <w:tcW w:w="1247" w:type="dxa"/>
            <w:tcBorders>
              <w:top w:val="nil"/>
              <w:left w:val="nil"/>
              <w:right w:val="nil"/>
            </w:tcBorders>
            <w:shd w:val="clear" w:color="auto" w:fill="auto"/>
            <w:noWrap/>
            <w:vAlign w:val="center"/>
          </w:tcPr>
          <w:p w14:paraId="1774E56F"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1,076,149</w:t>
            </w:r>
          </w:p>
        </w:tc>
        <w:tc>
          <w:tcPr>
            <w:tcW w:w="1247" w:type="dxa"/>
            <w:tcBorders>
              <w:top w:val="nil"/>
              <w:left w:val="nil"/>
              <w:right w:val="nil"/>
            </w:tcBorders>
            <w:shd w:val="clear" w:color="auto" w:fill="auto"/>
            <w:noWrap/>
            <w:vAlign w:val="center"/>
          </w:tcPr>
          <w:p w14:paraId="7A9299C1"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1,017,079</w:t>
            </w:r>
          </w:p>
        </w:tc>
        <w:tc>
          <w:tcPr>
            <w:tcW w:w="1247" w:type="dxa"/>
            <w:tcBorders>
              <w:top w:val="nil"/>
              <w:left w:val="nil"/>
              <w:right w:val="nil"/>
            </w:tcBorders>
            <w:shd w:val="clear" w:color="auto" w:fill="auto"/>
            <w:noWrap/>
            <w:vAlign w:val="center"/>
          </w:tcPr>
          <w:p w14:paraId="6521776C"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1,003,226</w:t>
            </w:r>
          </w:p>
        </w:tc>
        <w:tc>
          <w:tcPr>
            <w:tcW w:w="1247" w:type="dxa"/>
            <w:tcBorders>
              <w:top w:val="nil"/>
              <w:left w:val="nil"/>
              <w:right w:val="nil"/>
            </w:tcBorders>
            <w:shd w:val="clear" w:color="auto" w:fill="auto"/>
            <w:noWrap/>
            <w:vAlign w:val="center"/>
          </w:tcPr>
          <w:p w14:paraId="4FEF633E"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980,735</w:t>
            </w:r>
          </w:p>
        </w:tc>
      </w:tr>
      <w:tr w:rsidR="006822EF" w:rsidRPr="00C7354B" w14:paraId="23850846" w14:textId="77777777" w:rsidTr="00640871">
        <w:trPr>
          <w:trHeight w:val="89"/>
          <w:jc w:val="center"/>
        </w:trPr>
        <w:tc>
          <w:tcPr>
            <w:tcW w:w="2977" w:type="dxa"/>
            <w:tcBorders>
              <w:left w:val="nil"/>
              <w:bottom w:val="single" w:sz="4" w:space="0" w:color="auto"/>
              <w:right w:val="nil"/>
            </w:tcBorders>
            <w:shd w:val="clear" w:color="auto" w:fill="auto"/>
            <w:noWrap/>
            <w:vAlign w:val="center"/>
          </w:tcPr>
          <w:p w14:paraId="198C194F" w14:textId="77777777" w:rsidR="006822EF" w:rsidRPr="00C7354B" w:rsidRDefault="006822EF" w:rsidP="00AB066F">
            <w:pPr>
              <w:widowControl w:val="0"/>
              <w:spacing w:line="240" w:lineRule="auto"/>
              <w:jc w:val="left"/>
              <w:rPr>
                <w:i/>
                <w:iCs/>
                <w:color w:val="000000" w:themeColor="text1"/>
                <w:kern w:val="2"/>
                <w:sz w:val="22"/>
                <w:lang w:eastAsia="zh-CN"/>
              </w:rPr>
            </w:pPr>
            <w:r w:rsidRPr="00C7354B">
              <w:rPr>
                <w:rFonts w:eastAsia="Helvetica"/>
                <w:color w:val="000000" w:themeColor="text1"/>
                <w:sz w:val="22"/>
              </w:rPr>
              <w:t xml:space="preserve">   </w:t>
            </w:r>
            <w:r w:rsidRPr="00C7354B">
              <w:rPr>
                <w:rFonts w:eastAsia="Helvetica"/>
                <w:i/>
                <w:iCs/>
                <w:color w:val="000000" w:themeColor="text1"/>
                <w:sz w:val="22"/>
              </w:rPr>
              <w:t>k</w:t>
            </w:r>
          </w:p>
        </w:tc>
        <w:tc>
          <w:tcPr>
            <w:tcW w:w="1247" w:type="dxa"/>
            <w:tcBorders>
              <w:left w:val="nil"/>
              <w:bottom w:val="single" w:sz="4" w:space="0" w:color="auto"/>
              <w:right w:val="nil"/>
            </w:tcBorders>
            <w:vAlign w:val="center"/>
          </w:tcPr>
          <w:p w14:paraId="2EB3BC53" w14:textId="77777777" w:rsidR="006822EF" w:rsidRPr="00C7354B" w:rsidRDefault="006822EF" w:rsidP="00AB066F">
            <w:pPr>
              <w:widowControl w:val="0"/>
              <w:spacing w:line="240" w:lineRule="auto"/>
              <w:jc w:val="center"/>
              <w:rPr>
                <w:color w:val="000000" w:themeColor="text1"/>
                <w:kern w:val="2"/>
                <w:sz w:val="22"/>
                <w:lang w:eastAsia="zh-CN"/>
              </w:rPr>
            </w:pPr>
            <w:r w:rsidRPr="00C7354B">
              <w:rPr>
                <w:rFonts w:eastAsia="Helvetica"/>
                <w:color w:val="000000" w:themeColor="text1"/>
                <w:sz w:val="22"/>
              </w:rPr>
              <w:t>166</w:t>
            </w:r>
          </w:p>
        </w:tc>
        <w:tc>
          <w:tcPr>
            <w:tcW w:w="1247" w:type="dxa"/>
            <w:tcBorders>
              <w:left w:val="nil"/>
              <w:bottom w:val="single" w:sz="4" w:space="0" w:color="auto"/>
              <w:right w:val="nil"/>
            </w:tcBorders>
            <w:shd w:val="clear" w:color="auto" w:fill="auto"/>
            <w:noWrap/>
            <w:vAlign w:val="center"/>
          </w:tcPr>
          <w:p w14:paraId="404C80B6" w14:textId="77777777" w:rsidR="006822EF" w:rsidRPr="00C7354B" w:rsidRDefault="006822EF" w:rsidP="00AB066F">
            <w:pPr>
              <w:widowControl w:val="0"/>
              <w:spacing w:line="240" w:lineRule="auto"/>
              <w:jc w:val="center"/>
              <w:rPr>
                <w:color w:val="000000" w:themeColor="text1"/>
                <w:kern w:val="2"/>
                <w:sz w:val="22"/>
                <w:lang w:eastAsia="zh-CN"/>
              </w:rPr>
            </w:pPr>
            <w:r w:rsidRPr="00C7354B">
              <w:rPr>
                <w:rFonts w:eastAsia="Helvetica"/>
                <w:color w:val="000000" w:themeColor="text1"/>
                <w:sz w:val="22"/>
              </w:rPr>
              <w:t>162</w:t>
            </w:r>
          </w:p>
        </w:tc>
        <w:tc>
          <w:tcPr>
            <w:tcW w:w="1247" w:type="dxa"/>
            <w:tcBorders>
              <w:left w:val="nil"/>
              <w:bottom w:val="single" w:sz="4" w:space="0" w:color="auto"/>
              <w:right w:val="nil"/>
            </w:tcBorders>
            <w:shd w:val="clear" w:color="auto" w:fill="auto"/>
            <w:noWrap/>
            <w:vAlign w:val="center"/>
          </w:tcPr>
          <w:p w14:paraId="51F2A7AC" w14:textId="77777777" w:rsidR="006822EF" w:rsidRPr="00C7354B" w:rsidRDefault="006822EF" w:rsidP="00AB066F">
            <w:pPr>
              <w:widowControl w:val="0"/>
              <w:spacing w:line="240" w:lineRule="auto"/>
              <w:jc w:val="center"/>
              <w:rPr>
                <w:color w:val="000000" w:themeColor="text1"/>
                <w:kern w:val="2"/>
                <w:sz w:val="22"/>
                <w:lang w:eastAsia="zh-CN"/>
              </w:rPr>
            </w:pPr>
            <w:r w:rsidRPr="00C7354B">
              <w:rPr>
                <w:rFonts w:eastAsia="Helvetica"/>
                <w:color w:val="000000" w:themeColor="text1"/>
                <w:sz w:val="22"/>
              </w:rPr>
              <w:t>153</w:t>
            </w:r>
          </w:p>
        </w:tc>
        <w:tc>
          <w:tcPr>
            <w:tcW w:w="1247" w:type="dxa"/>
            <w:tcBorders>
              <w:left w:val="nil"/>
              <w:bottom w:val="single" w:sz="4" w:space="0" w:color="auto"/>
              <w:right w:val="nil"/>
            </w:tcBorders>
            <w:shd w:val="clear" w:color="auto" w:fill="auto"/>
            <w:noWrap/>
            <w:vAlign w:val="center"/>
          </w:tcPr>
          <w:p w14:paraId="65175E5A" w14:textId="77777777" w:rsidR="006822EF" w:rsidRPr="00C7354B" w:rsidRDefault="006822EF" w:rsidP="00AB066F">
            <w:pPr>
              <w:widowControl w:val="0"/>
              <w:spacing w:line="240" w:lineRule="auto"/>
              <w:jc w:val="center"/>
              <w:rPr>
                <w:color w:val="000000" w:themeColor="text1"/>
                <w:kern w:val="2"/>
                <w:sz w:val="22"/>
                <w:lang w:eastAsia="zh-CN"/>
              </w:rPr>
            </w:pPr>
            <w:r w:rsidRPr="00C7354B">
              <w:rPr>
                <w:rFonts w:eastAsia="Helvetica"/>
                <w:color w:val="000000" w:themeColor="text1"/>
                <w:sz w:val="22"/>
              </w:rPr>
              <w:t>146</w:t>
            </w:r>
          </w:p>
        </w:tc>
        <w:tc>
          <w:tcPr>
            <w:tcW w:w="1247" w:type="dxa"/>
            <w:tcBorders>
              <w:left w:val="nil"/>
              <w:bottom w:val="single" w:sz="4" w:space="0" w:color="auto"/>
              <w:right w:val="nil"/>
            </w:tcBorders>
            <w:shd w:val="clear" w:color="auto" w:fill="auto"/>
            <w:noWrap/>
            <w:vAlign w:val="center"/>
          </w:tcPr>
          <w:p w14:paraId="4C8B9FFA" w14:textId="77777777" w:rsidR="006822EF" w:rsidRPr="00C7354B" w:rsidRDefault="006822EF" w:rsidP="00AB066F">
            <w:pPr>
              <w:widowControl w:val="0"/>
              <w:spacing w:line="240" w:lineRule="auto"/>
              <w:jc w:val="center"/>
              <w:rPr>
                <w:color w:val="000000" w:themeColor="text1"/>
                <w:kern w:val="2"/>
                <w:sz w:val="22"/>
                <w:lang w:eastAsia="zh-CN"/>
              </w:rPr>
            </w:pPr>
            <w:r w:rsidRPr="00C7354B">
              <w:rPr>
                <w:rFonts w:eastAsia="Helvetica"/>
                <w:color w:val="000000" w:themeColor="text1"/>
                <w:sz w:val="22"/>
              </w:rPr>
              <w:t>141</w:t>
            </w:r>
          </w:p>
        </w:tc>
      </w:tr>
    </w:tbl>
    <w:p w14:paraId="419B1FB9" w14:textId="77777777" w:rsidR="006822EF" w:rsidRPr="00C7354B" w:rsidRDefault="006822EF" w:rsidP="006822EF">
      <w:pPr>
        <w:widowControl w:val="0"/>
        <w:adjustRightInd w:val="0"/>
        <w:snapToGrid w:val="0"/>
        <w:spacing w:before="60" w:after="60" w:line="240" w:lineRule="auto"/>
        <w:rPr>
          <w:rFonts w:eastAsia="SimSun"/>
          <w:color w:val="000000" w:themeColor="text1"/>
          <w:kern w:val="2"/>
          <w:sz w:val="22"/>
          <w:lang w:val="en-US" w:eastAsia="zh-CN"/>
        </w:rPr>
      </w:pPr>
      <w:r w:rsidRPr="00C7354B">
        <w:rPr>
          <w:rFonts w:eastAsia="SimSun"/>
          <w:i/>
          <w:iCs/>
          <w:color w:val="000000" w:themeColor="text1"/>
          <w:kern w:val="2"/>
          <w:sz w:val="22"/>
          <w:lang w:val="en-US" w:eastAsia="zh-CN"/>
        </w:rPr>
        <w:t>Note</w:t>
      </w:r>
      <w:r w:rsidRPr="00C7354B">
        <w:rPr>
          <w:rFonts w:eastAsia="SimSun"/>
          <w:color w:val="000000" w:themeColor="text1"/>
          <w:kern w:val="2"/>
          <w:sz w:val="22"/>
          <w:lang w:val="en-US" w:eastAsia="zh-CN"/>
        </w:rPr>
        <w:t xml:space="preserve">: </w:t>
      </w:r>
      <w:r w:rsidRPr="00C7354B">
        <w:rPr>
          <w:rFonts w:eastAsia="SimSun"/>
          <w:i/>
          <w:iCs/>
          <w:color w:val="000000" w:themeColor="text1"/>
          <w:kern w:val="2"/>
          <w:sz w:val="22"/>
          <w:lang w:val="en-US" w:eastAsia="zh-CN"/>
        </w:rPr>
        <w:t>N</w:t>
      </w:r>
      <w:r w:rsidRPr="00C7354B">
        <w:rPr>
          <w:rFonts w:eastAsia="SimSun"/>
          <w:color w:val="000000" w:themeColor="text1"/>
          <w:kern w:val="2"/>
          <w:sz w:val="22"/>
          <w:lang w:val="en-US" w:eastAsia="zh-CN"/>
        </w:rPr>
        <w:t xml:space="preserve"> = total sample size for all samples combined in model; </w:t>
      </w:r>
      <w:r w:rsidRPr="00C7354B">
        <w:rPr>
          <w:rFonts w:eastAsia="SimSun"/>
          <w:i/>
          <w:iCs/>
          <w:color w:val="000000" w:themeColor="text1"/>
          <w:kern w:val="2"/>
          <w:sz w:val="22"/>
          <w:lang w:val="en-US" w:eastAsia="zh-CN"/>
        </w:rPr>
        <w:t>k</w:t>
      </w:r>
      <w:r w:rsidRPr="00C7354B">
        <w:rPr>
          <w:rFonts w:eastAsia="SimSun"/>
          <w:color w:val="000000" w:themeColor="text1"/>
          <w:kern w:val="2"/>
          <w:sz w:val="22"/>
          <w:lang w:val="en-US" w:eastAsia="zh-CN"/>
        </w:rPr>
        <w:t xml:space="preserve"> = number of effect sizes included in analysis;</w:t>
      </w:r>
      <w:r w:rsidRPr="00C7354B">
        <w:rPr>
          <w:rFonts w:eastAsia="SimSun"/>
          <w:i/>
          <w:iCs/>
          <w:color w:val="000000" w:themeColor="text1"/>
          <w:kern w:val="2"/>
          <w:sz w:val="22"/>
          <w:lang w:val="en-US" w:eastAsia="zh-CN"/>
        </w:rPr>
        <w:t xml:space="preserve"> </w:t>
      </w:r>
      <m:oMath>
        <m:sSub>
          <m:sSubPr>
            <m:ctrlPr>
              <w:rPr>
                <w:rFonts w:ascii="Cambria Math" w:hAnsi="Cambria Math"/>
                <w:i/>
                <w:iCs/>
                <w:color w:val="000000" w:themeColor="text1"/>
                <w:kern w:val="2"/>
                <w:sz w:val="22"/>
                <w:lang w:eastAsia="zh-CN"/>
              </w:rPr>
            </m:ctrlPr>
          </m:sSubPr>
          <m:e>
            <m:r>
              <w:rPr>
                <w:rFonts w:ascii="Cambria Math" w:hAnsi="Cambria Math"/>
                <w:color w:val="000000" w:themeColor="text1"/>
                <w:kern w:val="2"/>
                <w:sz w:val="22"/>
                <w:lang w:eastAsia="zh-CN"/>
              </w:rPr>
              <m:t>Q</m:t>
            </m:r>
          </m:e>
          <m:sub>
            <m:r>
              <w:rPr>
                <w:rFonts w:ascii="Cambria Math" w:hAnsi="Cambria Math"/>
                <w:color w:val="000000" w:themeColor="text1"/>
                <w:kern w:val="2"/>
                <w:sz w:val="22"/>
                <w:lang w:eastAsia="zh-CN"/>
              </w:rPr>
              <m:t>E</m:t>
            </m:r>
          </m:sub>
        </m:sSub>
      </m:oMath>
      <w:r w:rsidRPr="00C7354B">
        <w:rPr>
          <w:rFonts w:eastAsia="SimSun"/>
          <w:color w:val="000000" w:themeColor="text1"/>
          <w:kern w:val="2"/>
          <w:sz w:val="22"/>
          <w:lang w:val="en-US" w:eastAsia="zh-CN"/>
        </w:rPr>
        <w:t xml:space="preserve"> = test statistics for the tests of heterogeneity; </w:t>
      </w:r>
      <m:oMath>
        <m:sSub>
          <m:sSubPr>
            <m:ctrlPr>
              <w:rPr>
                <w:rFonts w:ascii="Cambria Math" w:hAnsi="Cambria Math"/>
                <w:i/>
                <w:color w:val="000000" w:themeColor="text1"/>
                <w:kern w:val="2"/>
                <w:sz w:val="22"/>
                <w:lang w:eastAsia="zh-CN"/>
              </w:rPr>
            </m:ctrlPr>
          </m:sSubPr>
          <m:e>
            <m:r>
              <w:rPr>
                <w:rFonts w:ascii="Cambria Math" w:hAnsi="Cambria Math"/>
                <w:color w:val="000000" w:themeColor="text1"/>
                <w:kern w:val="2"/>
                <w:sz w:val="22"/>
                <w:lang w:eastAsia="zh-CN"/>
              </w:rPr>
              <m:t>ΔQ</m:t>
            </m:r>
          </m:e>
          <m:sub>
            <m:r>
              <m:rPr>
                <m:sty m:val="p"/>
              </m:rPr>
              <w:rPr>
                <w:rFonts w:ascii="Cambria Math" w:hAnsi="Cambria Math"/>
                <w:color w:val="000000" w:themeColor="text1"/>
                <w:kern w:val="2"/>
                <w:sz w:val="22"/>
                <w:lang w:val="en-US" w:eastAsia="zh-CN"/>
              </w:rPr>
              <m:t>E</m:t>
            </m:r>
          </m:sub>
        </m:sSub>
      </m:oMath>
      <w:r w:rsidRPr="00C7354B">
        <w:rPr>
          <w:rFonts w:eastAsia="SimSun"/>
          <w:color w:val="000000" w:themeColor="text1"/>
          <w:kern w:val="2"/>
          <w:sz w:val="22"/>
          <w:lang w:val="en-US" w:eastAsia="zh-CN"/>
        </w:rPr>
        <w:t xml:space="preserve"> = difference in </w:t>
      </w:r>
      <m:oMath>
        <m:sSub>
          <m:sSubPr>
            <m:ctrlPr>
              <w:rPr>
                <w:rFonts w:ascii="Cambria Math" w:hAnsi="Cambria Math"/>
                <w:i/>
                <w:color w:val="000000" w:themeColor="text1"/>
                <w:kern w:val="2"/>
                <w:sz w:val="22"/>
                <w:lang w:eastAsia="zh-CN"/>
              </w:rPr>
            </m:ctrlPr>
          </m:sSubPr>
          <m:e>
            <m:r>
              <w:rPr>
                <w:rFonts w:ascii="Cambria Math" w:hAnsi="Cambria Math"/>
                <w:color w:val="000000" w:themeColor="text1"/>
                <w:kern w:val="2"/>
                <w:sz w:val="22"/>
                <w:lang w:eastAsia="zh-CN"/>
              </w:rPr>
              <m:t>Q</m:t>
            </m:r>
          </m:e>
          <m:sub>
            <m:r>
              <w:rPr>
                <w:rFonts w:ascii="Cambria Math" w:hAnsi="Cambria Math"/>
                <w:color w:val="000000" w:themeColor="text1"/>
                <w:kern w:val="2"/>
                <w:sz w:val="22"/>
                <w:lang w:eastAsia="zh-CN"/>
              </w:rPr>
              <m:t>E</m:t>
            </m:r>
          </m:sub>
        </m:sSub>
        <m:r>
          <w:rPr>
            <w:rFonts w:ascii="Cambria Math" w:hAnsi="Cambria Math"/>
            <w:color w:val="000000" w:themeColor="text1"/>
            <w:kern w:val="2"/>
            <w:sz w:val="22"/>
            <w:lang w:val="en-US" w:eastAsia="zh-CN"/>
          </w:rPr>
          <m:t xml:space="preserve"> </m:t>
        </m:r>
      </m:oMath>
      <w:r w:rsidRPr="00C7354B">
        <w:rPr>
          <w:rFonts w:eastAsia="SimSun"/>
          <w:color w:val="000000" w:themeColor="text1"/>
          <w:kern w:val="2"/>
          <w:sz w:val="22"/>
          <w:lang w:val="en-US" w:eastAsia="zh-CN"/>
        </w:rPr>
        <w:t xml:space="preserve">between a model without predictors and a model with predictors; </w:t>
      </w:r>
      <w:r w:rsidRPr="00C7354B">
        <w:rPr>
          <w:rFonts w:eastAsia="SimSun"/>
          <w:i/>
          <w:iCs/>
          <w:color w:val="000000" w:themeColor="text1"/>
          <w:kern w:val="2"/>
          <w:sz w:val="22"/>
          <w:lang w:val="en-US" w:eastAsia="zh-CN"/>
        </w:rPr>
        <w:t>AIC</w:t>
      </w:r>
      <w:r w:rsidRPr="00C7354B">
        <w:rPr>
          <w:rFonts w:eastAsia="SimSun"/>
          <w:color w:val="000000" w:themeColor="text1"/>
          <w:kern w:val="2"/>
          <w:sz w:val="22"/>
          <w:lang w:val="en-US" w:eastAsia="zh-CN"/>
        </w:rPr>
        <w:t xml:space="preserve"> = Akaike information criterion; </w:t>
      </w:r>
      <w:r w:rsidRPr="00C7354B">
        <w:rPr>
          <w:rFonts w:eastAsia="SimSun"/>
          <w:i/>
          <w:iCs/>
          <w:color w:val="000000" w:themeColor="text1"/>
          <w:kern w:val="2"/>
          <w:sz w:val="22"/>
          <w:lang w:val="en-US" w:eastAsia="zh-CN"/>
        </w:rPr>
        <w:t>BIC</w:t>
      </w:r>
      <w:r w:rsidRPr="00C7354B">
        <w:rPr>
          <w:rFonts w:eastAsia="SimSun"/>
          <w:color w:val="000000" w:themeColor="text1"/>
          <w:kern w:val="2"/>
          <w:sz w:val="22"/>
          <w:lang w:val="en-US" w:eastAsia="zh-CN"/>
        </w:rPr>
        <w:t xml:space="preserve"> = Bayesian information criterion; Values out of the parentheses are regression coefficients and values in parentheses are standard errors of the coefficients</w:t>
      </w:r>
      <w:r w:rsidRPr="00C7354B">
        <w:rPr>
          <w:rFonts w:eastAsia="SimSun"/>
          <w:i/>
          <w:iCs/>
          <w:color w:val="000000" w:themeColor="text1"/>
          <w:kern w:val="2"/>
          <w:sz w:val="22"/>
          <w:lang w:val="en-US" w:eastAsia="zh-CN"/>
        </w:rPr>
        <w:t>.</w:t>
      </w:r>
    </w:p>
    <w:p w14:paraId="771CE22E" w14:textId="77777777" w:rsidR="006822EF" w:rsidRPr="00112F84" w:rsidRDefault="006822EF" w:rsidP="006822EF">
      <w:pPr>
        <w:spacing w:line="240" w:lineRule="auto"/>
        <w:jc w:val="left"/>
        <w:rPr>
          <w:color w:val="000000" w:themeColor="text1"/>
          <w:sz w:val="20"/>
          <w:szCs w:val="20"/>
          <w:lang w:val="en-US"/>
        </w:rPr>
      </w:pPr>
      <w:r w:rsidRPr="00112F84">
        <w:rPr>
          <w:color w:val="000000" w:themeColor="text1"/>
          <w:sz w:val="20"/>
          <w:szCs w:val="20"/>
          <w:lang w:val="en-US"/>
        </w:rPr>
        <w:br w:type="page"/>
      </w:r>
    </w:p>
    <w:p w14:paraId="2A1E0715" w14:textId="77777777" w:rsidR="006822EF" w:rsidRPr="001E4BB8" w:rsidRDefault="006822EF" w:rsidP="009572A7">
      <w:pPr>
        <w:pStyle w:val="1fake"/>
      </w:pPr>
      <w:r w:rsidRPr="001E4BB8">
        <w:lastRenderedPageBreak/>
        <w:t>TABLE 7</w:t>
      </w:r>
    </w:p>
    <w:p w14:paraId="6AF21487" w14:textId="1EF329C6" w:rsidR="003A640A" w:rsidRPr="00D14819" w:rsidRDefault="003A640A" w:rsidP="003A640A">
      <w:pPr>
        <w:pStyle w:val="Tabelle"/>
      </w:pPr>
      <w:bookmarkStart w:id="242" w:name="_Toc180964657"/>
      <w:r>
        <w:t xml:space="preserve">T - I - </w:t>
      </w:r>
      <w:r>
        <w:fldChar w:fldCharType="begin"/>
      </w:r>
      <w:r>
        <w:instrText xml:space="preserve"> SEQ T_-_I_- \* ARABIC </w:instrText>
      </w:r>
      <w:r>
        <w:fldChar w:fldCharType="separate"/>
      </w:r>
      <w:r w:rsidR="00E91088">
        <w:rPr>
          <w:noProof/>
        </w:rPr>
        <w:t>7</w:t>
      </w:r>
      <w:r>
        <w:fldChar w:fldCharType="end"/>
      </w:r>
      <w:r>
        <w:t xml:space="preserve">: </w:t>
      </w:r>
      <w:r w:rsidRPr="00DB3F65">
        <w:t xml:space="preserve">Post-hoc </w:t>
      </w:r>
      <w:r w:rsidR="007F2F08">
        <w:t>m</w:t>
      </w:r>
      <w:r w:rsidRPr="00DB3F65">
        <w:t xml:space="preserve">ultilevel-MARA </w:t>
      </w:r>
      <w:r w:rsidR="007F2F08">
        <w:t>r</w:t>
      </w:r>
      <w:r w:rsidRPr="00DB3F65">
        <w:t>esults (II)</w:t>
      </w:r>
      <w:bookmarkEnd w:id="242"/>
    </w:p>
    <w:tbl>
      <w:tblPr>
        <w:tblW w:w="9072" w:type="dxa"/>
        <w:jc w:val="center"/>
        <w:tblLayout w:type="fixed"/>
        <w:tblCellMar>
          <w:top w:w="6" w:type="dxa"/>
          <w:left w:w="6" w:type="dxa"/>
          <w:bottom w:w="6" w:type="dxa"/>
          <w:right w:w="6" w:type="dxa"/>
        </w:tblCellMar>
        <w:tblLook w:val="04A0" w:firstRow="1" w:lastRow="0" w:firstColumn="1" w:lastColumn="0" w:noHBand="0" w:noVBand="1"/>
      </w:tblPr>
      <w:tblGrid>
        <w:gridCol w:w="2931"/>
        <w:gridCol w:w="1229"/>
        <w:gridCol w:w="1228"/>
        <w:gridCol w:w="1228"/>
        <w:gridCol w:w="1228"/>
        <w:gridCol w:w="1228"/>
      </w:tblGrid>
      <w:tr w:rsidR="006822EF" w:rsidRPr="00C7354B" w14:paraId="0EE55DA1" w14:textId="77777777" w:rsidTr="00640871">
        <w:trPr>
          <w:trHeight w:val="89"/>
          <w:jc w:val="center"/>
        </w:trPr>
        <w:tc>
          <w:tcPr>
            <w:tcW w:w="3025" w:type="dxa"/>
            <w:tcBorders>
              <w:top w:val="single" w:sz="4" w:space="0" w:color="auto"/>
              <w:left w:val="nil"/>
              <w:bottom w:val="single" w:sz="4" w:space="0" w:color="auto"/>
              <w:right w:val="nil"/>
            </w:tcBorders>
            <w:shd w:val="clear" w:color="auto" w:fill="auto"/>
            <w:noWrap/>
            <w:vAlign w:val="center"/>
            <w:hideMark/>
          </w:tcPr>
          <w:p w14:paraId="43258AAF" w14:textId="77777777" w:rsidR="006822EF" w:rsidRPr="00C7354B" w:rsidRDefault="006822EF" w:rsidP="00AB066F">
            <w:pPr>
              <w:widowControl w:val="0"/>
              <w:spacing w:line="240" w:lineRule="auto"/>
              <w:jc w:val="left"/>
              <w:rPr>
                <w:b/>
                <w:bCs/>
                <w:color w:val="000000" w:themeColor="text1"/>
                <w:kern w:val="2"/>
                <w:sz w:val="22"/>
                <w:lang w:eastAsia="zh-CN"/>
              </w:rPr>
            </w:pPr>
            <w:r w:rsidRPr="00C7354B">
              <w:rPr>
                <w:b/>
                <w:bCs/>
                <w:color w:val="000000" w:themeColor="text1"/>
                <w:kern w:val="2"/>
                <w:sz w:val="22"/>
                <w:lang w:eastAsia="zh-CN"/>
              </w:rPr>
              <w:t>Coefficients</w:t>
            </w:r>
          </w:p>
        </w:tc>
        <w:tc>
          <w:tcPr>
            <w:tcW w:w="1267" w:type="dxa"/>
            <w:tcBorders>
              <w:top w:val="single" w:sz="4" w:space="0" w:color="auto"/>
              <w:left w:val="nil"/>
              <w:bottom w:val="single" w:sz="4" w:space="0" w:color="auto"/>
              <w:right w:val="nil"/>
            </w:tcBorders>
            <w:vAlign w:val="center"/>
          </w:tcPr>
          <w:p w14:paraId="12462C46" w14:textId="77777777" w:rsidR="006822EF" w:rsidRPr="00C7354B" w:rsidRDefault="006822EF" w:rsidP="00AB066F">
            <w:pPr>
              <w:widowControl w:val="0"/>
              <w:spacing w:line="240" w:lineRule="auto"/>
              <w:jc w:val="center"/>
              <w:rPr>
                <w:b/>
                <w:bCs/>
                <w:color w:val="000000" w:themeColor="text1"/>
                <w:kern w:val="2"/>
                <w:sz w:val="22"/>
                <w:lang w:eastAsia="zh-CN"/>
              </w:rPr>
            </w:pPr>
            <w:r w:rsidRPr="00C7354B">
              <w:rPr>
                <w:b/>
                <w:bCs/>
                <w:color w:val="000000" w:themeColor="text1"/>
                <w:kern w:val="2"/>
                <w:sz w:val="22"/>
                <w:lang w:eastAsia="zh-CN"/>
              </w:rPr>
              <w:t>Model 9</w:t>
            </w:r>
          </w:p>
        </w:tc>
        <w:tc>
          <w:tcPr>
            <w:tcW w:w="1266" w:type="dxa"/>
            <w:tcBorders>
              <w:top w:val="single" w:sz="4" w:space="0" w:color="auto"/>
              <w:left w:val="nil"/>
              <w:bottom w:val="single" w:sz="4" w:space="0" w:color="auto"/>
              <w:right w:val="nil"/>
            </w:tcBorders>
            <w:shd w:val="clear" w:color="auto" w:fill="auto"/>
            <w:noWrap/>
            <w:vAlign w:val="center"/>
            <w:hideMark/>
          </w:tcPr>
          <w:p w14:paraId="291D44F6" w14:textId="77777777" w:rsidR="006822EF" w:rsidRPr="00C7354B" w:rsidRDefault="006822EF" w:rsidP="00AB066F">
            <w:pPr>
              <w:widowControl w:val="0"/>
              <w:spacing w:line="240" w:lineRule="auto"/>
              <w:jc w:val="center"/>
              <w:rPr>
                <w:b/>
                <w:bCs/>
                <w:color w:val="000000" w:themeColor="text1"/>
                <w:kern w:val="2"/>
                <w:sz w:val="22"/>
                <w:lang w:eastAsia="zh-CN"/>
              </w:rPr>
            </w:pPr>
            <w:r w:rsidRPr="00C7354B">
              <w:rPr>
                <w:b/>
                <w:bCs/>
                <w:color w:val="000000" w:themeColor="text1"/>
                <w:kern w:val="2"/>
                <w:sz w:val="22"/>
                <w:lang w:eastAsia="zh-CN"/>
              </w:rPr>
              <w:t>Model 10</w:t>
            </w:r>
          </w:p>
        </w:tc>
        <w:tc>
          <w:tcPr>
            <w:tcW w:w="1266" w:type="dxa"/>
            <w:tcBorders>
              <w:top w:val="single" w:sz="4" w:space="0" w:color="auto"/>
              <w:left w:val="nil"/>
              <w:bottom w:val="single" w:sz="4" w:space="0" w:color="auto"/>
              <w:right w:val="nil"/>
            </w:tcBorders>
            <w:shd w:val="clear" w:color="auto" w:fill="auto"/>
            <w:noWrap/>
            <w:vAlign w:val="center"/>
            <w:hideMark/>
          </w:tcPr>
          <w:p w14:paraId="62EB4870" w14:textId="77777777" w:rsidR="006822EF" w:rsidRPr="00C7354B" w:rsidRDefault="006822EF" w:rsidP="00AB066F">
            <w:pPr>
              <w:widowControl w:val="0"/>
              <w:spacing w:line="240" w:lineRule="auto"/>
              <w:jc w:val="center"/>
              <w:rPr>
                <w:b/>
                <w:bCs/>
                <w:color w:val="000000" w:themeColor="text1"/>
                <w:kern w:val="2"/>
                <w:sz w:val="22"/>
                <w:lang w:eastAsia="zh-CN"/>
              </w:rPr>
            </w:pPr>
            <w:r w:rsidRPr="00C7354B">
              <w:rPr>
                <w:b/>
                <w:bCs/>
                <w:color w:val="000000" w:themeColor="text1"/>
                <w:kern w:val="2"/>
                <w:sz w:val="22"/>
                <w:lang w:eastAsia="zh-CN"/>
              </w:rPr>
              <w:t>Model 11</w:t>
            </w:r>
          </w:p>
        </w:tc>
        <w:tc>
          <w:tcPr>
            <w:tcW w:w="1266" w:type="dxa"/>
            <w:tcBorders>
              <w:top w:val="single" w:sz="4" w:space="0" w:color="auto"/>
              <w:left w:val="nil"/>
              <w:bottom w:val="single" w:sz="4" w:space="0" w:color="auto"/>
              <w:right w:val="nil"/>
            </w:tcBorders>
            <w:shd w:val="clear" w:color="auto" w:fill="auto"/>
            <w:noWrap/>
            <w:vAlign w:val="center"/>
            <w:hideMark/>
          </w:tcPr>
          <w:p w14:paraId="7746DDEE" w14:textId="77777777" w:rsidR="006822EF" w:rsidRPr="00C7354B" w:rsidRDefault="006822EF" w:rsidP="00AB066F">
            <w:pPr>
              <w:widowControl w:val="0"/>
              <w:spacing w:line="240" w:lineRule="auto"/>
              <w:jc w:val="center"/>
              <w:rPr>
                <w:b/>
                <w:bCs/>
                <w:color w:val="000000" w:themeColor="text1"/>
                <w:kern w:val="2"/>
                <w:sz w:val="22"/>
                <w:lang w:eastAsia="zh-CN"/>
              </w:rPr>
            </w:pPr>
            <w:r w:rsidRPr="00C7354B">
              <w:rPr>
                <w:b/>
                <w:bCs/>
                <w:color w:val="000000" w:themeColor="text1"/>
                <w:kern w:val="2"/>
                <w:sz w:val="22"/>
                <w:lang w:eastAsia="zh-CN"/>
              </w:rPr>
              <w:t>Model 12</w:t>
            </w:r>
          </w:p>
        </w:tc>
        <w:tc>
          <w:tcPr>
            <w:tcW w:w="1266" w:type="dxa"/>
            <w:tcBorders>
              <w:top w:val="single" w:sz="4" w:space="0" w:color="auto"/>
              <w:left w:val="nil"/>
              <w:bottom w:val="single" w:sz="4" w:space="0" w:color="auto"/>
              <w:right w:val="nil"/>
            </w:tcBorders>
            <w:shd w:val="clear" w:color="auto" w:fill="auto"/>
            <w:noWrap/>
            <w:vAlign w:val="center"/>
            <w:hideMark/>
          </w:tcPr>
          <w:p w14:paraId="74BCED37" w14:textId="77777777" w:rsidR="006822EF" w:rsidRPr="00C7354B" w:rsidRDefault="006822EF" w:rsidP="00AB066F">
            <w:pPr>
              <w:widowControl w:val="0"/>
              <w:spacing w:line="240" w:lineRule="auto"/>
              <w:jc w:val="center"/>
              <w:rPr>
                <w:b/>
                <w:bCs/>
                <w:color w:val="000000" w:themeColor="text1"/>
                <w:kern w:val="2"/>
                <w:sz w:val="22"/>
                <w:lang w:eastAsia="zh-CN"/>
              </w:rPr>
            </w:pPr>
            <w:r w:rsidRPr="00C7354B">
              <w:rPr>
                <w:b/>
                <w:bCs/>
                <w:color w:val="000000" w:themeColor="text1"/>
                <w:kern w:val="2"/>
                <w:sz w:val="22"/>
                <w:lang w:eastAsia="zh-CN"/>
              </w:rPr>
              <w:t>Model 13</w:t>
            </w:r>
          </w:p>
        </w:tc>
      </w:tr>
      <w:tr w:rsidR="006822EF" w:rsidRPr="00C7354B" w14:paraId="2980ACCE" w14:textId="77777777" w:rsidTr="00640871">
        <w:trPr>
          <w:trHeight w:val="89"/>
          <w:jc w:val="center"/>
        </w:trPr>
        <w:tc>
          <w:tcPr>
            <w:tcW w:w="3025" w:type="dxa"/>
            <w:tcBorders>
              <w:top w:val="nil"/>
              <w:left w:val="nil"/>
              <w:bottom w:val="nil"/>
              <w:right w:val="nil"/>
            </w:tcBorders>
            <w:shd w:val="clear" w:color="auto" w:fill="auto"/>
            <w:noWrap/>
            <w:vAlign w:val="center"/>
          </w:tcPr>
          <w:p w14:paraId="1045ACB4" w14:textId="77777777" w:rsidR="006822EF" w:rsidRPr="00C7354B" w:rsidRDefault="006822EF" w:rsidP="00AB066F">
            <w:pPr>
              <w:widowControl w:val="0"/>
              <w:spacing w:line="240" w:lineRule="auto"/>
              <w:jc w:val="left"/>
              <w:rPr>
                <w:b/>
                <w:bCs/>
                <w:color w:val="000000" w:themeColor="text1"/>
                <w:kern w:val="2"/>
                <w:sz w:val="22"/>
                <w:lang w:eastAsia="zh-CN"/>
              </w:rPr>
            </w:pPr>
            <w:r w:rsidRPr="00C7354B">
              <w:rPr>
                <w:b/>
                <w:bCs/>
                <w:color w:val="000000" w:themeColor="text1"/>
                <w:kern w:val="2"/>
                <w:sz w:val="22"/>
                <w:lang w:eastAsia="zh-CN"/>
              </w:rPr>
              <w:t>CEO power moderators</w:t>
            </w:r>
          </w:p>
        </w:tc>
        <w:tc>
          <w:tcPr>
            <w:tcW w:w="1267" w:type="dxa"/>
            <w:tcBorders>
              <w:top w:val="nil"/>
              <w:left w:val="nil"/>
              <w:bottom w:val="nil"/>
              <w:right w:val="nil"/>
            </w:tcBorders>
            <w:vAlign w:val="center"/>
          </w:tcPr>
          <w:p w14:paraId="5BFF263E" w14:textId="77777777" w:rsidR="006822EF" w:rsidRPr="00C7354B" w:rsidRDefault="006822EF" w:rsidP="00AB066F">
            <w:pPr>
              <w:widowControl w:val="0"/>
              <w:spacing w:line="240" w:lineRule="auto"/>
              <w:jc w:val="center"/>
              <w:rPr>
                <w:color w:val="000000" w:themeColor="text1"/>
                <w:kern w:val="2"/>
                <w:sz w:val="22"/>
                <w:lang w:eastAsia="zh-CN"/>
              </w:rPr>
            </w:pPr>
          </w:p>
        </w:tc>
        <w:tc>
          <w:tcPr>
            <w:tcW w:w="1266" w:type="dxa"/>
            <w:tcBorders>
              <w:top w:val="nil"/>
              <w:left w:val="nil"/>
              <w:bottom w:val="nil"/>
              <w:right w:val="nil"/>
            </w:tcBorders>
            <w:shd w:val="clear" w:color="auto" w:fill="auto"/>
            <w:noWrap/>
            <w:vAlign w:val="center"/>
          </w:tcPr>
          <w:p w14:paraId="666B02D8" w14:textId="77777777" w:rsidR="006822EF" w:rsidRPr="00C7354B" w:rsidRDefault="006822EF" w:rsidP="00AB066F">
            <w:pPr>
              <w:widowControl w:val="0"/>
              <w:spacing w:line="240" w:lineRule="auto"/>
              <w:jc w:val="center"/>
              <w:rPr>
                <w:color w:val="000000" w:themeColor="text1"/>
                <w:kern w:val="2"/>
                <w:sz w:val="22"/>
                <w:lang w:eastAsia="zh-CN"/>
              </w:rPr>
            </w:pPr>
          </w:p>
        </w:tc>
        <w:tc>
          <w:tcPr>
            <w:tcW w:w="1266" w:type="dxa"/>
            <w:tcBorders>
              <w:top w:val="nil"/>
              <w:left w:val="nil"/>
              <w:bottom w:val="nil"/>
              <w:right w:val="nil"/>
            </w:tcBorders>
            <w:shd w:val="clear" w:color="auto" w:fill="auto"/>
            <w:noWrap/>
            <w:vAlign w:val="center"/>
          </w:tcPr>
          <w:p w14:paraId="32590F02" w14:textId="77777777" w:rsidR="006822EF" w:rsidRPr="00C7354B" w:rsidRDefault="006822EF" w:rsidP="00AB066F">
            <w:pPr>
              <w:widowControl w:val="0"/>
              <w:spacing w:line="240" w:lineRule="auto"/>
              <w:jc w:val="center"/>
              <w:rPr>
                <w:color w:val="000000" w:themeColor="text1"/>
                <w:kern w:val="2"/>
                <w:sz w:val="22"/>
                <w:lang w:eastAsia="zh-CN"/>
              </w:rPr>
            </w:pPr>
          </w:p>
        </w:tc>
        <w:tc>
          <w:tcPr>
            <w:tcW w:w="1266" w:type="dxa"/>
            <w:tcBorders>
              <w:top w:val="nil"/>
              <w:left w:val="nil"/>
              <w:bottom w:val="nil"/>
              <w:right w:val="nil"/>
            </w:tcBorders>
            <w:shd w:val="clear" w:color="auto" w:fill="auto"/>
            <w:noWrap/>
            <w:vAlign w:val="center"/>
          </w:tcPr>
          <w:p w14:paraId="1DA180D7" w14:textId="77777777" w:rsidR="006822EF" w:rsidRPr="00C7354B" w:rsidRDefault="006822EF" w:rsidP="00AB066F">
            <w:pPr>
              <w:widowControl w:val="0"/>
              <w:spacing w:line="240" w:lineRule="auto"/>
              <w:jc w:val="center"/>
              <w:rPr>
                <w:color w:val="000000" w:themeColor="text1"/>
                <w:kern w:val="2"/>
                <w:sz w:val="22"/>
                <w:lang w:eastAsia="zh-CN"/>
              </w:rPr>
            </w:pPr>
          </w:p>
        </w:tc>
        <w:tc>
          <w:tcPr>
            <w:tcW w:w="1266" w:type="dxa"/>
            <w:tcBorders>
              <w:top w:val="nil"/>
              <w:left w:val="nil"/>
              <w:bottom w:val="nil"/>
              <w:right w:val="nil"/>
            </w:tcBorders>
            <w:shd w:val="clear" w:color="auto" w:fill="auto"/>
            <w:noWrap/>
            <w:vAlign w:val="center"/>
          </w:tcPr>
          <w:p w14:paraId="57D88C06" w14:textId="77777777" w:rsidR="006822EF" w:rsidRPr="00C7354B" w:rsidRDefault="006822EF" w:rsidP="00AB066F">
            <w:pPr>
              <w:widowControl w:val="0"/>
              <w:spacing w:line="240" w:lineRule="auto"/>
              <w:jc w:val="center"/>
              <w:rPr>
                <w:color w:val="000000" w:themeColor="text1"/>
                <w:kern w:val="2"/>
                <w:sz w:val="22"/>
                <w:lang w:eastAsia="zh-CN"/>
              </w:rPr>
            </w:pPr>
          </w:p>
        </w:tc>
      </w:tr>
      <w:tr w:rsidR="006822EF" w:rsidRPr="00C7354B" w14:paraId="6ED9D397" w14:textId="77777777" w:rsidTr="00640871">
        <w:trPr>
          <w:trHeight w:val="34"/>
          <w:jc w:val="center"/>
        </w:trPr>
        <w:tc>
          <w:tcPr>
            <w:tcW w:w="3025" w:type="dxa"/>
            <w:tcBorders>
              <w:top w:val="nil"/>
              <w:left w:val="nil"/>
              <w:bottom w:val="nil"/>
              <w:right w:val="nil"/>
            </w:tcBorders>
            <w:shd w:val="clear" w:color="auto" w:fill="auto"/>
            <w:noWrap/>
            <w:vAlign w:val="center"/>
          </w:tcPr>
          <w:p w14:paraId="48722085" w14:textId="77777777" w:rsidR="006822EF" w:rsidRPr="00C7354B" w:rsidRDefault="006822EF" w:rsidP="00AB066F">
            <w:pPr>
              <w:widowControl w:val="0"/>
              <w:spacing w:line="240" w:lineRule="auto"/>
              <w:jc w:val="left"/>
              <w:rPr>
                <w:color w:val="000000" w:themeColor="text1"/>
                <w:kern w:val="2"/>
                <w:sz w:val="22"/>
                <w:lang w:eastAsia="zh-CN"/>
              </w:rPr>
            </w:pPr>
            <w:r w:rsidRPr="00C7354B">
              <w:rPr>
                <w:rFonts w:eastAsia="Helvetica"/>
                <w:color w:val="000000" w:themeColor="text1"/>
                <w:sz w:val="22"/>
              </w:rPr>
              <w:t xml:space="preserve">   CEO structural power</w:t>
            </w:r>
          </w:p>
        </w:tc>
        <w:tc>
          <w:tcPr>
            <w:tcW w:w="1267" w:type="dxa"/>
            <w:tcBorders>
              <w:top w:val="nil"/>
              <w:left w:val="nil"/>
              <w:bottom w:val="nil"/>
              <w:right w:val="nil"/>
            </w:tcBorders>
            <w:vAlign w:val="center"/>
          </w:tcPr>
          <w:p w14:paraId="5D56654F" w14:textId="77777777" w:rsidR="006822EF" w:rsidRPr="00C7354B" w:rsidRDefault="006822EF" w:rsidP="00AB066F">
            <w:pPr>
              <w:widowControl w:val="0"/>
              <w:spacing w:line="240" w:lineRule="auto"/>
              <w:jc w:val="center"/>
              <w:rPr>
                <w:color w:val="000000" w:themeColor="text1"/>
                <w:kern w:val="2"/>
                <w:sz w:val="22"/>
                <w:lang w:eastAsia="zh-CN"/>
              </w:rPr>
            </w:pPr>
          </w:p>
        </w:tc>
        <w:tc>
          <w:tcPr>
            <w:tcW w:w="1266" w:type="dxa"/>
            <w:tcBorders>
              <w:top w:val="nil"/>
              <w:left w:val="nil"/>
              <w:bottom w:val="nil"/>
              <w:right w:val="nil"/>
            </w:tcBorders>
            <w:shd w:val="clear" w:color="auto" w:fill="auto"/>
            <w:noWrap/>
            <w:vAlign w:val="center"/>
          </w:tcPr>
          <w:p w14:paraId="56795D1E"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-.03 (.01)</w:t>
            </w:r>
          </w:p>
        </w:tc>
        <w:tc>
          <w:tcPr>
            <w:tcW w:w="1266" w:type="dxa"/>
            <w:tcBorders>
              <w:top w:val="nil"/>
              <w:left w:val="nil"/>
              <w:bottom w:val="nil"/>
              <w:right w:val="nil"/>
            </w:tcBorders>
            <w:shd w:val="clear" w:color="auto" w:fill="auto"/>
            <w:noWrap/>
            <w:vAlign w:val="center"/>
          </w:tcPr>
          <w:p w14:paraId="08F62470" w14:textId="77777777" w:rsidR="006822EF" w:rsidRPr="00C7354B" w:rsidRDefault="006822EF" w:rsidP="00AB066F">
            <w:pPr>
              <w:widowControl w:val="0"/>
              <w:spacing w:line="240" w:lineRule="auto"/>
              <w:jc w:val="center"/>
              <w:rPr>
                <w:color w:val="000000" w:themeColor="text1"/>
                <w:kern w:val="2"/>
                <w:sz w:val="22"/>
                <w:lang w:eastAsia="zh-CN"/>
              </w:rPr>
            </w:pPr>
          </w:p>
        </w:tc>
        <w:tc>
          <w:tcPr>
            <w:tcW w:w="1266" w:type="dxa"/>
            <w:tcBorders>
              <w:top w:val="nil"/>
              <w:left w:val="nil"/>
              <w:bottom w:val="nil"/>
              <w:right w:val="nil"/>
            </w:tcBorders>
            <w:shd w:val="clear" w:color="auto" w:fill="auto"/>
            <w:noWrap/>
            <w:vAlign w:val="center"/>
          </w:tcPr>
          <w:p w14:paraId="65E09CAD" w14:textId="77777777" w:rsidR="006822EF" w:rsidRPr="00C7354B" w:rsidRDefault="006822EF" w:rsidP="00AB066F">
            <w:pPr>
              <w:widowControl w:val="0"/>
              <w:spacing w:line="240" w:lineRule="auto"/>
              <w:jc w:val="center"/>
              <w:rPr>
                <w:color w:val="000000" w:themeColor="text1"/>
                <w:kern w:val="2"/>
                <w:sz w:val="22"/>
                <w:lang w:eastAsia="zh-CN"/>
              </w:rPr>
            </w:pPr>
          </w:p>
        </w:tc>
        <w:tc>
          <w:tcPr>
            <w:tcW w:w="1266" w:type="dxa"/>
            <w:tcBorders>
              <w:top w:val="nil"/>
              <w:left w:val="nil"/>
              <w:bottom w:val="nil"/>
              <w:right w:val="nil"/>
            </w:tcBorders>
            <w:shd w:val="clear" w:color="auto" w:fill="auto"/>
            <w:noWrap/>
            <w:vAlign w:val="center"/>
          </w:tcPr>
          <w:p w14:paraId="74E77754"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-.07 (.02)</w:t>
            </w:r>
          </w:p>
        </w:tc>
      </w:tr>
      <w:tr w:rsidR="006822EF" w:rsidRPr="00C7354B" w14:paraId="08BAB961" w14:textId="77777777" w:rsidTr="00640871">
        <w:trPr>
          <w:trHeight w:val="34"/>
          <w:jc w:val="center"/>
        </w:trPr>
        <w:tc>
          <w:tcPr>
            <w:tcW w:w="3025" w:type="dxa"/>
            <w:tcBorders>
              <w:top w:val="nil"/>
              <w:left w:val="nil"/>
              <w:bottom w:val="nil"/>
              <w:right w:val="nil"/>
            </w:tcBorders>
            <w:shd w:val="clear" w:color="auto" w:fill="auto"/>
            <w:noWrap/>
            <w:vAlign w:val="center"/>
          </w:tcPr>
          <w:p w14:paraId="35972E49" w14:textId="77777777" w:rsidR="006822EF" w:rsidRPr="00C7354B" w:rsidRDefault="006822EF" w:rsidP="00AB066F">
            <w:pPr>
              <w:widowControl w:val="0"/>
              <w:spacing w:line="240" w:lineRule="auto"/>
              <w:jc w:val="left"/>
              <w:rPr>
                <w:color w:val="000000" w:themeColor="text1"/>
                <w:kern w:val="2"/>
                <w:sz w:val="22"/>
                <w:lang w:eastAsia="zh-CN"/>
              </w:rPr>
            </w:pPr>
          </w:p>
        </w:tc>
        <w:tc>
          <w:tcPr>
            <w:tcW w:w="1267" w:type="dxa"/>
            <w:tcBorders>
              <w:top w:val="nil"/>
              <w:left w:val="nil"/>
              <w:bottom w:val="nil"/>
              <w:right w:val="nil"/>
            </w:tcBorders>
            <w:vAlign w:val="center"/>
          </w:tcPr>
          <w:p w14:paraId="03D765B0" w14:textId="77777777" w:rsidR="006822EF" w:rsidRPr="00C7354B" w:rsidRDefault="006822EF" w:rsidP="00AB066F">
            <w:pPr>
              <w:widowControl w:val="0"/>
              <w:spacing w:line="240" w:lineRule="auto"/>
              <w:jc w:val="center"/>
              <w:rPr>
                <w:color w:val="000000" w:themeColor="text1"/>
                <w:kern w:val="2"/>
                <w:sz w:val="22"/>
                <w:lang w:eastAsia="zh-CN"/>
              </w:rPr>
            </w:pPr>
          </w:p>
        </w:tc>
        <w:tc>
          <w:tcPr>
            <w:tcW w:w="1266" w:type="dxa"/>
            <w:tcBorders>
              <w:top w:val="nil"/>
              <w:left w:val="nil"/>
              <w:bottom w:val="nil"/>
              <w:right w:val="nil"/>
            </w:tcBorders>
            <w:shd w:val="clear" w:color="auto" w:fill="auto"/>
            <w:noWrap/>
            <w:vAlign w:val="center"/>
          </w:tcPr>
          <w:p w14:paraId="7964C921"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[&lt;.001]</w:t>
            </w:r>
          </w:p>
        </w:tc>
        <w:tc>
          <w:tcPr>
            <w:tcW w:w="1266" w:type="dxa"/>
            <w:tcBorders>
              <w:top w:val="nil"/>
              <w:left w:val="nil"/>
              <w:bottom w:val="nil"/>
              <w:right w:val="nil"/>
            </w:tcBorders>
            <w:shd w:val="clear" w:color="auto" w:fill="auto"/>
            <w:noWrap/>
            <w:vAlign w:val="center"/>
          </w:tcPr>
          <w:p w14:paraId="2A850009" w14:textId="77777777" w:rsidR="006822EF" w:rsidRPr="00C7354B" w:rsidRDefault="006822EF" w:rsidP="00AB066F">
            <w:pPr>
              <w:widowControl w:val="0"/>
              <w:spacing w:line="240" w:lineRule="auto"/>
              <w:jc w:val="center"/>
              <w:rPr>
                <w:color w:val="000000" w:themeColor="text1"/>
                <w:kern w:val="2"/>
                <w:sz w:val="22"/>
                <w:lang w:eastAsia="zh-CN"/>
              </w:rPr>
            </w:pPr>
          </w:p>
        </w:tc>
        <w:tc>
          <w:tcPr>
            <w:tcW w:w="1266" w:type="dxa"/>
            <w:tcBorders>
              <w:top w:val="nil"/>
              <w:left w:val="nil"/>
              <w:bottom w:val="nil"/>
              <w:right w:val="nil"/>
            </w:tcBorders>
            <w:shd w:val="clear" w:color="auto" w:fill="auto"/>
            <w:noWrap/>
            <w:vAlign w:val="center"/>
          </w:tcPr>
          <w:p w14:paraId="4B5F1549" w14:textId="77777777" w:rsidR="006822EF" w:rsidRPr="00C7354B" w:rsidRDefault="006822EF" w:rsidP="00AB066F">
            <w:pPr>
              <w:widowControl w:val="0"/>
              <w:spacing w:line="240" w:lineRule="auto"/>
              <w:jc w:val="center"/>
              <w:rPr>
                <w:color w:val="000000" w:themeColor="text1"/>
                <w:kern w:val="2"/>
                <w:sz w:val="22"/>
                <w:lang w:eastAsia="zh-CN"/>
              </w:rPr>
            </w:pPr>
          </w:p>
        </w:tc>
        <w:tc>
          <w:tcPr>
            <w:tcW w:w="1266" w:type="dxa"/>
            <w:tcBorders>
              <w:top w:val="nil"/>
              <w:left w:val="nil"/>
              <w:bottom w:val="nil"/>
              <w:right w:val="nil"/>
            </w:tcBorders>
            <w:shd w:val="clear" w:color="auto" w:fill="auto"/>
            <w:noWrap/>
            <w:vAlign w:val="center"/>
          </w:tcPr>
          <w:p w14:paraId="19C07E51"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[.00]</w:t>
            </w:r>
          </w:p>
        </w:tc>
      </w:tr>
      <w:tr w:rsidR="006822EF" w:rsidRPr="00C7354B" w14:paraId="0C0FDB82" w14:textId="77777777" w:rsidTr="00640871">
        <w:trPr>
          <w:trHeight w:val="89"/>
          <w:jc w:val="center"/>
        </w:trPr>
        <w:tc>
          <w:tcPr>
            <w:tcW w:w="3025" w:type="dxa"/>
            <w:tcBorders>
              <w:top w:val="nil"/>
              <w:left w:val="nil"/>
              <w:bottom w:val="nil"/>
              <w:right w:val="nil"/>
            </w:tcBorders>
            <w:shd w:val="clear" w:color="auto" w:fill="auto"/>
            <w:noWrap/>
            <w:vAlign w:val="center"/>
          </w:tcPr>
          <w:p w14:paraId="7E666A71" w14:textId="77777777" w:rsidR="006822EF" w:rsidRPr="00C7354B" w:rsidRDefault="006822EF" w:rsidP="00AB066F">
            <w:pPr>
              <w:widowControl w:val="0"/>
              <w:spacing w:line="240" w:lineRule="auto"/>
              <w:jc w:val="left"/>
              <w:rPr>
                <w:color w:val="000000" w:themeColor="text1"/>
                <w:kern w:val="2"/>
                <w:sz w:val="22"/>
                <w:lang w:eastAsia="zh-CN"/>
              </w:rPr>
            </w:pPr>
            <w:r w:rsidRPr="00C7354B">
              <w:rPr>
                <w:rFonts w:eastAsia="Helvetica"/>
                <w:color w:val="000000" w:themeColor="text1"/>
                <w:sz w:val="22"/>
              </w:rPr>
              <w:t xml:space="preserve">   CEO ownership power</w:t>
            </w:r>
          </w:p>
        </w:tc>
        <w:tc>
          <w:tcPr>
            <w:tcW w:w="1267" w:type="dxa"/>
            <w:tcBorders>
              <w:top w:val="nil"/>
              <w:left w:val="nil"/>
              <w:bottom w:val="nil"/>
              <w:right w:val="nil"/>
            </w:tcBorders>
            <w:vAlign w:val="center"/>
          </w:tcPr>
          <w:p w14:paraId="3A0E77B3" w14:textId="77777777" w:rsidR="006822EF" w:rsidRPr="00C7354B" w:rsidRDefault="006822EF" w:rsidP="00AB066F">
            <w:pPr>
              <w:widowControl w:val="0"/>
              <w:spacing w:line="240" w:lineRule="auto"/>
              <w:jc w:val="center"/>
              <w:rPr>
                <w:color w:val="000000" w:themeColor="text1"/>
                <w:kern w:val="2"/>
                <w:sz w:val="22"/>
                <w:lang w:eastAsia="zh-CN"/>
              </w:rPr>
            </w:pPr>
          </w:p>
        </w:tc>
        <w:tc>
          <w:tcPr>
            <w:tcW w:w="1266" w:type="dxa"/>
            <w:tcBorders>
              <w:top w:val="nil"/>
              <w:left w:val="nil"/>
              <w:bottom w:val="nil"/>
              <w:right w:val="nil"/>
            </w:tcBorders>
            <w:shd w:val="clear" w:color="auto" w:fill="auto"/>
            <w:noWrap/>
            <w:vAlign w:val="center"/>
          </w:tcPr>
          <w:p w14:paraId="5812D13D" w14:textId="77777777" w:rsidR="006822EF" w:rsidRPr="00C7354B" w:rsidRDefault="006822EF" w:rsidP="00AB066F">
            <w:pPr>
              <w:widowControl w:val="0"/>
              <w:spacing w:line="240" w:lineRule="auto"/>
              <w:jc w:val="center"/>
              <w:rPr>
                <w:color w:val="000000" w:themeColor="text1"/>
                <w:kern w:val="2"/>
                <w:sz w:val="22"/>
                <w:lang w:eastAsia="zh-CN"/>
              </w:rPr>
            </w:pPr>
          </w:p>
        </w:tc>
        <w:tc>
          <w:tcPr>
            <w:tcW w:w="1266" w:type="dxa"/>
            <w:tcBorders>
              <w:top w:val="nil"/>
              <w:left w:val="nil"/>
              <w:bottom w:val="nil"/>
              <w:right w:val="nil"/>
            </w:tcBorders>
            <w:shd w:val="clear" w:color="auto" w:fill="auto"/>
            <w:noWrap/>
            <w:vAlign w:val="center"/>
          </w:tcPr>
          <w:p w14:paraId="64F1E860"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.00 (.01)</w:t>
            </w:r>
          </w:p>
        </w:tc>
        <w:tc>
          <w:tcPr>
            <w:tcW w:w="1266" w:type="dxa"/>
            <w:tcBorders>
              <w:top w:val="nil"/>
              <w:left w:val="nil"/>
              <w:bottom w:val="nil"/>
              <w:right w:val="nil"/>
            </w:tcBorders>
            <w:shd w:val="clear" w:color="auto" w:fill="auto"/>
            <w:noWrap/>
            <w:vAlign w:val="center"/>
          </w:tcPr>
          <w:p w14:paraId="2F6C9533" w14:textId="77777777" w:rsidR="006822EF" w:rsidRPr="00C7354B" w:rsidRDefault="006822EF" w:rsidP="00AB066F">
            <w:pPr>
              <w:widowControl w:val="0"/>
              <w:spacing w:line="240" w:lineRule="auto"/>
              <w:jc w:val="center"/>
              <w:rPr>
                <w:color w:val="000000" w:themeColor="text1"/>
                <w:kern w:val="2"/>
                <w:sz w:val="22"/>
                <w:lang w:eastAsia="zh-CN"/>
              </w:rPr>
            </w:pPr>
          </w:p>
        </w:tc>
        <w:tc>
          <w:tcPr>
            <w:tcW w:w="1266" w:type="dxa"/>
            <w:tcBorders>
              <w:top w:val="nil"/>
              <w:left w:val="nil"/>
              <w:bottom w:val="nil"/>
              <w:right w:val="nil"/>
            </w:tcBorders>
            <w:shd w:val="clear" w:color="auto" w:fill="auto"/>
            <w:noWrap/>
            <w:vAlign w:val="center"/>
          </w:tcPr>
          <w:p w14:paraId="73A495B3"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-.01 (.03)</w:t>
            </w:r>
          </w:p>
        </w:tc>
      </w:tr>
      <w:tr w:rsidR="006822EF" w:rsidRPr="00C7354B" w14:paraId="0CFD42C8" w14:textId="77777777" w:rsidTr="00640871">
        <w:trPr>
          <w:trHeight w:val="89"/>
          <w:jc w:val="center"/>
        </w:trPr>
        <w:tc>
          <w:tcPr>
            <w:tcW w:w="3025" w:type="dxa"/>
            <w:tcBorders>
              <w:top w:val="nil"/>
              <w:left w:val="nil"/>
              <w:bottom w:val="nil"/>
              <w:right w:val="nil"/>
            </w:tcBorders>
            <w:shd w:val="clear" w:color="auto" w:fill="auto"/>
            <w:noWrap/>
            <w:vAlign w:val="center"/>
          </w:tcPr>
          <w:p w14:paraId="5764B7DB" w14:textId="77777777" w:rsidR="006822EF" w:rsidRPr="00C7354B" w:rsidRDefault="006822EF" w:rsidP="00AB066F">
            <w:pPr>
              <w:widowControl w:val="0"/>
              <w:spacing w:line="240" w:lineRule="auto"/>
              <w:jc w:val="left"/>
              <w:rPr>
                <w:color w:val="000000" w:themeColor="text1"/>
                <w:kern w:val="2"/>
                <w:sz w:val="22"/>
                <w:lang w:eastAsia="zh-CN"/>
              </w:rPr>
            </w:pPr>
          </w:p>
        </w:tc>
        <w:tc>
          <w:tcPr>
            <w:tcW w:w="1267" w:type="dxa"/>
            <w:tcBorders>
              <w:top w:val="nil"/>
              <w:left w:val="nil"/>
              <w:bottom w:val="nil"/>
              <w:right w:val="nil"/>
            </w:tcBorders>
            <w:vAlign w:val="center"/>
          </w:tcPr>
          <w:p w14:paraId="4DEE3E26" w14:textId="77777777" w:rsidR="006822EF" w:rsidRPr="00C7354B" w:rsidRDefault="006822EF" w:rsidP="00AB066F">
            <w:pPr>
              <w:widowControl w:val="0"/>
              <w:spacing w:line="240" w:lineRule="auto"/>
              <w:jc w:val="center"/>
              <w:rPr>
                <w:color w:val="000000" w:themeColor="text1"/>
                <w:kern w:val="2"/>
                <w:sz w:val="22"/>
                <w:lang w:eastAsia="zh-CN"/>
              </w:rPr>
            </w:pPr>
          </w:p>
        </w:tc>
        <w:tc>
          <w:tcPr>
            <w:tcW w:w="1266" w:type="dxa"/>
            <w:tcBorders>
              <w:top w:val="nil"/>
              <w:left w:val="nil"/>
              <w:bottom w:val="nil"/>
              <w:right w:val="nil"/>
            </w:tcBorders>
            <w:shd w:val="clear" w:color="auto" w:fill="auto"/>
            <w:noWrap/>
            <w:vAlign w:val="center"/>
          </w:tcPr>
          <w:p w14:paraId="47D31FBB" w14:textId="77777777" w:rsidR="006822EF" w:rsidRPr="00C7354B" w:rsidRDefault="006822EF" w:rsidP="00AB066F">
            <w:pPr>
              <w:widowControl w:val="0"/>
              <w:spacing w:line="240" w:lineRule="auto"/>
              <w:jc w:val="center"/>
              <w:rPr>
                <w:color w:val="000000" w:themeColor="text1"/>
                <w:kern w:val="2"/>
                <w:sz w:val="22"/>
                <w:lang w:eastAsia="zh-CN"/>
              </w:rPr>
            </w:pPr>
          </w:p>
        </w:tc>
        <w:tc>
          <w:tcPr>
            <w:tcW w:w="1266" w:type="dxa"/>
            <w:tcBorders>
              <w:top w:val="nil"/>
              <w:left w:val="nil"/>
              <w:bottom w:val="nil"/>
              <w:right w:val="nil"/>
            </w:tcBorders>
            <w:shd w:val="clear" w:color="auto" w:fill="auto"/>
            <w:noWrap/>
            <w:vAlign w:val="center"/>
          </w:tcPr>
          <w:p w14:paraId="0975204E"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[.802]</w:t>
            </w:r>
          </w:p>
        </w:tc>
        <w:tc>
          <w:tcPr>
            <w:tcW w:w="1266" w:type="dxa"/>
            <w:tcBorders>
              <w:top w:val="nil"/>
              <w:left w:val="nil"/>
              <w:bottom w:val="nil"/>
              <w:right w:val="nil"/>
            </w:tcBorders>
            <w:shd w:val="clear" w:color="auto" w:fill="auto"/>
            <w:noWrap/>
            <w:vAlign w:val="center"/>
          </w:tcPr>
          <w:p w14:paraId="6D64FBDE" w14:textId="77777777" w:rsidR="006822EF" w:rsidRPr="00C7354B" w:rsidRDefault="006822EF" w:rsidP="00AB066F">
            <w:pPr>
              <w:widowControl w:val="0"/>
              <w:spacing w:line="240" w:lineRule="auto"/>
              <w:jc w:val="center"/>
              <w:rPr>
                <w:color w:val="000000" w:themeColor="text1"/>
                <w:kern w:val="2"/>
                <w:sz w:val="22"/>
                <w:lang w:eastAsia="zh-CN"/>
              </w:rPr>
            </w:pPr>
          </w:p>
        </w:tc>
        <w:tc>
          <w:tcPr>
            <w:tcW w:w="1266" w:type="dxa"/>
            <w:tcBorders>
              <w:top w:val="nil"/>
              <w:left w:val="nil"/>
              <w:bottom w:val="nil"/>
              <w:right w:val="nil"/>
            </w:tcBorders>
            <w:shd w:val="clear" w:color="auto" w:fill="auto"/>
            <w:noWrap/>
            <w:vAlign w:val="center"/>
          </w:tcPr>
          <w:p w14:paraId="561F61F1"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[.617]</w:t>
            </w:r>
          </w:p>
        </w:tc>
      </w:tr>
      <w:tr w:rsidR="006822EF" w:rsidRPr="00C7354B" w14:paraId="1642DE37" w14:textId="77777777" w:rsidTr="00640871">
        <w:trPr>
          <w:trHeight w:val="89"/>
          <w:jc w:val="center"/>
        </w:trPr>
        <w:tc>
          <w:tcPr>
            <w:tcW w:w="3025" w:type="dxa"/>
            <w:tcBorders>
              <w:top w:val="nil"/>
              <w:left w:val="nil"/>
              <w:bottom w:val="nil"/>
              <w:right w:val="nil"/>
            </w:tcBorders>
            <w:shd w:val="clear" w:color="auto" w:fill="auto"/>
            <w:noWrap/>
            <w:vAlign w:val="center"/>
          </w:tcPr>
          <w:p w14:paraId="6AF7992B" w14:textId="77777777" w:rsidR="006822EF" w:rsidRPr="00C7354B" w:rsidRDefault="006822EF" w:rsidP="00AB066F">
            <w:pPr>
              <w:widowControl w:val="0"/>
              <w:spacing w:line="240" w:lineRule="auto"/>
              <w:jc w:val="left"/>
              <w:rPr>
                <w:color w:val="000000" w:themeColor="text1"/>
                <w:kern w:val="2"/>
                <w:sz w:val="22"/>
                <w:lang w:eastAsia="zh-CN"/>
              </w:rPr>
            </w:pPr>
            <w:r w:rsidRPr="00C7354B">
              <w:rPr>
                <w:rFonts w:eastAsia="Helvetica"/>
                <w:color w:val="000000" w:themeColor="text1"/>
                <w:sz w:val="22"/>
              </w:rPr>
              <w:t xml:space="preserve">   CEO expert power</w:t>
            </w:r>
          </w:p>
        </w:tc>
        <w:tc>
          <w:tcPr>
            <w:tcW w:w="1267" w:type="dxa"/>
            <w:tcBorders>
              <w:top w:val="nil"/>
              <w:left w:val="nil"/>
              <w:bottom w:val="nil"/>
              <w:right w:val="nil"/>
            </w:tcBorders>
            <w:vAlign w:val="center"/>
          </w:tcPr>
          <w:p w14:paraId="37BBEE66" w14:textId="77777777" w:rsidR="006822EF" w:rsidRPr="00C7354B" w:rsidRDefault="006822EF" w:rsidP="00AB066F">
            <w:pPr>
              <w:widowControl w:val="0"/>
              <w:spacing w:line="240" w:lineRule="auto"/>
              <w:jc w:val="center"/>
              <w:rPr>
                <w:color w:val="000000" w:themeColor="text1"/>
                <w:kern w:val="2"/>
                <w:sz w:val="22"/>
                <w:lang w:eastAsia="zh-CN"/>
              </w:rPr>
            </w:pPr>
          </w:p>
        </w:tc>
        <w:tc>
          <w:tcPr>
            <w:tcW w:w="1266" w:type="dxa"/>
            <w:tcBorders>
              <w:top w:val="nil"/>
              <w:left w:val="nil"/>
              <w:bottom w:val="nil"/>
              <w:right w:val="nil"/>
            </w:tcBorders>
            <w:shd w:val="clear" w:color="auto" w:fill="auto"/>
            <w:noWrap/>
            <w:vAlign w:val="center"/>
          </w:tcPr>
          <w:p w14:paraId="3FB5888F" w14:textId="77777777" w:rsidR="006822EF" w:rsidRPr="00C7354B" w:rsidRDefault="006822EF" w:rsidP="00AB066F">
            <w:pPr>
              <w:widowControl w:val="0"/>
              <w:spacing w:line="240" w:lineRule="auto"/>
              <w:jc w:val="center"/>
              <w:rPr>
                <w:color w:val="000000" w:themeColor="text1"/>
                <w:kern w:val="2"/>
                <w:sz w:val="22"/>
                <w:lang w:eastAsia="zh-CN"/>
              </w:rPr>
            </w:pPr>
          </w:p>
        </w:tc>
        <w:tc>
          <w:tcPr>
            <w:tcW w:w="1266" w:type="dxa"/>
            <w:tcBorders>
              <w:top w:val="nil"/>
              <w:left w:val="nil"/>
              <w:bottom w:val="nil"/>
              <w:right w:val="nil"/>
            </w:tcBorders>
            <w:shd w:val="clear" w:color="auto" w:fill="auto"/>
            <w:noWrap/>
            <w:vAlign w:val="center"/>
          </w:tcPr>
          <w:p w14:paraId="3244B70F" w14:textId="77777777" w:rsidR="006822EF" w:rsidRPr="00C7354B" w:rsidRDefault="006822EF" w:rsidP="00AB066F">
            <w:pPr>
              <w:widowControl w:val="0"/>
              <w:spacing w:line="240" w:lineRule="auto"/>
              <w:jc w:val="center"/>
              <w:rPr>
                <w:color w:val="000000" w:themeColor="text1"/>
                <w:kern w:val="2"/>
                <w:sz w:val="22"/>
                <w:lang w:eastAsia="zh-CN"/>
              </w:rPr>
            </w:pPr>
          </w:p>
        </w:tc>
        <w:tc>
          <w:tcPr>
            <w:tcW w:w="1266" w:type="dxa"/>
            <w:tcBorders>
              <w:top w:val="nil"/>
              <w:left w:val="nil"/>
              <w:bottom w:val="nil"/>
              <w:right w:val="nil"/>
            </w:tcBorders>
            <w:shd w:val="clear" w:color="auto" w:fill="auto"/>
            <w:noWrap/>
            <w:vAlign w:val="center"/>
          </w:tcPr>
          <w:p w14:paraId="112F7D83"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-.02 (.01)</w:t>
            </w:r>
          </w:p>
        </w:tc>
        <w:tc>
          <w:tcPr>
            <w:tcW w:w="1266" w:type="dxa"/>
            <w:tcBorders>
              <w:top w:val="nil"/>
              <w:left w:val="nil"/>
              <w:bottom w:val="nil"/>
              <w:right w:val="nil"/>
            </w:tcBorders>
            <w:shd w:val="clear" w:color="auto" w:fill="auto"/>
            <w:noWrap/>
            <w:vAlign w:val="center"/>
          </w:tcPr>
          <w:p w14:paraId="65EED3DE"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-.01 (.02)</w:t>
            </w:r>
          </w:p>
        </w:tc>
      </w:tr>
      <w:tr w:rsidR="006822EF" w:rsidRPr="00C7354B" w14:paraId="4E10DC49" w14:textId="77777777" w:rsidTr="00640871">
        <w:trPr>
          <w:trHeight w:val="89"/>
          <w:jc w:val="center"/>
        </w:trPr>
        <w:tc>
          <w:tcPr>
            <w:tcW w:w="3025" w:type="dxa"/>
            <w:tcBorders>
              <w:top w:val="nil"/>
              <w:left w:val="nil"/>
              <w:bottom w:val="nil"/>
              <w:right w:val="nil"/>
            </w:tcBorders>
            <w:shd w:val="clear" w:color="auto" w:fill="auto"/>
            <w:noWrap/>
            <w:vAlign w:val="center"/>
          </w:tcPr>
          <w:p w14:paraId="1E53B368" w14:textId="77777777" w:rsidR="006822EF" w:rsidRPr="00C7354B" w:rsidRDefault="006822EF" w:rsidP="00AB066F">
            <w:pPr>
              <w:widowControl w:val="0"/>
              <w:spacing w:line="240" w:lineRule="auto"/>
              <w:jc w:val="left"/>
              <w:rPr>
                <w:color w:val="000000" w:themeColor="text1"/>
                <w:kern w:val="2"/>
                <w:sz w:val="22"/>
                <w:lang w:eastAsia="zh-CN"/>
              </w:rPr>
            </w:pPr>
          </w:p>
        </w:tc>
        <w:tc>
          <w:tcPr>
            <w:tcW w:w="1267" w:type="dxa"/>
            <w:tcBorders>
              <w:top w:val="nil"/>
              <w:left w:val="nil"/>
              <w:bottom w:val="nil"/>
              <w:right w:val="nil"/>
            </w:tcBorders>
            <w:vAlign w:val="center"/>
          </w:tcPr>
          <w:p w14:paraId="0C1664F1" w14:textId="77777777" w:rsidR="006822EF" w:rsidRPr="00C7354B" w:rsidRDefault="006822EF" w:rsidP="00AB066F">
            <w:pPr>
              <w:widowControl w:val="0"/>
              <w:spacing w:line="240" w:lineRule="auto"/>
              <w:jc w:val="center"/>
              <w:rPr>
                <w:color w:val="000000" w:themeColor="text1"/>
                <w:kern w:val="2"/>
                <w:sz w:val="22"/>
                <w:lang w:eastAsia="zh-CN"/>
              </w:rPr>
            </w:pPr>
          </w:p>
        </w:tc>
        <w:tc>
          <w:tcPr>
            <w:tcW w:w="1266" w:type="dxa"/>
            <w:tcBorders>
              <w:top w:val="nil"/>
              <w:left w:val="nil"/>
              <w:bottom w:val="nil"/>
              <w:right w:val="nil"/>
            </w:tcBorders>
            <w:shd w:val="clear" w:color="auto" w:fill="auto"/>
            <w:noWrap/>
            <w:vAlign w:val="center"/>
          </w:tcPr>
          <w:p w14:paraId="522B21F4" w14:textId="77777777" w:rsidR="006822EF" w:rsidRPr="00C7354B" w:rsidRDefault="006822EF" w:rsidP="00AB066F">
            <w:pPr>
              <w:widowControl w:val="0"/>
              <w:spacing w:line="240" w:lineRule="auto"/>
              <w:jc w:val="center"/>
              <w:rPr>
                <w:color w:val="000000" w:themeColor="text1"/>
                <w:kern w:val="2"/>
                <w:sz w:val="22"/>
                <w:lang w:eastAsia="zh-CN"/>
              </w:rPr>
            </w:pPr>
          </w:p>
        </w:tc>
        <w:tc>
          <w:tcPr>
            <w:tcW w:w="1266" w:type="dxa"/>
            <w:tcBorders>
              <w:top w:val="nil"/>
              <w:left w:val="nil"/>
              <w:bottom w:val="nil"/>
              <w:right w:val="nil"/>
            </w:tcBorders>
            <w:shd w:val="clear" w:color="auto" w:fill="auto"/>
            <w:noWrap/>
            <w:vAlign w:val="center"/>
          </w:tcPr>
          <w:p w14:paraId="5BC27484" w14:textId="77777777" w:rsidR="006822EF" w:rsidRPr="00C7354B" w:rsidRDefault="006822EF" w:rsidP="00AB066F">
            <w:pPr>
              <w:widowControl w:val="0"/>
              <w:spacing w:line="240" w:lineRule="auto"/>
              <w:jc w:val="center"/>
              <w:rPr>
                <w:color w:val="000000" w:themeColor="text1"/>
                <w:kern w:val="2"/>
                <w:sz w:val="22"/>
                <w:lang w:eastAsia="zh-CN"/>
              </w:rPr>
            </w:pPr>
          </w:p>
        </w:tc>
        <w:tc>
          <w:tcPr>
            <w:tcW w:w="1266" w:type="dxa"/>
            <w:tcBorders>
              <w:top w:val="nil"/>
              <w:left w:val="nil"/>
              <w:bottom w:val="nil"/>
              <w:right w:val="nil"/>
            </w:tcBorders>
            <w:shd w:val="clear" w:color="auto" w:fill="auto"/>
            <w:noWrap/>
            <w:vAlign w:val="center"/>
          </w:tcPr>
          <w:p w14:paraId="4DFCD4DA"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[.032]</w:t>
            </w:r>
          </w:p>
        </w:tc>
        <w:tc>
          <w:tcPr>
            <w:tcW w:w="1266" w:type="dxa"/>
            <w:tcBorders>
              <w:top w:val="nil"/>
              <w:left w:val="nil"/>
              <w:bottom w:val="nil"/>
              <w:right w:val="nil"/>
            </w:tcBorders>
            <w:shd w:val="clear" w:color="auto" w:fill="auto"/>
            <w:noWrap/>
            <w:vAlign w:val="center"/>
          </w:tcPr>
          <w:p w14:paraId="777E946C"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[.501]</w:t>
            </w:r>
          </w:p>
        </w:tc>
      </w:tr>
      <w:tr w:rsidR="006822EF" w:rsidRPr="00C7354B" w14:paraId="0DF32B68" w14:textId="77777777" w:rsidTr="00640871">
        <w:trPr>
          <w:trHeight w:val="204"/>
          <w:jc w:val="center"/>
        </w:trPr>
        <w:tc>
          <w:tcPr>
            <w:tcW w:w="3025" w:type="dxa"/>
            <w:tcBorders>
              <w:top w:val="nil"/>
              <w:left w:val="nil"/>
              <w:right w:val="nil"/>
            </w:tcBorders>
            <w:shd w:val="clear" w:color="auto" w:fill="auto"/>
            <w:noWrap/>
            <w:vAlign w:val="center"/>
          </w:tcPr>
          <w:p w14:paraId="77DFA978" w14:textId="77777777" w:rsidR="006822EF" w:rsidRPr="00C7354B" w:rsidRDefault="006822EF" w:rsidP="00AB066F">
            <w:pPr>
              <w:widowControl w:val="0"/>
              <w:spacing w:line="240" w:lineRule="auto"/>
              <w:jc w:val="left"/>
              <w:rPr>
                <w:b/>
                <w:bCs/>
                <w:color w:val="000000" w:themeColor="text1"/>
                <w:kern w:val="2"/>
                <w:sz w:val="22"/>
                <w:lang w:eastAsia="zh-CN"/>
              </w:rPr>
            </w:pPr>
            <w:r w:rsidRPr="00C7354B">
              <w:rPr>
                <w:b/>
                <w:bCs/>
                <w:color w:val="000000" w:themeColor="text1"/>
                <w:kern w:val="2"/>
                <w:sz w:val="22"/>
                <w:lang w:eastAsia="zh-CN"/>
              </w:rPr>
              <w:t>Firm-level controls</w:t>
            </w:r>
          </w:p>
        </w:tc>
        <w:tc>
          <w:tcPr>
            <w:tcW w:w="1267" w:type="dxa"/>
            <w:tcBorders>
              <w:top w:val="nil"/>
              <w:left w:val="nil"/>
              <w:right w:val="nil"/>
            </w:tcBorders>
            <w:vAlign w:val="center"/>
          </w:tcPr>
          <w:p w14:paraId="5A754F56" w14:textId="77777777" w:rsidR="006822EF" w:rsidRPr="00C7354B" w:rsidRDefault="006822EF" w:rsidP="00AB066F">
            <w:pPr>
              <w:widowControl w:val="0"/>
              <w:spacing w:line="240" w:lineRule="auto"/>
              <w:jc w:val="center"/>
              <w:rPr>
                <w:color w:val="000000" w:themeColor="text1"/>
                <w:kern w:val="2"/>
                <w:sz w:val="22"/>
                <w:lang w:eastAsia="zh-CN"/>
              </w:rPr>
            </w:pPr>
          </w:p>
        </w:tc>
        <w:tc>
          <w:tcPr>
            <w:tcW w:w="1266" w:type="dxa"/>
            <w:tcBorders>
              <w:top w:val="nil"/>
              <w:left w:val="nil"/>
              <w:right w:val="nil"/>
            </w:tcBorders>
            <w:shd w:val="clear" w:color="auto" w:fill="auto"/>
            <w:noWrap/>
            <w:vAlign w:val="center"/>
          </w:tcPr>
          <w:p w14:paraId="61718210" w14:textId="77777777" w:rsidR="006822EF" w:rsidRPr="00C7354B" w:rsidRDefault="006822EF" w:rsidP="00AB066F">
            <w:pPr>
              <w:widowControl w:val="0"/>
              <w:spacing w:line="240" w:lineRule="auto"/>
              <w:jc w:val="center"/>
              <w:rPr>
                <w:color w:val="000000" w:themeColor="text1"/>
                <w:kern w:val="2"/>
                <w:sz w:val="22"/>
                <w:lang w:eastAsia="zh-CN"/>
              </w:rPr>
            </w:pPr>
          </w:p>
        </w:tc>
        <w:tc>
          <w:tcPr>
            <w:tcW w:w="1266" w:type="dxa"/>
            <w:tcBorders>
              <w:top w:val="nil"/>
              <w:left w:val="nil"/>
              <w:right w:val="nil"/>
            </w:tcBorders>
            <w:shd w:val="clear" w:color="auto" w:fill="auto"/>
            <w:noWrap/>
            <w:vAlign w:val="center"/>
          </w:tcPr>
          <w:p w14:paraId="5A978843" w14:textId="77777777" w:rsidR="006822EF" w:rsidRPr="00C7354B" w:rsidRDefault="006822EF" w:rsidP="00AB066F">
            <w:pPr>
              <w:widowControl w:val="0"/>
              <w:spacing w:line="240" w:lineRule="auto"/>
              <w:jc w:val="center"/>
              <w:rPr>
                <w:color w:val="000000" w:themeColor="text1"/>
                <w:kern w:val="2"/>
                <w:sz w:val="22"/>
                <w:lang w:eastAsia="zh-CN"/>
              </w:rPr>
            </w:pPr>
          </w:p>
        </w:tc>
        <w:tc>
          <w:tcPr>
            <w:tcW w:w="1266" w:type="dxa"/>
            <w:tcBorders>
              <w:top w:val="nil"/>
              <w:left w:val="nil"/>
              <w:right w:val="nil"/>
            </w:tcBorders>
            <w:shd w:val="clear" w:color="auto" w:fill="auto"/>
            <w:noWrap/>
            <w:vAlign w:val="center"/>
          </w:tcPr>
          <w:p w14:paraId="02535420" w14:textId="77777777" w:rsidR="006822EF" w:rsidRPr="00C7354B" w:rsidRDefault="006822EF" w:rsidP="00AB066F">
            <w:pPr>
              <w:widowControl w:val="0"/>
              <w:spacing w:line="240" w:lineRule="auto"/>
              <w:jc w:val="center"/>
              <w:rPr>
                <w:color w:val="000000" w:themeColor="text1"/>
                <w:kern w:val="2"/>
                <w:sz w:val="22"/>
                <w:lang w:eastAsia="zh-CN"/>
              </w:rPr>
            </w:pPr>
          </w:p>
        </w:tc>
        <w:tc>
          <w:tcPr>
            <w:tcW w:w="1266" w:type="dxa"/>
            <w:tcBorders>
              <w:top w:val="nil"/>
              <w:left w:val="nil"/>
              <w:right w:val="nil"/>
            </w:tcBorders>
            <w:shd w:val="clear" w:color="auto" w:fill="auto"/>
            <w:noWrap/>
            <w:vAlign w:val="center"/>
          </w:tcPr>
          <w:p w14:paraId="51CF04AC" w14:textId="77777777" w:rsidR="006822EF" w:rsidRPr="00C7354B" w:rsidRDefault="006822EF" w:rsidP="00AB066F">
            <w:pPr>
              <w:widowControl w:val="0"/>
              <w:spacing w:line="240" w:lineRule="auto"/>
              <w:jc w:val="center"/>
              <w:rPr>
                <w:color w:val="000000" w:themeColor="text1"/>
                <w:kern w:val="2"/>
                <w:sz w:val="22"/>
                <w:lang w:eastAsia="zh-CN"/>
              </w:rPr>
            </w:pPr>
          </w:p>
        </w:tc>
      </w:tr>
      <w:tr w:rsidR="006822EF" w:rsidRPr="00C7354B" w14:paraId="5F64F0F2" w14:textId="77777777" w:rsidTr="00640871">
        <w:trPr>
          <w:trHeight w:val="89"/>
          <w:jc w:val="center"/>
        </w:trPr>
        <w:tc>
          <w:tcPr>
            <w:tcW w:w="3025" w:type="dxa"/>
            <w:tcBorders>
              <w:top w:val="nil"/>
              <w:left w:val="nil"/>
              <w:right w:val="nil"/>
            </w:tcBorders>
            <w:shd w:val="clear" w:color="auto" w:fill="auto"/>
            <w:noWrap/>
            <w:vAlign w:val="center"/>
          </w:tcPr>
          <w:p w14:paraId="44D4F4FF" w14:textId="77777777" w:rsidR="006822EF" w:rsidRPr="00C7354B" w:rsidRDefault="006822EF" w:rsidP="00AB066F">
            <w:pPr>
              <w:widowControl w:val="0"/>
              <w:spacing w:line="240" w:lineRule="auto"/>
              <w:jc w:val="left"/>
              <w:rPr>
                <w:color w:val="000000" w:themeColor="text1"/>
                <w:kern w:val="2"/>
                <w:sz w:val="22"/>
                <w:lang w:eastAsia="zh-CN"/>
              </w:rPr>
            </w:pPr>
            <w:r w:rsidRPr="00C7354B">
              <w:rPr>
                <w:rFonts w:eastAsia="Helvetica"/>
                <w:color w:val="000000" w:themeColor="text1"/>
                <w:sz w:val="22"/>
              </w:rPr>
              <w:t xml:space="preserve">   Firm size</w:t>
            </w:r>
          </w:p>
        </w:tc>
        <w:tc>
          <w:tcPr>
            <w:tcW w:w="1267" w:type="dxa"/>
            <w:tcBorders>
              <w:top w:val="nil"/>
              <w:left w:val="nil"/>
              <w:right w:val="nil"/>
            </w:tcBorders>
            <w:vAlign w:val="center"/>
          </w:tcPr>
          <w:p w14:paraId="38C7A7AA"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.00 (.01)</w:t>
            </w:r>
          </w:p>
        </w:tc>
        <w:tc>
          <w:tcPr>
            <w:tcW w:w="1266" w:type="dxa"/>
            <w:tcBorders>
              <w:top w:val="nil"/>
              <w:left w:val="nil"/>
              <w:right w:val="nil"/>
            </w:tcBorders>
            <w:shd w:val="clear" w:color="auto" w:fill="auto"/>
            <w:noWrap/>
            <w:vAlign w:val="center"/>
          </w:tcPr>
          <w:p w14:paraId="5E77F41B"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.01 (.01)</w:t>
            </w:r>
          </w:p>
        </w:tc>
        <w:tc>
          <w:tcPr>
            <w:tcW w:w="1266" w:type="dxa"/>
            <w:tcBorders>
              <w:top w:val="nil"/>
              <w:left w:val="nil"/>
              <w:right w:val="nil"/>
            </w:tcBorders>
            <w:shd w:val="clear" w:color="auto" w:fill="auto"/>
            <w:noWrap/>
            <w:vAlign w:val="center"/>
          </w:tcPr>
          <w:p w14:paraId="3ADC975C"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.00 (.01)</w:t>
            </w:r>
          </w:p>
        </w:tc>
        <w:tc>
          <w:tcPr>
            <w:tcW w:w="1266" w:type="dxa"/>
            <w:tcBorders>
              <w:top w:val="nil"/>
              <w:left w:val="nil"/>
              <w:right w:val="nil"/>
            </w:tcBorders>
            <w:shd w:val="clear" w:color="auto" w:fill="auto"/>
            <w:noWrap/>
            <w:vAlign w:val="center"/>
          </w:tcPr>
          <w:p w14:paraId="3BA77F4F"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.00 (.01)</w:t>
            </w:r>
          </w:p>
        </w:tc>
        <w:tc>
          <w:tcPr>
            <w:tcW w:w="1266" w:type="dxa"/>
            <w:tcBorders>
              <w:top w:val="nil"/>
              <w:left w:val="nil"/>
              <w:right w:val="nil"/>
            </w:tcBorders>
            <w:shd w:val="clear" w:color="auto" w:fill="auto"/>
            <w:noWrap/>
            <w:vAlign w:val="center"/>
          </w:tcPr>
          <w:p w14:paraId="23CBE034"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-.01 (.02)</w:t>
            </w:r>
          </w:p>
        </w:tc>
      </w:tr>
      <w:tr w:rsidR="006822EF" w:rsidRPr="00C7354B" w14:paraId="4204F20C" w14:textId="77777777" w:rsidTr="00640871">
        <w:trPr>
          <w:trHeight w:val="89"/>
          <w:jc w:val="center"/>
        </w:trPr>
        <w:tc>
          <w:tcPr>
            <w:tcW w:w="3025" w:type="dxa"/>
            <w:tcBorders>
              <w:top w:val="nil"/>
              <w:left w:val="nil"/>
              <w:right w:val="nil"/>
            </w:tcBorders>
            <w:shd w:val="clear" w:color="auto" w:fill="auto"/>
            <w:noWrap/>
            <w:vAlign w:val="center"/>
          </w:tcPr>
          <w:p w14:paraId="3E7C6DBF" w14:textId="77777777" w:rsidR="006822EF" w:rsidRPr="00C7354B" w:rsidRDefault="006822EF" w:rsidP="00AB066F">
            <w:pPr>
              <w:widowControl w:val="0"/>
              <w:spacing w:line="240" w:lineRule="auto"/>
              <w:jc w:val="left"/>
              <w:rPr>
                <w:color w:val="000000" w:themeColor="text1"/>
                <w:kern w:val="2"/>
                <w:sz w:val="22"/>
                <w:lang w:eastAsia="zh-CN"/>
              </w:rPr>
            </w:pPr>
          </w:p>
        </w:tc>
        <w:tc>
          <w:tcPr>
            <w:tcW w:w="1267" w:type="dxa"/>
            <w:tcBorders>
              <w:top w:val="nil"/>
              <w:left w:val="nil"/>
              <w:right w:val="nil"/>
            </w:tcBorders>
            <w:vAlign w:val="center"/>
          </w:tcPr>
          <w:p w14:paraId="468B1F90"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[.484]</w:t>
            </w:r>
          </w:p>
        </w:tc>
        <w:tc>
          <w:tcPr>
            <w:tcW w:w="1266" w:type="dxa"/>
            <w:tcBorders>
              <w:top w:val="nil"/>
              <w:left w:val="nil"/>
              <w:right w:val="nil"/>
            </w:tcBorders>
            <w:shd w:val="clear" w:color="auto" w:fill="auto"/>
            <w:noWrap/>
            <w:vAlign w:val="center"/>
          </w:tcPr>
          <w:p w14:paraId="6246B5B8"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[.224]</w:t>
            </w:r>
          </w:p>
        </w:tc>
        <w:tc>
          <w:tcPr>
            <w:tcW w:w="1266" w:type="dxa"/>
            <w:tcBorders>
              <w:top w:val="nil"/>
              <w:left w:val="nil"/>
              <w:right w:val="nil"/>
            </w:tcBorders>
            <w:shd w:val="clear" w:color="auto" w:fill="auto"/>
            <w:noWrap/>
            <w:vAlign w:val="center"/>
          </w:tcPr>
          <w:p w14:paraId="4DB64EF3"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[.491]</w:t>
            </w:r>
          </w:p>
        </w:tc>
        <w:tc>
          <w:tcPr>
            <w:tcW w:w="1266" w:type="dxa"/>
            <w:tcBorders>
              <w:top w:val="nil"/>
              <w:left w:val="nil"/>
              <w:right w:val="nil"/>
            </w:tcBorders>
            <w:shd w:val="clear" w:color="auto" w:fill="auto"/>
            <w:noWrap/>
            <w:vAlign w:val="center"/>
          </w:tcPr>
          <w:p w14:paraId="65FFAAD3"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[.927]</w:t>
            </w:r>
          </w:p>
        </w:tc>
        <w:tc>
          <w:tcPr>
            <w:tcW w:w="1266" w:type="dxa"/>
            <w:tcBorders>
              <w:top w:val="nil"/>
              <w:left w:val="nil"/>
              <w:right w:val="nil"/>
            </w:tcBorders>
            <w:shd w:val="clear" w:color="auto" w:fill="auto"/>
            <w:noWrap/>
            <w:vAlign w:val="center"/>
          </w:tcPr>
          <w:p w14:paraId="1C4945BC"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[.404]</w:t>
            </w:r>
          </w:p>
        </w:tc>
      </w:tr>
      <w:tr w:rsidR="006822EF" w:rsidRPr="00C7354B" w14:paraId="5FB26336" w14:textId="77777777" w:rsidTr="00640871">
        <w:trPr>
          <w:trHeight w:val="89"/>
          <w:jc w:val="center"/>
        </w:trPr>
        <w:tc>
          <w:tcPr>
            <w:tcW w:w="3025" w:type="dxa"/>
            <w:tcBorders>
              <w:top w:val="nil"/>
              <w:left w:val="nil"/>
              <w:right w:val="nil"/>
            </w:tcBorders>
            <w:shd w:val="clear" w:color="auto" w:fill="auto"/>
            <w:noWrap/>
            <w:vAlign w:val="center"/>
          </w:tcPr>
          <w:p w14:paraId="52C68B67" w14:textId="77777777" w:rsidR="006822EF" w:rsidRPr="00C7354B" w:rsidRDefault="006822EF" w:rsidP="00AB066F">
            <w:pPr>
              <w:widowControl w:val="0"/>
              <w:spacing w:line="240" w:lineRule="auto"/>
              <w:jc w:val="left"/>
              <w:rPr>
                <w:color w:val="000000" w:themeColor="text1"/>
                <w:kern w:val="2"/>
                <w:sz w:val="22"/>
                <w:lang w:eastAsia="zh-CN"/>
              </w:rPr>
            </w:pPr>
            <w:r w:rsidRPr="00C7354B">
              <w:rPr>
                <w:rFonts w:eastAsia="Helvetica"/>
                <w:color w:val="000000" w:themeColor="text1"/>
                <w:sz w:val="22"/>
              </w:rPr>
              <w:t xml:space="preserve">   Industry control</w:t>
            </w:r>
          </w:p>
        </w:tc>
        <w:tc>
          <w:tcPr>
            <w:tcW w:w="1267" w:type="dxa"/>
            <w:tcBorders>
              <w:top w:val="nil"/>
              <w:left w:val="nil"/>
              <w:right w:val="nil"/>
            </w:tcBorders>
            <w:vAlign w:val="center"/>
          </w:tcPr>
          <w:p w14:paraId="25DECE7A"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.01 (.02)</w:t>
            </w:r>
          </w:p>
        </w:tc>
        <w:tc>
          <w:tcPr>
            <w:tcW w:w="1266" w:type="dxa"/>
            <w:tcBorders>
              <w:top w:val="nil"/>
              <w:left w:val="nil"/>
              <w:right w:val="nil"/>
            </w:tcBorders>
            <w:shd w:val="clear" w:color="auto" w:fill="auto"/>
            <w:noWrap/>
            <w:vAlign w:val="center"/>
          </w:tcPr>
          <w:p w14:paraId="6FA3F2E9"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.01 (.03)</w:t>
            </w:r>
          </w:p>
        </w:tc>
        <w:tc>
          <w:tcPr>
            <w:tcW w:w="1266" w:type="dxa"/>
            <w:tcBorders>
              <w:top w:val="nil"/>
              <w:left w:val="nil"/>
              <w:right w:val="nil"/>
            </w:tcBorders>
            <w:shd w:val="clear" w:color="auto" w:fill="auto"/>
            <w:noWrap/>
            <w:vAlign w:val="center"/>
          </w:tcPr>
          <w:p w14:paraId="7FAAD79E"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.01 (.02)</w:t>
            </w:r>
          </w:p>
        </w:tc>
        <w:tc>
          <w:tcPr>
            <w:tcW w:w="1266" w:type="dxa"/>
            <w:tcBorders>
              <w:top w:val="nil"/>
              <w:left w:val="nil"/>
              <w:right w:val="nil"/>
            </w:tcBorders>
            <w:shd w:val="clear" w:color="auto" w:fill="auto"/>
            <w:noWrap/>
            <w:vAlign w:val="center"/>
          </w:tcPr>
          <w:p w14:paraId="581EB5B8"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.01 (.03)</w:t>
            </w:r>
          </w:p>
        </w:tc>
        <w:tc>
          <w:tcPr>
            <w:tcW w:w="1266" w:type="dxa"/>
            <w:tcBorders>
              <w:top w:val="nil"/>
              <w:left w:val="nil"/>
              <w:right w:val="nil"/>
            </w:tcBorders>
            <w:shd w:val="clear" w:color="auto" w:fill="auto"/>
            <w:noWrap/>
            <w:vAlign w:val="center"/>
          </w:tcPr>
          <w:p w14:paraId="2D2E2E49"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.00 (.04)</w:t>
            </w:r>
          </w:p>
        </w:tc>
      </w:tr>
      <w:tr w:rsidR="006822EF" w:rsidRPr="00C7354B" w14:paraId="245F55DE" w14:textId="77777777" w:rsidTr="00640871">
        <w:trPr>
          <w:trHeight w:val="89"/>
          <w:jc w:val="center"/>
        </w:trPr>
        <w:tc>
          <w:tcPr>
            <w:tcW w:w="3025" w:type="dxa"/>
            <w:tcBorders>
              <w:top w:val="nil"/>
              <w:left w:val="nil"/>
              <w:right w:val="nil"/>
            </w:tcBorders>
            <w:shd w:val="clear" w:color="auto" w:fill="auto"/>
            <w:noWrap/>
            <w:vAlign w:val="center"/>
          </w:tcPr>
          <w:p w14:paraId="5994ED66" w14:textId="77777777" w:rsidR="006822EF" w:rsidRPr="00C7354B" w:rsidRDefault="006822EF" w:rsidP="00AB066F">
            <w:pPr>
              <w:widowControl w:val="0"/>
              <w:spacing w:line="240" w:lineRule="auto"/>
              <w:jc w:val="left"/>
              <w:rPr>
                <w:color w:val="000000" w:themeColor="text1"/>
                <w:kern w:val="2"/>
                <w:sz w:val="22"/>
                <w:lang w:eastAsia="zh-CN"/>
              </w:rPr>
            </w:pPr>
          </w:p>
        </w:tc>
        <w:tc>
          <w:tcPr>
            <w:tcW w:w="1267" w:type="dxa"/>
            <w:tcBorders>
              <w:top w:val="nil"/>
              <w:left w:val="nil"/>
              <w:right w:val="nil"/>
            </w:tcBorders>
            <w:vAlign w:val="center"/>
          </w:tcPr>
          <w:p w14:paraId="416459A4"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[.561]</w:t>
            </w:r>
          </w:p>
        </w:tc>
        <w:tc>
          <w:tcPr>
            <w:tcW w:w="1266" w:type="dxa"/>
            <w:tcBorders>
              <w:top w:val="nil"/>
              <w:left w:val="nil"/>
              <w:right w:val="nil"/>
            </w:tcBorders>
            <w:shd w:val="clear" w:color="auto" w:fill="auto"/>
            <w:noWrap/>
            <w:vAlign w:val="center"/>
          </w:tcPr>
          <w:p w14:paraId="41CFBE85"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[.777]</w:t>
            </w:r>
          </w:p>
        </w:tc>
        <w:tc>
          <w:tcPr>
            <w:tcW w:w="1266" w:type="dxa"/>
            <w:tcBorders>
              <w:top w:val="nil"/>
              <w:left w:val="nil"/>
              <w:right w:val="nil"/>
            </w:tcBorders>
            <w:shd w:val="clear" w:color="auto" w:fill="auto"/>
            <w:noWrap/>
            <w:vAlign w:val="center"/>
          </w:tcPr>
          <w:p w14:paraId="59CCDB44"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[.535]</w:t>
            </w:r>
          </w:p>
        </w:tc>
        <w:tc>
          <w:tcPr>
            <w:tcW w:w="1266" w:type="dxa"/>
            <w:tcBorders>
              <w:top w:val="nil"/>
              <w:left w:val="nil"/>
              <w:right w:val="nil"/>
            </w:tcBorders>
            <w:shd w:val="clear" w:color="auto" w:fill="auto"/>
            <w:noWrap/>
            <w:vAlign w:val="center"/>
          </w:tcPr>
          <w:p w14:paraId="2304AF93"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[.641]</w:t>
            </w:r>
          </w:p>
        </w:tc>
        <w:tc>
          <w:tcPr>
            <w:tcW w:w="1266" w:type="dxa"/>
            <w:tcBorders>
              <w:top w:val="nil"/>
              <w:left w:val="nil"/>
              <w:right w:val="nil"/>
            </w:tcBorders>
            <w:shd w:val="clear" w:color="auto" w:fill="auto"/>
            <w:noWrap/>
            <w:vAlign w:val="center"/>
          </w:tcPr>
          <w:p w14:paraId="05D05526"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[.944]</w:t>
            </w:r>
          </w:p>
        </w:tc>
      </w:tr>
      <w:tr w:rsidR="006822EF" w:rsidRPr="00C7354B" w14:paraId="6BCE80AF" w14:textId="77777777" w:rsidTr="00640871">
        <w:trPr>
          <w:trHeight w:val="89"/>
          <w:jc w:val="center"/>
        </w:trPr>
        <w:tc>
          <w:tcPr>
            <w:tcW w:w="3025" w:type="dxa"/>
            <w:tcBorders>
              <w:top w:val="nil"/>
              <w:left w:val="nil"/>
              <w:right w:val="nil"/>
            </w:tcBorders>
            <w:shd w:val="clear" w:color="auto" w:fill="auto"/>
            <w:noWrap/>
            <w:vAlign w:val="center"/>
          </w:tcPr>
          <w:p w14:paraId="786DEEED" w14:textId="77777777" w:rsidR="006822EF" w:rsidRPr="00C7354B" w:rsidRDefault="006822EF" w:rsidP="00AB066F">
            <w:pPr>
              <w:widowControl w:val="0"/>
              <w:spacing w:line="240" w:lineRule="auto"/>
              <w:jc w:val="left"/>
              <w:rPr>
                <w:b/>
                <w:bCs/>
                <w:color w:val="000000" w:themeColor="text1"/>
                <w:kern w:val="2"/>
                <w:sz w:val="22"/>
                <w:lang w:eastAsia="zh-CN"/>
              </w:rPr>
            </w:pPr>
            <w:r w:rsidRPr="00C7354B">
              <w:rPr>
                <w:b/>
                <w:bCs/>
                <w:color w:val="000000" w:themeColor="text1"/>
                <w:kern w:val="2"/>
                <w:sz w:val="22"/>
                <w:lang w:eastAsia="zh-CN"/>
              </w:rPr>
              <w:t>Study-level controls</w:t>
            </w:r>
          </w:p>
        </w:tc>
        <w:tc>
          <w:tcPr>
            <w:tcW w:w="1267" w:type="dxa"/>
            <w:tcBorders>
              <w:top w:val="nil"/>
              <w:left w:val="nil"/>
              <w:right w:val="nil"/>
            </w:tcBorders>
            <w:vAlign w:val="center"/>
          </w:tcPr>
          <w:p w14:paraId="2C73ECAA" w14:textId="77777777" w:rsidR="006822EF" w:rsidRPr="00C7354B" w:rsidRDefault="006822EF" w:rsidP="00AB066F">
            <w:pPr>
              <w:widowControl w:val="0"/>
              <w:spacing w:line="240" w:lineRule="auto"/>
              <w:jc w:val="center"/>
              <w:rPr>
                <w:color w:val="000000" w:themeColor="text1"/>
                <w:kern w:val="2"/>
                <w:sz w:val="22"/>
                <w:lang w:eastAsia="zh-CN"/>
              </w:rPr>
            </w:pPr>
          </w:p>
        </w:tc>
        <w:tc>
          <w:tcPr>
            <w:tcW w:w="1266" w:type="dxa"/>
            <w:tcBorders>
              <w:top w:val="nil"/>
              <w:left w:val="nil"/>
              <w:right w:val="nil"/>
            </w:tcBorders>
            <w:shd w:val="clear" w:color="auto" w:fill="auto"/>
            <w:noWrap/>
            <w:vAlign w:val="center"/>
          </w:tcPr>
          <w:p w14:paraId="764B0541" w14:textId="77777777" w:rsidR="006822EF" w:rsidRPr="00C7354B" w:rsidRDefault="006822EF" w:rsidP="00AB066F">
            <w:pPr>
              <w:widowControl w:val="0"/>
              <w:spacing w:line="240" w:lineRule="auto"/>
              <w:jc w:val="center"/>
              <w:rPr>
                <w:color w:val="000000" w:themeColor="text1"/>
                <w:kern w:val="2"/>
                <w:sz w:val="22"/>
                <w:lang w:eastAsia="zh-CN"/>
              </w:rPr>
            </w:pPr>
          </w:p>
        </w:tc>
        <w:tc>
          <w:tcPr>
            <w:tcW w:w="1266" w:type="dxa"/>
            <w:tcBorders>
              <w:top w:val="nil"/>
              <w:left w:val="nil"/>
              <w:right w:val="nil"/>
            </w:tcBorders>
            <w:shd w:val="clear" w:color="auto" w:fill="auto"/>
            <w:noWrap/>
            <w:vAlign w:val="center"/>
          </w:tcPr>
          <w:p w14:paraId="3715841A" w14:textId="77777777" w:rsidR="006822EF" w:rsidRPr="00C7354B" w:rsidRDefault="006822EF" w:rsidP="00AB066F">
            <w:pPr>
              <w:widowControl w:val="0"/>
              <w:spacing w:line="240" w:lineRule="auto"/>
              <w:jc w:val="center"/>
              <w:rPr>
                <w:color w:val="000000" w:themeColor="text1"/>
                <w:kern w:val="2"/>
                <w:sz w:val="22"/>
                <w:lang w:eastAsia="zh-CN"/>
              </w:rPr>
            </w:pPr>
          </w:p>
        </w:tc>
        <w:tc>
          <w:tcPr>
            <w:tcW w:w="1266" w:type="dxa"/>
            <w:tcBorders>
              <w:top w:val="nil"/>
              <w:left w:val="nil"/>
              <w:right w:val="nil"/>
            </w:tcBorders>
            <w:shd w:val="clear" w:color="auto" w:fill="auto"/>
            <w:noWrap/>
            <w:vAlign w:val="center"/>
          </w:tcPr>
          <w:p w14:paraId="4F79AC17" w14:textId="77777777" w:rsidR="006822EF" w:rsidRPr="00C7354B" w:rsidRDefault="006822EF" w:rsidP="00AB066F">
            <w:pPr>
              <w:widowControl w:val="0"/>
              <w:spacing w:line="240" w:lineRule="auto"/>
              <w:jc w:val="center"/>
              <w:rPr>
                <w:color w:val="000000" w:themeColor="text1"/>
                <w:kern w:val="2"/>
                <w:sz w:val="22"/>
                <w:lang w:eastAsia="zh-CN"/>
              </w:rPr>
            </w:pPr>
          </w:p>
        </w:tc>
        <w:tc>
          <w:tcPr>
            <w:tcW w:w="1266" w:type="dxa"/>
            <w:tcBorders>
              <w:top w:val="nil"/>
              <w:left w:val="nil"/>
              <w:right w:val="nil"/>
            </w:tcBorders>
            <w:shd w:val="clear" w:color="auto" w:fill="auto"/>
            <w:noWrap/>
            <w:vAlign w:val="center"/>
          </w:tcPr>
          <w:p w14:paraId="09CBD59C" w14:textId="77777777" w:rsidR="006822EF" w:rsidRPr="00C7354B" w:rsidRDefault="006822EF" w:rsidP="00AB066F">
            <w:pPr>
              <w:widowControl w:val="0"/>
              <w:spacing w:line="240" w:lineRule="auto"/>
              <w:jc w:val="center"/>
              <w:rPr>
                <w:color w:val="000000" w:themeColor="text1"/>
                <w:kern w:val="2"/>
                <w:sz w:val="22"/>
                <w:lang w:eastAsia="zh-CN"/>
              </w:rPr>
            </w:pPr>
          </w:p>
        </w:tc>
      </w:tr>
      <w:tr w:rsidR="006822EF" w:rsidRPr="00C7354B" w14:paraId="3F1840EC" w14:textId="77777777" w:rsidTr="00640871">
        <w:trPr>
          <w:trHeight w:val="89"/>
          <w:jc w:val="center"/>
        </w:trPr>
        <w:tc>
          <w:tcPr>
            <w:tcW w:w="3025" w:type="dxa"/>
            <w:tcBorders>
              <w:top w:val="nil"/>
              <w:left w:val="nil"/>
              <w:right w:val="nil"/>
            </w:tcBorders>
            <w:shd w:val="clear" w:color="auto" w:fill="auto"/>
            <w:noWrap/>
            <w:vAlign w:val="center"/>
          </w:tcPr>
          <w:p w14:paraId="6C2BB08F" w14:textId="77777777" w:rsidR="006822EF" w:rsidRPr="00C7354B" w:rsidRDefault="006822EF" w:rsidP="00AB066F">
            <w:pPr>
              <w:widowControl w:val="0"/>
              <w:spacing w:line="240" w:lineRule="auto"/>
              <w:jc w:val="left"/>
              <w:rPr>
                <w:color w:val="000000" w:themeColor="text1"/>
                <w:kern w:val="2"/>
                <w:sz w:val="22"/>
                <w:lang w:eastAsia="zh-CN"/>
              </w:rPr>
            </w:pPr>
            <w:r w:rsidRPr="00C7354B">
              <w:rPr>
                <w:rFonts w:eastAsia="Helvetica"/>
                <w:color w:val="000000" w:themeColor="text1"/>
                <w:sz w:val="22"/>
              </w:rPr>
              <w:t xml:space="preserve">   Accounting indicator (0/1)</w:t>
            </w:r>
          </w:p>
        </w:tc>
        <w:tc>
          <w:tcPr>
            <w:tcW w:w="1267" w:type="dxa"/>
            <w:tcBorders>
              <w:top w:val="nil"/>
              <w:left w:val="nil"/>
              <w:right w:val="nil"/>
            </w:tcBorders>
            <w:vAlign w:val="center"/>
          </w:tcPr>
          <w:p w14:paraId="632148DF"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.03 (.01)</w:t>
            </w:r>
          </w:p>
        </w:tc>
        <w:tc>
          <w:tcPr>
            <w:tcW w:w="1266" w:type="dxa"/>
            <w:tcBorders>
              <w:top w:val="nil"/>
              <w:left w:val="nil"/>
              <w:right w:val="nil"/>
            </w:tcBorders>
            <w:shd w:val="clear" w:color="auto" w:fill="auto"/>
            <w:noWrap/>
            <w:vAlign w:val="center"/>
          </w:tcPr>
          <w:p w14:paraId="0EF574A6"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.02 (.01)</w:t>
            </w:r>
          </w:p>
        </w:tc>
        <w:tc>
          <w:tcPr>
            <w:tcW w:w="1266" w:type="dxa"/>
            <w:tcBorders>
              <w:top w:val="nil"/>
              <w:left w:val="nil"/>
              <w:right w:val="nil"/>
            </w:tcBorders>
            <w:shd w:val="clear" w:color="auto" w:fill="auto"/>
            <w:noWrap/>
            <w:vAlign w:val="center"/>
          </w:tcPr>
          <w:p w14:paraId="7988AB6A"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.03 (.01)</w:t>
            </w:r>
          </w:p>
        </w:tc>
        <w:tc>
          <w:tcPr>
            <w:tcW w:w="1266" w:type="dxa"/>
            <w:tcBorders>
              <w:top w:val="nil"/>
              <w:left w:val="nil"/>
              <w:right w:val="nil"/>
            </w:tcBorders>
            <w:shd w:val="clear" w:color="auto" w:fill="auto"/>
            <w:noWrap/>
            <w:vAlign w:val="center"/>
          </w:tcPr>
          <w:p w14:paraId="0B24FAAC"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.01 (.01)</w:t>
            </w:r>
          </w:p>
        </w:tc>
        <w:tc>
          <w:tcPr>
            <w:tcW w:w="1266" w:type="dxa"/>
            <w:tcBorders>
              <w:top w:val="nil"/>
              <w:left w:val="nil"/>
              <w:right w:val="nil"/>
            </w:tcBorders>
            <w:shd w:val="clear" w:color="auto" w:fill="auto"/>
            <w:noWrap/>
            <w:vAlign w:val="center"/>
          </w:tcPr>
          <w:p w14:paraId="24B14106"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.02 (.03)</w:t>
            </w:r>
          </w:p>
        </w:tc>
      </w:tr>
      <w:tr w:rsidR="006822EF" w:rsidRPr="00C7354B" w14:paraId="672E0BA6" w14:textId="77777777" w:rsidTr="00640871">
        <w:trPr>
          <w:trHeight w:val="89"/>
          <w:jc w:val="center"/>
        </w:trPr>
        <w:tc>
          <w:tcPr>
            <w:tcW w:w="3025" w:type="dxa"/>
            <w:tcBorders>
              <w:top w:val="nil"/>
              <w:left w:val="nil"/>
              <w:right w:val="nil"/>
            </w:tcBorders>
            <w:shd w:val="clear" w:color="auto" w:fill="auto"/>
            <w:noWrap/>
            <w:vAlign w:val="center"/>
          </w:tcPr>
          <w:p w14:paraId="207F6AFD" w14:textId="77777777" w:rsidR="006822EF" w:rsidRPr="00C7354B" w:rsidRDefault="006822EF" w:rsidP="00AB066F">
            <w:pPr>
              <w:widowControl w:val="0"/>
              <w:spacing w:line="240" w:lineRule="auto"/>
              <w:jc w:val="left"/>
              <w:rPr>
                <w:color w:val="000000" w:themeColor="text1"/>
                <w:kern w:val="2"/>
                <w:sz w:val="22"/>
                <w:lang w:eastAsia="zh-CN"/>
              </w:rPr>
            </w:pPr>
          </w:p>
        </w:tc>
        <w:tc>
          <w:tcPr>
            <w:tcW w:w="1267" w:type="dxa"/>
            <w:tcBorders>
              <w:top w:val="nil"/>
              <w:left w:val="nil"/>
              <w:right w:val="nil"/>
            </w:tcBorders>
            <w:vAlign w:val="center"/>
          </w:tcPr>
          <w:p w14:paraId="533829CD"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[.012]</w:t>
            </w:r>
          </w:p>
        </w:tc>
        <w:tc>
          <w:tcPr>
            <w:tcW w:w="1266" w:type="dxa"/>
            <w:tcBorders>
              <w:top w:val="nil"/>
              <w:left w:val="nil"/>
              <w:right w:val="nil"/>
            </w:tcBorders>
            <w:shd w:val="clear" w:color="auto" w:fill="auto"/>
            <w:noWrap/>
            <w:vAlign w:val="center"/>
          </w:tcPr>
          <w:p w14:paraId="2CA878A9"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[.039]</w:t>
            </w:r>
          </w:p>
        </w:tc>
        <w:tc>
          <w:tcPr>
            <w:tcW w:w="1266" w:type="dxa"/>
            <w:tcBorders>
              <w:top w:val="nil"/>
              <w:left w:val="nil"/>
              <w:right w:val="nil"/>
            </w:tcBorders>
            <w:shd w:val="clear" w:color="auto" w:fill="auto"/>
            <w:noWrap/>
            <w:vAlign w:val="center"/>
          </w:tcPr>
          <w:p w14:paraId="5629C768"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[.012]</w:t>
            </w:r>
          </w:p>
        </w:tc>
        <w:tc>
          <w:tcPr>
            <w:tcW w:w="1266" w:type="dxa"/>
            <w:tcBorders>
              <w:top w:val="nil"/>
              <w:left w:val="nil"/>
              <w:right w:val="nil"/>
            </w:tcBorders>
            <w:shd w:val="clear" w:color="auto" w:fill="auto"/>
            <w:noWrap/>
            <w:vAlign w:val="center"/>
          </w:tcPr>
          <w:p w14:paraId="1BD3BCB9"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[.251]</w:t>
            </w:r>
          </w:p>
        </w:tc>
        <w:tc>
          <w:tcPr>
            <w:tcW w:w="1266" w:type="dxa"/>
            <w:tcBorders>
              <w:top w:val="nil"/>
              <w:left w:val="nil"/>
              <w:right w:val="nil"/>
            </w:tcBorders>
            <w:shd w:val="clear" w:color="auto" w:fill="auto"/>
            <w:noWrap/>
            <w:vAlign w:val="center"/>
          </w:tcPr>
          <w:p w14:paraId="24FBB3D0"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[.526]</w:t>
            </w:r>
          </w:p>
        </w:tc>
      </w:tr>
      <w:tr w:rsidR="006822EF" w:rsidRPr="00C7354B" w14:paraId="510F10FE" w14:textId="77777777" w:rsidTr="00640871">
        <w:trPr>
          <w:trHeight w:val="89"/>
          <w:jc w:val="center"/>
        </w:trPr>
        <w:tc>
          <w:tcPr>
            <w:tcW w:w="3025" w:type="dxa"/>
            <w:tcBorders>
              <w:top w:val="nil"/>
              <w:left w:val="nil"/>
              <w:right w:val="nil"/>
            </w:tcBorders>
            <w:shd w:val="clear" w:color="auto" w:fill="auto"/>
            <w:noWrap/>
            <w:vAlign w:val="center"/>
          </w:tcPr>
          <w:p w14:paraId="6C81DE61" w14:textId="77777777" w:rsidR="006822EF" w:rsidRPr="00C7354B" w:rsidRDefault="006822EF" w:rsidP="00AB066F">
            <w:pPr>
              <w:widowControl w:val="0"/>
              <w:spacing w:line="240" w:lineRule="auto"/>
              <w:jc w:val="left"/>
              <w:rPr>
                <w:color w:val="000000" w:themeColor="text1"/>
                <w:kern w:val="2"/>
                <w:sz w:val="22"/>
                <w:lang w:eastAsia="zh-CN"/>
              </w:rPr>
            </w:pPr>
            <w:r w:rsidRPr="00C7354B">
              <w:rPr>
                <w:rFonts w:eastAsia="Helvetica"/>
                <w:color w:val="000000" w:themeColor="text1"/>
                <w:sz w:val="22"/>
              </w:rPr>
              <w:t xml:space="preserve">   Endogeneity control (0/1)</w:t>
            </w:r>
          </w:p>
        </w:tc>
        <w:tc>
          <w:tcPr>
            <w:tcW w:w="1267" w:type="dxa"/>
            <w:tcBorders>
              <w:top w:val="nil"/>
              <w:left w:val="nil"/>
              <w:right w:val="nil"/>
            </w:tcBorders>
            <w:vAlign w:val="center"/>
          </w:tcPr>
          <w:p w14:paraId="4D3D31D6"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.02 (.01)</w:t>
            </w:r>
          </w:p>
        </w:tc>
        <w:tc>
          <w:tcPr>
            <w:tcW w:w="1266" w:type="dxa"/>
            <w:tcBorders>
              <w:top w:val="nil"/>
              <w:left w:val="nil"/>
              <w:right w:val="nil"/>
            </w:tcBorders>
            <w:shd w:val="clear" w:color="auto" w:fill="auto"/>
            <w:noWrap/>
            <w:vAlign w:val="center"/>
          </w:tcPr>
          <w:p w14:paraId="3FADCFA9"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.03 (.01)</w:t>
            </w:r>
          </w:p>
        </w:tc>
        <w:tc>
          <w:tcPr>
            <w:tcW w:w="1266" w:type="dxa"/>
            <w:tcBorders>
              <w:top w:val="nil"/>
              <w:left w:val="nil"/>
              <w:right w:val="nil"/>
            </w:tcBorders>
            <w:shd w:val="clear" w:color="auto" w:fill="auto"/>
            <w:noWrap/>
            <w:vAlign w:val="center"/>
          </w:tcPr>
          <w:p w14:paraId="0A0455F9"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.02 (.01)</w:t>
            </w:r>
          </w:p>
        </w:tc>
        <w:tc>
          <w:tcPr>
            <w:tcW w:w="1266" w:type="dxa"/>
            <w:tcBorders>
              <w:top w:val="nil"/>
              <w:left w:val="nil"/>
              <w:right w:val="nil"/>
            </w:tcBorders>
            <w:shd w:val="clear" w:color="auto" w:fill="auto"/>
            <w:noWrap/>
            <w:vAlign w:val="center"/>
          </w:tcPr>
          <w:p w14:paraId="6362E12F"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-.01 (.02)</w:t>
            </w:r>
          </w:p>
        </w:tc>
        <w:tc>
          <w:tcPr>
            <w:tcW w:w="1266" w:type="dxa"/>
            <w:tcBorders>
              <w:top w:val="nil"/>
              <w:left w:val="nil"/>
              <w:right w:val="nil"/>
            </w:tcBorders>
            <w:shd w:val="clear" w:color="auto" w:fill="auto"/>
            <w:noWrap/>
            <w:vAlign w:val="center"/>
          </w:tcPr>
          <w:p w14:paraId="6365BCF6"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-.02 (.02)</w:t>
            </w:r>
          </w:p>
        </w:tc>
      </w:tr>
      <w:tr w:rsidR="006822EF" w:rsidRPr="00C7354B" w14:paraId="2CED159B" w14:textId="77777777" w:rsidTr="00640871">
        <w:trPr>
          <w:trHeight w:val="89"/>
          <w:jc w:val="center"/>
        </w:trPr>
        <w:tc>
          <w:tcPr>
            <w:tcW w:w="3025" w:type="dxa"/>
            <w:tcBorders>
              <w:top w:val="nil"/>
              <w:left w:val="nil"/>
              <w:right w:val="nil"/>
            </w:tcBorders>
            <w:shd w:val="clear" w:color="auto" w:fill="auto"/>
            <w:noWrap/>
            <w:vAlign w:val="center"/>
          </w:tcPr>
          <w:p w14:paraId="4A0BC221" w14:textId="77777777" w:rsidR="006822EF" w:rsidRPr="00C7354B" w:rsidRDefault="006822EF" w:rsidP="00AB066F">
            <w:pPr>
              <w:widowControl w:val="0"/>
              <w:spacing w:line="240" w:lineRule="auto"/>
              <w:jc w:val="left"/>
              <w:rPr>
                <w:color w:val="000000" w:themeColor="text1"/>
                <w:kern w:val="2"/>
                <w:sz w:val="22"/>
                <w:lang w:eastAsia="zh-CN"/>
              </w:rPr>
            </w:pPr>
          </w:p>
        </w:tc>
        <w:tc>
          <w:tcPr>
            <w:tcW w:w="1267" w:type="dxa"/>
            <w:tcBorders>
              <w:top w:val="nil"/>
              <w:left w:val="nil"/>
              <w:right w:val="nil"/>
            </w:tcBorders>
            <w:vAlign w:val="center"/>
          </w:tcPr>
          <w:p w14:paraId="40234E5F"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[.017]</w:t>
            </w:r>
          </w:p>
        </w:tc>
        <w:tc>
          <w:tcPr>
            <w:tcW w:w="1266" w:type="dxa"/>
            <w:tcBorders>
              <w:top w:val="nil"/>
              <w:left w:val="nil"/>
              <w:right w:val="nil"/>
            </w:tcBorders>
            <w:shd w:val="clear" w:color="auto" w:fill="auto"/>
            <w:noWrap/>
            <w:vAlign w:val="center"/>
          </w:tcPr>
          <w:p w14:paraId="258258F2"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[.025]</w:t>
            </w:r>
          </w:p>
        </w:tc>
        <w:tc>
          <w:tcPr>
            <w:tcW w:w="1266" w:type="dxa"/>
            <w:tcBorders>
              <w:top w:val="nil"/>
              <w:left w:val="nil"/>
              <w:right w:val="nil"/>
            </w:tcBorders>
            <w:shd w:val="clear" w:color="auto" w:fill="auto"/>
            <w:noWrap/>
            <w:vAlign w:val="center"/>
          </w:tcPr>
          <w:p w14:paraId="149B0BDE"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[.037]</w:t>
            </w:r>
          </w:p>
        </w:tc>
        <w:tc>
          <w:tcPr>
            <w:tcW w:w="1266" w:type="dxa"/>
            <w:tcBorders>
              <w:top w:val="nil"/>
              <w:left w:val="nil"/>
              <w:right w:val="nil"/>
            </w:tcBorders>
            <w:shd w:val="clear" w:color="auto" w:fill="auto"/>
            <w:noWrap/>
            <w:vAlign w:val="center"/>
          </w:tcPr>
          <w:p w14:paraId="1B22EFDC"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[.639]</w:t>
            </w:r>
          </w:p>
        </w:tc>
        <w:tc>
          <w:tcPr>
            <w:tcW w:w="1266" w:type="dxa"/>
            <w:tcBorders>
              <w:top w:val="nil"/>
              <w:left w:val="nil"/>
              <w:right w:val="nil"/>
            </w:tcBorders>
            <w:shd w:val="clear" w:color="auto" w:fill="auto"/>
            <w:noWrap/>
            <w:vAlign w:val="center"/>
          </w:tcPr>
          <w:p w14:paraId="265884D8"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[.389]</w:t>
            </w:r>
          </w:p>
        </w:tc>
      </w:tr>
      <w:tr w:rsidR="006822EF" w:rsidRPr="00C7354B" w14:paraId="3106650F" w14:textId="77777777" w:rsidTr="00640871">
        <w:trPr>
          <w:trHeight w:val="89"/>
          <w:jc w:val="center"/>
        </w:trPr>
        <w:tc>
          <w:tcPr>
            <w:tcW w:w="3025" w:type="dxa"/>
            <w:tcBorders>
              <w:top w:val="nil"/>
              <w:left w:val="nil"/>
              <w:right w:val="nil"/>
            </w:tcBorders>
            <w:shd w:val="clear" w:color="auto" w:fill="auto"/>
            <w:noWrap/>
            <w:vAlign w:val="center"/>
          </w:tcPr>
          <w:p w14:paraId="1E62AB8F" w14:textId="77777777" w:rsidR="006822EF" w:rsidRPr="00C7354B" w:rsidRDefault="006822EF" w:rsidP="00AB066F">
            <w:pPr>
              <w:widowControl w:val="0"/>
              <w:spacing w:line="240" w:lineRule="auto"/>
              <w:jc w:val="left"/>
              <w:rPr>
                <w:color w:val="000000" w:themeColor="text1"/>
                <w:kern w:val="2"/>
                <w:sz w:val="22"/>
                <w:lang w:eastAsia="zh-CN"/>
              </w:rPr>
            </w:pPr>
            <w:r w:rsidRPr="00C7354B">
              <w:rPr>
                <w:rFonts w:eastAsia="Helvetica"/>
                <w:color w:val="000000" w:themeColor="text1"/>
                <w:sz w:val="22"/>
              </w:rPr>
              <w:t xml:space="preserve">   Journal impact factor </w:t>
            </w:r>
          </w:p>
        </w:tc>
        <w:tc>
          <w:tcPr>
            <w:tcW w:w="1267" w:type="dxa"/>
            <w:tcBorders>
              <w:top w:val="nil"/>
              <w:left w:val="nil"/>
              <w:right w:val="nil"/>
            </w:tcBorders>
            <w:vAlign w:val="center"/>
          </w:tcPr>
          <w:p w14:paraId="4A5C5508"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-.00 (.00)</w:t>
            </w:r>
          </w:p>
        </w:tc>
        <w:tc>
          <w:tcPr>
            <w:tcW w:w="1266" w:type="dxa"/>
            <w:tcBorders>
              <w:top w:val="nil"/>
              <w:left w:val="nil"/>
              <w:right w:val="nil"/>
            </w:tcBorders>
            <w:shd w:val="clear" w:color="auto" w:fill="auto"/>
            <w:noWrap/>
            <w:vAlign w:val="center"/>
          </w:tcPr>
          <w:p w14:paraId="5336E3B4"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.00 (.00)</w:t>
            </w:r>
          </w:p>
        </w:tc>
        <w:tc>
          <w:tcPr>
            <w:tcW w:w="1266" w:type="dxa"/>
            <w:tcBorders>
              <w:top w:val="nil"/>
              <w:left w:val="nil"/>
              <w:right w:val="nil"/>
            </w:tcBorders>
            <w:shd w:val="clear" w:color="auto" w:fill="auto"/>
            <w:noWrap/>
            <w:vAlign w:val="center"/>
          </w:tcPr>
          <w:p w14:paraId="7BCA5B63"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-.00 (.00)</w:t>
            </w:r>
          </w:p>
        </w:tc>
        <w:tc>
          <w:tcPr>
            <w:tcW w:w="1266" w:type="dxa"/>
            <w:tcBorders>
              <w:top w:val="nil"/>
              <w:left w:val="nil"/>
              <w:right w:val="nil"/>
            </w:tcBorders>
            <w:shd w:val="clear" w:color="auto" w:fill="auto"/>
            <w:noWrap/>
            <w:vAlign w:val="center"/>
          </w:tcPr>
          <w:p w14:paraId="1D20CD7E"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.00 (.00)</w:t>
            </w:r>
          </w:p>
        </w:tc>
        <w:tc>
          <w:tcPr>
            <w:tcW w:w="1266" w:type="dxa"/>
            <w:tcBorders>
              <w:top w:val="nil"/>
              <w:left w:val="nil"/>
              <w:right w:val="nil"/>
            </w:tcBorders>
            <w:shd w:val="clear" w:color="auto" w:fill="auto"/>
            <w:noWrap/>
            <w:vAlign w:val="center"/>
          </w:tcPr>
          <w:p w14:paraId="0E781D3D"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.01 (.01)</w:t>
            </w:r>
          </w:p>
        </w:tc>
      </w:tr>
      <w:tr w:rsidR="006822EF" w:rsidRPr="00C7354B" w14:paraId="1068221D" w14:textId="77777777" w:rsidTr="00640871">
        <w:trPr>
          <w:trHeight w:val="89"/>
          <w:jc w:val="center"/>
        </w:trPr>
        <w:tc>
          <w:tcPr>
            <w:tcW w:w="3025" w:type="dxa"/>
            <w:tcBorders>
              <w:top w:val="nil"/>
              <w:left w:val="nil"/>
              <w:right w:val="nil"/>
            </w:tcBorders>
            <w:shd w:val="clear" w:color="auto" w:fill="auto"/>
            <w:noWrap/>
            <w:vAlign w:val="center"/>
          </w:tcPr>
          <w:p w14:paraId="5D5FB741" w14:textId="77777777" w:rsidR="006822EF" w:rsidRPr="00C7354B" w:rsidRDefault="006822EF" w:rsidP="00AB066F">
            <w:pPr>
              <w:widowControl w:val="0"/>
              <w:spacing w:line="240" w:lineRule="auto"/>
              <w:jc w:val="left"/>
              <w:rPr>
                <w:color w:val="000000" w:themeColor="text1"/>
                <w:kern w:val="2"/>
                <w:sz w:val="22"/>
                <w:lang w:eastAsia="zh-CN"/>
              </w:rPr>
            </w:pPr>
          </w:p>
        </w:tc>
        <w:tc>
          <w:tcPr>
            <w:tcW w:w="1267" w:type="dxa"/>
            <w:tcBorders>
              <w:top w:val="nil"/>
              <w:left w:val="nil"/>
              <w:right w:val="nil"/>
            </w:tcBorders>
            <w:vAlign w:val="center"/>
          </w:tcPr>
          <w:p w14:paraId="3C062B67"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[.302]</w:t>
            </w:r>
          </w:p>
        </w:tc>
        <w:tc>
          <w:tcPr>
            <w:tcW w:w="1266" w:type="dxa"/>
            <w:tcBorders>
              <w:top w:val="nil"/>
              <w:left w:val="nil"/>
              <w:right w:val="nil"/>
            </w:tcBorders>
            <w:shd w:val="clear" w:color="auto" w:fill="auto"/>
            <w:noWrap/>
            <w:vAlign w:val="center"/>
          </w:tcPr>
          <w:p w14:paraId="53BBF2BF"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[.438]</w:t>
            </w:r>
          </w:p>
        </w:tc>
        <w:tc>
          <w:tcPr>
            <w:tcW w:w="1266" w:type="dxa"/>
            <w:tcBorders>
              <w:top w:val="nil"/>
              <w:left w:val="nil"/>
              <w:right w:val="nil"/>
            </w:tcBorders>
            <w:shd w:val="clear" w:color="auto" w:fill="auto"/>
            <w:noWrap/>
            <w:vAlign w:val="center"/>
          </w:tcPr>
          <w:p w14:paraId="6C5C6B8A"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[.412]</w:t>
            </w:r>
          </w:p>
        </w:tc>
        <w:tc>
          <w:tcPr>
            <w:tcW w:w="1266" w:type="dxa"/>
            <w:tcBorders>
              <w:top w:val="nil"/>
              <w:left w:val="nil"/>
              <w:right w:val="nil"/>
            </w:tcBorders>
            <w:shd w:val="clear" w:color="auto" w:fill="auto"/>
            <w:noWrap/>
            <w:vAlign w:val="center"/>
          </w:tcPr>
          <w:p w14:paraId="30968B63"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[.936]</w:t>
            </w:r>
          </w:p>
        </w:tc>
        <w:tc>
          <w:tcPr>
            <w:tcW w:w="1266" w:type="dxa"/>
            <w:tcBorders>
              <w:top w:val="nil"/>
              <w:left w:val="nil"/>
              <w:right w:val="nil"/>
            </w:tcBorders>
            <w:shd w:val="clear" w:color="auto" w:fill="auto"/>
            <w:noWrap/>
            <w:vAlign w:val="center"/>
          </w:tcPr>
          <w:p w14:paraId="1A6E315B"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[.193]</w:t>
            </w:r>
          </w:p>
        </w:tc>
      </w:tr>
      <w:tr w:rsidR="006822EF" w:rsidRPr="00C7354B" w14:paraId="78CB68F9" w14:textId="77777777" w:rsidTr="00640871">
        <w:trPr>
          <w:trHeight w:val="89"/>
          <w:jc w:val="center"/>
        </w:trPr>
        <w:tc>
          <w:tcPr>
            <w:tcW w:w="3025" w:type="dxa"/>
            <w:tcBorders>
              <w:top w:val="nil"/>
              <w:left w:val="nil"/>
              <w:right w:val="nil"/>
            </w:tcBorders>
            <w:shd w:val="clear" w:color="auto" w:fill="auto"/>
            <w:noWrap/>
            <w:vAlign w:val="center"/>
          </w:tcPr>
          <w:p w14:paraId="05F172E7" w14:textId="77777777" w:rsidR="006822EF" w:rsidRPr="00C7354B" w:rsidRDefault="006822EF" w:rsidP="00AB066F">
            <w:pPr>
              <w:widowControl w:val="0"/>
              <w:spacing w:line="240" w:lineRule="auto"/>
              <w:jc w:val="left"/>
              <w:rPr>
                <w:b/>
                <w:bCs/>
                <w:color w:val="000000" w:themeColor="text1"/>
                <w:kern w:val="2"/>
                <w:sz w:val="22"/>
                <w:lang w:eastAsia="zh-CN"/>
              </w:rPr>
            </w:pPr>
            <w:r w:rsidRPr="00C7354B">
              <w:rPr>
                <w:rFonts w:eastAsia="Helvetica"/>
                <w:color w:val="000000" w:themeColor="text1"/>
                <w:sz w:val="22"/>
              </w:rPr>
              <w:t xml:space="preserve">   Mean sample year</w:t>
            </w:r>
          </w:p>
        </w:tc>
        <w:tc>
          <w:tcPr>
            <w:tcW w:w="1267" w:type="dxa"/>
            <w:tcBorders>
              <w:top w:val="nil"/>
              <w:left w:val="nil"/>
              <w:right w:val="nil"/>
            </w:tcBorders>
            <w:vAlign w:val="center"/>
          </w:tcPr>
          <w:p w14:paraId="1AD1BC85"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-.00 (.00)</w:t>
            </w:r>
          </w:p>
        </w:tc>
        <w:tc>
          <w:tcPr>
            <w:tcW w:w="1266" w:type="dxa"/>
            <w:tcBorders>
              <w:top w:val="nil"/>
              <w:left w:val="nil"/>
              <w:right w:val="nil"/>
            </w:tcBorders>
            <w:shd w:val="clear" w:color="auto" w:fill="auto"/>
            <w:noWrap/>
            <w:vAlign w:val="center"/>
          </w:tcPr>
          <w:p w14:paraId="7B3A016C"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-.00 (.00)</w:t>
            </w:r>
          </w:p>
        </w:tc>
        <w:tc>
          <w:tcPr>
            <w:tcW w:w="1266" w:type="dxa"/>
            <w:tcBorders>
              <w:top w:val="nil"/>
              <w:left w:val="nil"/>
              <w:right w:val="nil"/>
            </w:tcBorders>
            <w:shd w:val="clear" w:color="auto" w:fill="auto"/>
            <w:noWrap/>
            <w:vAlign w:val="center"/>
          </w:tcPr>
          <w:p w14:paraId="7B557488"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-.00 (.00)</w:t>
            </w:r>
          </w:p>
        </w:tc>
        <w:tc>
          <w:tcPr>
            <w:tcW w:w="1266" w:type="dxa"/>
            <w:tcBorders>
              <w:top w:val="nil"/>
              <w:left w:val="nil"/>
              <w:right w:val="nil"/>
            </w:tcBorders>
            <w:shd w:val="clear" w:color="auto" w:fill="auto"/>
            <w:noWrap/>
            <w:vAlign w:val="center"/>
          </w:tcPr>
          <w:p w14:paraId="18647F9E"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.00 (.00)</w:t>
            </w:r>
          </w:p>
        </w:tc>
        <w:tc>
          <w:tcPr>
            <w:tcW w:w="1266" w:type="dxa"/>
            <w:tcBorders>
              <w:top w:val="nil"/>
              <w:left w:val="nil"/>
              <w:right w:val="nil"/>
            </w:tcBorders>
            <w:shd w:val="clear" w:color="auto" w:fill="auto"/>
            <w:noWrap/>
            <w:vAlign w:val="center"/>
          </w:tcPr>
          <w:p w14:paraId="62808DC3"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.00 (.00)</w:t>
            </w:r>
          </w:p>
        </w:tc>
      </w:tr>
      <w:tr w:rsidR="006822EF" w:rsidRPr="00C7354B" w14:paraId="214F7485" w14:textId="77777777" w:rsidTr="00640871">
        <w:trPr>
          <w:trHeight w:val="89"/>
          <w:jc w:val="center"/>
        </w:trPr>
        <w:tc>
          <w:tcPr>
            <w:tcW w:w="3025" w:type="dxa"/>
            <w:tcBorders>
              <w:top w:val="nil"/>
              <w:left w:val="nil"/>
              <w:right w:val="nil"/>
            </w:tcBorders>
            <w:shd w:val="clear" w:color="auto" w:fill="auto"/>
            <w:noWrap/>
            <w:vAlign w:val="center"/>
          </w:tcPr>
          <w:p w14:paraId="2E871151" w14:textId="77777777" w:rsidR="006822EF" w:rsidRPr="00C7354B" w:rsidRDefault="006822EF" w:rsidP="00AB066F">
            <w:pPr>
              <w:widowControl w:val="0"/>
              <w:spacing w:line="240" w:lineRule="auto"/>
              <w:jc w:val="left"/>
              <w:rPr>
                <w:color w:val="000000" w:themeColor="text1"/>
                <w:kern w:val="2"/>
                <w:sz w:val="22"/>
                <w:lang w:eastAsia="zh-CN"/>
              </w:rPr>
            </w:pPr>
          </w:p>
        </w:tc>
        <w:tc>
          <w:tcPr>
            <w:tcW w:w="1267" w:type="dxa"/>
            <w:tcBorders>
              <w:top w:val="nil"/>
              <w:left w:val="nil"/>
              <w:right w:val="nil"/>
            </w:tcBorders>
            <w:vAlign w:val="center"/>
          </w:tcPr>
          <w:p w14:paraId="0EB029D2"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[.003]</w:t>
            </w:r>
          </w:p>
        </w:tc>
        <w:tc>
          <w:tcPr>
            <w:tcW w:w="1266" w:type="dxa"/>
            <w:tcBorders>
              <w:top w:val="nil"/>
              <w:left w:val="nil"/>
              <w:right w:val="nil"/>
            </w:tcBorders>
            <w:shd w:val="clear" w:color="auto" w:fill="auto"/>
            <w:noWrap/>
            <w:vAlign w:val="center"/>
          </w:tcPr>
          <w:p w14:paraId="17410527"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[.093]</w:t>
            </w:r>
          </w:p>
        </w:tc>
        <w:tc>
          <w:tcPr>
            <w:tcW w:w="1266" w:type="dxa"/>
            <w:tcBorders>
              <w:top w:val="nil"/>
              <w:left w:val="nil"/>
              <w:right w:val="nil"/>
            </w:tcBorders>
            <w:shd w:val="clear" w:color="auto" w:fill="auto"/>
            <w:noWrap/>
            <w:vAlign w:val="center"/>
          </w:tcPr>
          <w:p w14:paraId="346F74EC"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[.004]</w:t>
            </w:r>
          </w:p>
        </w:tc>
        <w:tc>
          <w:tcPr>
            <w:tcW w:w="1266" w:type="dxa"/>
            <w:tcBorders>
              <w:top w:val="nil"/>
              <w:left w:val="nil"/>
              <w:right w:val="nil"/>
            </w:tcBorders>
            <w:shd w:val="clear" w:color="auto" w:fill="auto"/>
            <w:noWrap/>
            <w:vAlign w:val="center"/>
          </w:tcPr>
          <w:p w14:paraId="32E54DB6"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[.966]</w:t>
            </w:r>
          </w:p>
        </w:tc>
        <w:tc>
          <w:tcPr>
            <w:tcW w:w="1266" w:type="dxa"/>
            <w:tcBorders>
              <w:top w:val="nil"/>
              <w:left w:val="nil"/>
              <w:right w:val="nil"/>
            </w:tcBorders>
            <w:shd w:val="clear" w:color="auto" w:fill="auto"/>
            <w:noWrap/>
            <w:vAlign w:val="center"/>
          </w:tcPr>
          <w:p w14:paraId="21E32000"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[.659]</w:t>
            </w:r>
          </w:p>
        </w:tc>
      </w:tr>
      <w:tr w:rsidR="006822EF" w:rsidRPr="00C7354B" w14:paraId="1E71B670" w14:textId="77777777" w:rsidTr="00640871">
        <w:trPr>
          <w:trHeight w:val="89"/>
          <w:jc w:val="center"/>
        </w:trPr>
        <w:tc>
          <w:tcPr>
            <w:tcW w:w="3025" w:type="dxa"/>
            <w:tcBorders>
              <w:top w:val="nil"/>
              <w:left w:val="nil"/>
              <w:right w:val="nil"/>
            </w:tcBorders>
            <w:shd w:val="clear" w:color="auto" w:fill="auto"/>
            <w:noWrap/>
            <w:vAlign w:val="center"/>
          </w:tcPr>
          <w:p w14:paraId="0035E7F7" w14:textId="77777777" w:rsidR="006822EF" w:rsidRPr="00C7354B" w:rsidRDefault="006822EF" w:rsidP="00AB066F">
            <w:pPr>
              <w:widowControl w:val="0"/>
              <w:spacing w:line="240" w:lineRule="auto"/>
              <w:jc w:val="left"/>
              <w:rPr>
                <w:b/>
                <w:bCs/>
                <w:color w:val="000000" w:themeColor="text1"/>
                <w:kern w:val="2"/>
                <w:sz w:val="22"/>
                <w:lang w:eastAsia="zh-CN"/>
              </w:rPr>
            </w:pPr>
            <w:r w:rsidRPr="00C7354B">
              <w:rPr>
                <w:b/>
                <w:bCs/>
                <w:color w:val="000000" w:themeColor="text1"/>
                <w:kern w:val="2"/>
                <w:sz w:val="22"/>
                <w:lang w:eastAsia="zh-CN"/>
              </w:rPr>
              <w:t>Model indices</w:t>
            </w:r>
          </w:p>
        </w:tc>
        <w:tc>
          <w:tcPr>
            <w:tcW w:w="1267" w:type="dxa"/>
            <w:tcBorders>
              <w:top w:val="nil"/>
              <w:left w:val="nil"/>
              <w:right w:val="nil"/>
            </w:tcBorders>
            <w:vAlign w:val="center"/>
          </w:tcPr>
          <w:p w14:paraId="2F109372" w14:textId="77777777" w:rsidR="006822EF" w:rsidRPr="00C7354B" w:rsidRDefault="006822EF" w:rsidP="00AB066F">
            <w:pPr>
              <w:widowControl w:val="0"/>
              <w:spacing w:line="240" w:lineRule="auto"/>
              <w:jc w:val="center"/>
              <w:rPr>
                <w:color w:val="000000" w:themeColor="text1"/>
                <w:kern w:val="2"/>
                <w:sz w:val="22"/>
                <w:lang w:eastAsia="zh-CN"/>
              </w:rPr>
            </w:pPr>
          </w:p>
        </w:tc>
        <w:tc>
          <w:tcPr>
            <w:tcW w:w="1266" w:type="dxa"/>
            <w:tcBorders>
              <w:top w:val="nil"/>
              <w:left w:val="nil"/>
              <w:right w:val="nil"/>
            </w:tcBorders>
            <w:shd w:val="clear" w:color="auto" w:fill="auto"/>
            <w:noWrap/>
            <w:vAlign w:val="center"/>
          </w:tcPr>
          <w:p w14:paraId="29F55668" w14:textId="77777777" w:rsidR="006822EF" w:rsidRPr="00C7354B" w:rsidRDefault="006822EF" w:rsidP="00AB066F">
            <w:pPr>
              <w:widowControl w:val="0"/>
              <w:spacing w:line="240" w:lineRule="auto"/>
              <w:jc w:val="center"/>
              <w:rPr>
                <w:color w:val="000000" w:themeColor="text1"/>
                <w:kern w:val="2"/>
                <w:sz w:val="22"/>
                <w:lang w:eastAsia="zh-CN"/>
              </w:rPr>
            </w:pPr>
          </w:p>
        </w:tc>
        <w:tc>
          <w:tcPr>
            <w:tcW w:w="1266" w:type="dxa"/>
            <w:tcBorders>
              <w:top w:val="nil"/>
              <w:left w:val="nil"/>
              <w:right w:val="nil"/>
            </w:tcBorders>
            <w:shd w:val="clear" w:color="auto" w:fill="auto"/>
            <w:noWrap/>
            <w:vAlign w:val="center"/>
          </w:tcPr>
          <w:p w14:paraId="44009B6A" w14:textId="77777777" w:rsidR="006822EF" w:rsidRPr="00C7354B" w:rsidRDefault="006822EF" w:rsidP="00AB066F">
            <w:pPr>
              <w:widowControl w:val="0"/>
              <w:spacing w:line="240" w:lineRule="auto"/>
              <w:jc w:val="center"/>
              <w:rPr>
                <w:color w:val="000000" w:themeColor="text1"/>
                <w:kern w:val="2"/>
                <w:sz w:val="22"/>
                <w:lang w:eastAsia="zh-CN"/>
              </w:rPr>
            </w:pPr>
          </w:p>
        </w:tc>
        <w:tc>
          <w:tcPr>
            <w:tcW w:w="1266" w:type="dxa"/>
            <w:tcBorders>
              <w:top w:val="nil"/>
              <w:left w:val="nil"/>
              <w:right w:val="nil"/>
            </w:tcBorders>
            <w:shd w:val="clear" w:color="auto" w:fill="auto"/>
            <w:noWrap/>
            <w:vAlign w:val="center"/>
          </w:tcPr>
          <w:p w14:paraId="6656FDDC" w14:textId="77777777" w:rsidR="006822EF" w:rsidRPr="00C7354B" w:rsidRDefault="006822EF" w:rsidP="00AB066F">
            <w:pPr>
              <w:widowControl w:val="0"/>
              <w:spacing w:line="240" w:lineRule="auto"/>
              <w:jc w:val="center"/>
              <w:rPr>
                <w:color w:val="000000" w:themeColor="text1"/>
                <w:kern w:val="2"/>
                <w:sz w:val="22"/>
                <w:lang w:eastAsia="zh-CN"/>
              </w:rPr>
            </w:pPr>
          </w:p>
        </w:tc>
        <w:tc>
          <w:tcPr>
            <w:tcW w:w="1266" w:type="dxa"/>
            <w:tcBorders>
              <w:top w:val="nil"/>
              <w:left w:val="nil"/>
              <w:right w:val="nil"/>
            </w:tcBorders>
            <w:shd w:val="clear" w:color="auto" w:fill="auto"/>
            <w:noWrap/>
            <w:vAlign w:val="center"/>
          </w:tcPr>
          <w:p w14:paraId="3255BE49" w14:textId="77777777" w:rsidR="006822EF" w:rsidRPr="00C7354B" w:rsidRDefault="006822EF" w:rsidP="00AB066F">
            <w:pPr>
              <w:widowControl w:val="0"/>
              <w:spacing w:line="240" w:lineRule="auto"/>
              <w:jc w:val="center"/>
              <w:rPr>
                <w:color w:val="000000" w:themeColor="text1"/>
                <w:kern w:val="2"/>
                <w:sz w:val="22"/>
                <w:lang w:eastAsia="zh-CN"/>
              </w:rPr>
            </w:pPr>
          </w:p>
        </w:tc>
      </w:tr>
      <w:tr w:rsidR="006822EF" w:rsidRPr="00C7354B" w14:paraId="6441FBDA" w14:textId="77777777" w:rsidTr="00640871">
        <w:trPr>
          <w:trHeight w:val="89"/>
          <w:jc w:val="center"/>
        </w:trPr>
        <w:tc>
          <w:tcPr>
            <w:tcW w:w="3025" w:type="dxa"/>
            <w:tcBorders>
              <w:top w:val="nil"/>
              <w:left w:val="nil"/>
              <w:right w:val="nil"/>
            </w:tcBorders>
            <w:shd w:val="clear" w:color="auto" w:fill="auto"/>
            <w:noWrap/>
            <w:vAlign w:val="center"/>
          </w:tcPr>
          <w:p w14:paraId="0B7097D8" w14:textId="77777777" w:rsidR="006822EF" w:rsidRPr="00C7354B" w:rsidRDefault="006822EF" w:rsidP="00AB066F">
            <w:pPr>
              <w:widowControl w:val="0"/>
              <w:spacing w:line="240" w:lineRule="auto"/>
              <w:jc w:val="left"/>
              <w:rPr>
                <w:i/>
                <w:iCs/>
                <w:color w:val="000000" w:themeColor="text1"/>
                <w:kern w:val="2"/>
                <w:sz w:val="22"/>
                <w:lang w:eastAsia="zh-CN"/>
              </w:rPr>
            </w:pPr>
            <w:r w:rsidRPr="00C7354B">
              <w:rPr>
                <w:i/>
                <w:iCs/>
                <w:color w:val="000000" w:themeColor="text1"/>
                <w:kern w:val="2"/>
                <w:sz w:val="22"/>
                <w:lang w:eastAsia="zh-CN"/>
              </w:rPr>
              <w:t xml:space="preserve">   Log-likelihood</w:t>
            </w:r>
          </w:p>
        </w:tc>
        <w:tc>
          <w:tcPr>
            <w:tcW w:w="1267" w:type="dxa"/>
            <w:tcBorders>
              <w:top w:val="nil"/>
              <w:left w:val="nil"/>
              <w:right w:val="nil"/>
            </w:tcBorders>
            <w:vAlign w:val="center"/>
          </w:tcPr>
          <w:p w14:paraId="797DF2F0"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220.48</w:t>
            </w:r>
          </w:p>
        </w:tc>
        <w:tc>
          <w:tcPr>
            <w:tcW w:w="1266" w:type="dxa"/>
            <w:tcBorders>
              <w:top w:val="nil"/>
              <w:left w:val="nil"/>
              <w:right w:val="nil"/>
            </w:tcBorders>
            <w:shd w:val="clear" w:color="auto" w:fill="auto"/>
            <w:noWrap/>
            <w:vAlign w:val="center"/>
          </w:tcPr>
          <w:p w14:paraId="6FDDC73D"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166.58</w:t>
            </w:r>
          </w:p>
        </w:tc>
        <w:tc>
          <w:tcPr>
            <w:tcW w:w="1266" w:type="dxa"/>
            <w:tcBorders>
              <w:top w:val="nil"/>
              <w:left w:val="nil"/>
              <w:right w:val="nil"/>
            </w:tcBorders>
            <w:shd w:val="clear" w:color="auto" w:fill="auto"/>
            <w:noWrap/>
            <w:vAlign w:val="center"/>
          </w:tcPr>
          <w:p w14:paraId="2A315849"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199.84</w:t>
            </w:r>
          </w:p>
        </w:tc>
        <w:tc>
          <w:tcPr>
            <w:tcW w:w="1266" w:type="dxa"/>
            <w:tcBorders>
              <w:top w:val="nil"/>
              <w:left w:val="nil"/>
              <w:right w:val="nil"/>
            </w:tcBorders>
            <w:shd w:val="clear" w:color="auto" w:fill="auto"/>
            <w:noWrap/>
            <w:vAlign w:val="center"/>
          </w:tcPr>
          <w:p w14:paraId="4214BC5D"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54.39</w:t>
            </w:r>
          </w:p>
        </w:tc>
        <w:tc>
          <w:tcPr>
            <w:tcW w:w="1266" w:type="dxa"/>
            <w:tcBorders>
              <w:top w:val="nil"/>
              <w:left w:val="nil"/>
              <w:right w:val="nil"/>
            </w:tcBorders>
            <w:shd w:val="clear" w:color="auto" w:fill="auto"/>
            <w:noWrap/>
            <w:vAlign w:val="center"/>
          </w:tcPr>
          <w:p w14:paraId="308B1F71"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34.84</w:t>
            </w:r>
          </w:p>
        </w:tc>
      </w:tr>
      <w:tr w:rsidR="006822EF" w:rsidRPr="00C7354B" w14:paraId="328495F9" w14:textId="77777777" w:rsidTr="00640871">
        <w:trPr>
          <w:trHeight w:val="89"/>
          <w:jc w:val="center"/>
        </w:trPr>
        <w:tc>
          <w:tcPr>
            <w:tcW w:w="3025" w:type="dxa"/>
            <w:tcBorders>
              <w:top w:val="nil"/>
              <w:left w:val="nil"/>
              <w:right w:val="nil"/>
            </w:tcBorders>
            <w:shd w:val="clear" w:color="auto" w:fill="auto"/>
            <w:noWrap/>
            <w:vAlign w:val="center"/>
          </w:tcPr>
          <w:p w14:paraId="5267D72D" w14:textId="77777777" w:rsidR="006822EF" w:rsidRPr="00C7354B" w:rsidRDefault="006822EF" w:rsidP="00AB066F">
            <w:pPr>
              <w:widowControl w:val="0"/>
              <w:spacing w:line="240" w:lineRule="auto"/>
              <w:jc w:val="left"/>
              <w:rPr>
                <w:iCs/>
                <w:color w:val="000000" w:themeColor="text1"/>
                <w:kern w:val="2"/>
                <w:sz w:val="22"/>
                <w:lang w:eastAsia="zh-CN"/>
              </w:rPr>
            </w:pPr>
            <w:r w:rsidRPr="00C7354B">
              <w:rPr>
                <w:color w:val="000000" w:themeColor="text1"/>
                <w:kern w:val="2"/>
                <w:sz w:val="22"/>
                <w:lang w:eastAsia="zh-CN"/>
              </w:rPr>
              <w:t xml:space="preserve">   </w:t>
            </w:r>
            <m:oMath>
              <m:sSub>
                <m:sSubPr>
                  <m:ctrlPr>
                    <w:rPr>
                      <w:rFonts w:ascii="Cambria Math" w:hAnsi="Cambria Math"/>
                      <w:iCs/>
                      <w:color w:val="000000" w:themeColor="text1"/>
                      <w:kern w:val="2"/>
                      <w:sz w:val="22"/>
                      <w:lang w:eastAsia="zh-CN"/>
                    </w:rPr>
                  </m:ctrlPr>
                </m:sSubPr>
                <m:e>
                  <m:r>
                    <w:rPr>
                      <w:rFonts w:ascii="Cambria Math" w:hAnsi="Cambria Math"/>
                      <w:color w:val="000000" w:themeColor="text1"/>
                      <w:kern w:val="2"/>
                      <w:sz w:val="22"/>
                      <w:lang w:eastAsia="zh-CN"/>
                    </w:rPr>
                    <m:t>Q</m:t>
                  </m:r>
                </m:e>
                <m:sub>
                  <m:r>
                    <m:rPr>
                      <m:sty m:val="p"/>
                    </m:rPr>
                    <w:rPr>
                      <w:rFonts w:ascii="Cambria Math" w:hAnsi="Cambria Math"/>
                      <w:color w:val="000000" w:themeColor="text1"/>
                      <w:kern w:val="2"/>
                      <w:sz w:val="22"/>
                      <w:lang w:eastAsia="zh-CN"/>
                    </w:rPr>
                    <m:t>E</m:t>
                  </m:r>
                </m:sub>
              </m:sSub>
            </m:oMath>
          </w:p>
        </w:tc>
        <w:tc>
          <w:tcPr>
            <w:tcW w:w="1267" w:type="dxa"/>
            <w:tcBorders>
              <w:top w:val="nil"/>
              <w:left w:val="nil"/>
              <w:right w:val="nil"/>
            </w:tcBorders>
            <w:vAlign w:val="center"/>
          </w:tcPr>
          <w:p w14:paraId="74B6B249"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 xml:space="preserve">2013.51 </w:t>
            </w:r>
            <w:r w:rsidRPr="00C7354B">
              <w:rPr>
                <w:rFonts w:eastAsia="Helvetica"/>
                <w:color w:val="000000" w:themeColor="text1"/>
                <w:sz w:val="22"/>
              </w:rPr>
              <w:t>[&lt;.001]</w:t>
            </w:r>
          </w:p>
        </w:tc>
        <w:tc>
          <w:tcPr>
            <w:tcW w:w="1266" w:type="dxa"/>
            <w:tcBorders>
              <w:top w:val="nil"/>
              <w:left w:val="nil"/>
              <w:right w:val="nil"/>
            </w:tcBorders>
            <w:shd w:val="clear" w:color="auto" w:fill="auto"/>
            <w:noWrap/>
            <w:vAlign w:val="center"/>
          </w:tcPr>
          <w:p w14:paraId="1FE28BAA"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 xml:space="preserve">1497.05 </w:t>
            </w:r>
            <w:r w:rsidRPr="00C7354B">
              <w:rPr>
                <w:rFonts w:eastAsia="Helvetica"/>
                <w:color w:val="000000" w:themeColor="text1"/>
                <w:sz w:val="22"/>
              </w:rPr>
              <w:t>[&lt;.001]</w:t>
            </w:r>
          </w:p>
        </w:tc>
        <w:tc>
          <w:tcPr>
            <w:tcW w:w="1266" w:type="dxa"/>
            <w:tcBorders>
              <w:top w:val="nil"/>
              <w:left w:val="nil"/>
              <w:right w:val="nil"/>
            </w:tcBorders>
            <w:shd w:val="clear" w:color="auto" w:fill="auto"/>
            <w:noWrap/>
            <w:vAlign w:val="center"/>
          </w:tcPr>
          <w:p w14:paraId="5114B706"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 xml:space="preserve">1851.85 </w:t>
            </w:r>
            <w:r w:rsidRPr="00C7354B">
              <w:rPr>
                <w:rFonts w:eastAsia="Helvetica"/>
                <w:color w:val="000000" w:themeColor="text1"/>
                <w:sz w:val="22"/>
              </w:rPr>
              <w:t>[&lt;.001]</w:t>
            </w:r>
          </w:p>
        </w:tc>
        <w:tc>
          <w:tcPr>
            <w:tcW w:w="1266" w:type="dxa"/>
            <w:tcBorders>
              <w:top w:val="nil"/>
              <w:left w:val="nil"/>
              <w:right w:val="nil"/>
            </w:tcBorders>
            <w:shd w:val="clear" w:color="auto" w:fill="auto"/>
            <w:noWrap/>
            <w:vAlign w:val="center"/>
          </w:tcPr>
          <w:p w14:paraId="22BE38D9"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 xml:space="preserve">367.53 </w:t>
            </w:r>
            <w:r w:rsidRPr="00C7354B">
              <w:rPr>
                <w:rFonts w:eastAsia="Helvetica"/>
                <w:color w:val="000000" w:themeColor="text1"/>
                <w:sz w:val="22"/>
              </w:rPr>
              <w:t>[&lt;.001]</w:t>
            </w:r>
          </w:p>
        </w:tc>
        <w:tc>
          <w:tcPr>
            <w:tcW w:w="1266" w:type="dxa"/>
            <w:tcBorders>
              <w:top w:val="nil"/>
              <w:left w:val="nil"/>
              <w:right w:val="nil"/>
            </w:tcBorders>
            <w:shd w:val="clear" w:color="auto" w:fill="auto"/>
            <w:noWrap/>
            <w:vAlign w:val="center"/>
          </w:tcPr>
          <w:p w14:paraId="7697A43C"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 xml:space="preserve">306.65 </w:t>
            </w:r>
            <w:r w:rsidRPr="00C7354B">
              <w:rPr>
                <w:rFonts w:eastAsia="Helvetica"/>
                <w:color w:val="000000" w:themeColor="text1"/>
                <w:sz w:val="22"/>
              </w:rPr>
              <w:t>[&lt;.001]</w:t>
            </w:r>
          </w:p>
        </w:tc>
      </w:tr>
      <w:tr w:rsidR="006822EF" w:rsidRPr="00C7354B" w14:paraId="721CF454" w14:textId="77777777" w:rsidTr="00640871">
        <w:trPr>
          <w:trHeight w:val="89"/>
          <w:jc w:val="center"/>
        </w:trPr>
        <w:tc>
          <w:tcPr>
            <w:tcW w:w="3025" w:type="dxa"/>
            <w:tcBorders>
              <w:top w:val="nil"/>
              <w:left w:val="nil"/>
              <w:right w:val="nil"/>
            </w:tcBorders>
            <w:shd w:val="clear" w:color="auto" w:fill="auto"/>
            <w:noWrap/>
            <w:vAlign w:val="center"/>
          </w:tcPr>
          <w:p w14:paraId="237A34D2" w14:textId="77777777" w:rsidR="006822EF" w:rsidRPr="00C7354B" w:rsidRDefault="006822EF" w:rsidP="00AB066F">
            <w:pPr>
              <w:widowControl w:val="0"/>
              <w:spacing w:line="240" w:lineRule="auto"/>
              <w:jc w:val="left"/>
              <w:rPr>
                <w:color w:val="000000" w:themeColor="text1"/>
                <w:kern w:val="2"/>
                <w:sz w:val="22"/>
                <w:lang w:eastAsia="zh-CN"/>
              </w:rPr>
            </w:pPr>
            <w:r w:rsidRPr="00C7354B">
              <w:rPr>
                <w:color w:val="000000" w:themeColor="text1"/>
                <w:kern w:val="2"/>
                <w:sz w:val="22"/>
                <w:lang w:eastAsia="zh-CN"/>
              </w:rPr>
              <w:t xml:space="preserve">   </w:t>
            </w:r>
            <m:oMath>
              <m:sSub>
                <m:sSubPr>
                  <m:ctrlPr>
                    <w:rPr>
                      <w:rFonts w:ascii="Cambria Math" w:hAnsi="Cambria Math"/>
                      <w:i/>
                      <w:color w:val="000000" w:themeColor="text1"/>
                      <w:kern w:val="2"/>
                      <w:sz w:val="22"/>
                      <w:lang w:eastAsia="zh-CN"/>
                    </w:rPr>
                  </m:ctrlPr>
                </m:sSubPr>
                <m:e>
                  <m:r>
                    <m:rPr>
                      <m:sty m:val="p"/>
                    </m:rPr>
                    <w:rPr>
                      <w:rFonts w:ascii="Cambria Math" w:hAnsi="Cambria Math"/>
                      <w:color w:val="000000" w:themeColor="text1"/>
                      <w:kern w:val="2"/>
                      <w:sz w:val="22"/>
                      <w:lang w:eastAsia="zh-CN"/>
                    </w:rPr>
                    <m:t>Δ</m:t>
                  </m:r>
                  <m:r>
                    <w:rPr>
                      <w:rFonts w:ascii="Cambria Math" w:hAnsi="Cambria Math"/>
                      <w:color w:val="000000" w:themeColor="text1"/>
                      <w:kern w:val="2"/>
                      <w:sz w:val="22"/>
                      <w:lang w:eastAsia="zh-CN"/>
                    </w:rPr>
                    <m:t>Q</m:t>
                  </m:r>
                </m:e>
                <m:sub>
                  <m:r>
                    <m:rPr>
                      <m:sty m:val="p"/>
                    </m:rPr>
                    <w:rPr>
                      <w:rFonts w:ascii="Cambria Math" w:hAnsi="Cambria Math"/>
                      <w:color w:val="000000" w:themeColor="text1"/>
                      <w:kern w:val="2"/>
                      <w:sz w:val="22"/>
                      <w:lang w:eastAsia="zh-CN"/>
                    </w:rPr>
                    <m:t>E</m:t>
                  </m:r>
                </m:sub>
              </m:sSub>
            </m:oMath>
          </w:p>
        </w:tc>
        <w:tc>
          <w:tcPr>
            <w:tcW w:w="1267" w:type="dxa"/>
            <w:tcBorders>
              <w:top w:val="nil"/>
              <w:left w:val="nil"/>
              <w:right w:val="nil"/>
            </w:tcBorders>
            <w:vAlign w:val="center"/>
          </w:tcPr>
          <w:p w14:paraId="22491B15"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w:t>
            </w:r>
          </w:p>
        </w:tc>
        <w:tc>
          <w:tcPr>
            <w:tcW w:w="1266" w:type="dxa"/>
            <w:tcBorders>
              <w:top w:val="nil"/>
              <w:left w:val="nil"/>
              <w:right w:val="nil"/>
            </w:tcBorders>
            <w:shd w:val="clear" w:color="auto" w:fill="auto"/>
            <w:noWrap/>
            <w:vAlign w:val="center"/>
          </w:tcPr>
          <w:p w14:paraId="69A0B058"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-516.46</w:t>
            </w:r>
          </w:p>
        </w:tc>
        <w:tc>
          <w:tcPr>
            <w:tcW w:w="1266" w:type="dxa"/>
            <w:tcBorders>
              <w:top w:val="nil"/>
              <w:left w:val="nil"/>
              <w:right w:val="nil"/>
            </w:tcBorders>
            <w:shd w:val="clear" w:color="auto" w:fill="auto"/>
            <w:noWrap/>
            <w:vAlign w:val="center"/>
          </w:tcPr>
          <w:p w14:paraId="549A1741"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-161.66</w:t>
            </w:r>
          </w:p>
        </w:tc>
        <w:tc>
          <w:tcPr>
            <w:tcW w:w="1266" w:type="dxa"/>
            <w:tcBorders>
              <w:top w:val="nil"/>
              <w:left w:val="nil"/>
              <w:right w:val="nil"/>
            </w:tcBorders>
            <w:shd w:val="clear" w:color="auto" w:fill="auto"/>
            <w:noWrap/>
            <w:vAlign w:val="center"/>
          </w:tcPr>
          <w:p w14:paraId="367AF90C"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-1645.98</w:t>
            </w:r>
          </w:p>
        </w:tc>
        <w:tc>
          <w:tcPr>
            <w:tcW w:w="1266" w:type="dxa"/>
            <w:tcBorders>
              <w:top w:val="nil"/>
              <w:left w:val="nil"/>
              <w:right w:val="nil"/>
            </w:tcBorders>
            <w:shd w:val="clear" w:color="auto" w:fill="auto"/>
            <w:noWrap/>
            <w:vAlign w:val="center"/>
          </w:tcPr>
          <w:p w14:paraId="26B1126F"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-1706.86</w:t>
            </w:r>
          </w:p>
        </w:tc>
      </w:tr>
      <w:tr w:rsidR="006822EF" w:rsidRPr="00C7354B" w14:paraId="31A5E127" w14:textId="77777777" w:rsidTr="00640871">
        <w:trPr>
          <w:trHeight w:val="89"/>
          <w:jc w:val="center"/>
        </w:trPr>
        <w:tc>
          <w:tcPr>
            <w:tcW w:w="3025" w:type="dxa"/>
            <w:tcBorders>
              <w:top w:val="nil"/>
              <w:left w:val="nil"/>
              <w:right w:val="nil"/>
            </w:tcBorders>
            <w:shd w:val="clear" w:color="auto" w:fill="auto"/>
            <w:noWrap/>
            <w:vAlign w:val="center"/>
          </w:tcPr>
          <w:p w14:paraId="5BD629B5" w14:textId="77777777" w:rsidR="006822EF" w:rsidRPr="00C7354B" w:rsidRDefault="006822EF" w:rsidP="00AB066F">
            <w:pPr>
              <w:widowControl w:val="0"/>
              <w:spacing w:line="240" w:lineRule="auto"/>
              <w:jc w:val="left"/>
              <w:rPr>
                <w:i/>
                <w:iCs/>
                <w:color w:val="000000" w:themeColor="text1"/>
                <w:kern w:val="2"/>
                <w:sz w:val="22"/>
                <w:lang w:eastAsia="zh-CN"/>
              </w:rPr>
            </w:pPr>
            <w:r w:rsidRPr="00C7354B">
              <w:rPr>
                <w:rFonts w:eastAsia="Helvetica"/>
                <w:i/>
                <w:iCs/>
                <w:color w:val="000000" w:themeColor="text1"/>
                <w:sz w:val="22"/>
              </w:rPr>
              <w:t xml:space="preserve">   AIC</w:t>
            </w:r>
          </w:p>
        </w:tc>
        <w:tc>
          <w:tcPr>
            <w:tcW w:w="1267" w:type="dxa"/>
            <w:tcBorders>
              <w:top w:val="nil"/>
              <w:left w:val="nil"/>
              <w:right w:val="nil"/>
            </w:tcBorders>
            <w:vAlign w:val="center"/>
          </w:tcPr>
          <w:p w14:paraId="420AF3DF"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-449.2</w:t>
            </w:r>
          </w:p>
        </w:tc>
        <w:tc>
          <w:tcPr>
            <w:tcW w:w="1266" w:type="dxa"/>
            <w:tcBorders>
              <w:top w:val="nil"/>
              <w:left w:val="nil"/>
              <w:right w:val="nil"/>
            </w:tcBorders>
            <w:shd w:val="clear" w:color="auto" w:fill="auto"/>
            <w:noWrap/>
            <w:vAlign w:val="center"/>
          </w:tcPr>
          <w:p w14:paraId="393A9A2A"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-343.5</w:t>
            </w:r>
          </w:p>
        </w:tc>
        <w:tc>
          <w:tcPr>
            <w:tcW w:w="1266" w:type="dxa"/>
            <w:tcBorders>
              <w:top w:val="nil"/>
              <w:left w:val="nil"/>
              <w:right w:val="nil"/>
            </w:tcBorders>
            <w:shd w:val="clear" w:color="auto" w:fill="auto"/>
            <w:noWrap/>
            <w:vAlign w:val="center"/>
          </w:tcPr>
          <w:p w14:paraId="1839032B"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-409.2</w:t>
            </w:r>
          </w:p>
        </w:tc>
        <w:tc>
          <w:tcPr>
            <w:tcW w:w="1266" w:type="dxa"/>
            <w:tcBorders>
              <w:top w:val="nil"/>
              <w:left w:val="nil"/>
              <w:right w:val="nil"/>
            </w:tcBorders>
            <w:shd w:val="clear" w:color="auto" w:fill="auto"/>
            <w:noWrap/>
            <w:vAlign w:val="center"/>
          </w:tcPr>
          <w:p w14:paraId="5E3B4E27"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-119.5</w:t>
            </w:r>
          </w:p>
        </w:tc>
        <w:tc>
          <w:tcPr>
            <w:tcW w:w="1266" w:type="dxa"/>
            <w:tcBorders>
              <w:top w:val="nil"/>
              <w:left w:val="nil"/>
              <w:right w:val="nil"/>
            </w:tcBorders>
            <w:shd w:val="clear" w:color="auto" w:fill="auto"/>
            <w:noWrap/>
            <w:vAlign w:val="center"/>
          </w:tcPr>
          <w:p w14:paraId="24321D97"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-82.6</w:t>
            </w:r>
          </w:p>
        </w:tc>
      </w:tr>
      <w:tr w:rsidR="006822EF" w:rsidRPr="00C7354B" w14:paraId="3404D73D" w14:textId="77777777" w:rsidTr="00640871">
        <w:trPr>
          <w:trHeight w:val="89"/>
          <w:jc w:val="center"/>
        </w:trPr>
        <w:tc>
          <w:tcPr>
            <w:tcW w:w="3025" w:type="dxa"/>
            <w:tcBorders>
              <w:top w:val="nil"/>
              <w:left w:val="nil"/>
              <w:right w:val="nil"/>
            </w:tcBorders>
            <w:shd w:val="clear" w:color="auto" w:fill="auto"/>
            <w:noWrap/>
            <w:vAlign w:val="center"/>
          </w:tcPr>
          <w:p w14:paraId="43BB70F5" w14:textId="77777777" w:rsidR="006822EF" w:rsidRPr="00C7354B" w:rsidRDefault="006822EF" w:rsidP="00AB066F">
            <w:pPr>
              <w:widowControl w:val="0"/>
              <w:spacing w:line="240" w:lineRule="auto"/>
              <w:jc w:val="left"/>
              <w:rPr>
                <w:i/>
                <w:iCs/>
                <w:color w:val="000000" w:themeColor="text1"/>
                <w:kern w:val="2"/>
                <w:sz w:val="22"/>
                <w:lang w:eastAsia="zh-CN"/>
              </w:rPr>
            </w:pPr>
            <w:r w:rsidRPr="00C7354B">
              <w:rPr>
                <w:rFonts w:eastAsia="Helvetica"/>
                <w:i/>
                <w:iCs/>
                <w:color w:val="000000" w:themeColor="text1"/>
                <w:sz w:val="22"/>
              </w:rPr>
              <w:t xml:space="preserve">   BIC</w:t>
            </w:r>
          </w:p>
        </w:tc>
        <w:tc>
          <w:tcPr>
            <w:tcW w:w="1267" w:type="dxa"/>
            <w:tcBorders>
              <w:top w:val="nil"/>
              <w:left w:val="nil"/>
              <w:right w:val="nil"/>
            </w:tcBorders>
            <w:vAlign w:val="center"/>
          </w:tcPr>
          <w:p w14:paraId="08E92E0A"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-421.2</w:t>
            </w:r>
          </w:p>
        </w:tc>
        <w:tc>
          <w:tcPr>
            <w:tcW w:w="1266" w:type="dxa"/>
            <w:tcBorders>
              <w:top w:val="nil"/>
              <w:left w:val="nil"/>
              <w:right w:val="nil"/>
            </w:tcBorders>
            <w:shd w:val="clear" w:color="auto" w:fill="auto"/>
            <w:noWrap/>
            <w:vAlign w:val="center"/>
          </w:tcPr>
          <w:p w14:paraId="7497F099"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-315.2</w:t>
            </w:r>
          </w:p>
        </w:tc>
        <w:tc>
          <w:tcPr>
            <w:tcW w:w="1266" w:type="dxa"/>
            <w:tcBorders>
              <w:top w:val="nil"/>
              <w:left w:val="nil"/>
              <w:right w:val="nil"/>
            </w:tcBorders>
            <w:shd w:val="clear" w:color="auto" w:fill="auto"/>
            <w:noWrap/>
            <w:vAlign w:val="center"/>
          </w:tcPr>
          <w:p w14:paraId="03F61BEA"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-378.8</w:t>
            </w:r>
          </w:p>
        </w:tc>
        <w:tc>
          <w:tcPr>
            <w:tcW w:w="1266" w:type="dxa"/>
            <w:tcBorders>
              <w:top w:val="nil"/>
              <w:left w:val="nil"/>
              <w:right w:val="nil"/>
            </w:tcBorders>
            <w:shd w:val="clear" w:color="auto" w:fill="auto"/>
            <w:noWrap/>
            <w:vAlign w:val="center"/>
          </w:tcPr>
          <w:p w14:paraId="13999D14"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-103.1</w:t>
            </w:r>
          </w:p>
        </w:tc>
        <w:tc>
          <w:tcPr>
            <w:tcW w:w="1266" w:type="dxa"/>
            <w:tcBorders>
              <w:top w:val="nil"/>
              <w:left w:val="nil"/>
              <w:right w:val="nil"/>
            </w:tcBorders>
            <w:shd w:val="clear" w:color="auto" w:fill="auto"/>
            <w:noWrap/>
            <w:vAlign w:val="center"/>
          </w:tcPr>
          <w:p w14:paraId="072BBD2B"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-68.0</w:t>
            </w:r>
          </w:p>
        </w:tc>
      </w:tr>
      <w:tr w:rsidR="006822EF" w:rsidRPr="00C7354B" w14:paraId="6CE73526" w14:textId="77777777" w:rsidTr="00640871">
        <w:trPr>
          <w:trHeight w:val="89"/>
          <w:jc w:val="center"/>
        </w:trPr>
        <w:tc>
          <w:tcPr>
            <w:tcW w:w="3025" w:type="dxa"/>
            <w:tcBorders>
              <w:top w:val="nil"/>
              <w:left w:val="nil"/>
              <w:right w:val="nil"/>
            </w:tcBorders>
            <w:shd w:val="clear" w:color="auto" w:fill="auto"/>
            <w:noWrap/>
            <w:vAlign w:val="center"/>
          </w:tcPr>
          <w:p w14:paraId="38C216FA" w14:textId="77777777" w:rsidR="006822EF" w:rsidRPr="00C7354B" w:rsidRDefault="006822EF" w:rsidP="00AB066F">
            <w:pPr>
              <w:widowControl w:val="0"/>
              <w:spacing w:line="240" w:lineRule="auto"/>
              <w:jc w:val="left"/>
              <w:rPr>
                <w:i/>
                <w:iCs/>
                <w:color w:val="000000" w:themeColor="text1"/>
                <w:kern w:val="2"/>
                <w:sz w:val="22"/>
                <w:lang w:eastAsia="zh-CN"/>
              </w:rPr>
            </w:pPr>
            <w:r w:rsidRPr="00C7354B">
              <w:rPr>
                <w:i/>
                <w:iCs/>
                <w:color w:val="000000" w:themeColor="text1"/>
                <w:kern w:val="2"/>
                <w:sz w:val="22"/>
                <w:lang w:eastAsia="zh-CN"/>
              </w:rPr>
              <w:t xml:space="preserve">   N</w:t>
            </w:r>
          </w:p>
        </w:tc>
        <w:tc>
          <w:tcPr>
            <w:tcW w:w="1267" w:type="dxa"/>
            <w:tcBorders>
              <w:top w:val="nil"/>
              <w:left w:val="nil"/>
              <w:right w:val="nil"/>
            </w:tcBorders>
            <w:vAlign w:val="center"/>
          </w:tcPr>
          <w:p w14:paraId="08F84A2B"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1,078,996</w:t>
            </w:r>
          </w:p>
        </w:tc>
        <w:tc>
          <w:tcPr>
            <w:tcW w:w="1266" w:type="dxa"/>
            <w:tcBorders>
              <w:top w:val="nil"/>
              <w:left w:val="nil"/>
              <w:right w:val="nil"/>
            </w:tcBorders>
            <w:shd w:val="clear" w:color="auto" w:fill="auto"/>
            <w:noWrap/>
            <w:vAlign w:val="center"/>
          </w:tcPr>
          <w:p w14:paraId="384202D4"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662,250</w:t>
            </w:r>
          </w:p>
        </w:tc>
        <w:tc>
          <w:tcPr>
            <w:tcW w:w="1266" w:type="dxa"/>
            <w:tcBorders>
              <w:top w:val="nil"/>
              <w:left w:val="nil"/>
              <w:right w:val="nil"/>
            </w:tcBorders>
            <w:shd w:val="clear" w:color="auto" w:fill="auto"/>
            <w:noWrap/>
            <w:vAlign w:val="center"/>
          </w:tcPr>
          <w:p w14:paraId="57734320"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1,017,457</w:t>
            </w:r>
          </w:p>
        </w:tc>
        <w:tc>
          <w:tcPr>
            <w:tcW w:w="1266" w:type="dxa"/>
            <w:tcBorders>
              <w:top w:val="nil"/>
              <w:left w:val="nil"/>
              <w:right w:val="nil"/>
            </w:tcBorders>
            <w:shd w:val="clear" w:color="auto" w:fill="auto"/>
            <w:noWrap/>
            <w:vAlign w:val="center"/>
          </w:tcPr>
          <w:p w14:paraId="7BE300BB"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185,249</w:t>
            </w:r>
          </w:p>
        </w:tc>
        <w:tc>
          <w:tcPr>
            <w:tcW w:w="1266" w:type="dxa"/>
            <w:tcBorders>
              <w:top w:val="nil"/>
              <w:left w:val="nil"/>
              <w:right w:val="nil"/>
            </w:tcBorders>
            <w:shd w:val="clear" w:color="auto" w:fill="auto"/>
            <w:noWrap/>
            <w:vAlign w:val="center"/>
          </w:tcPr>
          <w:p w14:paraId="4EA00B88"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165,810</w:t>
            </w:r>
          </w:p>
        </w:tc>
      </w:tr>
      <w:tr w:rsidR="006822EF" w:rsidRPr="00C7354B" w14:paraId="04F6E3EF" w14:textId="77777777" w:rsidTr="00640871">
        <w:trPr>
          <w:trHeight w:val="89"/>
          <w:jc w:val="center"/>
        </w:trPr>
        <w:tc>
          <w:tcPr>
            <w:tcW w:w="3025" w:type="dxa"/>
            <w:tcBorders>
              <w:left w:val="nil"/>
              <w:bottom w:val="single" w:sz="4" w:space="0" w:color="auto"/>
              <w:right w:val="nil"/>
            </w:tcBorders>
            <w:shd w:val="clear" w:color="auto" w:fill="auto"/>
            <w:noWrap/>
            <w:vAlign w:val="center"/>
          </w:tcPr>
          <w:p w14:paraId="7CEEDD59" w14:textId="77777777" w:rsidR="006822EF" w:rsidRPr="00C7354B" w:rsidRDefault="006822EF" w:rsidP="00AB066F">
            <w:pPr>
              <w:widowControl w:val="0"/>
              <w:spacing w:line="240" w:lineRule="auto"/>
              <w:jc w:val="left"/>
              <w:rPr>
                <w:i/>
                <w:iCs/>
                <w:color w:val="000000" w:themeColor="text1"/>
                <w:kern w:val="2"/>
                <w:sz w:val="22"/>
                <w:lang w:eastAsia="zh-CN"/>
              </w:rPr>
            </w:pPr>
            <w:r w:rsidRPr="00C7354B">
              <w:rPr>
                <w:rFonts w:eastAsia="Helvetica"/>
                <w:color w:val="000000" w:themeColor="text1"/>
                <w:sz w:val="22"/>
              </w:rPr>
              <w:t xml:space="preserve">   </w:t>
            </w:r>
            <w:r w:rsidRPr="00C7354B">
              <w:rPr>
                <w:rFonts w:eastAsia="Helvetica"/>
                <w:i/>
                <w:iCs/>
                <w:color w:val="000000" w:themeColor="text1"/>
                <w:sz w:val="22"/>
              </w:rPr>
              <w:t>k</w:t>
            </w:r>
          </w:p>
        </w:tc>
        <w:tc>
          <w:tcPr>
            <w:tcW w:w="1267" w:type="dxa"/>
            <w:tcBorders>
              <w:left w:val="nil"/>
              <w:bottom w:val="single" w:sz="4" w:space="0" w:color="auto"/>
              <w:right w:val="nil"/>
            </w:tcBorders>
            <w:vAlign w:val="center"/>
          </w:tcPr>
          <w:p w14:paraId="72AEAAEC"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166</w:t>
            </w:r>
          </w:p>
        </w:tc>
        <w:tc>
          <w:tcPr>
            <w:tcW w:w="1266" w:type="dxa"/>
            <w:tcBorders>
              <w:left w:val="nil"/>
              <w:bottom w:val="single" w:sz="4" w:space="0" w:color="auto"/>
              <w:right w:val="nil"/>
            </w:tcBorders>
            <w:shd w:val="clear" w:color="auto" w:fill="auto"/>
            <w:noWrap/>
            <w:vAlign w:val="center"/>
          </w:tcPr>
          <w:p w14:paraId="31E008DC"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125</w:t>
            </w:r>
          </w:p>
        </w:tc>
        <w:tc>
          <w:tcPr>
            <w:tcW w:w="1266" w:type="dxa"/>
            <w:tcBorders>
              <w:left w:val="nil"/>
              <w:bottom w:val="single" w:sz="4" w:space="0" w:color="auto"/>
              <w:right w:val="nil"/>
            </w:tcBorders>
            <w:shd w:val="clear" w:color="auto" w:fill="auto"/>
            <w:noWrap/>
            <w:vAlign w:val="center"/>
          </w:tcPr>
          <w:p w14:paraId="7AC0B3C3"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154</w:t>
            </w:r>
          </w:p>
        </w:tc>
        <w:tc>
          <w:tcPr>
            <w:tcW w:w="1266" w:type="dxa"/>
            <w:tcBorders>
              <w:left w:val="nil"/>
              <w:bottom w:val="single" w:sz="4" w:space="0" w:color="auto"/>
              <w:right w:val="nil"/>
            </w:tcBorders>
            <w:shd w:val="clear" w:color="auto" w:fill="auto"/>
            <w:noWrap/>
            <w:vAlign w:val="center"/>
          </w:tcPr>
          <w:p w14:paraId="4DBD49DB"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38</w:t>
            </w:r>
          </w:p>
        </w:tc>
        <w:tc>
          <w:tcPr>
            <w:tcW w:w="1266" w:type="dxa"/>
            <w:tcBorders>
              <w:left w:val="nil"/>
              <w:bottom w:val="single" w:sz="4" w:space="0" w:color="auto"/>
              <w:right w:val="nil"/>
            </w:tcBorders>
            <w:shd w:val="clear" w:color="auto" w:fill="auto"/>
            <w:noWrap/>
            <w:vAlign w:val="center"/>
          </w:tcPr>
          <w:p w14:paraId="71C746E0" w14:textId="77777777" w:rsidR="006822EF" w:rsidRPr="00C7354B" w:rsidRDefault="006822EF" w:rsidP="00AB066F">
            <w:pPr>
              <w:widowControl w:val="0"/>
              <w:spacing w:line="240" w:lineRule="auto"/>
              <w:jc w:val="center"/>
              <w:rPr>
                <w:color w:val="000000" w:themeColor="text1"/>
                <w:kern w:val="2"/>
                <w:sz w:val="22"/>
                <w:lang w:eastAsia="zh-CN"/>
              </w:rPr>
            </w:pPr>
            <w:r w:rsidRPr="00C7354B">
              <w:rPr>
                <w:color w:val="000000" w:themeColor="text1"/>
                <w:kern w:val="2"/>
                <w:sz w:val="22"/>
                <w:lang w:eastAsia="zh-CN"/>
              </w:rPr>
              <w:t>25</w:t>
            </w:r>
          </w:p>
        </w:tc>
      </w:tr>
    </w:tbl>
    <w:p w14:paraId="0E92F250" w14:textId="77777777" w:rsidR="006822EF" w:rsidRPr="00C7354B" w:rsidRDefault="006822EF" w:rsidP="006822EF">
      <w:pPr>
        <w:widowControl w:val="0"/>
        <w:adjustRightInd w:val="0"/>
        <w:snapToGrid w:val="0"/>
        <w:spacing w:before="60" w:after="60" w:line="240" w:lineRule="auto"/>
        <w:rPr>
          <w:rFonts w:eastAsia="SimSun"/>
          <w:color w:val="000000" w:themeColor="text1"/>
          <w:kern w:val="2"/>
          <w:sz w:val="22"/>
          <w:lang w:val="en-US" w:eastAsia="zh-CN"/>
        </w:rPr>
      </w:pPr>
      <w:r w:rsidRPr="00C7354B">
        <w:rPr>
          <w:rFonts w:eastAsia="SimSun"/>
          <w:i/>
          <w:iCs/>
          <w:color w:val="000000" w:themeColor="text1"/>
          <w:kern w:val="2"/>
          <w:sz w:val="22"/>
          <w:lang w:val="en-US" w:eastAsia="zh-CN"/>
        </w:rPr>
        <w:t>Note</w:t>
      </w:r>
      <w:r w:rsidRPr="00C7354B">
        <w:rPr>
          <w:rFonts w:eastAsia="SimSun"/>
          <w:color w:val="000000" w:themeColor="text1"/>
          <w:kern w:val="2"/>
          <w:sz w:val="22"/>
          <w:lang w:val="en-US" w:eastAsia="zh-CN"/>
        </w:rPr>
        <w:t xml:space="preserve">: </w:t>
      </w:r>
      <w:r w:rsidRPr="00C7354B">
        <w:rPr>
          <w:rFonts w:eastAsia="SimSun"/>
          <w:i/>
          <w:iCs/>
          <w:color w:val="000000" w:themeColor="text1"/>
          <w:kern w:val="2"/>
          <w:sz w:val="22"/>
          <w:lang w:val="en-US" w:eastAsia="zh-CN"/>
        </w:rPr>
        <w:t>N</w:t>
      </w:r>
      <w:r w:rsidRPr="00C7354B">
        <w:rPr>
          <w:rFonts w:eastAsia="SimSun"/>
          <w:color w:val="000000" w:themeColor="text1"/>
          <w:kern w:val="2"/>
          <w:sz w:val="22"/>
          <w:lang w:val="en-US" w:eastAsia="zh-CN"/>
        </w:rPr>
        <w:t xml:space="preserve"> = total sample size for all samples combined in model; </w:t>
      </w:r>
      <w:r w:rsidRPr="00C7354B">
        <w:rPr>
          <w:rFonts w:eastAsia="SimSun"/>
          <w:i/>
          <w:iCs/>
          <w:color w:val="000000" w:themeColor="text1"/>
          <w:kern w:val="2"/>
          <w:sz w:val="22"/>
          <w:lang w:val="en-US" w:eastAsia="zh-CN"/>
        </w:rPr>
        <w:t>k</w:t>
      </w:r>
      <w:r w:rsidRPr="00C7354B">
        <w:rPr>
          <w:rFonts w:eastAsia="SimSun"/>
          <w:color w:val="000000" w:themeColor="text1"/>
          <w:kern w:val="2"/>
          <w:sz w:val="22"/>
          <w:lang w:val="en-US" w:eastAsia="zh-CN"/>
        </w:rPr>
        <w:t xml:space="preserve"> = number of effect sizes included in analysis; </w:t>
      </w:r>
      <m:oMath>
        <m:sSub>
          <m:sSubPr>
            <m:ctrlPr>
              <w:rPr>
                <w:rFonts w:ascii="Cambria Math" w:hAnsi="Cambria Math"/>
                <w:i/>
                <w:color w:val="000000" w:themeColor="text1"/>
                <w:kern w:val="2"/>
                <w:sz w:val="22"/>
                <w:lang w:eastAsia="zh-CN"/>
              </w:rPr>
            </m:ctrlPr>
          </m:sSubPr>
          <m:e>
            <m:r>
              <w:rPr>
                <w:rFonts w:ascii="Cambria Math" w:hAnsi="Cambria Math"/>
                <w:color w:val="000000" w:themeColor="text1"/>
                <w:kern w:val="2"/>
                <w:sz w:val="22"/>
                <w:lang w:eastAsia="zh-CN"/>
              </w:rPr>
              <m:t>Q</m:t>
            </m:r>
          </m:e>
          <m:sub>
            <m:r>
              <w:rPr>
                <w:rFonts w:ascii="Cambria Math" w:hAnsi="Cambria Math"/>
                <w:color w:val="000000" w:themeColor="text1"/>
                <w:kern w:val="2"/>
                <w:sz w:val="22"/>
                <w:lang w:eastAsia="zh-CN"/>
              </w:rPr>
              <m:t>E</m:t>
            </m:r>
          </m:sub>
        </m:sSub>
      </m:oMath>
      <w:r w:rsidRPr="00C7354B">
        <w:rPr>
          <w:rFonts w:eastAsia="SimSun"/>
          <w:color w:val="000000" w:themeColor="text1"/>
          <w:kern w:val="2"/>
          <w:sz w:val="22"/>
          <w:lang w:val="en-US" w:eastAsia="zh-CN"/>
        </w:rPr>
        <w:t xml:space="preserve"> = test statistics for the tests of heterogeneity; </w:t>
      </w:r>
      <m:oMath>
        <m:sSub>
          <m:sSubPr>
            <m:ctrlPr>
              <w:rPr>
                <w:rFonts w:ascii="Cambria Math" w:hAnsi="Cambria Math"/>
                <w:i/>
                <w:color w:val="000000" w:themeColor="text1"/>
                <w:kern w:val="2"/>
                <w:sz w:val="22"/>
                <w:lang w:eastAsia="zh-CN"/>
              </w:rPr>
            </m:ctrlPr>
          </m:sSubPr>
          <m:e>
            <m:r>
              <m:rPr>
                <m:sty m:val="p"/>
              </m:rPr>
              <w:rPr>
                <w:rFonts w:ascii="Cambria Math" w:hAnsi="Cambria Math"/>
                <w:color w:val="000000" w:themeColor="text1"/>
                <w:kern w:val="2"/>
                <w:sz w:val="22"/>
                <w:lang w:eastAsia="zh-CN"/>
              </w:rPr>
              <m:t>Δ</m:t>
            </m:r>
            <m:r>
              <w:rPr>
                <w:rFonts w:ascii="Cambria Math" w:hAnsi="Cambria Math"/>
                <w:color w:val="000000" w:themeColor="text1"/>
                <w:kern w:val="2"/>
                <w:sz w:val="22"/>
                <w:lang w:eastAsia="zh-CN"/>
              </w:rPr>
              <m:t>Q</m:t>
            </m:r>
          </m:e>
          <m:sub>
            <m:r>
              <m:rPr>
                <m:sty m:val="p"/>
              </m:rPr>
              <w:rPr>
                <w:rFonts w:ascii="Cambria Math" w:hAnsi="Cambria Math"/>
                <w:color w:val="000000" w:themeColor="text1"/>
                <w:kern w:val="2"/>
                <w:sz w:val="22"/>
                <w:lang w:val="en-US" w:eastAsia="zh-CN"/>
              </w:rPr>
              <m:t>E</m:t>
            </m:r>
          </m:sub>
        </m:sSub>
      </m:oMath>
      <w:r w:rsidRPr="00C7354B">
        <w:rPr>
          <w:rFonts w:eastAsia="SimSun"/>
          <w:color w:val="000000" w:themeColor="text1"/>
          <w:kern w:val="2"/>
          <w:sz w:val="22"/>
          <w:lang w:val="en-US" w:eastAsia="zh-CN"/>
        </w:rPr>
        <w:t xml:space="preserve"> = difference in</w:t>
      </w:r>
      <w:r w:rsidRPr="00C7354B">
        <w:rPr>
          <w:rFonts w:eastAsia="SimSun"/>
          <w:i/>
          <w:iCs/>
          <w:color w:val="000000" w:themeColor="text1"/>
          <w:kern w:val="2"/>
          <w:sz w:val="22"/>
          <w:lang w:val="en-US" w:eastAsia="zh-CN"/>
        </w:rPr>
        <w:t xml:space="preserve"> </w:t>
      </w:r>
      <m:oMath>
        <m:sSub>
          <m:sSubPr>
            <m:ctrlPr>
              <w:rPr>
                <w:rFonts w:ascii="Cambria Math" w:hAnsi="Cambria Math"/>
                <w:i/>
                <w:iCs/>
                <w:color w:val="000000" w:themeColor="text1"/>
                <w:kern w:val="2"/>
                <w:sz w:val="22"/>
                <w:lang w:eastAsia="zh-CN"/>
              </w:rPr>
            </m:ctrlPr>
          </m:sSubPr>
          <m:e>
            <m:r>
              <w:rPr>
                <w:rFonts w:ascii="Cambria Math" w:hAnsi="Cambria Math"/>
                <w:color w:val="000000" w:themeColor="text1"/>
                <w:kern w:val="2"/>
                <w:sz w:val="22"/>
                <w:lang w:eastAsia="zh-CN"/>
              </w:rPr>
              <m:t>Q</m:t>
            </m:r>
          </m:e>
          <m:sub>
            <m:r>
              <w:rPr>
                <w:rFonts w:ascii="Cambria Math" w:hAnsi="Cambria Math"/>
                <w:color w:val="000000" w:themeColor="text1"/>
                <w:kern w:val="2"/>
                <w:sz w:val="22"/>
                <w:lang w:eastAsia="zh-CN"/>
              </w:rPr>
              <m:t>E</m:t>
            </m:r>
          </m:sub>
        </m:sSub>
      </m:oMath>
      <w:r w:rsidRPr="00C7354B">
        <w:rPr>
          <w:rFonts w:eastAsia="SimSun"/>
          <w:color w:val="000000" w:themeColor="text1"/>
          <w:kern w:val="2"/>
          <w:sz w:val="22"/>
          <w:lang w:val="en-US" w:eastAsia="zh-CN"/>
        </w:rPr>
        <w:t xml:space="preserve">between a model without predictors and a model with predictors; </w:t>
      </w:r>
      <w:r w:rsidRPr="00C7354B">
        <w:rPr>
          <w:rFonts w:eastAsia="SimSun"/>
          <w:i/>
          <w:iCs/>
          <w:color w:val="000000" w:themeColor="text1"/>
          <w:kern w:val="2"/>
          <w:sz w:val="22"/>
          <w:lang w:val="en-US" w:eastAsia="zh-CN"/>
        </w:rPr>
        <w:t>AIC</w:t>
      </w:r>
      <w:r w:rsidRPr="00C7354B">
        <w:rPr>
          <w:rFonts w:eastAsia="SimSun"/>
          <w:color w:val="000000" w:themeColor="text1"/>
          <w:kern w:val="2"/>
          <w:sz w:val="22"/>
          <w:lang w:val="en-US" w:eastAsia="zh-CN"/>
        </w:rPr>
        <w:t xml:space="preserve"> = Akaike information criterion; </w:t>
      </w:r>
      <w:r w:rsidRPr="00C7354B">
        <w:rPr>
          <w:rFonts w:eastAsia="SimSun"/>
          <w:i/>
          <w:iCs/>
          <w:color w:val="000000" w:themeColor="text1"/>
          <w:kern w:val="2"/>
          <w:sz w:val="22"/>
          <w:lang w:val="en-US" w:eastAsia="zh-CN"/>
        </w:rPr>
        <w:t>BIC</w:t>
      </w:r>
      <w:r w:rsidRPr="00C7354B">
        <w:rPr>
          <w:rFonts w:eastAsia="SimSun"/>
          <w:color w:val="000000" w:themeColor="text1"/>
          <w:kern w:val="2"/>
          <w:sz w:val="22"/>
          <w:lang w:val="en-US" w:eastAsia="zh-CN"/>
        </w:rPr>
        <w:t xml:space="preserve"> = Bayesian information criterion. Values outside the parentheses represent regression coefficients, and values inside parentheses represent standard errors of the coefficients.</w:t>
      </w:r>
    </w:p>
    <w:p w14:paraId="36669A2A" w14:textId="77777777" w:rsidR="006822EF" w:rsidRPr="00112F84" w:rsidRDefault="006822EF" w:rsidP="006822EF">
      <w:pPr>
        <w:spacing w:line="240" w:lineRule="auto"/>
        <w:jc w:val="left"/>
        <w:rPr>
          <w:color w:val="000000" w:themeColor="text1"/>
          <w:sz w:val="20"/>
          <w:szCs w:val="20"/>
          <w:lang w:val="en-US"/>
        </w:rPr>
      </w:pPr>
    </w:p>
    <w:p w14:paraId="19351274" w14:textId="77777777" w:rsidR="006822EF" w:rsidRPr="00112F84" w:rsidRDefault="006822EF" w:rsidP="006822EF">
      <w:pPr>
        <w:spacing w:line="240" w:lineRule="auto"/>
        <w:jc w:val="left"/>
        <w:rPr>
          <w:rFonts w:eastAsiaTheme="majorEastAsia"/>
          <w:b/>
          <w:bCs/>
          <w:color w:val="000000" w:themeColor="text1"/>
          <w:sz w:val="20"/>
          <w:szCs w:val="20"/>
          <w:lang w:val="en-US"/>
        </w:rPr>
      </w:pPr>
      <w:r w:rsidRPr="00112F84">
        <w:rPr>
          <w:color w:val="000000" w:themeColor="text1"/>
          <w:sz w:val="20"/>
          <w:szCs w:val="20"/>
          <w:lang w:val="en-US"/>
        </w:rPr>
        <w:br w:type="page"/>
      </w:r>
    </w:p>
    <w:bookmarkEnd w:id="237"/>
    <w:p w14:paraId="2411B3C6" w14:textId="04A1F454" w:rsidR="006822EF" w:rsidRPr="003F7435" w:rsidRDefault="006822EF" w:rsidP="00902A38">
      <w:pPr>
        <w:pStyle w:val="1fake"/>
      </w:pPr>
      <w:r w:rsidRPr="003F7435">
        <w:lastRenderedPageBreak/>
        <w:t>FIGURE 1</w:t>
      </w:r>
    </w:p>
    <w:p w14:paraId="61C77C7A" w14:textId="098FF0CD" w:rsidR="003A640A" w:rsidRPr="003A640A" w:rsidRDefault="003A640A" w:rsidP="004F0D7F">
      <w:pPr>
        <w:pStyle w:val="Beschriftung"/>
      </w:pPr>
      <w:bookmarkStart w:id="243" w:name="_Toc180994498"/>
      <w:r>
        <w:t xml:space="preserve">F - I - </w:t>
      </w:r>
      <w:r>
        <w:fldChar w:fldCharType="begin"/>
      </w:r>
      <w:r>
        <w:instrText xml:space="preserve"> SEQ F_-_I_- \* ARABIC </w:instrText>
      </w:r>
      <w:r>
        <w:fldChar w:fldCharType="separate"/>
      </w:r>
      <w:r w:rsidR="00E91088">
        <w:rPr>
          <w:noProof/>
        </w:rPr>
        <w:t>1</w:t>
      </w:r>
      <w:r>
        <w:fldChar w:fldCharType="end"/>
      </w:r>
      <w:r>
        <w:t xml:space="preserve">: </w:t>
      </w:r>
      <w:r w:rsidRPr="003152B9">
        <w:t xml:space="preserve">Research </w:t>
      </w:r>
      <w:r w:rsidR="007F2F08">
        <w:t>m</w:t>
      </w:r>
      <w:r w:rsidRPr="003152B9">
        <w:t>odel</w:t>
      </w:r>
      <w:bookmarkEnd w:id="243"/>
    </w:p>
    <w:p w14:paraId="3761CA85" w14:textId="77777777" w:rsidR="006822EF" w:rsidRDefault="006822EF" w:rsidP="006822EF">
      <w:pPr>
        <w:pStyle w:val="Paragraph"/>
        <w:ind w:firstLine="0"/>
        <w:jc w:val="center"/>
      </w:pPr>
      <w:r>
        <w:rPr>
          <w:noProof/>
        </w:rPr>
        <w:drawing>
          <wp:inline distT="0" distB="0" distL="0" distR="0" wp14:anchorId="3C1CBBAF" wp14:editId="2C54999D">
            <wp:extent cx="5760000" cy="2419641"/>
            <wp:effectExtent l="0" t="0" r="0" b="0"/>
            <wp:docPr id="996926746" name="Grafik 1" descr="Ein Bild, das Text, Diagramm, Plan,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26746" name="Grafik 1" descr="Ein Bild, das Text, Diagramm, Plan, Reihe enthält.&#10;&#10;Automatisch generierte Beschreibung"/>
                    <pic:cNvPicPr>
                      <a:picLocks noChangeAspect="1" noChangeArrowheads="1"/>
                    </pic:cNvPicPr>
                  </pic:nvPicPr>
                  <pic:blipFill rotWithShape="1">
                    <a:blip r:embed="rId23">
                      <a:extLst>
                        <a:ext uri="{28A0092B-C50C-407E-A947-70E740481C1C}">
                          <a14:useLocalDpi xmlns:a14="http://schemas.microsoft.com/office/drawing/2010/main" val="0"/>
                        </a:ext>
                      </a:extLst>
                    </a:blip>
                    <a:srcRect t="13696" b="11621"/>
                    <a:stretch/>
                  </pic:blipFill>
                  <pic:spPr bwMode="auto">
                    <a:xfrm>
                      <a:off x="0" y="0"/>
                      <a:ext cx="5760000" cy="2419641"/>
                    </a:xfrm>
                    <a:prstGeom prst="rect">
                      <a:avLst/>
                    </a:prstGeom>
                    <a:noFill/>
                    <a:ln>
                      <a:noFill/>
                    </a:ln>
                    <a:extLst>
                      <a:ext uri="{53640926-AAD7-44D8-BBD7-CCE9431645EC}">
                        <a14:shadowObscured xmlns:a14="http://schemas.microsoft.com/office/drawing/2010/main"/>
                      </a:ext>
                    </a:extLst>
                  </pic:spPr>
                </pic:pic>
              </a:graphicData>
            </a:graphic>
          </wp:inline>
        </w:drawing>
      </w:r>
    </w:p>
    <w:p w14:paraId="42B32087" w14:textId="77777777" w:rsidR="00640871" w:rsidRDefault="00640871">
      <w:pPr>
        <w:spacing w:after="160" w:line="259" w:lineRule="auto"/>
        <w:jc w:val="left"/>
        <w:rPr>
          <w:rFonts w:eastAsiaTheme="majorEastAsia" w:cstheme="majorBidi"/>
          <w:b/>
          <w:caps/>
          <w:szCs w:val="32"/>
          <w:lang w:val="en-US"/>
        </w:rPr>
      </w:pPr>
      <w:r>
        <w:br w:type="page"/>
      </w:r>
    </w:p>
    <w:p w14:paraId="33B27EF3" w14:textId="3D640F7E" w:rsidR="006822EF" w:rsidRPr="003F7435" w:rsidRDefault="006822EF" w:rsidP="009572A7">
      <w:pPr>
        <w:pStyle w:val="1fake"/>
      </w:pPr>
      <w:r w:rsidRPr="003F7435">
        <w:lastRenderedPageBreak/>
        <w:t>FIGURE 2</w:t>
      </w:r>
    </w:p>
    <w:p w14:paraId="2AC12487" w14:textId="3E020751" w:rsidR="003A640A" w:rsidRPr="003A640A" w:rsidRDefault="003A640A" w:rsidP="004F0D7F">
      <w:pPr>
        <w:pStyle w:val="Beschriftung"/>
      </w:pPr>
      <w:bookmarkStart w:id="244" w:name="_Toc180994499"/>
      <w:r>
        <w:t xml:space="preserve">F - I - </w:t>
      </w:r>
      <w:r>
        <w:fldChar w:fldCharType="begin"/>
      </w:r>
      <w:r>
        <w:instrText xml:space="preserve"> SEQ F_-_I_- \* ARABIC </w:instrText>
      </w:r>
      <w:r>
        <w:fldChar w:fldCharType="separate"/>
      </w:r>
      <w:r w:rsidR="00E91088">
        <w:rPr>
          <w:noProof/>
        </w:rPr>
        <w:t>2</w:t>
      </w:r>
      <w:r>
        <w:fldChar w:fldCharType="end"/>
      </w:r>
      <w:r>
        <w:t xml:space="preserve">: </w:t>
      </w:r>
      <w:r w:rsidRPr="003B057E">
        <w:t xml:space="preserve">MASEM </w:t>
      </w:r>
      <w:r w:rsidR="007F2F08">
        <w:t>r</w:t>
      </w:r>
      <w:r w:rsidRPr="003B057E">
        <w:t>esults</w:t>
      </w:r>
      <w:bookmarkEnd w:id="244"/>
    </w:p>
    <w:p w14:paraId="2D1FE83A" w14:textId="77777777" w:rsidR="006822EF" w:rsidRPr="00E92B73" w:rsidRDefault="006822EF" w:rsidP="006822EF">
      <w:pPr>
        <w:pStyle w:val="TabelleHeading"/>
        <w:jc w:val="both"/>
        <w:rPr>
          <w:lang w:val="en-US"/>
        </w:rPr>
      </w:pPr>
      <w:r>
        <w:rPr>
          <w:noProof/>
          <w:lang w:val="en-US"/>
        </w:rPr>
        <w:drawing>
          <wp:inline distT="0" distB="0" distL="0" distR="0" wp14:anchorId="2FBEF0B6" wp14:editId="76733924">
            <wp:extent cx="5760000" cy="2453401"/>
            <wp:effectExtent l="0" t="0" r="0" b="4445"/>
            <wp:docPr id="2063268293" name="Grafik 2" descr="Ein Bild, das Text, Diagramm, Plan,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68293" name="Grafik 2" descr="Ein Bild, das Text, Diagramm, Plan, Reihe enthält.&#10;&#10;Automatisch generierte Beschreibung"/>
                    <pic:cNvPicPr>
                      <a:picLocks noChangeAspect="1" noChangeArrowheads="1"/>
                    </pic:cNvPicPr>
                  </pic:nvPicPr>
                  <pic:blipFill rotWithShape="1">
                    <a:blip r:embed="rId24">
                      <a:extLst>
                        <a:ext uri="{28A0092B-C50C-407E-A947-70E740481C1C}">
                          <a14:useLocalDpi xmlns:a14="http://schemas.microsoft.com/office/drawing/2010/main" val="0"/>
                        </a:ext>
                      </a:extLst>
                    </a:blip>
                    <a:srcRect t="15247" b="9030"/>
                    <a:stretch/>
                  </pic:blipFill>
                  <pic:spPr bwMode="auto">
                    <a:xfrm>
                      <a:off x="0" y="0"/>
                      <a:ext cx="5760000" cy="2453401"/>
                    </a:xfrm>
                    <a:prstGeom prst="rect">
                      <a:avLst/>
                    </a:prstGeom>
                    <a:noFill/>
                    <a:ln>
                      <a:noFill/>
                    </a:ln>
                    <a:extLst>
                      <a:ext uri="{53640926-AAD7-44D8-BBD7-CCE9431645EC}">
                        <a14:shadowObscured xmlns:a14="http://schemas.microsoft.com/office/drawing/2010/main"/>
                      </a:ext>
                    </a:extLst>
                  </pic:spPr>
                </pic:pic>
              </a:graphicData>
            </a:graphic>
          </wp:inline>
        </w:drawing>
      </w:r>
    </w:p>
    <w:p w14:paraId="0C751D96" w14:textId="52667DA5" w:rsidR="00406027" w:rsidRDefault="00406027">
      <w:pPr>
        <w:spacing w:after="160" w:line="259" w:lineRule="auto"/>
        <w:jc w:val="left"/>
        <w:rPr>
          <w:lang w:val="en-US"/>
        </w:rPr>
      </w:pPr>
      <w:r>
        <w:rPr>
          <w:lang w:val="en-US"/>
        </w:rPr>
        <w:br w:type="page"/>
      </w:r>
    </w:p>
    <w:p w14:paraId="00F56C7C" w14:textId="77777777" w:rsidR="00406027" w:rsidRPr="004E5844" w:rsidRDefault="00406027" w:rsidP="00406027">
      <w:pPr>
        <w:pStyle w:val="1fake"/>
      </w:pPr>
      <w:r>
        <w:lastRenderedPageBreak/>
        <w:t>O</w:t>
      </w:r>
      <w:r w:rsidRPr="004E5844">
        <w:t>nline Supplement 1</w:t>
      </w:r>
      <w:r>
        <w:t>A</w:t>
      </w:r>
    </w:p>
    <w:p w14:paraId="3EC66868" w14:textId="0F15756C" w:rsidR="003A640A" w:rsidRPr="00F51C95" w:rsidRDefault="003A640A" w:rsidP="003A640A">
      <w:pPr>
        <w:pStyle w:val="Tabelle"/>
      </w:pPr>
      <w:bookmarkStart w:id="245" w:name="_Toc180964658"/>
      <w:r>
        <w:t xml:space="preserve">T - I - </w:t>
      </w:r>
      <w:r>
        <w:fldChar w:fldCharType="begin"/>
      </w:r>
      <w:r w:rsidRPr="00846329">
        <w:instrText xml:space="preserve"> SEQ T_-_I_- \* ARABIC </w:instrText>
      </w:r>
      <w:r>
        <w:fldChar w:fldCharType="separate"/>
      </w:r>
      <w:r w:rsidR="00E91088">
        <w:rPr>
          <w:noProof/>
        </w:rPr>
        <w:t>8</w:t>
      </w:r>
      <w:r>
        <w:fldChar w:fldCharType="end"/>
      </w:r>
      <w:r>
        <w:t xml:space="preserve">: </w:t>
      </w:r>
      <w:r w:rsidRPr="006C3A9C">
        <w:t xml:space="preserve">Studies </w:t>
      </w:r>
      <w:r w:rsidR="007F2F08">
        <w:t>i</w:t>
      </w:r>
      <w:r w:rsidRPr="006C3A9C">
        <w:t xml:space="preserve">ncluded in the </w:t>
      </w:r>
      <w:r w:rsidR="007F2F08">
        <w:t>m</w:t>
      </w:r>
      <w:r w:rsidRPr="006C3A9C">
        <w:t>eta-</w:t>
      </w:r>
      <w:r w:rsidR="007F2F08">
        <w:t>a</w:t>
      </w:r>
      <w:r w:rsidRPr="006C3A9C">
        <w:t>nalysis</w:t>
      </w:r>
      <w:bookmarkEnd w:id="245"/>
    </w:p>
    <w:tbl>
      <w:tblPr>
        <w:tblW w:w="9052" w:type="dxa"/>
        <w:jc w:val="center"/>
        <w:tblLayout w:type="fixed"/>
        <w:tblCellMar>
          <w:top w:w="57" w:type="dxa"/>
          <w:left w:w="6" w:type="dxa"/>
          <w:bottom w:w="6" w:type="dxa"/>
          <w:right w:w="6" w:type="dxa"/>
        </w:tblCellMar>
        <w:tblLook w:val="04A0" w:firstRow="1" w:lastRow="0" w:firstColumn="1" w:lastColumn="0" w:noHBand="0" w:noVBand="1"/>
      </w:tblPr>
      <w:tblGrid>
        <w:gridCol w:w="3685"/>
        <w:gridCol w:w="1134"/>
        <w:gridCol w:w="1033"/>
        <w:gridCol w:w="1134"/>
        <w:gridCol w:w="1033"/>
        <w:gridCol w:w="1033"/>
      </w:tblGrid>
      <w:tr w:rsidR="00406027" w:rsidRPr="00C7354B" w14:paraId="0C4C7C5B" w14:textId="77777777" w:rsidTr="00846329">
        <w:trPr>
          <w:trHeight w:val="85"/>
          <w:jc w:val="center"/>
        </w:trPr>
        <w:tc>
          <w:tcPr>
            <w:tcW w:w="3685" w:type="dxa"/>
            <w:tcBorders>
              <w:top w:val="single" w:sz="4" w:space="0" w:color="auto"/>
              <w:left w:val="nil"/>
              <w:bottom w:val="single" w:sz="4" w:space="0" w:color="auto"/>
              <w:right w:val="nil"/>
            </w:tcBorders>
            <w:shd w:val="clear" w:color="auto" w:fill="auto"/>
            <w:noWrap/>
            <w:vAlign w:val="center"/>
            <w:hideMark/>
          </w:tcPr>
          <w:p w14:paraId="1D82528A" w14:textId="77777777" w:rsidR="00406027" w:rsidRPr="00C7354B" w:rsidRDefault="00406027" w:rsidP="006B1B51">
            <w:pPr>
              <w:widowControl w:val="0"/>
              <w:spacing w:line="240" w:lineRule="auto"/>
              <w:jc w:val="left"/>
              <w:rPr>
                <w:rFonts w:eastAsia="Helvetica"/>
                <w:b/>
                <w:bCs/>
                <w:color w:val="000000" w:themeColor="text1"/>
                <w:sz w:val="22"/>
              </w:rPr>
            </w:pPr>
            <w:r w:rsidRPr="00C7354B">
              <w:rPr>
                <w:rFonts w:eastAsia="Helvetica"/>
                <w:b/>
                <w:bCs/>
                <w:color w:val="000000" w:themeColor="text1"/>
                <w:sz w:val="22"/>
              </w:rPr>
              <w:t>Study</w:t>
            </w:r>
          </w:p>
        </w:tc>
        <w:tc>
          <w:tcPr>
            <w:tcW w:w="1134" w:type="dxa"/>
            <w:tcBorders>
              <w:top w:val="single" w:sz="4" w:space="0" w:color="auto"/>
              <w:left w:val="nil"/>
              <w:bottom w:val="single" w:sz="4" w:space="0" w:color="auto"/>
              <w:right w:val="nil"/>
            </w:tcBorders>
            <w:shd w:val="clear" w:color="auto" w:fill="auto"/>
            <w:noWrap/>
            <w:vAlign w:val="center"/>
            <w:hideMark/>
          </w:tcPr>
          <w:p w14:paraId="2BA539FF" w14:textId="77777777" w:rsidR="00406027" w:rsidRPr="00C7354B" w:rsidRDefault="00406027" w:rsidP="006B1B51">
            <w:pPr>
              <w:widowControl w:val="0"/>
              <w:spacing w:line="240" w:lineRule="auto"/>
              <w:jc w:val="center"/>
              <w:rPr>
                <w:rFonts w:eastAsia="Helvetica"/>
                <w:b/>
                <w:bCs/>
                <w:color w:val="000000" w:themeColor="text1"/>
                <w:sz w:val="22"/>
              </w:rPr>
            </w:pPr>
            <w:r w:rsidRPr="00C7354B">
              <w:rPr>
                <w:rFonts w:eastAsia="Helvetica"/>
                <w:b/>
                <w:bCs/>
                <w:color w:val="000000" w:themeColor="text1"/>
                <w:sz w:val="22"/>
              </w:rPr>
              <w:t>Publication</w:t>
            </w:r>
          </w:p>
        </w:tc>
        <w:tc>
          <w:tcPr>
            <w:tcW w:w="1033" w:type="dxa"/>
            <w:tcBorders>
              <w:top w:val="single" w:sz="4" w:space="0" w:color="auto"/>
              <w:left w:val="nil"/>
              <w:bottom w:val="single" w:sz="4" w:space="0" w:color="auto"/>
              <w:right w:val="nil"/>
            </w:tcBorders>
            <w:vAlign w:val="center"/>
          </w:tcPr>
          <w:p w14:paraId="7CAEB883" w14:textId="77777777" w:rsidR="00406027" w:rsidRPr="00C7354B" w:rsidRDefault="00406027" w:rsidP="006B1B51">
            <w:pPr>
              <w:widowControl w:val="0"/>
              <w:spacing w:line="240" w:lineRule="auto"/>
              <w:jc w:val="center"/>
              <w:rPr>
                <w:rFonts w:eastAsia="Helvetica"/>
                <w:b/>
                <w:bCs/>
                <w:color w:val="000000" w:themeColor="text1"/>
                <w:sz w:val="22"/>
              </w:rPr>
            </w:pPr>
            <w:r w:rsidRPr="00C7354B">
              <w:rPr>
                <w:rFonts w:eastAsia="Helvetica"/>
                <w:b/>
                <w:bCs/>
                <w:color w:val="000000" w:themeColor="text1"/>
                <w:sz w:val="22"/>
              </w:rPr>
              <w:t>Multiple Measures</w:t>
            </w:r>
          </w:p>
        </w:tc>
        <w:tc>
          <w:tcPr>
            <w:tcW w:w="1134" w:type="dxa"/>
            <w:tcBorders>
              <w:top w:val="single" w:sz="4" w:space="0" w:color="auto"/>
              <w:left w:val="nil"/>
              <w:bottom w:val="single" w:sz="4" w:space="0" w:color="auto"/>
              <w:right w:val="nil"/>
            </w:tcBorders>
            <w:vAlign w:val="center"/>
          </w:tcPr>
          <w:p w14:paraId="55E9615D" w14:textId="77777777" w:rsidR="00406027" w:rsidRPr="00C7354B" w:rsidRDefault="00406027" w:rsidP="006B1B51">
            <w:pPr>
              <w:widowControl w:val="0"/>
              <w:spacing w:line="240" w:lineRule="auto"/>
              <w:jc w:val="center"/>
              <w:rPr>
                <w:rFonts w:eastAsia="Helvetica"/>
                <w:b/>
                <w:bCs/>
                <w:color w:val="000000" w:themeColor="text1"/>
                <w:sz w:val="22"/>
              </w:rPr>
            </w:pPr>
            <w:r w:rsidRPr="00C7354B">
              <w:rPr>
                <w:rFonts w:eastAsia="Helvetica"/>
                <w:b/>
                <w:bCs/>
                <w:color w:val="000000" w:themeColor="text1"/>
                <w:sz w:val="22"/>
              </w:rPr>
              <w:t>Accounting Measures</w:t>
            </w:r>
          </w:p>
        </w:tc>
        <w:tc>
          <w:tcPr>
            <w:tcW w:w="1033" w:type="dxa"/>
            <w:tcBorders>
              <w:top w:val="single" w:sz="4" w:space="0" w:color="auto"/>
              <w:left w:val="nil"/>
              <w:bottom w:val="single" w:sz="4" w:space="0" w:color="auto"/>
              <w:right w:val="nil"/>
            </w:tcBorders>
            <w:vAlign w:val="center"/>
          </w:tcPr>
          <w:p w14:paraId="75491CA6" w14:textId="77777777" w:rsidR="00406027" w:rsidRPr="00C7354B" w:rsidRDefault="00406027" w:rsidP="006B1B51">
            <w:pPr>
              <w:widowControl w:val="0"/>
              <w:spacing w:line="240" w:lineRule="auto"/>
              <w:jc w:val="center"/>
              <w:rPr>
                <w:rFonts w:eastAsia="Helvetica"/>
                <w:b/>
                <w:bCs/>
                <w:color w:val="000000" w:themeColor="text1"/>
                <w:sz w:val="22"/>
              </w:rPr>
            </w:pPr>
            <w:r w:rsidRPr="00C7354B">
              <w:rPr>
                <w:rFonts w:eastAsia="Helvetica"/>
                <w:b/>
                <w:bCs/>
                <w:color w:val="000000" w:themeColor="text1"/>
                <w:sz w:val="22"/>
              </w:rPr>
              <w:t>Market Measures</w:t>
            </w:r>
          </w:p>
        </w:tc>
        <w:tc>
          <w:tcPr>
            <w:tcW w:w="1033" w:type="dxa"/>
            <w:tcBorders>
              <w:top w:val="single" w:sz="4" w:space="0" w:color="auto"/>
              <w:left w:val="nil"/>
              <w:bottom w:val="single" w:sz="4" w:space="0" w:color="auto"/>
              <w:right w:val="nil"/>
            </w:tcBorders>
            <w:vAlign w:val="center"/>
          </w:tcPr>
          <w:p w14:paraId="10DD13C7" w14:textId="77777777" w:rsidR="00406027" w:rsidRPr="00C7354B" w:rsidRDefault="00406027" w:rsidP="006B1B51">
            <w:pPr>
              <w:tabs>
                <w:tab w:val="left" w:pos="491"/>
              </w:tabs>
              <w:spacing w:line="240" w:lineRule="auto"/>
              <w:jc w:val="center"/>
              <w:rPr>
                <w:rFonts w:eastAsia="Helvetica"/>
                <w:b/>
                <w:bCs/>
                <w:color w:val="000000" w:themeColor="text1"/>
                <w:sz w:val="22"/>
              </w:rPr>
            </w:pPr>
            <w:r w:rsidRPr="00C7354B">
              <w:rPr>
                <w:rFonts w:eastAsia="Helvetica"/>
                <w:b/>
                <w:bCs/>
                <w:color w:val="000000" w:themeColor="text1"/>
                <w:sz w:val="22"/>
              </w:rPr>
              <w:t>Direction</w:t>
            </w:r>
            <w:r w:rsidRPr="00C7354B">
              <w:rPr>
                <w:rFonts w:eastAsia="Helvetica"/>
                <w:b/>
                <w:bCs/>
                <w:color w:val="000000" w:themeColor="text1"/>
                <w:sz w:val="22"/>
              </w:rPr>
              <w:br/>
              <w:t>of Effects</w:t>
            </w:r>
          </w:p>
        </w:tc>
      </w:tr>
      <w:tr w:rsidR="00406027" w:rsidRPr="00C7354B" w14:paraId="23143860" w14:textId="77777777" w:rsidTr="00846329">
        <w:trPr>
          <w:trHeight w:val="59"/>
          <w:jc w:val="center"/>
        </w:trPr>
        <w:tc>
          <w:tcPr>
            <w:tcW w:w="3685" w:type="dxa"/>
            <w:tcBorders>
              <w:top w:val="nil"/>
              <w:left w:val="nil"/>
              <w:bottom w:val="nil"/>
              <w:right w:val="nil"/>
            </w:tcBorders>
            <w:shd w:val="clear" w:color="auto" w:fill="auto"/>
            <w:noWrap/>
            <w:vAlign w:val="center"/>
          </w:tcPr>
          <w:p w14:paraId="6D4B7856"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Aalbers and Ma (2023)</w:t>
            </w:r>
          </w:p>
        </w:tc>
        <w:tc>
          <w:tcPr>
            <w:tcW w:w="1134" w:type="dxa"/>
            <w:tcBorders>
              <w:top w:val="nil"/>
              <w:left w:val="nil"/>
              <w:bottom w:val="nil"/>
              <w:right w:val="nil"/>
            </w:tcBorders>
            <w:shd w:val="clear" w:color="auto" w:fill="auto"/>
            <w:noWrap/>
            <w:vAlign w:val="center"/>
          </w:tcPr>
          <w:p w14:paraId="03546DD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MOR</w:t>
            </w:r>
          </w:p>
        </w:tc>
        <w:tc>
          <w:tcPr>
            <w:tcW w:w="1033" w:type="dxa"/>
            <w:tcBorders>
              <w:top w:val="nil"/>
              <w:left w:val="nil"/>
              <w:bottom w:val="nil"/>
              <w:right w:val="nil"/>
            </w:tcBorders>
            <w:vAlign w:val="center"/>
          </w:tcPr>
          <w:p w14:paraId="59056DB2"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404E3B2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144030D2"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7D9DA01B"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51CA0AE9" w14:textId="77777777" w:rsidTr="00846329">
        <w:trPr>
          <w:trHeight w:val="59"/>
          <w:jc w:val="center"/>
        </w:trPr>
        <w:tc>
          <w:tcPr>
            <w:tcW w:w="3685" w:type="dxa"/>
            <w:tcBorders>
              <w:top w:val="nil"/>
              <w:left w:val="nil"/>
              <w:bottom w:val="nil"/>
              <w:right w:val="nil"/>
            </w:tcBorders>
            <w:shd w:val="clear" w:color="auto" w:fill="auto"/>
            <w:noWrap/>
            <w:vAlign w:val="center"/>
          </w:tcPr>
          <w:p w14:paraId="59C38B6C"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Abdelbadie and Salama (2019)</w:t>
            </w:r>
          </w:p>
        </w:tc>
        <w:tc>
          <w:tcPr>
            <w:tcW w:w="1134" w:type="dxa"/>
            <w:tcBorders>
              <w:top w:val="nil"/>
              <w:left w:val="nil"/>
              <w:bottom w:val="nil"/>
              <w:right w:val="nil"/>
            </w:tcBorders>
            <w:shd w:val="clear" w:color="auto" w:fill="auto"/>
            <w:noWrap/>
            <w:vAlign w:val="center"/>
          </w:tcPr>
          <w:p w14:paraId="3DC8923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JBR</w:t>
            </w:r>
          </w:p>
        </w:tc>
        <w:tc>
          <w:tcPr>
            <w:tcW w:w="1033" w:type="dxa"/>
            <w:tcBorders>
              <w:top w:val="nil"/>
              <w:left w:val="nil"/>
              <w:bottom w:val="nil"/>
              <w:right w:val="nil"/>
            </w:tcBorders>
            <w:vAlign w:val="center"/>
          </w:tcPr>
          <w:p w14:paraId="529D211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710C420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7E4E075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127C9E1A"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7F3F6859" w14:textId="77777777" w:rsidTr="00846329">
        <w:trPr>
          <w:trHeight w:val="59"/>
          <w:jc w:val="center"/>
        </w:trPr>
        <w:tc>
          <w:tcPr>
            <w:tcW w:w="3685" w:type="dxa"/>
            <w:tcBorders>
              <w:top w:val="nil"/>
              <w:left w:val="nil"/>
              <w:bottom w:val="nil"/>
              <w:right w:val="nil"/>
            </w:tcBorders>
            <w:shd w:val="clear" w:color="auto" w:fill="auto"/>
            <w:noWrap/>
            <w:vAlign w:val="center"/>
          </w:tcPr>
          <w:p w14:paraId="4F1160B7"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Afzali and Kettunen (2019)</w:t>
            </w:r>
          </w:p>
        </w:tc>
        <w:tc>
          <w:tcPr>
            <w:tcW w:w="1134" w:type="dxa"/>
            <w:tcBorders>
              <w:top w:val="nil"/>
              <w:left w:val="nil"/>
              <w:bottom w:val="nil"/>
              <w:right w:val="nil"/>
            </w:tcBorders>
            <w:shd w:val="clear" w:color="auto" w:fill="auto"/>
            <w:noWrap/>
            <w:vAlign w:val="center"/>
          </w:tcPr>
          <w:p w14:paraId="68B81EA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SSRN</w:t>
            </w:r>
          </w:p>
        </w:tc>
        <w:tc>
          <w:tcPr>
            <w:tcW w:w="1033" w:type="dxa"/>
            <w:tcBorders>
              <w:top w:val="nil"/>
              <w:left w:val="nil"/>
              <w:bottom w:val="nil"/>
              <w:right w:val="nil"/>
            </w:tcBorders>
            <w:vAlign w:val="center"/>
          </w:tcPr>
          <w:p w14:paraId="7A7DB6A6"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43D4FC69"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5CE4169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3543A5E1"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304C6E39" w14:textId="77777777" w:rsidTr="00846329">
        <w:trPr>
          <w:trHeight w:val="59"/>
          <w:jc w:val="center"/>
        </w:trPr>
        <w:tc>
          <w:tcPr>
            <w:tcW w:w="3685" w:type="dxa"/>
            <w:tcBorders>
              <w:top w:val="nil"/>
              <w:left w:val="nil"/>
              <w:bottom w:val="nil"/>
              <w:right w:val="nil"/>
            </w:tcBorders>
            <w:shd w:val="clear" w:color="auto" w:fill="auto"/>
            <w:noWrap/>
            <w:vAlign w:val="center"/>
          </w:tcPr>
          <w:p w14:paraId="3E9326B4"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Aggarwal, Jindal, and Seth (2019)</w:t>
            </w:r>
          </w:p>
        </w:tc>
        <w:tc>
          <w:tcPr>
            <w:tcW w:w="1134" w:type="dxa"/>
            <w:tcBorders>
              <w:top w:val="nil"/>
              <w:left w:val="nil"/>
              <w:bottom w:val="nil"/>
              <w:right w:val="nil"/>
            </w:tcBorders>
            <w:shd w:val="clear" w:color="auto" w:fill="auto"/>
            <w:noWrap/>
            <w:vAlign w:val="center"/>
          </w:tcPr>
          <w:p w14:paraId="2E409159"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IBR</w:t>
            </w:r>
          </w:p>
        </w:tc>
        <w:tc>
          <w:tcPr>
            <w:tcW w:w="1033" w:type="dxa"/>
            <w:tcBorders>
              <w:top w:val="nil"/>
              <w:left w:val="nil"/>
              <w:bottom w:val="nil"/>
              <w:right w:val="nil"/>
            </w:tcBorders>
            <w:vAlign w:val="center"/>
          </w:tcPr>
          <w:p w14:paraId="7E14C18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7D51026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27D50ED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33A73296"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0</w:t>
            </w:r>
          </w:p>
        </w:tc>
      </w:tr>
      <w:tr w:rsidR="00406027" w:rsidRPr="00C7354B" w14:paraId="35CA39A6" w14:textId="77777777" w:rsidTr="00846329">
        <w:trPr>
          <w:trHeight w:val="59"/>
          <w:jc w:val="center"/>
        </w:trPr>
        <w:tc>
          <w:tcPr>
            <w:tcW w:w="3685" w:type="dxa"/>
            <w:tcBorders>
              <w:top w:val="nil"/>
              <w:left w:val="nil"/>
              <w:bottom w:val="nil"/>
              <w:right w:val="nil"/>
            </w:tcBorders>
            <w:shd w:val="clear" w:color="auto" w:fill="auto"/>
            <w:noWrap/>
            <w:vAlign w:val="center"/>
            <w:hideMark/>
          </w:tcPr>
          <w:p w14:paraId="7F2D505A"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Ahmad (2017)</w:t>
            </w:r>
          </w:p>
        </w:tc>
        <w:tc>
          <w:tcPr>
            <w:tcW w:w="1134" w:type="dxa"/>
            <w:tcBorders>
              <w:top w:val="nil"/>
              <w:left w:val="nil"/>
              <w:bottom w:val="nil"/>
              <w:right w:val="nil"/>
            </w:tcBorders>
            <w:shd w:val="clear" w:color="auto" w:fill="auto"/>
            <w:noWrap/>
            <w:vAlign w:val="center"/>
            <w:hideMark/>
          </w:tcPr>
          <w:p w14:paraId="0870902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WP</w:t>
            </w:r>
          </w:p>
        </w:tc>
        <w:tc>
          <w:tcPr>
            <w:tcW w:w="1033" w:type="dxa"/>
            <w:tcBorders>
              <w:top w:val="nil"/>
              <w:left w:val="nil"/>
              <w:bottom w:val="nil"/>
              <w:right w:val="nil"/>
            </w:tcBorders>
            <w:vAlign w:val="center"/>
          </w:tcPr>
          <w:p w14:paraId="6155BFD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31AC848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4263F89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1044ADB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6DD34362" w14:textId="77777777" w:rsidTr="00846329">
        <w:trPr>
          <w:trHeight w:val="59"/>
          <w:jc w:val="center"/>
        </w:trPr>
        <w:tc>
          <w:tcPr>
            <w:tcW w:w="3685" w:type="dxa"/>
            <w:tcBorders>
              <w:top w:val="nil"/>
              <w:left w:val="nil"/>
              <w:bottom w:val="nil"/>
              <w:right w:val="nil"/>
            </w:tcBorders>
            <w:shd w:val="clear" w:color="auto" w:fill="auto"/>
            <w:noWrap/>
            <w:vAlign w:val="center"/>
          </w:tcPr>
          <w:p w14:paraId="2A12772A" w14:textId="77777777" w:rsidR="00406027" w:rsidRPr="00C7354B" w:rsidRDefault="00406027" w:rsidP="006B1B51">
            <w:pPr>
              <w:widowControl w:val="0"/>
              <w:spacing w:line="240" w:lineRule="auto"/>
              <w:jc w:val="left"/>
              <w:rPr>
                <w:rFonts w:eastAsia="Helvetica"/>
                <w:color w:val="000000" w:themeColor="text1"/>
                <w:sz w:val="22"/>
                <w:lang w:val="en-US"/>
              </w:rPr>
            </w:pPr>
            <w:r w:rsidRPr="00C7354B">
              <w:rPr>
                <w:rFonts w:eastAsia="Helvetica"/>
                <w:color w:val="000000" w:themeColor="text1"/>
                <w:sz w:val="22"/>
                <w:lang w:val="en-US"/>
              </w:rPr>
              <w:t>Akram and Abrar Ul Haq (2022)</w:t>
            </w:r>
          </w:p>
        </w:tc>
        <w:tc>
          <w:tcPr>
            <w:tcW w:w="1134" w:type="dxa"/>
            <w:tcBorders>
              <w:top w:val="nil"/>
              <w:left w:val="nil"/>
              <w:bottom w:val="nil"/>
              <w:right w:val="nil"/>
            </w:tcBorders>
            <w:shd w:val="clear" w:color="auto" w:fill="auto"/>
            <w:noWrap/>
            <w:vAlign w:val="center"/>
          </w:tcPr>
          <w:p w14:paraId="2172424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CBM</w:t>
            </w:r>
          </w:p>
        </w:tc>
        <w:tc>
          <w:tcPr>
            <w:tcW w:w="1033" w:type="dxa"/>
            <w:tcBorders>
              <w:top w:val="nil"/>
              <w:left w:val="nil"/>
              <w:bottom w:val="nil"/>
              <w:right w:val="nil"/>
            </w:tcBorders>
            <w:vAlign w:val="center"/>
          </w:tcPr>
          <w:p w14:paraId="3765643A"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47C2D50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1872F36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0CEFFD4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406C4180" w14:textId="77777777" w:rsidTr="00846329">
        <w:trPr>
          <w:trHeight w:val="59"/>
          <w:jc w:val="center"/>
        </w:trPr>
        <w:tc>
          <w:tcPr>
            <w:tcW w:w="3685" w:type="dxa"/>
            <w:tcBorders>
              <w:top w:val="nil"/>
              <w:left w:val="nil"/>
              <w:bottom w:val="nil"/>
              <w:right w:val="nil"/>
            </w:tcBorders>
            <w:shd w:val="clear" w:color="auto" w:fill="auto"/>
            <w:noWrap/>
            <w:vAlign w:val="center"/>
          </w:tcPr>
          <w:p w14:paraId="5CCCFD36" w14:textId="77777777" w:rsidR="00406027" w:rsidRPr="00C7354B" w:rsidRDefault="00406027" w:rsidP="006B1B51">
            <w:pPr>
              <w:widowControl w:val="0"/>
              <w:spacing w:line="240" w:lineRule="auto"/>
              <w:jc w:val="left"/>
              <w:rPr>
                <w:rFonts w:eastAsia="Helvetica"/>
                <w:color w:val="000000" w:themeColor="text1"/>
                <w:sz w:val="22"/>
                <w:lang w:val="en-US"/>
              </w:rPr>
            </w:pPr>
            <w:r w:rsidRPr="00C7354B">
              <w:rPr>
                <w:rFonts w:eastAsia="Helvetica"/>
                <w:color w:val="000000" w:themeColor="text1"/>
                <w:sz w:val="22"/>
                <w:lang w:val="en-US"/>
              </w:rPr>
              <w:t>Al Dah, Dah, and Frye (2023)</w:t>
            </w:r>
          </w:p>
        </w:tc>
        <w:tc>
          <w:tcPr>
            <w:tcW w:w="1134" w:type="dxa"/>
            <w:tcBorders>
              <w:top w:val="nil"/>
              <w:left w:val="nil"/>
              <w:bottom w:val="nil"/>
              <w:right w:val="nil"/>
            </w:tcBorders>
            <w:shd w:val="clear" w:color="auto" w:fill="auto"/>
            <w:noWrap/>
            <w:vAlign w:val="center"/>
          </w:tcPr>
          <w:p w14:paraId="3F1AEF23"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SSRN</w:t>
            </w:r>
          </w:p>
        </w:tc>
        <w:tc>
          <w:tcPr>
            <w:tcW w:w="1033" w:type="dxa"/>
            <w:tcBorders>
              <w:top w:val="nil"/>
              <w:left w:val="nil"/>
              <w:bottom w:val="nil"/>
              <w:right w:val="nil"/>
            </w:tcBorders>
            <w:vAlign w:val="center"/>
          </w:tcPr>
          <w:p w14:paraId="0754E87C"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5F679D8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25145FDA"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19ADED1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 / -</w:t>
            </w:r>
          </w:p>
        </w:tc>
      </w:tr>
      <w:tr w:rsidR="00406027" w:rsidRPr="00C7354B" w14:paraId="0AC342DF" w14:textId="77777777" w:rsidTr="00846329">
        <w:trPr>
          <w:trHeight w:val="59"/>
          <w:jc w:val="center"/>
        </w:trPr>
        <w:tc>
          <w:tcPr>
            <w:tcW w:w="3685" w:type="dxa"/>
            <w:tcBorders>
              <w:top w:val="nil"/>
              <w:left w:val="nil"/>
              <w:bottom w:val="nil"/>
              <w:right w:val="nil"/>
            </w:tcBorders>
            <w:shd w:val="clear" w:color="auto" w:fill="auto"/>
            <w:noWrap/>
            <w:vAlign w:val="center"/>
          </w:tcPr>
          <w:p w14:paraId="1419984E"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Andersen (2015)</w:t>
            </w:r>
          </w:p>
        </w:tc>
        <w:tc>
          <w:tcPr>
            <w:tcW w:w="1134" w:type="dxa"/>
            <w:tcBorders>
              <w:top w:val="nil"/>
              <w:left w:val="nil"/>
              <w:bottom w:val="nil"/>
              <w:right w:val="nil"/>
            </w:tcBorders>
            <w:shd w:val="clear" w:color="auto" w:fill="auto"/>
            <w:noWrap/>
            <w:vAlign w:val="center"/>
          </w:tcPr>
          <w:p w14:paraId="34F4A2C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WP</w:t>
            </w:r>
          </w:p>
        </w:tc>
        <w:tc>
          <w:tcPr>
            <w:tcW w:w="1033" w:type="dxa"/>
            <w:tcBorders>
              <w:top w:val="nil"/>
              <w:left w:val="nil"/>
              <w:bottom w:val="nil"/>
              <w:right w:val="nil"/>
            </w:tcBorders>
            <w:vAlign w:val="center"/>
          </w:tcPr>
          <w:p w14:paraId="2815A03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60AFEB0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57D7E98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112670D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 / -</w:t>
            </w:r>
          </w:p>
        </w:tc>
      </w:tr>
      <w:tr w:rsidR="00406027" w:rsidRPr="00C7354B" w14:paraId="1E9FFE0C" w14:textId="77777777" w:rsidTr="00846329">
        <w:trPr>
          <w:trHeight w:val="59"/>
          <w:jc w:val="center"/>
        </w:trPr>
        <w:tc>
          <w:tcPr>
            <w:tcW w:w="3685" w:type="dxa"/>
            <w:tcBorders>
              <w:top w:val="nil"/>
              <w:left w:val="nil"/>
              <w:bottom w:val="nil"/>
              <w:right w:val="nil"/>
            </w:tcBorders>
            <w:shd w:val="clear" w:color="auto" w:fill="auto"/>
            <w:noWrap/>
            <w:vAlign w:val="center"/>
          </w:tcPr>
          <w:p w14:paraId="7FE90DEB"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Basuil and Datta (2017)</w:t>
            </w:r>
          </w:p>
        </w:tc>
        <w:tc>
          <w:tcPr>
            <w:tcW w:w="1134" w:type="dxa"/>
            <w:tcBorders>
              <w:top w:val="nil"/>
              <w:left w:val="nil"/>
              <w:bottom w:val="nil"/>
              <w:right w:val="nil"/>
            </w:tcBorders>
            <w:shd w:val="clear" w:color="auto" w:fill="auto"/>
            <w:noWrap/>
            <w:vAlign w:val="center"/>
          </w:tcPr>
          <w:p w14:paraId="2AC7F752"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JBR</w:t>
            </w:r>
          </w:p>
        </w:tc>
        <w:tc>
          <w:tcPr>
            <w:tcW w:w="1033" w:type="dxa"/>
            <w:tcBorders>
              <w:top w:val="nil"/>
              <w:left w:val="nil"/>
              <w:bottom w:val="nil"/>
              <w:right w:val="nil"/>
            </w:tcBorders>
            <w:vAlign w:val="center"/>
          </w:tcPr>
          <w:p w14:paraId="5467BD82"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2ADE1153"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244B629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7B12E31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 / -</w:t>
            </w:r>
          </w:p>
        </w:tc>
      </w:tr>
      <w:tr w:rsidR="00406027" w:rsidRPr="00C7354B" w14:paraId="00969D6B" w14:textId="77777777" w:rsidTr="00846329">
        <w:trPr>
          <w:trHeight w:val="59"/>
          <w:jc w:val="center"/>
        </w:trPr>
        <w:tc>
          <w:tcPr>
            <w:tcW w:w="3685" w:type="dxa"/>
            <w:tcBorders>
              <w:top w:val="nil"/>
              <w:left w:val="nil"/>
              <w:bottom w:val="nil"/>
              <w:right w:val="nil"/>
            </w:tcBorders>
            <w:shd w:val="clear" w:color="auto" w:fill="auto"/>
            <w:noWrap/>
            <w:vAlign w:val="center"/>
          </w:tcPr>
          <w:p w14:paraId="7AE1C77B"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Beckman, Haunschild, and Phillips (2004)</w:t>
            </w:r>
          </w:p>
        </w:tc>
        <w:tc>
          <w:tcPr>
            <w:tcW w:w="1134" w:type="dxa"/>
            <w:tcBorders>
              <w:top w:val="nil"/>
              <w:left w:val="nil"/>
              <w:bottom w:val="nil"/>
              <w:right w:val="nil"/>
            </w:tcBorders>
            <w:shd w:val="clear" w:color="auto" w:fill="auto"/>
            <w:noWrap/>
            <w:vAlign w:val="center"/>
          </w:tcPr>
          <w:p w14:paraId="42AEB192"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OS</w:t>
            </w:r>
          </w:p>
        </w:tc>
        <w:tc>
          <w:tcPr>
            <w:tcW w:w="1033" w:type="dxa"/>
            <w:tcBorders>
              <w:top w:val="nil"/>
              <w:left w:val="nil"/>
              <w:bottom w:val="nil"/>
              <w:right w:val="nil"/>
            </w:tcBorders>
            <w:vAlign w:val="center"/>
          </w:tcPr>
          <w:p w14:paraId="42DEF97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7F162D3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10D26E8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73E70423"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721A241B" w14:textId="77777777" w:rsidTr="00846329">
        <w:trPr>
          <w:trHeight w:val="59"/>
          <w:jc w:val="center"/>
        </w:trPr>
        <w:tc>
          <w:tcPr>
            <w:tcW w:w="3685" w:type="dxa"/>
            <w:tcBorders>
              <w:top w:val="nil"/>
              <w:left w:val="nil"/>
              <w:bottom w:val="nil"/>
              <w:right w:val="nil"/>
            </w:tcBorders>
            <w:shd w:val="clear" w:color="auto" w:fill="auto"/>
            <w:noWrap/>
            <w:vAlign w:val="center"/>
          </w:tcPr>
          <w:p w14:paraId="2D21B829"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Bell (2005)</w:t>
            </w:r>
          </w:p>
        </w:tc>
        <w:tc>
          <w:tcPr>
            <w:tcW w:w="1134" w:type="dxa"/>
            <w:tcBorders>
              <w:top w:val="nil"/>
              <w:left w:val="nil"/>
              <w:bottom w:val="nil"/>
              <w:right w:val="nil"/>
            </w:tcBorders>
            <w:shd w:val="clear" w:color="auto" w:fill="auto"/>
            <w:noWrap/>
            <w:vAlign w:val="center"/>
          </w:tcPr>
          <w:p w14:paraId="01A2CFC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SMJ</w:t>
            </w:r>
          </w:p>
        </w:tc>
        <w:tc>
          <w:tcPr>
            <w:tcW w:w="1033" w:type="dxa"/>
            <w:tcBorders>
              <w:top w:val="nil"/>
              <w:left w:val="nil"/>
              <w:bottom w:val="nil"/>
              <w:right w:val="nil"/>
            </w:tcBorders>
            <w:vAlign w:val="center"/>
          </w:tcPr>
          <w:p w14:paraId="5E09737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2BA0B6C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4F91B422"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23B8582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1C31C243" w14:textId="77777777" w:rsidTr="00846329">
        <w:trPr>
          <w:trHeight w:val="59"/>
          <w:jc w:val="center"/>
        </w:trPr>
        <w:tc>
          <w:tcPr>
            <w:tcW w:w="3685" w:type="dxa"/>
            <w:tcBorders>
              <w:top w:val="nil"/>
              <w:left w:val="nil"/>
              <w:bottom w:val="nil"/>
              <w:right w:val="nil"/>
            </w:tcBorders>
            <w:shd w:val="clear" w:color="auto" w:fill="auto"/>
            <w:noWrap/>
            <w:vAlign w:val="center"/>
          </w:tcPr>
          <w:p w14:paraId="6FE82780"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Ben Barka and Dardour (2015)</w:t>
            </w:r>
          </w:p>
        </w:tc>
        <w:tc>
          <w:tcPr>
            <w:tcW w:w="1134" w:type="dxa"/>
            <w:tcBorders>
              <w:top w:val="nil"/>
              <w:left w:val="nil"/>
              <w:bottom w:val="nil"/>
              <w:right w:val="nil"/>
            </w:tcBorders>
            <w:shd w:val="clear" w:color="auto" w:fill="auto"/>
            <w:noWrap/>
            <w:vAlign w:val="center"/>
          </w:tcPr>
          <w:p w14:paraId="384057E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MD</w:t>
            </w:r>
          </w:p>
        </w:tc>
        <w:tc>
          <w:tcPr>
            <w:tcW w:w="1033" w:type="dxa"/>
            <w:tcBorders>
              <w:top w:val="nil"/>
              <w:left w:val="nil"/>
              <w:bottom w:val="nil"/>
              <w:right w:val="nil"/>
            </w:tcBorders>
            <w:vAlign w:val="center"/>
          </w:tcPr>
          <w:p w14:paraId="1779233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1D49D1B3"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33FE812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45AD15F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747FB130" w14:textId="77777777" w:rsidTr="00846329">
        <w:trPr>
          <w:trHeight w:val="59"/>
          <w:jc w:val="center"/>
        </w:trPr>
        <w:tc>
          <w:tcPr>
            <w:tcW w:w="3685" w:type="dxa"/>
            <w:tcBorders>
              <w:top w:val="nil"/>
              <w:left w:val="nil"/>
              <w:bottom w:val="nil"/>
              <w:right w:val="nil"/>
            </w:tcBorders>
            <w:shd w:val="clear" w:color="auto" w:fill="auto"/>
            <w:noWrap/>
            <w:vAlign w:val="center"/>
          </w:tcPr>
          <w:p w14:paraId="3BF64A06"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Benton (2021)</w:t>
            </w:r>
          </w:p>
        </w:tc>
        <w:tc>
          <w:tcPr>
            <w:tcW w:w="1134" w:type="dxa"/>
            <w:tcBorders>
              <w:top w:val="nil"/>
              <w:left w:val="nil"/>
              <w:bottom w:val="nil"/>
              <w:right w:val="nil"/>
            </w:tcBorders>
            <w:shd w:val="clear" w:color="auto" w:fill="auto"/>
            <w:noWrap/>
            <w:vAlign w:val="center"/>
          </w:tcPr>
          <w:p w14:paraId="72829F2B"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OS</w:t>
            </w:r>
          </w:p>
        </w:tc>
        <w:tc>
          <w:tcPr>
            <w:tcW w:w="1033" w:type="dxa"/>
            <w:tcBorders>
              <w:top w:val="nil"/>
              <w:left w:val="nil"/>
              <w:bottom w:val="nil"/>
              <w:right w:val="nil"/>
            </w:tcBorders>
            <w:vAlign w:val="center"/>
          </w:tcPr>
          <w:p w14:paraId="1821306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4C4ABBF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6A1965F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6B6A9FC1"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 / -</w:t>
            </w:r>
          </w:p>
        </w:tc>
      </w:tr>
      <w:tr w:rsidR="00406027" w:rsidRPr="00C7354B" w14:paraId="7C381DEC" w14:textId="77777777" w:rsidTr="00846329">
        <w:trPr>
          <w:trHeight w:val="59"/>
          <w:jc w:val="center"/>
        </w:trPr>
        <w:tc>
          <w:tcPr>
            <w:tcW w:w="3685" w:type="dxa"/>
            <w:tcBorders>
              <w:top w:val="nil"/>
              <w:left w:val="nil"/>
              <w:bottom w:val="nil"/>
              <w:right w:val="nil"/>
            </w:tcBorders>
            <w:shd w:val="clear" w:color="auto" w:fill="auto"/>
            <w:noWrap/>
            <w:vAlign w:val="center"/>
          </w:tcPr>
          <w:p w14:paraId="61BD64DD"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Bischoff and Buchwald (2018)</w:t>
            </w:r>
          </w:p>
        </w:tc>
        <w:tc>
          <w:tcPr>
            <w:tcW w:w="1134" w:type="dxa"/>
            <w:tcBorders>
              <w:top w:val="nil"/>
              <w:left w:val="nil"/>
              <w:bottom w:val="nil"/>
              <w:right w:val="nil"/>
            </w:tcBorders>
            <w:shd w:val="clear" w:color="auto" w:fill="auto"/>
            <w:noWrap/>
            <w:vAlign w:val="center"/>
          </w:tcPr>
          <w:p w14:paraId="39D357D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JICT</w:t>
            </w:r>
          </w:p>
        </w:tc>
        <w:tc>
          <w:tcPr>
            <w:tcW w:w="1033" w:type="dxa"/>
            <w:tcBorders>
              <w:top w:val="nil"/>
              <w:left w:val="nil"/>
              <w:bottom w:val="nil"/>
              <w:right w:val="nil"/>
            </w:tcBorders>
            <w:vAlign w:val="center"/>
          </w:tcPr>
          <w:p w14:paraId="7BDCA51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5AB778F1"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4BA797E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777C7241"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3E0133A7" w14:textId="77777777" w:rsidTr="00846329">
        <w:trPr>
          <w:trHeight w:val="59"/>
          <w:jc w:val="center"/>
        </w:trPr>
        <w:tc>
          <w:tcPr>
            <w:tcW w:w="3685" w:type="dxa"/>
            <w:tcBorders>
              <w:top w:val="nil"/>
              <w:left w:val="nil"/>
              <w:bottom w:val="nil"/>
              <w:right w:val="nil"/>
            </w:tcBorders>
            <w:shd w:val="clear" w:color="auto" w:fill="auto"/>
            <w:noWrap/>
            <w:vAlign w:val="center"/>
          </w:tcPr>
          <w:p w14:paraId="0FE0DFBF"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Brown, Dai, and Zur (2018)</w:t>
            </w:r>
          </w:p>
        </w:tc>
        <w:tc>
          <w:tcPr>
            <w:tcW w:w="1134" w:type="dxa"/>
            <w:tcBorders>
              <w:top w:val="nil"/>
              <w:left w:val="nil"/>
              <w:bottom w:val="nil"/>
              <w:right w:val="nil"/>
            </w:tcBorders>
            <w:shd w:val="clear" w:color="auto" w:fill="auto"/>
            <w:noWrap/>
            <w:vAlign w:val="center"/>
          </w:tcPr>
          <w:p w14:paraId="40F4635A"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SSRN</w:t>
            </w:r>
          </w:p>
        </w:tc>
        <w:tc>
          <w:tcPr>
            <w:tcW w:w="1033" w:type="dxa"/>
            <w:tcBorders>
              <w:top w:val="nil"/>
              <w:left w:val="nil"/>
              <w:bottom w:val="nil"/>
              <w:right w:val="nil"/>
            </w:tcBorders>
            <w:vAlign w:val="center"/>
          </w:tcPr>
          <w:p w14:paraId="7A9439A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237594B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70D6F57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0194A16B"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 / -</w:t>
            </w:r>
          </w:p>
        </w:tc>
      </w:tr>
      <w:tr w:rsidR="00406027" w:rsidRPr="00C7354B" w14:paraId="3AB2FF3D" w14:textId="77777777" w:rsidTr="00846329">
        <w:trPr>
          <w:trHeight w:val="59"/>
          <w:jc w:val="center"/>
        </w:trPr>
        <w:tc>
          <w:tcPr>
            <w:tcW w:w="3685" w:type="dxa"/>
            <w:tcBorders>
              <w:top w:val="nil"/>
              <w:left w:val="nil"/>
              <w:bottom w:val="nil"/>
              <w:right w:val="nil"/>
            </w:tcBorders>
            <w:shd w:val="clear" w:color="auto" w:fill="auto"/>
            <w:noWrap/>
            <w:vAlign w:val="center"/>
          </w:tcPr>
          <w:p w14:paraId="4F2766D5"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Cannella, Jones, and Withers (2015)</w:t>
            </w:r>
          </w:p>
        </w:tc>
        <w:tc>
          <w:tcPr>
            <w:tcW w:w="1134" w:type="dxa"/>
            <w:tcBorders>
              <w:top w:val="nil"/>
              <w:left w:val="nil"/>
              <w:bottom w:val="nil"/>
              <w:right w:val="nil"/>
            </w:tcBorders>
            <w:shd w:val="clear" w:color="auto" w:fill="auto"/>
            <w:noWrap/>
            <w:vAlign w:val="center"/>
          </w:tcPr>
          <w:p w14:paraId="35A0E48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AMJ</w:t>
            </w:r>
          </w:p>
        </w:tc>
        <w:tc>
          <w:tcPr>
            <w:tcW w:w="1033" w:type="dxa"/>
            <w:tcBorders>
              <w:top w:val="nil"/>
              <w:left w:val="nil"/>
              <w:bottom w:val="nil"/>
              <w:right w:val="nil"/>
            </w:tcBorders>
            <w:vAlign w:val="center"/>
          </w:tcPr>
          <w:p w14:paraId="786BDF23"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5D5C4896"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38597A89"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5BBE9DA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 / -</w:t>
            </w:r>
          </w:p>
        </w:tc>
      </w:tr>
      <w:tr w:rsidR="00406027" w:rsidRPr="00C7354B" w14:paraId="020F2E25" w14:textId="77777777" w:rsidTr="00846329">
        <w:trPr>
          <w:trHeight w:val="59"/>
          <w:jc w:val="center"/>
        </w:trPr>
        <w:tc>
          <w:tcPr>
            <w:tcW w:w="3685" w:type="dxa"/>
            <w:tcBorders>
              <w:top w:val="nil"/>
              <w:left w:val="nil"/>
              <w:bottom w:val="nil"/>
              <w:right w:val="nil"/>
            </w:tcBorders>
            <w:shd w:val="clear" w:color="auto" w:fill="auto"/>
            <w:noWrap/>
            <w:vAlign w:val="center"/>
          </w:tcPr>
          <w:p w14:paraId="7FF68C64"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Carpenter and Westphal (2001)</w:t>
            </w:r>
          </w:p>
        </w:tc>
        <w:tc>
          <w:tcPr>
            <w:tcW w:w="1134" w:type="dxa"/>
            <w:tcBorders>
              <w:top w:val="nil"/>
              <w:left w:val="nil"/>
              <w:bottom w:val="nil"/>
              <w:right w:val="nil"/>
            </w:tcBorders>
            <w:shd w:val="clear" w:color="auto" w:fill="auto"/>
            <w:noWrap/>
            <w:vAlign w:val="center"/>
          </w:tcPr>
          <w:p w14:paraId="3074D23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AMJ</w:t>
            </w:r>
          </w:p>
        </w:tc>
        <w:tc>
          <w:tcPr>
            <w:tcW w:w="1033" w:type="dxa"/>
            <w:tcBorders>
              <w:top w:val="nil"/>
              <w:left w:val="nil"/>
              <w:bottom w:val="nil"/>
              <w:right w:val="nil"/>
            </w:tcBorders>
            <w:vAlign w:val="center"/>
          </w:tcPr>
          <w:p w14:paraId="0CB2360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2BCF18B6"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42F3CF1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1E5D72F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5F41457D" w14:textId="77777777" w:rsidTr="00846329">
        <w:trPr>
          <w:trHeight w:val="59"/>
          <w:jc w:val="center"/>
        </w:trPr>
        <w:tc>
          <w:tcPr>
            <w:tcW w:w="3685" w:type="dxa"/>
            <w:tcBorders>
              <w:top w:val="nil"/>
              <w:left w:val="nil"/>
              <w:bottom w:val="nil"/>
              <w:right w:val="nil"/>
            </w:tcBorders>
            <w:shd w:val="clear" w:color="auto" w:fill="auto"/>
            <w:noWrap/>
            <w:vAlign w:val="center"/>
          </w:tcPr>
          <w:p w14:paraId="1B69E376" w14:textId="77777777" w:rsidR="00406027" w:rsidRPr="00C7354B" w:rsidRDefault="00406027" w:rsidP="006B1B51">
            <w:pPr>
              <w:widowControl w:val="0"/>
              <w:spacing w:line="240" w:lineRule="auto"/>
              <w:jc w:val="left"/>
              <w:rPr>
                <w:rFonts w:eastAsia="Helvetica"/>
                <w:color w:val="000000" w:themeColor="text1"/>
                <w:sz w:val="22"/>
                <w:lang w:val="en-US"/>
              </w:rPr>
            </w:pPr>
            <w:r w:rsidRPr="00C7354B">
              <w:rPr>
                <w:rFonts w:eastAsia="Helvetica"/>
                <w:color w:val="000000" w:themeColor="text1"/>
                <w:sz w:val="22"/>
                <w:lang w:val="en-US"/>
              </w:rPr>
              <w:t>Chan, Lee, Petaibanlue, and Tan (2017)</w:t>
            </w:r>
          </w:p>
        </w:tc>
        <w:tc>
          <w:tcPr>
            <w:tcW w:w="1134" w:type="dxa"/>
            <w:tcBorders>
              <w:top w:val="nil"/>
              <w:left w:val="nil"/>
              <w:bottom w:val="nil"/>
              <w:right w:val="nil"/>
            </w:tcBorders>
            <w:shd w:val="clear" w:color="auto" w:fill="auto"/>
            <w:noWrap/>
            <w:vAlign w:val="center"/>
          </w:tcPr>
          <w:p w14:paraId="4847EB2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RQFA</w:t>
            </w:r>
          </w:p>
        </w:tc>
        <w:tc>
          <w:tcPr>
            <w:tcW w:w="1033" w:type="dxa"/>
            <w:tcBorders>
              <w:top w:val="nil"/>
              <w:left w:val="nil"/>
              <w:bottom w:val="nil"/>
              <w:right w:val="nil"/>
            </w:tcBorders>
            <w:vAlign w:val="center"/>
          </w:tcPr>
          <w:p w14:paraId="0A160ED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0B45153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744CC702"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407B8F9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576C7D8B" w14:textId="77777777" w:rsidTr="00846329">
        <w:trPr>
          <w:trHeight w:val="59"/>
          <w:jc w:val="center"/>
        </w:trPr>
        <w:tc>
          <w:tcPr>
            <w:tcW w:w="3685" w:type="dxa"/>
            <w:tcBorders>
              <w:top w:val="nil"/>
              <w:left w:val="nil"/>
              <w:bottom w:val="nil"/>
              <w:right w:val="nil"/>
            </w:tcBorders>
            <w:shd w:val="clear" w:color="auto" w:fill="auto"/>
            <w:noWrap/>
            <w:vAlign w:val="center"/>
          </w:tcPr>
          <w:p w14:paraId="6613A2E0"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Chandler, Haunschild, Rhee, and Beckman (2013)</w:t>
            </w:r>
          </w:p>
        </w:tc>
        <w:tc>
          <w:tcPr>
            <w:tcW w:w="1134" w:type="dxa"/>
            <w:tcBorders>
              <w:top w:val="nil"/>
              <w:left w:val="nil"/>
              <w:bottom w:val="nil"/>
              <w:right w:val="nil"/>
            </w:tcBorders>
            <w:shd w:val="clear" w:color="auto" w:fill="auto"/>
            <w:noWrap/>
            <w:vAlign w:val="center"/>
          </w:tcPr>
          <w:p w14:paraId="1A5C5CB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SO</w:t>
            </w:r>
          </w:p>
        </w:tc>
        <w:tc>
          <w:tcPr>
            <w:tcW w:w="1033" w:type="dxa"/>
            <w:tcBorders>
              <w:top w:val="nil"/>
              <w:left w:val="nil"/>
              <w:bottom w:val="nil"/>
              <w:right w:val="nil"/>
            </w:tcBorders>
            <w:vAlign w:val="center"/>
          </w:tcPr>
          <w:p w14:paraId="645EB80B"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20C761BA"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1BFCED5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512A1B7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5D27A11F" w14:textId="77777777" w:rsidTr="00846329">
        <w:trPr>
          <w:trHeight w:val="59"/>
          <w:jc w:val="center"/>
        </w:trPr>
        <w:tc>
          <w:tcPr>
            <w:tcW w:w="3685" w:type="dxa"/>
            <w:tcBorders>
              <w:top w:val="nil"/>
              <w:left w:val="nil"/>
              <w:bottom w:val="nil"/>
              <w:right w:val="nil"/>
            </w:tcBorders>
            <w:shd w:val="clear" w:color="auto" w:fill="auto"/>
            <w:noWrap/>
            <w:vAlign w:val="center"/>
          </w:tcPr>
          <w:p w14:paraId="78192B1D"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Chen (2014)</w:t>
            </w:r>
          </w:p>
        </w:tc>
        <w:tc>
          <w:tcPr>
            <w:tcW w:w="1134" w:type="dxa"/>
            <w:tcBorders>
              <w:top w:val="nil"/>
              <w:left w:val="nil"/>
              <w:bottom w:val="nil"/>
              <w:right w:val="nil"/>
            </w:tcBorders>
            <w:shd w:val="clear" w:color="auto" w:fill="auto"/>
            <w:noWrap/>
            <w:vAlign w:val="center"/>
          </w:tcPr>
          <w:p w14:paraId="7897EDC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CG</w:t>
            </w:r>
          </w:p>
        </w:tc>
        <w:tc>
          <w:tcPr>
            <w:tcW w:w="1033" w:type="dxa"/>
            <w:tcBorders>
              <w:top w:val="nil"/>
              <w:left w:val="nil"/>
              <w:bottom w:val="nil"/>
              <w:right w:val="nil"/>
            </w:tcBorders>
            <w:vAlign w:val="center"/>
          </w:tcPr>
          <w:p w14:paraId="778990A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738055A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1D61C30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4A84A12A"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76ED4853" w14:textId="77777777" w:rsidTr="00846329">
        <w:trPr>
          <w:trHeight w:val="59"/>
          <w:jc w:val="center"/>
        </w:trPr>
        <w:tc>
          <w:tcPr>
            <w:tcW w:w="3685" w:type="dxa"/>
            <w:tcBorders>
              <w:top w:val="nil"/>
              <w:left w:val="nil"/>
              <w:bottom w:val="nil"/>
              <w:right w:val="nil"/>
            </w:tcBorders>
            <w:shd w:val="clear" w:color="auto" w:fill="auto"/>
            <w:noWrap/>
            <w:vAlign w:val="center"/>
          </w:tcPr>
          <w:p w14:paraId="545D0C6F"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Chen, Ding, and Wilson (2021)</w:t>
            </w:r>
          </w:p>
        </w:tc>
        <w:tc>
          <w:tcPr>
            <w:tcW w:w="1134" w:type="dxa"/>
            <w:tcBorders>
              <w:top w:val="nil"/>
              <w:left w:val="nil"/>
              <w:bottom w:val="nil"/>
              <w:right w:val="nil"/>
            </w:tcBorders>
            <w:shd w:val="clear" w:color="auto" w:fill="auto"/>
            <w:noWrap/>
            <w:vAlign w:val="center"/>
          </w:tcPr>
          <w:p w14:paraId="10B2E6E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JRFM</w:t>
            </w:r>
          </w:p>
        </w:tc>
        <w:tc>
          <w:tcPr>
            <w:tcW w:w="1033" w:type="dxa"/>
            <w:tcBorders>
              <w:top w:val="nil"/>
              <w:left w:val="nil"/>
              <w:bottom w:val="nil"/>
              <w:right w:val="nil"/>
            </w:tcBorders>
            <w:vAlign w:val="center"/>
          </w:tcPr>
          <w:p w14:paraId="3A51DB7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715CC44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0EE3FC5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5B556AC1"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28E8A45A" w14:textId="77777777" w:rsidTr="00846329">
        <w:trPr>
          <w:trHeight w:val="59"/>
          <w:jc w:val="center"/>
        </w:trPr>
        <w:tc>
          <w:tcPr>
            <w:tcW w:w="3685" w:type="dxa"/>
            <w:tcBorders>
              <w:top w:val="nil"/>
              <w:left w:val="nil"/>
              <w:bottom w:val="nil"/>
              <w:right w:val="nil"/>
            </w:tcBorders>
            <w:shd w:val="clear" w:color="auto" w:fill="auto"/>
            <w:noWrap/>
            <w:vAlign w:val="center"/>
          </w:tcPr>
          <w:p w14:paraId="07FC8CAB"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Chen, Hsu, and Chang (2016)</w:t>
            </w:r>
          </w:p>
        </w:tc>
        <w:tc>
          <w:tcPr>
            <w:tcW w:w="1134" w:type="dxa"/>
            <w:tcBorders>
              <w:top w:val="nil"/>
              <w:left w:val="nil"/>
              <w:bottom w:val="nil"/>
              <w:right w:val="nil"/>
            </w:tcBorders>
            <w:shd w:val="clear" w:color="auto" w:fill="auto"/>
            <w:noWrap/>
            <w:vAlign w:val="center"/>
          </w:tcPr>
          <w:p w14:paraId="7EAD40FA"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IBR</w:t>
            </w:r>
          </w:p>
        </w:tc>
        <w:tc>
          <w:tcPr>
            <w:tcW w:w="1033" w:type="dxa"/>
            <w:tcBorders>
              <w:top w:val="nil"/>
              <w:left w:val="nil"/>
              <w:bottom w:val="nil"/>
              <w:right w:val="nil"/>
            </w:tcBorders>
            <w:vAlign w:val="center"/>
          </w:tcPr>
          <w:p w14:paraId="57A2B44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17E9D7CA"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0108206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2FCEBAF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47826189" w14:textId="77777777" w:rsidTr="00846329">
        <w:trPr>
          <w:trHeight w:val="59"/>
          <w:jc w:val="center"/>
        </w:trPr>
        <w:tc>
          <w:tcPr>
            <w:tcW w:w="3685" w:type="dxa"/>
            <w:tcBorders>
              <w:top w:val="nil"/>
              <w:left w:val="nil"/>
              <w:bottom w:val="nil"/>
              <w:right w:val="nil"/>
            </w:tcBorders>
            <w:shd w:val="clear" w:color="auto" w:fill="auto"/>
            <w:noWrap/>
            <w:vAlign w:val="center"/>
          </w:tcPr>
          <w:p w14:paraId="7FF5DC42"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Chiu, Teoh, and Tian (2010)</w:t>
            </w:r>
          </w:p>
        </w:tc>
        <w:tc>
          <w:tcPr>
            <w:tcW w:w="1134" w:type="dxa"/>
            <w:tcBorders>
              <w:top w:val="nil"/>
              <w:left w:val="nil"/>
              <w:bottom w:val="nil"/>
              <w:right w:val="nil"/>
            </w:tcBorders>
            <w:shd w:val="clear" w:color="auto" w:fill="auto"/>
            <w:noWrap/>
            <w:vAlign w:val="center"/>
          </w:tcPr>
          <w:p w14:paraId="160FC41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SSRN</w:t>
            </w:r>
          </w:p>
        </w:tc>
        <w:tc>
          <w:tcPr>
            <w:tcW w:w="1033" w:type="dxa"/>
            <w:tcBorders>
              <w:top w:val="nil"/>
              <w:left w:val="nil"/>
              <w:bottom w:val="nil"/>
              <w:right w:val="nil"/>
            </w:tcBorders>
            <w:vAlign w:val="center"/>
          </w:tcPr>
          <w:p w14:paraId="75E20B4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7BD8999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3F88D8D9"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7FF3D013"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3CCE176F" w14:textId="77777777" w:rsidTr="00846329">
        <w:trPr>
          <w:trHeight w:val="59"/>
          <w:jc w:val="center"/>
        </w:trPr>
        <w:tc>
          <w:tcPr>
            <w:tcW w:w="3685" w:type="dxa"/>
            <w:tcBorders>
              <w:top w:val="nil"/>
              <w:left w:val="nil"/>
              <w:bottom w:val="nil"/>
              <w:right w:val="nil"/>
            </w:tcBorders>
            <w:shd w:val="clear" w:color="auto" w:fill="auto"/>
            <w:noWrap/>
            <w:vAlign w:val="center"/>
          </w:tcPr>
          <w:p w14:paraId="6FE4AFB1"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Chong et al. (2023)</w:t>
            </w:r>
          </w:p>
        </w:tc>
        <w:tc>
          <w:tcPr>
            <w:tcW w:w="1134" w:type="dxa"/>
            <w:tcBorders>
              <w:top w:val="nil"/>
              <w:left w:val="nil"/>
              <w:bottom w:val="nil"/>
              <w:right w:val="nil"/>
            </w:tcBorders>
            <w:shd w:val="clear" w:color="auto" w:fill="auto"/>
            <w:noWrap/>
            <w:vAlign w:val="center"/>
          </w:tcPr>
          <w:p w14:paraId="3334FADC"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MATEC</w:t>
            </w:r>
          </w:p>
        </w:tc>
        <w:tc>
          <w:tcPr>
            <w:tcW w:w="1033" w:type="dxa"/>
            <w:tcBorders>
              <w:top w:val="nil"/>
              <w:left w:val="nil"/>
              <w:bottom w:val="nil"/>
              <w:right w:val="nil"/>
            </w:tcBorders>
            <w:vAlign w:val="center"/>
          </w:tcPr>
          <w:p w14:paraId="1288909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1C1F629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7B1733F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4431928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792A764F" w14:textId="77777777" w:rsidTr="00846329">
        <w:trPr>
          <w:trHeight w:val="59"/>
          <w:jc w:val="center"/>
        </w:trPr>
        <w:tc>
          <w:tcPr>
            <w:tcW w:w="3685" w:type="dxa"/>
            <w:tcBorders>
              <w:top w:val="nil"/>
              <w:left w:val="nil"/>
              <w:bottom w:val="nil"/>
              <w:right w:val="nil"/>
            </w:tcBorders>
            <w:shd w:val="clear" w:color="auto" w:fill="auto"/>
            <w:noWrap/>
            <w:vAlign w:val="center"/>
          </w:tcPr>
          <w:p w14:paraId="4965DC7C"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Chu (2012)</w:t>
            </w:r>
          </w:p>
        </w:tc>
        <w:tc>
          <w:tcPr>
            <w:tcW w:w="1134" w:type="dxa"/>
            <w:tcBorders>
              <w:top w:val="nil"/>
              <w:left w:val="nil"/>
              <w:bottom w:val="nil"/>
              <w:right w:val="nil"/>
            </w:tcBorders>
            <w:shd w:val="clear" w:color="auto" w:fill="auto"/>
            <w:noWrap/>
            <w:vAlign w:val="center"/>
          </w:tcPr>
          <w:p w14:paraId="63C84EB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SSRN</w:t>
            </w:r>
          </w:p>
        </w:tc>
        <w:tc>
          <w:tcPr>
            <w:tcW w:w="1033" w:type="dxa"/>
            <w:tcBorders>
              <w:top w:val="nil"/>
              <w:left w:val="nil"/>
              <w:bottom w:val="nil"/>
              <w:right w:val="nil"/>
            </w:tcBorders>
            <w:vAlign w:val="center"/>
          </w:tcPr>
          <w:p w14:paraId="1681DD1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0F0B7DD2"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46E6992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178F8D3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632492B4" w14:textId="77777777" w:rsidTr="00846329">
        <w:trPr>
          <w:trHeight w:val="59"/>
          <w:jc w:val="center"/>
        </w:trPr>
        <w:tc>
          <w:tcPr>
            <w:tcW w:w="3685" w:type="dxa"/>
            <w:tcBorders>
              <w:top w:val="nil"/>
              <w:left w:val="nil"/>
              <w:bottom w:val="nil"/>
              <w:right w:val="nil"/>
            </w:tcBorders>
            <w:shd w:val="clear" w:color="auto" w:fill="auto"/>
            <w:noWrap/>
            <w:vAlign w:val="center"/>
          </w:tcPr>
          <w:p w14:paraId="6D09BF64" w14:textId="77777777" w:rsidR="00406027" w:rsidRPr="00C7354B" w:rsidRDefault="00406027" w:rsidP="006B1B51">
            <w:pPr>
              <w:widowControl w:val="0"/>
              <w:spacing w:line="240" w:lineRule="auto"/>
              <w:jc w:val="left"/>
              <w:rPr>
                <w:rFonts w:eastAsia="Helvetica"/>
                <w:color w:val="000000" w:themeColor="text1"/>
                <w:sz w:val="22"/>
                <w:lang w:val="en-US"/>
              </w:rPr>
            </w:pPr>
            <w:r w:rsidRPr="00C7354B">
              <w:rPr>
                <w:rFonts w:eastAsia="Helvetica"/>
                <w:color w:val="000000" w:themeColor="text1"/>
                <w:sz w:val="22"/>
                <w:lang w:val="en-US"/>
              </w:rPr>
              <w:t>Connelly, Johnson, Tihanyi, and Ellstrand (2011)</w:t>
            </w:r>
          </w:p>
        </w:tc>
        <w:tc>
          <w:tcPr>
            <w:tcW w:w="1134" w:type="dxa"/>
            <w:tcBorders>
              <w:top w:val="nil"/>
              <w:left w:val="nil"/>
              <w:bottom w:val="nil"/>
              <w:right w:val="nil"/>
            </w:tcBorders>
            <w:shd w:val="clear" w:color="auto" w:fill="auto"/>
            <w:noWrap/>
            <w:vAlign w:val="center"/>
          </w:tcPr>
          <w:p w14:paraId="2A00419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OS</w:t>
            </w:r>
          </w:p>
        </w:tc>
        <w:tc>
          <w:tcPr>
            <w:tcW w:w="1033" w:type="dxa"/>
            <w:tcBorders>
              <w:top w:val="nil"/>
              <w:left w:val="nil"/>
              <w:bottom w:val="nil"/>
              <w:right w:val="nil"/>
            </w:tcBorders>
            <w:vAlign w:val="center"/>
          </w:tcPr>
          <w:p w14:paraId="66DFE9E2"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371C6243"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56F2720A"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2E0DD156"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38D3F320" w14:textId="77777777" w:rsidTr="00846329">
        <w:trPr>
          <w:trHeight w:val="59"/>
          <w:jc w:val="center"/>
        </w:trPr>
        <w:tc>
          <w:tcPr>
            <w:tcW w:w="3685" w:type="dxa"/>
            <w:tcBorders>
              <w:top w:val="nil"/>
              <w:left w:val="nil"/>
              <w:bottom w:val="nil"/>
              <w:right w:val="nil"/>
            </w:tcBorders>
            <w:shd w:val="clear" w:color="auto" w:fill="auto"/>
            <w:noWrap/>
            <w:vAlign w:val="center"/>
          </w:tcPr>
          <w:p w14:paraId="0D1CE1A7"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Cordeiro (1993)</w:t>
            </w:r>
          </w:p>
        </w:tc>
        <w:tc>
          <w:tcPr>
            <w:tcW w:w="1134" w:type="dxa"/>
            <w:tcBorders>
              <w:top w:val="nil"/>
              <w:left w:val="nil"/>
              <w:bottom w:val="nil"/>
              <w:right w:val="nil"/>
            </w:tcBorders>
            <w:shd w:val="clear" w:color="auto" w:fill="auto"/>
            <w:noWrap/>
            <w:vAlign w:val="center"/>
          </w:tcPr>
          <w:p w14:paraId="28098A7A"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AMP</w:t>
            </w:r>
          </w:p>
        </w:tc>
        <w:tc>
          <w:tcPr>
            <w:tcW w:w="1033" w:type="dxa"/>
            <w:tcBorders>
              <w:top w:val="nil"/>
              <w:left w:val="nil"/>
              <w:bottom w:val="nil"/>
              <w:right w:val="nil"/>
            </w:tcBorders>
            <w:vAlign w:val="center"/>
          </w:tcPr>
          <w:p w14:paraId="111236C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02CB21B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45D94BA3"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3C37841C"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7F062810" w14:textId="77777777" w:rsidTr="00846329">
        <w:trPr>
          <w:trHeight w:val="59"/>
          <w:jc w:val="center"/>
        </w:trPr>
        <w:tc>
          <w:tcPr>
            <w:tcW w:w="3685" w:type="dxa"/>
            <w:tcBorders>
              <w:top w:val="nil"/>
              <w:left w:val="nil"/>
              <w:bottom w:val="nil"/>
              <w:right w:val="nil"/>
            </w:tcBorders>
            <w:shd w:val="clear" w:color="auto" w:fill="auto"/>
            <w:noWrap/>
            <w:vAlign w:val="center"/>
          </w:tcPr>
          <w:p w14:paraId="3622DB02"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Croci and Grassi (2014)</w:t>
            </w:r>
          </w:p>
        </w:tc>
        <w:tc>
          <w:tcPr>
            <w:tcW w:w="1134" w:type="dxa"/>
            <w:tcBorders>
              <w:top w:val="nil"/>
              <w:left w:val="nil"/>
              <w:bottom w:val="nil"/>
              <w:right w:val="nil"/>
            </w:tcBorders>
            <w:shd w:val="clear" w:color="auto" w:fill="auto"/>
            <w:noWrap/>
            <w:vAlign w:val="center"/>
          </w:tcPr>
          <w:p w14:paraId="7238A10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CMOT</w:t>
            </w:r>
          </w:p>
        </w:tc>
        <w:tc>
          <w:tcPr>
            <w:tcW w:w="1033" w:type="dxa"/>
            <w:tcBorders>
              <w:top w:val="nil"/>
              <w:left w:val="nil"/>
              <w:bottom w:val="nil"/>
              <w:right w:val="nil"/>
            </w:tcBorders>
            <w:vAlign w:val="center"/>
          </w:tcPr>
          <w:p w14:paraId="0186B0C9"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2738D2A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49F737E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2C27697A"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 / -</w:t>
            </w:r>
          </w:p>
        </w:tc>
      </w:tr>
      <w:tr w:rsidR="00406027" w:rsidRPr="00C7354B" w14:paraId="632D047A" w14:textId="77777777" w:rsidTr="00846329">
        <w:trPr>
          <w:trHeight w:val="59"/>
          <w:jc w:val="center"/>
        </w:trPr>
        <w:tc>
          <w:tcPr>
            <w:tcW w:w="3685" w:type="dxa"/>
            <w:tcBorders>
              <w:top w:val="nil"/>
              <w:left w:val="nil"/>
              <w:bottom w:val="nil"/>
              <w:right w:val="nil"/>
            </w:tcBorders>
            <w:shd w:val="clear" w:color="auto" w:fill="auto"/>
            <w:noWrap/>
            <w:vAlign w:val="center"/>
          </w:tcPr>
          <w:p w14:paraId="2A3BD73D"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Dalziel, Gentry, and Bowerman (2011)</w:t>
            </w:r>
          </w:p>
        </w:tc>
        <w:tc>
          <w:tcPr>
            <w:tcW w:w="1134" w:type="dxa"/>
            <w:tcBorders>
              <w:top w:val="nil"/>
              <w:left w:val="nil"/>
              <w:bottom w:val="nil"/>
              <w:right w:val="nil"/>
            </w:tcBorders>
            <w:shd w:val="clear" w:color="auto" w:fill="auto"/>
            <w:noWrap/>
            <w:vAlign w:val="center"/>
          </w:tcPr>
          <w:p w14:paraId="54BD088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JMS</w:t>
            </w:r>
          </w:p>
        </w:tc>
        <w:tc>
          <w:tcPr>
            <w:tcW w:w="1033" w:type="dxa"/>
            <w:tcBorders>
              <w:top w:val="nil"/>
              <w:left w:val="nil"/>
              <w:bottom w:val="nil"/>
              <w:right w:val="nil"/>
            </w:tcBorders>
            <w:vAlign w:val="center"/>
          </w:tcPr>
          <w:p w14:paraId="72FC831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5C3F2DE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7ED1CC1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518E826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1F9265EE" w14:textId="77777777" w:rsidTr="00846329">
        <w:trPr>
          <w:trHeight w:val="59"/>
          <w:jc w:val="center"/>
        </w:trPr>
        <w:tc>
          <w:tcPr>
            <w:tcW w:w="3685" w:type="dxa"/>
            <w:tcBorders>
              <w:top w:val="nil"/>
              <w:left w:val="nil"/>
              <w:bottom w:val="nil"/>
              <w:right w:val="nil"/>
            </w:tcBorders>
            <w:shd w:val="clear" w:color="auto" w:fill="auto"/>
            <w:noWrap/>
            <w:vAlign w:val="center"/>
          </w:tcPr>
          <w:p w14:paraId="5111A778"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Davis (1991)</w:t>
            </w:r>
          </w:p>
        </w:tc>
        <w:tc>
          <w:tcPr>
            <w:tcW w:w="1134" w:type="dxa"/>
            <w:tcBorders>
              <w:top w:val="nil"/>
              <w:left w:val="nil"/>
              <w:bottom w:val="nil"/>
              <w:right w:val="nil"/>
            </w:tcBorders>
            <w:shd w:val="clear" w:color="auto" w:fill="auto"/>
            <w:noWrap/>
            <w:vAlign w:val="center"/>
          </w:tcPr>
          <w:p w14:paraId="2D5276B2"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ASQ</w:t>
            </w:r>
          </w:p>
        </w:tc>
        <w:tc>
          <w:tcPr>
            <w:tcW w:w="1033" w:type="dxa"/>
            <w:tcBorders>
              <w:top w:val="nil"/>
              <w:left w:val="nil"/>
              <w:bottom w:val="nil"/>
              <w:right w:val="nil"/>
            </w:tcBorders>
            <w:vAlign w:val="center"/>
          </w:tcPr>
          <w:p w14:paraId="4FA044C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527C913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0FDCBB69"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220E745A"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386DBFF1" w14:textId="77777777" w:rsidTr="00846329">
        <w:trPr>
          <w:trHeight w:val="59"/>
          <w:jc w:val="center"/>
        </w:trPr>
        <w:tc>
          <w:tcPr>
            <w:tcW w:w="3685" w:type="dxa"/>
            <w:tcBorders>
              <w:top w:val="nil"/>
              <w:left w:val="nil"/>
              <w:bottom w:val="nil"/>
              <w:right w:val="nil"/>
            </w:tcBorders>
            <w:shd w:val="clear" w:color="auto" w:fill="auto"/>
            <w:noWrap/>
            <w:vAlign w:val="center"/>
          </w:tcPr>
          <w:p w14:paraId="4E5D2F01"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Elouaer Mrizak (2009)</w:t>
            </w:r>
          </w:p>
        </w:tc>
        <w:tc>
          <w:tcPr>
            <w:tcW w:w="1134" w:type="dxa"/>
            <w:tcBorders>
              <w:top w:val="nil"/>
              <w:left w:val="nil"/>
              <w:bottom w:val="nil"/>
              <w:right w:val="nil"/>
            </w:tcBorders>
            <w:shd w:val="clear" w:color="auto" w:fill="auto"/>
            <w:noWrap/>
            <w:vAlign w:val="center"/>
          </w:tcPr>
          <w:p w14:paraId="67E12781"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SSRN</w:t>
            </w:r>
          </w:p>
        </w:tc>
        <w:tc>
          <w:tcPr>
            <w:tcW w:w="1033" w:type="dxa"/>
            <w:tcBorders>
              <w:top w:val="nil"/>
              <w:left w:val="nil"/>
              <w:bottom w:val="nil"/>
              <w:right w:val="nil"/>
            </w:tcBorders>
            <w:vAlign w:val="center"/>
          </w:tcPr>
          <w:p w14:paraId="43B5808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25101D13"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7638229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6292E526"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6C9FB472" w14:textId="77777777" w:rsidTr="00846329">
        <w:trPr>
          <w:trHeight w:val="59"/>
          <w:jc w:val="center"/>
        </w:trPr>
        <w:tc>
          <w:tcPr>
            <w:tcW w:w="3685" w:type="dxa"/>
            <w:tcBorders>
              <w:top w:val="nil"/>
              <w:left w:val="nil"/>
              <w:bottom w:val="nil"/>
              <w:right w:val="nil"/>
            </w:tcBorders>
            <w:shd w:val="clear" w:color="auto" w:fill="auto"/>
            <w:noWrap/>
            <w:vAlign w:val="center"/>
          </w:tcPr>
          <w:p w14:paraId="656951EC"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Farwis and Nazar (2019)</w:t>
            </w:r>
          </w:p>
        </w:tc>
        <w:tc>
          <w:tcPr>
            <w:tcW w:w="1134" w:type="dxa"/>
            <w:tcBorders>
              <w:top w:val="nil"/>
              <w:left w:val="nil"/>
              <w:bottom w:val="nil"/>
              <w:right w:val="nil"/>
            </w:tcBorders>
            <w:shd w:val="clear" w:color="auto" w:fill="auto"/>
            <w:noWrap/>
            <w:vAlign w:val="center"/>
          </w:tcPr>
          <w:p w14:paraId="1478AE9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AJRBF</w:t>
            </w:r>
          </w:p>
        </w:tc>
        <w:tc>
          <w:tcPr>
            <w:tcW w:w="1033" w:type="dxa"/>
            <w:tcBorders>
              <w:top w:val="nil"/>
              <w:left w:val="nil"/>
              <w:bottom w:val="nil"/>
              <w:right w:val="nil"/>
            </w:tcBorders>
            <w:vAlign w:val="center"/>
          </w:tcPr>
          <w:p w14:paraId="74CF9BB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5B96B8A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403645B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7D1D6B06"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7398F6F5" w14:textId="77777777" w:rsidTr="00846329">
        <w:trPr>
          <w:trHeight w:val="59"/>
          <w:jc w:val="center"/>
        </w:trPr>
        <w:tc>
          <w:tcPr>
            <w:tcW w:w="3685" w:type="dxa"/>
            <w:tcBorders>
              <w:top w:val="nil"/>
              <w:left w:val="nil"/>
              <w:bottom w:val="nil"/>
              <w:right w:val="nil"/>
            </w:tcBorders>
            <w:shd w:val="clear" w:color="auto" w:fill="auto"/>
            <w:noWrap/>
            <w:vAlign w:val="center"/>
          </w:tcPr>
          <w:p w14:paraId="45DA6F93"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Filatotchev, Chahine, and Bruton (2018)</w:t>
            </w:r>
          </w:p>
        </w:tc>
        <w:tc>
          <w:tcPr>
            <w:tcW w:w="1134" w:type="dxa"/>
            <w:tcBorders>
              <w:top w:val="nil"/>
              <w:left w:val="nil"/>
              <w:bottom w:val="nil"/>
              <w:right w:val="nil"/>
            </w:tcBorders>
            <w:shd w:val="clear" w:color="auto" w:fill="auto"/>
            <w:noWrap/>
            <w:vAlign w:val="center"/>
          </w:tcPr>
          <w:p w14:paraId="67F74579"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JOM</w:t>
            </w:r>
          </w:p>
        </w:tc>
        <w:tc>
          <w:tcPr>
            <w:tcW w:w="1033" w:type="dxa"/>
            <w:tcBorders>
              <w:top w:val="nil"/>
              <w:left w:val="nil"/>
              <w:bottom w:val="nil"/>
              <w:right w:val="nil"/>
            </w:tcBorders>
            <w:vAlign w:val="center"/>
          </w:tcPr>
          <w:p w14:paraId="1431227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3C037A6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6C7BBF72"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626C662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3B073457" w14:textId="77777777" w:rsidTr="00846329">
        <w:trPr>
          <w:trHeight w:val="59"/>
          <w:jc w:val="center"/>
        </w:trPr>
        <w:tc>
          <w:tcPr>
            <w:tcW w:w="3685" w:type="dxa"/>
            <w:tcBorders>
              <w:top w:val="nil"/>
              <w:left w:val="nil"/>
              <w:bottom w:val="nil"/>
              <w:right w:val="nil"/>
            </w:tcBorders>
            <w:shd w:val="clear" w:color="auto" w:fill="auto"/>
            <w:noWrap/>
            <w:vAlign w:val="center"/>
          </w:tcPr>
          <w:p w14:paraId="4E4705B2" w14:textId="77777777" w:rsidR="00406027" w:rsidRPr="00C7354B" w:rsidRDefault="00406027" w:rsidP="006B1B51">
            <w:pPr>
              <w:widowControl w:val="0"/>
              <w:spacing w:line="240" w:lineRule="auto"/>
              <w:jc w:val="left"/>
              <w:rPr>
                <w:rFonts w:eastAsia="Helvetica"/>
                <w:color w:val="000000" w:themeColor="text1"/>
                <w:sz w:val="22"/>
                <w:lang w:val="en-US"/>
              </w:rPr>
            </w:pPr>
            <w:r w:rsidRPr="00C7354B">
              <w:rPr>
                <w:rFonts w:eastAsia="Helvetica"/>
                <w:color w:val="000000" w:themeColor="text1"/>
                <w:sz w:val="22"/>
                <w:lang w:val="en-US"/>
              </w:rPr>
              <w:t>Fonseka, Farooque, Rajapakse, and Tian (2018)</w:t>
            </w:r>
          </w:p>
        </w:tc>
        <w:tc>
          <w:tcPr>
            <w:tcW w:w="1134" w:type="dxa"/>
            <w:tcBorders>
              <w:top w:val="nil"/>
              <w:left w:val="nil"/>
              <w:bottom w:val="nil"/>
              <w:right w:val="nil"/>
            </w:tcBorders>
            <w:shd w:val="clear" w:color="auto" w:fill="auto"/>
            <w:noWrap/>
            <w:vAlign w:val="center"/>
          </w:tcPr>
          <w:p w14:paraId="15B25EB3"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EMFT</w:t>
            </w:r>
          </w:p>
        </w:tc>
        <w:tc>
          <w:tcPr>
            <w:tcW w:w="1033" w:type="dxa"/>
            <w:tcBorders>
              <w:top w:val="nil"/>
              <w:left w:val="nil"/>
              <w:bottom w:val="nil"/>
              <w:right w:val="nil"/>
            </w:tcBorders>
            <w:vAlign w:val="center"/>
          </w:tcPr>
          <w:p w14:paraId="76E7B51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321C33AA"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7EF6CCA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5D16494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1C84D142" w14:textId="77777777" w:rsidTr="00846329">
        <w:trPr>
          <w:trHeight w:val="59"/>
          <w:jc w:val="center"/>
        </w:trPr>
        <w:tc>
          <w:tcPr>
            <w:tcW w:w="3685" w:type="dxa"/>
            <w:tcBorders>
              <w:top w:val="nil"/>
              <w:left w:val="nil"/>
              <w:bottom w:val="nil"/>
              <w:right w:val="nil"/>
            </w:tcBorders>
            <w:shd w:val="clear" w:color="auto" w:fill="auto"/>
            <w:noWrap/>
            <w:vAlign w:val="center"/>
          </w:tcPr>
          <w:p w14:paraId="1E6FC2E0"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Fortich, Gutiérrez Ramírez, and Pombo Vejarano (2008)</w:t>
            </w:r>
          </w:p>
        </w:tc>
        <w:tc>
          <w:tcPr>
            <w:tcW w:w="1134" w:type="dxa"/>
            <w:tcBorders>
              <w:top w:val="nil"/>
              <w:left w:val="nil"/>
              <w:bottom w:val="nil"/>
              <w:right w:val="nil"/>
            </w:tcBorders>
            <w:shd w:val="clear" w:color="auto" w:fill="auto"/>
            <w:noWrap/>
            <w:vAlign w:val="center"/>
          </w:tcPr>
          <w:p w14:paraId="4093D9FA"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AR</w:t>
            </w:r>
          </w:p>
        </w:tc>
        <w:tc>
          <w:tcPr>
            <w:tcW w:w="1033" w:type="dxa"/>
            <w:tcBorders>
              <w:top w:val="nil"/>
              <w:left w:val="nil"/>
              <w:bottom w:val="nil"/>
              <w:right w:val="nil"/>
            </w:tcBorders>
            <w:vAlign w:val="center"/>
          </w:tcPr>
          <w:p w14:paraId="031E140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33F41476"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35C1AF43"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626D7741"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 / -</w:t>
            </w:r>
          </w:p>
        </w:tc>
      </w:tr>
      <w:tr w:rsidR="00406027" w:rsidRPr="00C7354B" w14:paraId="4ACC6E27" w14:textId="77777777" w:rsidTr="00846329">
        <w:trPr>
          <w:trHeight w:val="59"/>
          <w:jc w:val="center"/>
        </w:trPr>
        <w:tc>
          <w:tcPr>
            <w:tcW w:w="3685" w:type="dxa"/>
            <w:tcBorders>
              <w:top w:val="nil"/>
              <w:left w:val="nil"/>
              <w:bottom w:val="nil"/>
              <w:right w:val="nil"/>
            </w:tcBorders>
            <w:shd w:val="clear" w:color="auto" w:fill="auto"/>
            <w:noWrap/>
            <w:vAlign w:val="center"/>
          </w:tcPr>
          <w:p w14:paraId="2E5C7FE2"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lastRenderedPageBreak/>
              <w:t>Fuad and Sinha (2018)</w:t>
            </w:r>
          </w:p>
        </w:tc>
        <w:tc>
          <w:tcPr>
            <w:tcW w:w="1134" w:type="dxa"/>
            <w:tcBorders>
              <w:top w:val="nil"/>
              <w:left w:val="nil"/>
              <w:bottom w:val="nil"/>
              <w:right w:val="nil"/>
            </w:tcBorders>
            <w:shd w:val="clear" w:color="auto" w:fill="auto"/>
            <w:noWrap/>
            <w:vAlign w:val="center"/>
          </w:tcPr>
          <w:p w14:paraId="2DA2CFB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APJOM</w:t>
            </w:r>
          </w:p>
        </w:tc>
        <w:tc>
          <w:tcPr>
            <w:tcW w:w="1033" w:type="dxa"/>
            <w:tcBorders>
              <w:top w:val="nil"/>
              <w:left w:val="nil"/>
              <w:bottom w:val="nil"/>
              <w:right w:val="nil"/>
            </w:tcBorders>
            <w:vAlign w:val="center"/>
          </w:tcPr>
          <w:p w14:paraId="5A06F49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57E3557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4753CBE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74C1D319"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 / -</w:t>
            </w:r>
          </w:p>
        </w:tc>
      </w:tr>
      <w:tr w:rsidR="00406027" w:rsidRPr="00C7354B" w14:paraId="327F5599" w14:textId="77777777" w:rsidTr="00846329">
        <w:trPr>
          <w:trHeight w:val="59"/>
          <w:jc w:val="center"/>
        </w:trPr>
        <w:tc>
          <w:tcPr>
            <w:tcW w:w="3685" w:type="dxa"/>
            <w:tcBorders>
              <w:top w:val="nil"/>
              <w:left w:val="nil"/>
              <w:bottom w:val="nil"/>
              <w:right w:val="nil"/>
            </w:tcBorders>
            <w:shd w:val="clear" w:color="auto" w:fill="auto"/>
            <w:noWrap/>
            <w:vAlign w:val="center"/>
          </w:tcPr>
          <w:p w14:paraId="1FAAA29D"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Geletkanycz and Hambrick (1997)</w:t>
            </w:r>
          </w:p>
        </w:tc>
        <w:tc>
          <w:tcPr>
            <w:tcW w:w="1134" w:type="dxa"/>
            <w:tcBorders>
              <w:top w:val="nil"/>
              <w:left w:val="nil"/>
              <w:bottom w:val="nil"/>
              <w:right w:val="nil"/>
            </w:tcBorders>
            <w:shd w:val="clear" w:color="auto" w:fill="auto"/>
            <w:noWrap/>
            <w:vAlign w:val="center"/>
          </w:tcPr>
          <w:p w14:paraId="702D2FB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ASQ</w:t>
            </w:r>
          </w:p>
        </w:tc>
        <w:tc>
          <w:tcPr>
            <w:tcW w:w="1033" w:type="dxa"/>
            <w:tcBorders>
              <w:top w:val="nil"/>
              <w:left w:val="nil"/>
              <w:bottom w:val="nil"/>
              <w:right w:val="nil"/>
            </w:tcBorders>
            <w:vAlign w:val="center"/>
          </w:tcPr>
          <w:p w14:paraId="108C2852"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6BF3851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784693A1"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469A8F7C"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040D7AB8" w14:textId="77777777" w:rsidTr="00846329">
        <w:trPr>
          <w:trHeight w:val="59"/>
          <w:jc w:val="center"/>
        </w:trPr>
        <w:tc>
          <w:tcPr>
            <w:tcW w:w="3685" w:type="dxa"/>
            <w:tcBorders>
              <w:top w:val="nil"/>
              <w:left w:val="nil"/>
              <w:bottom w:val="nil"/>
              <w:right w:val="nil"/>
            </w:tcBorders>
            <w:shd w:val="clear" w:color="auto" w:fill="auto"/>
            <w:noWrap/>
            <w:vAlign w:val="center"/>
          </w:tcPr>
          <w:p w14:paraId="5A03A858"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Geletkanycz, Boyd, and Finkelstein (2001)</w:t>
            </w:r>
          </w:p>
        </w:tc>
        <w:tc>
          <w:tcPr>
            <w:tcW w:w="1134" w:type="dxa"/>
            <w:tcBorders>
              <w:top w:val="nil"/>
              <w:left w:val="nil"/>
              <w:bottom w:val="nil"/>
              <w:right w:val="nil"/>
            </w:tcBorders>
            <w:shd w:val="clear" w:color="auto" w:fill="auto"/>
            <w:noWrap/>
            <w:vAlign w:val="center"/>
          </w:tcPr>
          <w:p w14:paraId="595E2909"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SMJ</w:t>
            </w:r>
          </w:p>
        </w:tc>
        <w:tc>
          <w:tcPr>
            <w:tcW w:w="1033" w:type="dxa"/>
            <w:tcBorders>
              <w:top w:val="nil"/>
              <w:left w:val="nil"/>
              <w:bottom w:val="nil"/>
              <w:right w:val="nil"/>
            </w:tcBorders>
            <w:vAlign w:val="center"/>
          </w:tcPr>
          <w:p w14:paraId="0C591BC9"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518B9582"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72F36B7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7F6FEE1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4BA8E105" w14:textId="77777777" w:rsidTr="00846329">
        <w:trPr>
          <w:trHeight w:val="59"/>
          <w:jc w:val="center"/>
        </w:trPr>
        <w:tc>
          <w:tcPr>
            <w:tcW w:w="3685" w:type="dxa"/>
            <w:tcBorders>
              <w:top w:val="nil"/>
              <w:left w:val="nil"/>
              <w:bottom w:val="nil"/>
              <w:right w:val="nil"/>
            </w:tcBorders>
            <w:shd w:val="clear" w:color="auto" w:fill="auto"/>
            <w:noWrap/>
            <w:vAlign w:val="center"/>
          </w:tcPr>
          <w:p w14:paraId="1429854A" w14:textId="77777777" w:rsidR="00406027" w:rsidRPr="00C7354B" w:rsidRDefault="00406027" w:rsidP="006B1B51">
            <w:pPr>
              <w:widowControl w:val="0"/>
              <w:spacing w:line="240" w:lineRule="auto"/>
              <w:jc w:val="left"/>
              <w:rPr>
                <w:rFonts w:eastAsia="Helvetica"/>
                <w:color w:val="000000" w:themeColor="text1"/>
                <w:sz w:val="22"/>
                <w:lang w:val="en-US"/>
              </w:rPr>
            </w:pPr>
            <w:r w:rsidRPr="00C7354B">
              <w:rPr>
                <w:rFonts w:eastAsia="Helvetica"/>
                <w:color w:val="000000" w:themeColor="text1"/>
                <w:sz w:val="22"/>
                <w:lang w:val="en-US"/>
              </w:rPr>
              <w:t>George, Robley Wood, and Khan (2001)</w:t>
            </w:r>
          </w:p>
        </w:tc>
        <w:tc>
          <w:tcPr>
            <w:tcW w:w="1134" w:type="dxa"/>
            <w:tcBorders>
              <w:top w:val="nil"/>
              <w:left w:val="nil"/>
              <w:bottom w:val="nil"/>
              <w:right w:val="nil"/>
            </w:tcBorders>
            <w:shd w:val="clear" w:color="auto" w:fill="auto"/>
            <w:noWrap/>
            <w:vAlign w:val="center"/>
          </w:tcPr>
          <w:p w14:paraId="17EB345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ERD</w:t>
            </w:r>
          </w:p>
        </w:tc>
        <w:tc>
          <w:tcPr>
            <w:tcW w:w="1033" w:type="dxa"/>
            <w:tcBorders>
              <w:top w:val="nil"/>
              <w:left w:val="nil"/>
              <w:bottom w:val="nil"/>
              <w:right w:val="nil"/>
            </w:tcBorders>
            <w:vAlign w:val="center"/>
          </w:tcPr>
          <w:p w14:paraId="35429F0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57DBB1B3"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223CF7EC"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17FFCEA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 / -</w:t>
            </w:r>
          </w:p>
        </w:tc>
      </w:tr>
      <w:tr w:rsidR="00406027" w:rsidRPr="00C7354B" w14:paraId="06F761B8" w14:textId="77777777" w:rsidTr="00846329">
        <w:trPr>
          <w:trHeight w:val="59"/>
          <w:jc w:val="center"/>
        </w:trPr>
        <w:tc>
          <w:tcPr>
            <w:tcW w:w="3685" w:type="dxa"/>
            <w:tcBorders>
              <w:top w:val="nil"/>
              <w:left w:val="nil"/>
              <w:bottom w:val="nil"/>
              <w:right w:val="nil"/>
            </w:tcBorders>
            <w:shd w:val="clear" w:color="auto" w:fill="auto"/>
            <w:noWrap/>
            <w:vAlign w:val="center"/>
          </w:tcPr>
          <w:p w14:paraId="28CD67AA"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Glass, Cook, and Ingersoll (2016)</w:t>
            </w:r>
          </w:p>
        </w:tc>
        <w:tc>
          <w:tcPr>
            <w:tcW w:w="1134" w:type="dxa"/>
            <w:tcBorders>
              <w:top w:val="nil"/>
              <w:left w:val="nil"/>
              <w:bottom w:val="nil"/>
              <w:right w:val="nil"/>
            </w:tcBorders>
            <w:shd w:val="clear" w:color="auto" w:fill="auto"/>
            <w:noWrap/>
            <w:vAlign w:val="center"/>
          </w:tcPr>
          <w:p w14:paraId="6B0EBF5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BSE</w:t>
            </w:r>
          </w:p>
        </w:tc>
        <w:tc>
          <w:tcPr>
            <w:tcW w:w="1033" w:type="dxa"/>
            <w:tcBorders>
              <w:top w:val="nil"/>
              <w:left w:val="nil"/>
              <w:bottom w:val="nil"/>
              <w:right w:val="nil"/>
            </w:tcBorders>
            <w:vAlign w:val="center"/>
          </w:tcPr>
          <w:p w14:paraId="2FCF83F6"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47064AE9"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57749E9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2FF5E24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01AD1B67" w14:textId="77777777" w:rsidTr="00846329">
        <w:trPr>
          <w:trHeight w:val="59"/>
          <w:jc w:val="center"/>
        </w:trPr>
        <w:tc>
          <w:tcPr>
            <w:tcW w:w="3685" w:type="dxa"/>
            <w:tcBorders>
              <w:top w:val="nil"/>
              <w:left w:val="nil"/>
              <w:bottom w:val="nil"/>
              <w:right w:val="nil"/>
            </w:tcBorders>
            <w:shd w:val="clear" w:color="auto" w:fill="auto"/>
            <w:noWrap/>
            <w:vAlign w:val="center"/>
          </w:tcPr>
          <w:p w14:paraId="5B6C76BB"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González (2019)</w:t>
            </w:r>
          </w:p>
        </w:tc>
        <w:tc>
          <w:tcPr>
            <w:tcW w:w="1134" w:type="dxa"/>
            <w:tcBorders>
              <w:top w:val="nil"/>
              <w:left w:val="nil"/>
              <w:bottom w:val="nil"/>
              <w:right w:val="nil"/>
            </w:tcBorders>
            <w:shd w:val="clear" w:color="auto" w:fill="auto"/>
            <w:noWrap/>
            <w:vAlign w:val="center"/>
          </w:tcPr>
          <w:p w14:paraId="6B13C82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BJM</w:t>
            </w:r>
          </w:p>
        </w:tc>
        <w:tc>
          <w:tcPr>
            <w:tcW w:w="1033" w:type="dxa"/>
            <w:tcBorders>
              <w:top w:val="nil"/>
              <w:left w:val="nil"/>
              <w:bottom w:val="nil"/>
              <w:right w:val="nil"/>
            </w:tcBorders>
            <w:vAlign w:val="center"/>
          </w:tcPr>
          <w:p w14:paraId="70F3B49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50653A36"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56770C99"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302B2166"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 / -</w:t>
            </w:r>
          </w:p>
        </w:tc>
      </w:tr>
      <w:tr w:rsidR="00406027" w:rsidRPr="00C7354B" w14:paraId="64B13516" w14:textId="77777777" w:rsidTr="00846329">
        <w:trPr>
          <w:trHeight w:val="59"/>
          <w:jc w:val="center"/>
        </w:trPr>
        <w:tc>
          <w:tcPr>
            <w:tcW w:w="3685" w:type="dxa"/>
            <w:tcBorders>
              <w:top w:val="nil"/>
              <w:left w:val="nil"/>
              <w:bottom w:val="nil"/>
              <w:right w:val="nil"/>
            </w:tcBorders>
            <w:shd w:val="clear" w:color="auto" w:fill="auto"/>
            <w:noWrap/>
            <w:vAlign w:val="center"/>
          </w:tcPr>
          <w:p w14:paraId="6900ED9F"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Gulati and Westphal (1999)</w:t>
            </w:r>
          </w:p>
        </w:tc>
        <w:tc>
          <w:tcPr>
            <w:tcW w:w="1134" w:type="dxa"/>
            <w:tcBorders>
              <w:top w:val="nil"/>
              <w:left w:val="nil"/>
              <w:bottom w:val="nil"/>
              <w:right w:val="nil"/>
            </w:tcBorders>
            <w:shd w:val="clear" w:color="auto" w:fill="auto"/>
            <w:noWrap/>
            <w:vAlign w:val="center"/>
          </w:tcPr>
          <w:p w14:paraId="63A8D73C"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ASQ</w:t>
            </w:r>
          </w:p>
        </w:tc>
        <w:tc>
          <w:tcPr>
            <w:tcW w:w="1033" w:type="dxa"/>
            <w:tcBorders>
              <w:top w:val="nil"/>
              <w:left w:val="nil"/>
              <w:bottom w:val="nil"/>
              <w:right w:val="nil"/>
            </w:tcBorders>
            <w:vAlign w:val="center"/>
          </w:tcPr>
          <w:p w14:paraId="5F560DE9"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036079D1"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272DF60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29455A9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01C044C5" w14:textId="77777777" w:rsidTr="00846329">
        <w:trPr>
          <w:trHeight w:val="59"/>
          <w:jc w:val="center"/>
        </w:trPr>
        <w:tc>
          <w:tcPr>
            <w:tcW w:w="3685" w:type="dxa"/>
            <w:tcBorders>
              <w:top w:val="nil"/>
              <w:left w:val="nil"/>
              <w:bottom w:val="nil"/>
              <w:right w:val="nil"/>
            </w:tcBorders>
            <w:shd w:val="clear" w:color="auto" w:fill="auto"/>
            <w:noWrap/>
            <w:vAlign w:val="center"/>
          </w:tcPr>
          <w:p w14:paraId="7D4E6BD9" w14:textId="77777777" w:rsidR="00406027" w:rsidRPr="00C7354B" w:rsidRDefault="00406027" w:rsidP="006B1B51">
            <w:pPr>
              <w:widowControl w:val="0"/>
              <w:spacing w:line="240" w:lineRule="auto"/>
              <w:jc w:val="left"/>
              <w:rPr>
                <w:rFonts w:eastAsia="Helvetica"/>
                <w:color w:val="000000" w:themeColor="text1"/>
                <w:sz w:val="22"/>
                <w:lang w:val="en-US"/>
              </w:rPr>
            </w:pPr>
            <w:r w:rsidRPr="00C7354B">
              <w:rPr>
                <w:rFonts w:eastAsia="Helvetica"/>
                <w:color w:val="000000" w:themeColor="text1"/>
                <w:sz w:val="22"/>
                <w:lang w:val="en-US"/>
              </w:rPr>
              <w:t>Hammami, Lyubimov, and Yousefvand Mansouri (2023)</w:t>
            </w:r>
          </w:p>
        </w:tc>
        <w:tc>
          <w:tcPr>
            <w:tcW w:w="1134" w:type="dxa"/>
            <w:tcBorders>
              <w:top w:val="nil"/>
              <w:left w:val="nil"/>
              <w:bottom w:val="nil"/>
              <w:right w:val="nil"/>
            </w:tcBorders>
            <w:shd w:val="clear" w:color="auto" w:fill="auto"/>
            <w:noWrap/>
            <w:vAlign w:val="center"/>
          </w:tcPr>
          <w:p w14:paraId="448C6263"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CJASQ</w:t>
            </w:r>
          </w:p>
        </w:tc>
        <w:tc>
          <w:tcPr>
            <w:tcW w:w="1033" w:type="dxa"/>
            <w:tcBorders>
              <w:top w:val="nil"/>
              <w:left w:val="nil"/>
              <w:bottom w:val="nil"/>
              <w:right w:val="nil"/>
            </w:tcBorders>
            <w:vAlign w:val="center"/>
          </w:tcPr>
          <w:p w14:paraId="58A741DC"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2396833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6034BD3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624B6721"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 / -</w:t>
            </w:r>
          </w:p>
        </w:tc>
      </w:tr>
      <w:tr w:rsidR="00406027" w:rsidRPr="00C7354B" w14:paraId="29E602C7" w14:textId="77777777" w:rsidTr="00846329">
        <w:trPr>
          <w:trHeight w:val="59"/>
          <w:jc w:val="center"/>
        </w:trPr>
        <w:tc>
          <w:tcPr>
            <w:tcW w:w="3685" w:type="dxa"/>
            <w:tcBorders>
              <w:top w:val="nil"/>
              <w:left w:val="nil"/>
              <w:bottom w:val="nil"/>
              <w:right w:val="nil"/>
            </w:tcBorders>
            <w:shd w:val="clear" w:color="auto" w:fill="auto"/>
            <w:noWrap/>
            <w:vAlign w:val="center"/>
          </w:tcPr>
          <w:p w14:paraId="481ADCA2"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Harris and Shimizu (2004)</w:t>
            </w:r>
          </w:p>
        </w:tc>
        <w:tc>
          <w:tcPr>
            <w:tcW w:w="1134" w:type="dxa"/>
            <w:tcBorders>
              <w:top w:val="nil"/>
              <w:left w:val="nil"/>
              <w:bottom w:val="nil"/>
              <w:right w:val="nil"/>
            </w:tcBorders>
            <w:shd w:val="clear" w:color="auto" w:fill="auto"/>
            <w:noWrap/>
            <w:vAlign w:val="center"/>
          </w:tcPr>
          <w:p w14:paraId="498F0CF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JMS</w:t>
            </w:r>
          </w:p>
        </w:tc>
        <w:tc>
          <w:tcPr>
            <w:tcW w:w="1033" w:type="dxa"/>
            <w:tcBorders>
              <w:top w:val="nil"/>
              <w:left w:val="nil"/>
              <w:bottom w:val="nil"/>
              <w:right w:val="nil"/>
            </w:tcBorders>
            <w:vAlign w:val="center"/>
          </w:tcPr>
          <w:p w14:paraId="0FF24A76"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5D1F50B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1568004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51E06DE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069B6098" w14:textId="77777777" w:rsidTr="00846329">
        <w:trPr>
          <w:trHeight w:val="59"/>
          <w:jc w:val="center"/>
        </w:trPr>
        <w:tc>
          <w:tcPr>
            <w:tcW w:w="3685" w:type="dxa"/>
            <w:tcBorders>
              <w:top w:val="nil"/>
              <w:left w:val="nil"/>
              <w:bottom w:val="nil"/>
              <w:right w:val="nil"/>
            </w:tcBorders>
            <w:shd w:val="clear" w:color="auto" w:fill="auto"/>
            <w:noWrap/>
            <w:vAlign w:val="center"/>
          </w:tcPr>
          <w:p w14:paraId="7805526C"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Haunschild (1993)</w:t>
            </w:r>
          </w:p>
        </w:tc>
        <w:tc>
          <w:tcPr>
            <w:tcW w:w="1134" w:type="dxa"/>
            <w:tcBorders>
              <w:top w:val="nil"/>
              <w:left w:val="nil"/>
              <w:bottom w:val="nil"/>
              <w:right w:val="nil"/>
            </w:tcBorders>
            <w:shd w:val="clear" w:color="auto" w:fill="auto"/>
            <w:noWrap/>
            <w:vAlign w:val="center"/>
          </w:tcPr>
          <w:p w14:paraId="7F37FA0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ASQ</w:t>
            </w:r>
          </w:p>
        </w:tc>
        <w:tc>
          <w:tcPr>
            <w:tcW w:w="1033" w:type="dxa"/>
            <w:tcBorders>
              <w:top w:val="nil"/>
              <w:left w:val="nil"/>
              <w:bottom w:val="nil"/>
              <w:right w:val="nil"/>
            </w:tcBorders>
            <w:vAlign w:val="center"/>
          </w:tcPr>
          <w:p w14:paraId="21800E6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48B544E2"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6D20662B"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0EFC782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 / -</w:t>
            </w:r>
          </w:p>
        </w:tc>
      </w:tr>
      <w:tr w:rsidR="00406027" w:rsidRPr="00C7354B" w14:paraId="685EB78E" w14:textId="77777777" w:rsidTr="00846329">
        <w:trPr>
          <w:trHeight w:val="59"/>
          <w:jc w:val="center"/>
        </w:trPr>
        <w:tc>
          <w:tcPr>
            <w:tcW w:w="3685" w:type="dxa"/>
            <w:tcBorders>
              <w:top w:val="nil"/>
              <w:left w:val="nil"/>
              <w:bottom w:val="nil"/>
              <w:right w:val="nil"/>
            </w:tcBorders>
            <w:shd w:val="clear" w:color="auto" w:fill="auto"/>
            <w:noWrap/>
            <w:vAlign w:val="center"/>
          </w:tcPr>
          <w:p w14:paraId="11D55F91" w14:textId="77777777" w:rsidR="00406027" w:rsidRPr="00C7354B" w:rsidRDefault="00406027" w:rsidP="006B1B51">
            <w:pPr>
              <w:widowControl w:val="0"/>
              <w:spacing w:line="240" w:lineRule="auto"/>
              <w:jc w:val="left"/>
              <w:rPr>
                <w:rFonts w:eastAsia="Helvetica"/>
                <w:color w:val="000000" w:themeColor="text1"/>
                <w:sz w:val="22"/>
                <w:lang w:val="en-US"/>
              </w:rPr>
            </w:pPr>
            <w:r w:rsidRPr="00C7354B">
              <w:rPr>
                <w:rFonts w:eastAsia="Helvetica"/>
                <w:color w:val="000000" w:themeColor="text1"/>
                <w:sz w:val="22"/>
                <w:lang w:val="en-US"/>
              </w:rPr>
              <w:t>Hernández-Lara and Gonzales-Bustos (2019)</w:t>
            </w:r>
          </w:p>
        </w:tc>
        <w:tc>
          <w:tcPr>
            <w:tcW w:w="1134" w:type="dxa"/>
            <w:tcBorders>
              <w:top w:val="nil"/>
              <w:left w:val="nil"/>
              <w:bottom w:val="nil"/>
              <w:right w:val="nil"/>
            </w:tcBorders>
            <w:shd w:val="clear" w:color="auto" w:fill="auto"/>
            <w:noWrap/>
            <w:vAlign w:val="center"/>
          </w:tcPr>
          <w:p w14:paraId="41C007E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MD</w:t>
            </w:r>
          </w:p>
        </w:tc>
        <w:tc>
          <w:tcPr>
            <w:tcW w:w="1033" w:type="dxa"/>
            <w:tcBorders>
              <w:top w:val="nil"/>
              <w:left w:val="nil"/>
              <w:bottom w:val="nil"/>
              <w:right w:val="nil"/>
            </w:tcBorders>
            <w:vAlign w:val="center"/>
          </w:tcPr>
          <w:p w14:paraId="7EFD0F8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4D496E42"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1517A71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4771809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 / -</w:t>
            </w:r>
          </w:p>
        </w:tc>
      </w:tr>
      <w:tr w:rsidR="00406027" w:rsidRPr="00C7354B" w14:paraId="5EF23D45" w14:textId="77777777" w:rsidTr="00846329">
        <w:trPr>
          <w:trHeight w:val="59"/>
          <w:jc w:val="center"/>
        </w:trPr>
        <w:tc>
          <w:tcPr>
            <w:tcW w:w="3685" w:type="dxa"/>
            <w:tcBorders>
              <w:top w:val="nil"/>
              <w:left w:val="nil"/>
              <w:bottom w:val="nil"/>
              <w:right w:val="nil"/>
            </w:tcBorders>
            <w:shd w:val="clear" w:color="auto" w:fill="auto"/>
            <w:noWrap/>
            <w:vAlign w:val="center"/>
          </w:tcPr>
          <w:p w14:paraId="14B4C437"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Hillman, Shropshire, and Cannella (2007)</w:t>
            </w:r>
          </w:p>
        </w:tc>
        <w:tc>
          <w:tcPr>
            <w:tcW w:w="1134" w:type="dxa"/>
            <w:tcBorders>
              <w:top w:val="nil"/>
              <w:left w:val="nil"/>
              <w:bottom w:val="nil"/>
              <w:right w:val="nil"/>
            </w:tcBorders>
            <w:shd w:val="clear" w:color="auto" w:fill="auto"/>
            <w:noWrap/>
            <w:vAlign w:val="center"/>
          </w:tcPr>
          <w:p w14:paraId="75D82E9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AMJ</w:t>
            </w:r>
          </w:p>
        </w:tc>
        <w:tc>
          <w:tcPr>
            <w:tcW w:w="1033" w:type="dxa"/>
            <w:tcBorders>
              <w:top w:val="nil"/>
              <w:left w:val="nil"/>
              <w:bottom w:val="nil"/>
              <w:right w:val="nil"/>
            </w:tcBorders>
            <w:vAlign w:val="center"/>
          </w:tcPr>
          <w:p w14:paraId="01807B6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390ACD66"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6E76979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56A3A4B3"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 / -</w:t>
            </w:r>
          </w:p>
        </w:tc>
      </w:tr>
      <w:tr w:rsidR="00406027" w:rsidRPr="00C7354B" w14:paraId="4FE3954F" w14:textId="77777777" w:rsidTr="00846329">
        <w:trPr>
          <w:trHeight w:val="59"/>
          <w:jc w:val="center"/>
        </w:trPr>
        <w:tc>
          <w:tcPr>
            <w:tcW w:w="3685" w:type="dxa"/>
            <w:tcBorders>
              <w:top w:val="nil"/>
              <w:left w:val="nil"/>
              <w:bottom w:val="nil"/>
              <w:right w:val="nil"/>
            </w:tcBorders>
            <w:shd w:val="clear" w:color="auto" w:fill="auto"/>
            <w:noWrap/>
            <w:vAlign w:val="center"/>
          </w:tcPr>
          <w:p w14:paraId="0E255C88"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Howard, Withers, and Tihanyi (2017)</w:t>
            </w:r>
          </w:p>
        </w:tc>
        <w:tc>
          <w:tcPr>
            <w:tcW w:w="1134" w:type="dxa"/>
            <w:tcBorders>
              <w:top w:val="nil"/>
              <w:left w:val="nil"/>
              <w:bottom w:val="nil"/>
              <w:right w:val="nil"/>
            </w:tcBorders>
            <w:shd w:val="clear" w:color="auto" w:fill="auto"/>
            <w:noWrap/>
            <w:vAlign w:val="center"/>
          </w:tcPr>
          <w:p w14:paraId="4A5B866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AMJ</w:t>
            </w:r>
          </w:p>
        </w:tc>
        <w:tc>
          <w:tcPr>
            <w:tcW w:w="1033" w:type="dxa"/>
            <w:tcBorders>
              <w:top w:val="nil"/>
              <w:left w:val="nil"/>
              <w:bottom w:val="nil"/>
              <w:right w:val="nil"/>
            </w:tcBorders>
            <w:vAlign w:val="center"/>
          </w:tcPr>
          <w:p w14:paraId="3440E63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38CC343B"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0CFC7F06"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4DA1B683"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0</w:t>
            </w:r>
          </w:p>
        </w:tc>
      </w:tr>
      <w:tr w:rsidR="00406027" w:rsidRPr="00C7354B" w14:paraId="58968EA8" w14:textId="77777777" w:rsidTr="00846329">
        <w:trPr>
          <w:trHeight w:val="59"/>
          <w:jc w:val="center"/>
        </w:trPr>
        <w:tc>
          <w:tcPr>
            <w:tcW w:w="3685" w:type="dxa"/>
            <w:tcBorders>
              <w:top w:val="nil"/>
              <w:left w:val="nil"/>
              <w:bottom w:val="nil"/>
              <w:right w:val="nil"/>
            </w:tcBorders>
            <w:shd w:val="clear" w:color="auto" w:fill="auto"/>
            <w:noWrap/>
            <w:vAlign w:val="center"/>
          </w:tcPr>
          <w:p w14:paraId="68E3C9BE" w14:textId="77777777" w:rsidR="00406027" w:rsidRPr="00C7354B" w:rsidRDefault="00406027" w:rsidP="006B1B51">
            <w:pPr>
              <w:widowControl w:val="0"/>
              <w:spacing w:line="240" w:lineRule="auto"/>
              <w:jc w:val="left"/>
              <w:rPr>
                <w:rFonts w:eastAsia="Helvetica"/>
                <w:color w:val="000000" w:themeColor="text1"/>
                <w:sz w:val="22"/>
                <w:lang w:val="en-US"/>
              </w:rPr>
            </w:pPr>
            <w:r w:rsidRPr="00C7354B">
              <w:rPr>
                <w:rFonts w:eastAsia="Helvetica"/>
                <w:color w:val="000000" w:themeColor="text1"/>
                <w:sz w:val="22"/>
                <w:lang w:val="en-US"/>
              </w:rPr>
              <w:t>Howard, Withers, Carnes, and Hillman (2016)</w:t>
            </w:r>
          </w:p>
        </w:tc>
        <w:tc>
          <w:tcPr>
            <w:tcW w:w="1134" w:type="dxa"/>
            <w:tcBorders>
              <w:top w:val="nil"/>
              <w:left w:val="nil"/>
              <w:bottom w:val="nil"/>
              <w:right w:val="nil"/>
            </w:tcBorders>
            <w:shd w:val="clear" w:color="auto" w:fill="auto"/>
            <w:noWrap/>
            <w:vAlign w:val="center"/>
          </w:tcPr>
          <w:p w14:paraId="05BF7A42"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SMJ</w:t>
            </w:r>
          </w:p>
        </w:tc>
        <w:tc>
          <w:tcPr>
            <w:tcW w:w="1033" w:type="dxa"/>
            <w:tcBorders>
              <w:top w:val="nil"/>
              <w:left w:val="nil"/>
              <w:bottom w:val="nil"/>
              <w:right w:val="nil"/>
            </w:tcBorders>
            <w:vAlign w:val="center"/>
          </w:tcPr>
          <w:p w14:paraId="1DC1EF99"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34118E3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208967F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52671B7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4A24E306" w14:textId="77777777" w:rsidTr="00846329">
        <w:trPr>
          <w:trHeight w:val="59"/>
          <w:jc w:val="center"/>
        </w:trPr>
        <w:tc>
          <w:tcPr>
            <w:tcW w:w="3685" w:type="dxa"/>
            <w:tcBorders>
              <w:top w:val="nil"/>
              <w:left w:val="nil"/>
              <w:bottom w:val="nil"/>
              <w:right w:val="nil"/>
            </w:tcBorders>
            <w:shd w:val="clear" w:color="auto" w:fill="auto"/>
            <w:noWrap/>
            <w:vAlign w:val="center"/>
          </w:tcPr>
          <w:p w14:paraId="22EBB3BA"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Hudson and Morgan (2022)</w:t>
            </w:r>
          </w:p>
        </w:tc>
        <w:tc>
          <w:tcPr>
            <w:tcW w:w="1134" w:type="dxa"/>
            <w:tcBorders>
              <w:top w:val="nil"/>
              <w:left w:val="nil"/>
              <w:bottom w:val="nil"/>
              <w:right w:val="nil"/>
            </w:tcBorders>
            <w:shd w:val="clear" w:color="auto" w:fill="auto"/>
            <w:noWrap/>
            <w:vAlign w:val="center"/>
          </w:tcPr>
          <w:p w14:paraId="475AA13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LRP</w:t>
            </w:r>
          </w:p>
        </w:tc>
        <w:tc>
          <w:tcPr>
            <w:tcW w:w="1033" w:type="dxa"/>
            <w:tcBorders>
              <w:top w:val="nil"/>
              <w:left w:val="nil"/>
              <w:bottom w:val="nil"/>
              <w:right w:val="nil"/>
            </w:tcBorders>
            <w:vAlign w:val="center"/>
          </w:tcPr>
          <w:p w14:paraId="7AE8839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450E11C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47CDB16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391A89CA"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5DE9AE4F" w14:textId="77777777" w:rsidTr="00846329">
        <w:trPr>
          <w:trHeight w:val="59"/>
          <w:jc w:val="center"/>
        </w:trPr>
        <w:tc>
          <w:tcPr>
            <w:tcW w:w="3685" w:type="dxa"/>
            <w:tcBorders>
              <w:top w:val="nil"/>
              <w:left w:val="nil"/>
              <w:bottom w:val="nil"/>
              <w:right w:val="nil"/>
            </w:tcBorders>
            <w:shd w:val="clear" w:color="auto" w:fill="auto"/>
            <w:noWrap/>
            <w:vAlign w:val="center"/>
          </w:tcPr>
          <w:p w14:paraId="04263274"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Janney and Gove (2017)</w:t>
            </w:r>
          </w:p>
        </w:tc>
        <w:tc>
          <w:tcPr>
            <w:tcW w:w="1134" w:type="dxa"/>
            <w:tcBorders>
              <w:top w:val="nil"/>
              <w:left w:val="nil"/>
              <w:bottom w:val="nil"/>
              <w:right w:val="nil"/>
            </w:tcBorders>
            <w:shd w:val="clear" w:color="auto" w:fill="auto"/>
            <w:noWrap/>
            <w:vAlign w:val="center"/>
          </w:tcPr>
          <w:p w14:paraId="486A346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JBE</w:t>
            </w:r>
          </w:p>
        </w:tc>
        <w:tc>
          <w:tcPr>
            <w:tcW w:w="1033" w:type="dxa"/>
            <w:tcBorders>
              <w:top w:val="nil"/>
              <w:left w:val="nil"/>
              <w:bottom w:val="nil"/>
              <w:right w:val="nil"/>
            </w:tcBorders>
            <w:vAlign w:val="center"/>
          </w:tcPr>
          <w:p w14:paraId="2D68357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11D81A5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2A76EB46"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2F2C9F5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6CE5EFAE" w14:textId="77777777" w:rsidTr="00846329">
        <w:trPr>
          <w:trHeight w:val="59"/>
          <w:jc w:val="center"/>
        </w:trPr>
        <w:tc>
          <w:tcPr>
            <w:tcW w:w="3685" w:type="dxa"/>
            <w:tcBorders>
              <w:top w:val="nil"/>
              <w:left w:val="nil"/>
              <w:bottom w:val="nil"/>
              <w:right w:val="nil"/>
            </w:tcBorders>
            <w:shd w:val="clear" w:color="auto" w:fill="auto"/>
            <w:noWrap/>
            <w:vAlign w:val="center"/>
          </w:tcPr>
          <w:p w14:paraId="68D10781"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Johansen and Pettersson (2013)</w:t>
            </w:r>
          </w:p>
        </w:tc>
        <w:tc>
          <w:tcPr>
            <w:tcW w:w="1134" w:type="dxa"/>
            <w:tcBorders>
              <w:top w:val="nil"/>
              <w:left w:val="nil"/>
              <w:bottom w:val="nil"/>
              <w:right w:val="nil"/>
            </w:tcBorders>
            <w:shd w:val="clear" w:color="auto" w:fill="auto"/>
            <w:noWrap/>
            <w:vAlign w:val="center"/>
          </w:tcPr>
          <w:p w14:paraId="3619D4E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CG</w:t>
            </w:r>
          </w:p>
        </w:tc>
        <w:tc>
          <w:tcPr>
            <w:tcW w:w="1033" w:type="dxa"/>
            <w:tcBorders>
              <w:top w:val="nil"/>
              <w:left w:val="nil"/>
              <w:bottom w:val="nil"/>
              <w:right w:val="nil"/>
            </w:tcBorders>
            <w:vAlign w:val="center"/>
          </w:tcPr>
          <w:p w14:paraId="1809711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3D456583"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2A5435B9"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7B9DB99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1D0EAE2A" w14:textId="77777777" w:rsidTr="00846329">
        <w:trPr>
          <w:trHeight w:val="59"/>
          <w:jc w:val="center"/>
        </w:trPr>
        <w:tc>
          <w:tcPr>
            <w:tcW w:w="3685" w:type="dxa"/>
            <w:tcBorders>
              <w:top w:val="nil"/>
              <w:left w:val="nil"/>
              <w:bottom w:val="nil"/>
              <w:right w:val="nil"/>
            </w:tcBorders>
            <w:shd w:val="clear" w:color="auto" w:fill="auto"/>
            <w:noWrap/>
            <w:vAlign w:val="center"/>
          </w:tcPr>
          <w:p w14:paraId="4C28E2F7"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Johansson, Dahlander, and Wallin (2008)</w:t>
            </w:r>
          </w:p>
        </w:tc>
        <w:tc>
          <w:tcPr>
            <w:tcW w:w="1134" w:type="dxa"/>
            <w:tcBorders>
              <w:top w:val="nil"/>
              <w:left w:val="nil"/>
              <w:bottom w:val="nil"/>
              <w:right w:val="nil"/>
            </w:tcBorders>
            <w:shd w:val="clear" w:color="auto" w:fill="auto"/>
            <w:noWrap/>
            <w:vAlign w:val="center"/>
          </w:tcPr>
          <w:p w14:paraId="5798083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WP</w:t>
            </w:r>
          </w:p>
        </w:tc>
        <w:tc>
          <w:tcPr>
            <w:tcW w:w="1033" w:type="dxa"/>
            <w:tcBorders>
              <w:top w:val="nil"/>
              <w:left w:val="nil"/>
              <w:bottom w:val="nil"/>
              <w:right w:val="nil"/>
            </w:tcBorders>
            <w:vAlign w:val="center"/>
          </w:tcPr>
          <w:p w14:paraId="7E7F90F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7EEA8C3B"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0712AE8B"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72BECEC1"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024DE90C" w14:textId="77777777" w:rsidTr="00846329">
        <w:trPr>
          <w:trHeight w:val="59"/>
          <w:jc w:val="center"/>
        </w:trPr>
        <w:tc>
          <w:tcPr>
            <w:tcW w:w="3685" w:type="dxa"/>
            <w:tcBorders>
              <w:top w:val="nil"/>
              <w:left w:val="nil"/>
              <w:bottom w:val="nil"/>
              <w:right w:val="nil"/>
            </w:tcBorders>
            <w:shd w:val="clear" w:color="auto" w:fill="auto"/>
            <w:noWrap/>
            <w:vAlign w:val="center"/>
          </w:tcPr>
          <w:p w14:paraId="573C3209" w14:textId="77777777" w:rsidR="00406027" w:rsidRPr="00C7354B" w:rsidRDefault="00406027" w:rsidP="006B1B51">
            <w:pPr>
              <w:widowControl w:val="0"/>
              <w:spacing w:line="240" w:lineRule="auto"/>
              <w:jc w:val="left"/>
              <w:rPr>
                <w:rFonts w:eastAsia="Helvetica"/>
                <w:color w:val="000000" w:themeColor="text1"/>
                <w:sz w:val="22"/>
                <w:lang w:val="en-US"/>
              </w:rPr>
            </w:pPr>
            <w:r w:rsidRPr="00C7354B">
              <w:rPr>
                <w:rFonts w:eastAsia="Helvetica"/>
                <w:color w:val="000000" w:themeColor="text1"/>
                <w:sz w:val="22"/>
                <w:lang w:val="en-US"/>
              </w:rPr>
              <w:t>Johnson, Schnatterly, Bolton, and Tuggle (2011)</w:t>
            </w:r>
          </w:p>
        </w:tc>
        <w:tc>
          <w:tcPr>
            <w:tcW w:w="1134" w:type="dxa"/>
            <w:tcBorders>
              <w:top w:val="nil"/>
              <w:left w:val="nil"/>
              <w:bottom w:val="nil"/>
              <w:right w:val="nil"/>
            </w:tcBorders>
            <w:shd w:val="clear" w:color="auto" w:fill="auto"/>
            <w:noWrap/>
            <w:vAlign w:val="center"/>
          </w:tcPr>
          <w:p w14:paraId="3B5866A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JMS</w:t>
            </w:r>
          </w:p>
        </w:tc>
        <w:tc>
          <w:tcPr>
            <w:tcW w:w="1033" w:type="dxa"/>
            <w:tcBorders>
              <w:top w:val="nil"/>
              <w:left w:val="nil"/>
              <w:bottom w:val="nil"/>
              <w:right w:val="nil"/>
            </w:tcBorders>
            <w:vAlign w:val="center"/>
          </w:tcPr>
          <w:p w14:paraId="4965DC6B"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63C5DBF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3894B6E6"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3C396E6C"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0669293B" w14:textId="77777777" w:rsidTr="00846329">
        <w:trPr>
          <w:trHeight w:val="59"/>
          <w:jc w:val="center"/>
        </w:trPr>
        <w:tc>
          <w:tcPr>
            <w:tcW w:w="3685" w:type="dxa"/>
            <w:tcBorders>
              <w:top w:val="nil"/>
              <w:left w:val="nil"/>
              <w:bottom w:val="nil"/>
              <w:right w:val="nil"/>
            </w:tcBorders>
            <w:shd w:val="clear" w:color="auto" w:fill="auto"/>
            <w:noWrap/>
            <w:vAlign w:val="center"/>
          </w:tcPr>
          <w:p w14:paraId="01F2339A"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Kaczmarek, Kimino, and Pye (2014)</w:t>
            </w:r>
          </w:p>
        </w:tc>
        <w:tc>
          <w:tcPr>
            <w:tcW w:w="1134" w:type="dxa"/>
            <w:tcBorders>
              <w:top w:val="nil"/>
              <w:left w:val="nil"/>
              <w:bottom w:val="nil"/>
              <w:right w:val="nil"/>
            </w:tcBorders>
            <w:shd w:val="clear" w:color="auto" w:fill="auto"/>
            <w:noWrap/>
            <w:vAlign w:val="center"/>
          </w:tcPr>
          <w:p w14:paraId="43B23DF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JMG</w:t>
            </w:r>
          </w:p>
        </w:tc>
        <w:tc>
          <w:tcPr>
            <w:tcW w:w="1033" w:type="dxa"/>
            <w:tcBorders>
              <w:top w:val="nil"/>
              <w:left w:val="nil"/>
              <w:bottom w:val="nil"/>
              <w:right w:val="nil"/>
            </w:tcBorders>
            <w:vAlign w:val="center"/>
          </w:tcPr>
          <w:p w14:paraId="27FF0A5C"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7E3D2603"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0AE842F2"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0B5CE92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0F07166E" w14:textId="77777777" w:rsidTr="00846329">
        <w:trPr>
          <w:trHeight w:val="59"/>
          <w:jc w:val="center"/>
        </w:trPr>
        <w:tc>
          <w:tcPr>
            <w:tcW w:w="3685" w:type="dxa"/>
            <w:tcBorders>
              <w:top w:val="nil"/>
              <w:left w:val="nil"/>
              <w:bottom w:val="nil"/>
              <w:right w:val="nil"/>
            </w:tcBorders>
            <w:shd w:val="clear" w:color="auto" w:fill="auto"/>
            <w:noWrap/>
            <w:vAlign w:val="center"/>
          </w:tcPr>
          <w:p w14:paraId="0B5F686C"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Keister (1998)</w:t>
            </w:r>
          </w:p>
        </w:tc>
        <w:tc>
          <w:tcPr>
            <w:tcW w:w="1134" w:type="dxa"/>
            <w:tcBorders>
              <w:top w:val="nil"/>
              <w:left w:val="nil"/>
              <w:bottom w:val="nil"/>
              <w:right w:val="nil"/>
            </w:tcBorders>
            <w:shd w:val="clear" w:color="auto" w:fill="auto"/>
            <w:noWrap/>
            <w:vAlign w:val="center"/>
          </w:tcPr>
          <w:p w14:paraId="66359C3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AJS</w:t>
            </w:r>
          </w:p>
        </w:tc>
        <w:tc>
          <w:tcPr>
            <w:tcW w:w="1033" w:type="dxa"/>
            <w:tcBorders>
              <w:top w:val="nil"/>
              <w:left w:val="nil"/>
              <w:bottom w:val="nil"/>
              <w:right w:val="nil"/>
            </w:tcBorders>
            <w:vAlign w:val="center"/>
          </w:tcPr>
          <w:p w14:paraId="31B812C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7DB41ED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02114A06"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6C51892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59500C43" w14:textId="77777777" w:rsidTr="00846329">
        <w:trPr>
          <w:trHeight w:val="59"/>
          <w:jc w:val="center"/>
        </w:trPr>
        <w:tc>
          <w:tcPr>
            <w:tcW w:w="3685" w:type="dxa"/>
            <w:tcBorders>
              <w:top w:val="nil"/>
              <w:left w:val="nil"/>
              <w:bottom w:val="nil"/>
              <w:right w:val="nil"/>
            </w:tcBorders>
            <w:shd w:val="clear" w:color="auto" w:fill="auto"/>
            <w:noWrap/>
            <w:vAlign w:val="center"/>
          </w:tcPr>
          <w:p w14:paraId="1DF4372E"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Khanna, Jones, and Boivie (2014)</w:t>
            </w:r>
          </w:p>
        </w:tc>
        <w:tc>
          <w:tcPr>
            <w:tcW w:w="1134" w:type="dxa"/>
            <w:tcBorders>
              <w:top w:val="nil"/>
              <w:left w:val="nil"/>
              <w:bottom w:val="nil"/>
              <w:right w:val="nil"/>
            </w:tcBorders>
            <w:shd w:val="clear" w:color="auto" w:fill="auto"/>
            <w:noWrap/>
            <w:vAlign w:val="center"/>
          </w:tcPr>
          <w:p w14:paraId="3CF5A28C"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JM</w:t>
            </w:r>
          </w:p>
        </w:tc>
        <w:tc>
          <w:tcPr>
            <w:tcW w:w="1033" w:type="dxa"/>
            <w:tcBorders>
              <w:top w:val="nil"/>
              <w:left w:val="nil"/>
              <w:bottom w:val="nil"/>
              <w:right w:val="nil"/>
            </w:tcBorders>
            <w:vAlign w:val="center"/>
          </w:tcPr>
          <w:p w14:paraId="3669AF99"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0F82592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16A2D51C"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7FD63F8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46FC6AEC" w14:textId="77777777" w:rsidTr="00846329">
        <w:trPr>
          <w:trHeight w:val="59"/>
          <w:jc w:val="center"/>
        </w:trPr>
        <w:tc>
          <w:tcPr>
            <w:tcW w:w="3685" w:type="dxa"/>
            <w:tcBorders>
              <w:top w:val="nil"/>
              <w:left w:val="nil"/>
              <w:bottom w:val="nil"/>
              <w:right w:val="nil"/>
            </w:tcBorders>
            <w:shd w:val="clear" w:color="auto" w:fill="auto"/>
            <w:noWrap/>
            <w:vAlign w:val="center"/>
          </w:tcPr>
          <w:p w14:paraId="6EF347AB"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Kiel and Nicholson (2003)</w:t>
            </w:r>
          </w:p>
        </w:tc>
        <w:tc>
          <w:tcPr>
            <w:tcW w:w="1134" w:type="dxa"/>
            <w:tcBorders>
              <w:top w:val="nil"/>
              <w:left w:val="nil"/>
              <w:bottom w:val="nil"/>
              <w:right w:val="nil"/>
            </w:tcBorders>
            <w:shd w:val="clear" w:color="auto" w:fill="auto"/>
            <w:noWrap/>
            <w:vAlign w:val="center"/>
          </w:tcPr>
          <w:p w14:paraId="0611697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CG</w:t>
            </w:r>
          </w:p>
        </w:tc>
        <w:tc>
          <w:tcPr>
            <w:tcW w:w="1033" w:type="dxa"/>
            <w:tcBorders>
              <w:top w:val="nil"/>
              <w:left w:val="nil"/>
              <w:bottom w:val="nil"/>
              <w:right w:val="nil"/>
            </w:tcBorders>
            <w:vAlign w:val="center"/>
          </w:tcPr>
          <w:p w14:paraId="6507443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62D0808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73DF2AE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537EEAA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 / -</w:t>
            </w:r>
          </w:p>
        </w:tc>
      </w:tr>
      <w:tr w:rsidR="00406027" w:rsidRPr="00C7354B" w14:paraId="53DACECC" w14:textId="77777777" w:rsidTr="00846329">
        <w:trPr>
          <w:trHeight w:val="59"/>
          <w:jc w:val="center"/>
        </w:trPr>
        <w:tc>
          <w:tcPr>
            <w:tcW w:w="3685" w:type="dxa"/>
            <w:tcBorders>
              <w:top w:val="nil"/>
              <w:left w:val="nil"/>
              <w:bottom w:val="nil"/>
              <w:right w:val="nil"/>
            </w:tcBorders>
            <w:shd w:val="clear" w:color="auto" w:fill="auto"/>
            <w:noWrap/>
            <w:vAlign w:val="center"/>
          </w:tcPr>
          <w:p w14:paraId="5C9EB54D"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Kiel and Nicholson (2006)</w:t>
            </w:r>
          </w:p>
        </w:tc>
        <w:tc>
          <w:tcPr>
            <w:tcW w:w="1134" w:type="dxa"/>
            <w:tcBorders>
              <w:top w:val="nil"/>
              <w:left w:val="nil"/>
              <w:bottom w:val="nil"/>
              <w:right w:val="nil"/>
            </w:tcBorders>
            <w:shd w:val="clear" w:color="auto" w:fill="auto"/>
            <w:noWrap/>
            <w:vAlign w:val="center"/>
          </w:tcPr>
          <w:p w14:paraId="4F9E3572"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CG</w:t>
            </w:r>
          </w:p>
        </w:tc>
        <w:tc>
          <w:tcPr>
            <w:tcW w:w="1033" w:type="dxa"/>
            <w:tcBorders>
              <w:top w:val="nil"/>
              <w:left w:val="nil"/>
              <w:bottom w:val="nil"/>
              <w:right w:val="nil"/>
            </w:tcBorders>
            <w:vAlign w:val="center"/>
          </w:tcPr>
          <w:p w14:paraId="0375348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426CD7EA"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64A400A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02BAD06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5225271B" w14:textId="77777777" w:rsidTr="00846329">
        <w:trPr>
          <w:trHeight w:val="59"/>
          <w:jc w:val="center"/>
        </w:trPr>
        <w:tc>
          <w:tcPr>
            <w:tcW w:w="3685" w:type="dxa"/>
            <w:tcBorders>
              <w:top w:val="nil"/>
              <w:left w:val="nil"/>
              <w:bottom w:val="nil"/>
              <w:right w:val="nil"/>
            </w:tcBorders>
            <w:shd w:val="clear" w:color="auto" w:fill="auto"/>
            <w:noWrap/>
            <w:vAlign w:val="center"/>
          </w:tcPr>
          <w:p w14:paraId="0C3C42DA"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Kirschbaum, Rossoni, Minardi, and Da Silva (2023)</w:t>
            </w:r>
          </w:p>
        </w:tc>
        <w:tc>
          <w:tcPr>
            <w:tcW w:w="1134" w:type="dxa"/>
            <w:tcBorders>
              <w:top w:val="nil"/>
              <w:left w:val="nil"/>
              <w:bottom w:val="nil"/>
              <w:right w:val="nil"/>
            </w:tcBorders>
            <w:shd w:val="clear" w:color="auto" w:fill="auto"/>
            <w:noWrap/>
            <w:vAlign w:val="center"/>
          </w:tcPr>
          <w:p w14:paraId="7EDD6E66"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MOR</w:t>
            </w:r>
          </w:p>
        </w:tc>
        <w:tc>
          <w:tcPr>
            <w:tcW w:w="1033" w:type="dxa"/>
            <w:tcBorders>
              <w:top w:val="nil"/>
              <w:left w:val="nil"/>
              <w:bottom w:val="nil"/>
              <w:right w:val="nil"/>
            </w:tcBorders>
            <w:vAlign w:val="center"/>
          </w:tcPr>
          <w:p w14:paraId="0FE12AA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4C2E1C36"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1FFD31C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4F6AE021"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0535A296" w14:textId="77777777" w:rsidTr="00846329">
        <w:trPr>
          <w:trHeight w:val="59"/>
          <w:jc w:val="center"/>
        </w:trPr>
        <w:tc>
          <w:tcPr>
            <w:tcW w:w="3685" w:type="dxa"/>
            <w:tcBorders>
              <w:top w:val="nil"/>
              <w:left w:val="nil"/>
              <w:bottom w:val="nil"/>
              <w:right w:val="nil"/>
            </w:tcBorders>
            <w:shd w:val="clear" w:color="auto" w:fill="auto"/>
            <w:noWrap/>
            <w:vAlign w:val="center"/>
          </w:tcPr>
          <w:p w14:paraId="765A1DD5" w14:textId="77777777" w:rsidR="00406027" w:rsidRPr="00C7354B" w:rsidRDefault="00406027" w:rsidP="006B1B51">
            <w:pPr>
              <w:widowControl w:val="0"/>
              <w:spacing w:line="240" w:lineRule="auto"/>
              <w:jc w:val="left"/>
              <w:rPr>
                <w:rFonts w:eastAsia="Helvetica"/>
                <w:color w:val="000000" w:themeColor="text1"/>
                <w:sz w:val="22"/>
                <w:lang w:val="en-US"/>
              </w:rPr>
            </w:pPr>
            <w:r w:rsidRPr="00C7354B">
              <w:rPr>
                <w:rFonts w:eastAsia="Helvetica"/>
                <w:color w:val="000000" w:themeColor="text1"/>
                <w:sz w:val="22"/>
                <w:lang w:val="en-US"/>
              </w:rPr>
              <w:t>Kopoboru, Cuevas-Rodríguez, and Pérez-Calero (2020)</w:t>
            </w:r>
          </w:p>
        </w:tc>
        <w:tc>
          <w:tcPr>
            <w:tcW w:w="1134" w:type="dxa"/>
            <w:tcBorders>
              <w:top w:val="nil"/>
              <w:left w:val="nil"/>
              <w:bottom w:val="nil"/>
              <w:right w:val="nil"/>
            </w:tcBorders>
            <w:shd w:val="clear" w:color="auto" w:fill="auto"/>
            <w:noWrap/>
            <w:vAlign w:val="center"/>
          </w:tcPr>
          <w:p w14:paraId="7A376B36"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S</w:t>
            </w:r>
          </w:p>
        </w:tc>
        <w:tc>
          <w:tcPr>
            <w:tcW w:w="1033" w:type="dxa"/>
            <w:tcBorders>
              <w:top w:val="nil"/>
              <w:left w:val="nil"/>
              <w:bottom w:val="nil"/>
              <w:right w:val="nil"/>
            </w:tcBorders>
            <w:vAlign w:val="center"/>
          </w:tcPr>
          <w:p w14:paraId="3B18FA1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4840225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5F7274D1"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44F8508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4988F768" w14:textId="77777777" w:rsidTr="00846329">
        <w:trPr>
          <w:trHeight w:val="59"/>
          <w:jc w:val="center"/>
        </w:trPr>
        <w:tc>
          <w:tcPr>
            <w:tcW w:w="3685" w:type="dxa"/>
            <w:tcBorders>
              <w:top w:val="nil"/>
              <w:left w:val="nil"/>
              <w:bottom w:val="nil"/>
              <w:right w:val="nil"/>
            </w:tcBorders>
            <w:shd w:val="clear" w:color="auto" w:fill="auto"/>
            <w:noWrap/>
            <w:vAlign w:val="center"/>
          </w:tcPr>
          <w:p w14:paraId="75AB04AB"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Kor and Sundaramurthy (2009)</w:t>
            </w:r>
          </w:p>
        </w:tc>
        <w:tc>
          <w:tcPr>
            <w:tcW w:w="1134" w:type="dxa"/>
            <w:tcBorders>
              <w:top w:val="nil"/>
              <w:left w:val="nil"/>
              <w:bottom w:val="nil"/>
              <w:right w:val="nil"/>
            </w:tcBorders>
            <w:shd w:val="clear" w:color="auto" w:fill="auto"/>
            <w:noWrap/>
            <w:vAlign w:val="center"/>
          </w:tcPr>
          <w:p w14:paraId="3CDF0C7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JOM</w:t>
            </w:r>
          </w:p>
        </w:tc>
        <w:tc>
          <w:tcPr>
            <w:tcW w:w="1033" w:type="dxa"/>
            <w:tcBorders>
              <w:top w:val="nil"/>
              <w:left w:val="nil"/>
              <w:bottom w:val="nil"/>
              <w:right w:val="nil"/>
            </w:tcBorders>
            <w:vAlign w:val="center"/>
          </w:tcPr>
          <w:p w14:paraId="53EDB38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610E1A43"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751267B6"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5E21961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16A66021" w14:textId="77777777" w:rsidTr="00846329">
        <w:trPr>
          <w:trHeight w:val="59"/>
          <w:jc w:val="center"/>
        </w:trPr>
        <w:tc>
          <w:tcPr>
            <w:tcW w:w="3685" w:type="dxa"/>
            <w:tcBorders>
              <w:top w:val="nil"/>
              <w:left w:val="nil"/>
              <w:bottom w:val="nil"/>
              <w:right w:val="nil"/>
            </w:tcBorders>
            <w:shd w:val="clear" w:color="auto" w:fill="auto"/>
            <w:noWrap/>
            <w:vAlign w:val="center"/>
          </w:tcPr>
          <w:p w14:paraId="268829F3" w14:textId="77777777" w:rsidR="00406027" w:rsidRPr="00C7354B" w:rsidRDefault="00406027" w:rsidP="006B1B51">
            <w:pPr>
              <w:widowControl w:val="0"/>
              <w:spacing w:line="240" w:lineRule="auto"/>
              <w:jc w:val="left"/>
              <w:rPr>
                <w:rFonts w:eastAsia="Helvetica"/>
                <w:color w:val="000000" w:themeColor="text1"/>
                <w:sz w:val="22"/>
                <w:lang w:val="en-US"/>
              </w:rPr>
            </w:pPr>
            <w:r w:rsidRPr="00C7354B">
              <w:rPr>
                <w:rFonts w:eastAsia="Helvetica"/>
                <w:color w:val="000000" w:themeColor="text1"/>
                <w:sz w:val="22"/>
                <w:lang w:val="en-US"/>
              </w:rPr>
              <w:t>Krause, Wu, Bruton, and Carter (2019)</w:t>
            </w:r>
          </w:p>
        </w:tc>
        <w:tc>
          <w:tcPr>
            <w:tcW w:w="1134" w:type="dxa"/>
            <w:tcBorders>
              <w:top w:val="nil"/>
              <w:left w:val="nil"/>
              <w:bottom w:val="nil"/>
              <w:right w:val="nil"/>
            </w:tcBorders>
            <w:shd w:val="clear" w:color="auto" w:fill="auto"/>
            <w:noWrap/>
            <w:vAlign w:val="center"/>
          </w:tcPr>
          <w:p w14:paraId="50BE0899"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AMJ</w:t>
            </w:r>
          </w:p>
        </w:tc>
        <w:tc>
          <w:tcPr>
            <w:tcW w:w="1033" w:type="dxa"/>
            <w:tcBorders>
              <w:top w:val="nil"/>
              <w:left w:val="nil"/>
              <w:bottom w:val="nil"/>
              <w:right w:val="nil"/>
            </w:tcBorders>
            <w:vAlign w:val="center"/>
          </w:tcPr>
          <w:p w14:paraId="255CADB3"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6F8076E1"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2E5D813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5431D432"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55D82F42" w14:textId="77777777" w:rsidTr="00846329">
        <w:trPr>
          <w:trHeight w:val="59"/>
          <w:jc w:val="center"/>
        </w:trPr>
        <w:tc>
          <w:tcPr>
            <w:tcW w:w="3685" w:type="dxa"/>
            <w:tcBorders>
              <w:top w:val="nil"/>
              <w:left w:val="nil"/>
              <w:bottom w:val="nil"/>
              <w:right w:val="nil"/>
            </w:tcBorders>
            <w:shd w:val="clear" w:color="auto" w:fill="auto"/>
            <w:noWrap/>
            <w:vAlign w:val="center"/>
          </w:tcPr>
          <w:p w14:paraId="07C27CED"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Krenn (2017)</w:t>
            </w:r>
          </w:p>
        </w:tc>
        <w:tc>
          <w:tcPr>
            <w:tcW w:w="1134" w:type="dxa"/>
            <w:tcBorders>
              <w:top w:val="nil"/>
              <w:left w:val="nil"/>
              <w:bottom w:val="nil"/>
              <w:right w:val="nil"/>
            </w:tcBorders>
            <w:shd w:val="clear" w:color="auto" w:fill="auto"/>
            <w:noWrap/>
            <w:vAlign w:val="center"/>
          </w:tcPr>
          <w:p w14:paraId="4B3F46A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CG</w:t>
            </w:r>
          </w:p>
        </w:tc>
        <w:tc>
          <w:tcPr>
            <w:tcW w:w="1033" w:type="dxa"/>
            <w:tcBorders>
              <w:top w:val="nil"/>
              <w:left w:val="nil"/>
              <w:bottom w:val="nil"/>
              <w:right w:val="nil"/>
            </w:tcBorders>
            <w:vAlign w:val="center"/>
          </w:tcPr>
          <w:p w14:paraId="55860AC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125817D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58963DC9"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16CD1CD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62CA8B54" w14:textId="77777777" w:rsidTr="00846329">
        <w:trPr>
          <w:trHeight w:val="59"/>
          <w:jc w:val="center"/>
        </w:trPr>
        <w:tc>
          <w:tcPr>
            <w:tcW w:w="3685" w:type="dxa"/>
            <w:tcBorders>
              <w:top w:val="nil"/>
              <w:left w:val="nil"/>
              <w:bottom w:val="nil"/>
              <w:right w:val="nil"/>
            </w:tcBorders>
            <w:shd w:val="clear" w:color="auto" w:fill="auto"/>
            <w:noWrap/>
            <w:vAlign w:val="center"/>
          </w:tcPr>
          <w:p w14:paraId="6199D7EF"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Li et al. (2020)</w:t>
            </w:r>
          </w:p>
        </w:tc>
        <w:tc>
          <w:tcPr>
            <w:tcW w:w="1134" w:type="dxa"/>
            <w:tcBorders>
              <w:top w:val="nil"/>
              <w:left w:val="nil"/>
              <w:bottom w:val="nil"/>
              <w:right w:val="nil"/>
            </w:tcBorders>
            <w:shd w:val="clear" w:color="auto" w:fill="auto"/>
            <w:noWrap/>
            <w:vAlign w:val="center"/>
          </w:tcPr>
          <w:p w14:paraId="65FDC74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IREF</w:t>
            </w:r>
          </w:p>
        </w:tc>
        <w:tc>
          <w:tcPr>
            <w:tcW w:w="1033" w:type="dxa"/>
            <w:tcBorders>
              <w:top w:val="nil"/>
              <w:left w:val="nil"/>
              <w:bottom w:val="nil"/>
              <w:right w:val="nil"/>
            </w:tcBorders>
            <w:vAlign w:val="center"/>
          </w:tcPr>
          <w:p w14:paraId="53D4199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0AE65AF3"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423BCC62"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0B1C969C"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 / -</w:t>
            </w:r>
          </w:p>
        </w:tc>
      </w:tr>
      <w:tr w:rsidR="00406027" w:rsidRPr="00C7354B" w14:paraId="72156C85" w14:textId="77777777" w:rsidTr="00846329">
        <w:trPr>
          <w:trHeight w:val="59"/>
          <w:jc w:val="center"/>
        </w:trPr>
        <w:tc>
          <w:tcPr>
            <w:tcW w:w="3685" w:type="dxa"/>
            <w:tcBorders>
              <w:top w:val="nil"/>
              <w:left w:val="nil"/>
              <w:bottom w:val="nil"/>
              <w:right w:val="nil"/>
            </w:tcBorders>
            <w:shd w:val="clear" w:color="auto" w:fill="auto"/>
            <w:noWrap/>
            <w:vAlign w:val="center"/>
          </w:tcPr>
          <w:p w14:paraId="0F4FF940"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Li, Fung, Fung, and Qiao (2020)</w:t>
            </w:r>
          </w:p>
        </w:tc>
        <w:tc>
          <w:tcPr>
            <w:tcW w:w="1134" w:type="dxa"/>
            <w:tcBorders>
              <w:top w:val="nil"/>
              <w:left w:val="nil"/>
              <w:bottom w:val="nil"/>
              <w:right w:val="nil"/>
            </w:tcBorders>
            <w:shd w:val="clear" w:color="auto" w:fill="auto"/>
            <w:noWrap/>
            <w:vAlign w:val="center"/>
          </w:tcPr>
          <w:p w14:paraId="0A19B6AA"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IREF</w:t>
            </w:r>
          </w:p>
        </w:tc>
        <w:tc>
          <w:tcPr>
            <w:tcW w:w="1033" w:type="dxa"/>
            <w:tcBorders>
              <w:top w:val="nil"/>
              <w:left w:val="nil"/>
              <w:bottom w:val="nil"/>
              <w:right w:val="nil"/>
            </w:tcBorders>
            <w:vAlign w:val="center"/>
          </w:tcPr>
          <w:p w14:paraId="178143E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55165B2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55B361B2"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5DB7DFE6"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 / -</w:t>
            </w:r>
          </w:p>
        </w:tc>
      </w:tr>
      <w:tr w:rsidR="00406027" w:rsidRPr="00C7354B" w14:paraId="13F2C5EF" w14:textId="77777777" w:rsidTr="00846329">
        <w:trPr>
          <w:trHeight w:val="59"/>
          <w:jc w:val="center"/>
        </w:trPr>
        <w:tc>
          <w:tcPr>
            <w:tcW w:w="3685" w:type="dxa"/>
            <w:tcBorders>
              <w:top w:val="nil"/>
              <w:left w:val="nil"/>
              <w:bottom w:val="nil"/>
              <w:right w:val="nil"/>
            </w:tcBorders>
            <w:shd w:val="clear" w:color="auto" w:fill="auto"/>
            <w:noWrap/>
            <w:vAlign w:val="center"/>
          </w:tcPr>
          <w:p w14:paraId="3AF10EB9"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Li, Tian, and Yan (2013)</w:t>
            </w:r>
          </w:p>
        </w:tc>
        <w:tc>
          <w:tcPr>
            <w:tcW w:w="1134" w:type="dxa"/>
            <w:tcBorders>
              <w:top w:val="nil"/>
              <w:left w:val="nil"/>
              <w:bottom w:val="nil"/>
              <w:right w:val="nil"/>
            </w:tcBorders>
            <w:shd w:val="clear" w:color="auto" w:fill="auto"/>
            <w:noWrap/>
            <w:vAlign w:val="center"/>
          </w:tcPr>
          <w:p w14:paraId="4CCE91F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JABR</w:t>
            </w:r>
          </w:p>
        </w:tc>
        <w:tc>
          <w:tcPr>
            <w:tcW w:w="1033" w:type="dxa"/>
            <w:tcBorders>
              <w:top w:val="nil"/>
              <w:left w:val="nil"/>
              <w:bottom w:val="nil"/>
              <w:right w:val="nil"/>
            </w:tcBorders>
            <w:vAlign w:val="center"/>
          </w:tcPr>
          <w:p w14:paraId="2BC2AAD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6621BCF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375B6A62"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490D07D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 / -</w:t>
            </w:r>
          </w:p>
        </w:tc>
      </w:tr>
      <w:tr w:rsidR="00406027" w:rsidRPr="00C7354B" w14:paraId="78C71810" w14:textId="77777777" w:rsidTr="00846329">
        <w:trPr>
          <w:trHeight w:val="59"/>
          <w:jc w:val="center"/>
        </w:trPr>
        <w:tc>
          <w:tcPr>
            <w:tcW w:w="3685" w:type="dxa"/>
            <w:tcBorders>
              <w:top w:val="nil"/>
              <w:left w:val="nil"/>
              <w:bottom w:val="nil"/>
              <w:right w:val="nil"/>
            </w:tcBorders>
            <w:shd w:val="clear" w:color="auto" w:fill="auto"/>
            <w:noWrap/>
            <w:vAlign w:val="center"/>
          </w:tcPr>
          <w:p w14:paraId="63A01AD8"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Lin, Xie, Hao, and Wang (2020)</w:t>
            </w:r>
          </w:p>
        </w:tc>
        <w:tc>
          <w:tcPr>
            <w:tcW w:w="1134" w:type="dxa"/>
            <w:tcBorders>
              <w:top w:val="nil"/>
              <w:left w:val="nil"/>
              <w:bottom w:val="nil"/>
              <w:right w:val="nil"/>
            </w:tcBorders>
            <w:shd w:val="clear" w:color="auto" w:fill="auto"/>
            <w:noWrap/>
            <w:vAlign w:val="center"/>
          </w:tcPr>
          <w:p w14:paraId="1032B31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IJIM</w:t>
            </w:r>
          </w:p>
        </w:tc>
        <w:tc>
          <w:tcPr>
            <w:tcW w:w="1033" w:type="dxa"/>
            <w:tcBorders>
              <w:top w:val="nil"/>
              <w:left w:val="nil"/>
              <w:bottom w:val="nil"/>
              <w:right w:val="nil"/>
            </w:tcBorders>
            <w:vAlign w:val="center"/>
          </w:tcPr>
          <w:p w14:paraId="040CBB3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7777FD1B"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5135EED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1D199072"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0</w:t>
            </w:r>
          </w:p>
        </w:tc>
      </w:tr>
      <w:tr w:rsidR="00406027" w:rsidRPr="00C7354B" w14:paraId="3E460944" w14:textId="77777777" w:rsidTr="00846329">
        <w:trPr>
          <w:trHeight w:val="59"/>
          <w:jc w:val="center"/>
        </w:trPr>
        <w:tc>
          <w:tcPr>
            <w:tcW w:w="3685" w:type="dxa"/>
            <w:tcBorders>
              <w:top w:val="nil"/>
              <w:left w:val="nil"/>
              <w:bottom w:val="nil"/>
              <w:right w:val="nil"/>
            </w:tcBorders>
            <w:shd w:val="clear" w:color="auto" w:fill="auto"/>
            <w:noWrap/>
            <w:vAlign w:val="center"/>
          </w:tcPr>
          <w:p w14:paraId="08F315ED" w14:textId="77777777" w:rsidR="00406027" w:rsidRPr="00C7354B" w:rsidRDefault="00406027" w:rsidP="006B1B51">
            <w:pPr>
              <w:widowControl w:val="0"/>
              <w:spacing w:line="240" w:lineRule="auto"/>
              <w:jc w:val="left"/>
              <w:rPr>
                <w:rFonts w:eastAsia="Helvetica"/>
                <w:color w:val="000000" w:themeColor="text1"/>
                <w:sz w:val="22"/>
                <w:lang w:val="en-US"/>
              </w:rPr>
            </w:pPr>
            <w:r w:rsidRPr="00C7354B">
              <w:rPr>
                <w:rFonts w:eastAsia="Helvetica"/>
                <w:color w:val="000000" w:themeColor="text1"/>
                <w:sz w:val="22"/>
                <w:lang w:val="en-US"/>
              </w:rPr>
              <w:t>Lu, Mahmoudian, Yu, Nazari, and Herremans (2021)</w:t>
            </w:r>
          </w:p>
        </w:tc>
        <w:tc>
          <w:tcPr>
            <w:tcW w:w="1134" w:type="dxa"/>
            <w:tcBorders>
              <w:top w:val="nil"/>
              <w:left w:val="nil"/>
              <w:bottom w:val="nil"/>
              <w:right w:val="nil"/>
            </w:tcBorders>
            <w:shd w:val="clear" w:color="auto" w:fill="auto"/>
            <w:noWrap/>
            <w:vAlign w:val="center"/>
          </w:tcPr>
          <w:p w14:paraId="709CDF2A"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BSE</w:t>
            </w:r>
          </w:p>
        </w:tc>
        <w:tc>
          <w:tcPr>
            <w:tcW w:w="1033" w:type="dxa"/>
            <w:tcBorders>
              <w:top w:val="nil"/>
              <w:left w:val="nil"/>
              <w:bottom w:val="nil"/>
              <w:right w:val="nil"/>
            </w:tcBorders>
            <w:vAlign w:val="center"/>
          </w:tcPr>
          <w:p w14:paraId="4D2A45B1"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69C085D1"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19DAA00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733B1FF6"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14B2D44D" w14:textId="77777777" w:rsidTr="00846329">
        <w:trPr>
          <w:trHeight w:val="59"/>
          <w:jc w:val="center"/>
        </w:trPr>
        <w:tc>
          <w:tcPr>
            <w:tcW w:w="3685" w:type="dxa"/>
            <w:tcBorders>
              <w:top w:val="nil"/>
              <w:left w:val="nil"/>
              <w:bottom w:val="nil"/>
              <w:right w:val="nil"/>
            </w:tcBorders>
            <w:shd w:val="clear" w:color="auto" w:fill="auto"/>
            <w:noWrap/>
            <w:vAlign w:val="center"/>
          </w:tcPr>
          <w:p w14:paraId="1FDE5AEF"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Lu, Shailer, and Wilson (2016)</w:t>
            </w:r>
          </w:p>
        </w:tc>
        <w:tc>
          <w:tcPr>
            <w:tcW w:w="1134" w:type="dxa"/>
            <w:tcBorders>
              <w:top w:val="nil"/>
              <w:left w:val="nil"/>
              <w:bottom w:val="nil"/>
              <w:right w:val="nil"/>
            </w:tcBorders>
            <w:shd w:val="clear" w:color="auto" w:fill="auto"/>
            <w:noWrap/>
            <w:vAlign w:val="center"/>
          </w:tcPr>
          <w:p w14:paraId="30534583"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JBE</w:t>
            </w:r>
          </w:p>
        </w:tc>
        <w:tc>
          <w:tcPr>
            <w:tcW w:w="1033" w:type="dxa"/>
            <w:tcBorders>
              <w:top w:val="nil"/>
              <w:left w:val="nil"/>
              <w:bottom w:val="nil"/>
              <w:right w:val="nil"/>
            </w:tcBorders>
            <w:vAlign w:val="center"/>
          </w:tcPr>
          <w:p w14:paraId="059E7F6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2C8A0023"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45340C4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78C7667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71951E4A" w14:textId="77777777" w:rsidTr="00846329">
        <w:trPr>
          <w:trHeight w:val="59"/>
          <w:jc w:val="center"/>
        </w:trPr>
        <w:tc>
          <w:tcPr>
            <w:tcW w:w="3685" w:type="dxa"/>
            <w:tcBorders>
              <w:top w:val="nil"/>
              <w:left w:val="nil"/>
              <w:bottom w:val="nil"/>
              <w:right w:val="nil"/>
            </w:tcBorders>
            <w:shd w:val="clear" w:color="auto" w:fill="auto"/>
            <w:noWrap/>
            <w:vAlign w:val="center"/>
          </w:tcPr>
          <w:p w14:paraId="2B874532"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Lu, Wang, and Dong (2013)</w:t>
            </w:r>
          </w:p>
        </w:tc>
        <w:tc>
          <w:tcPr>
            <w:tcW w:w="1134" w:type="dxa"/>
            <w:tcBorders>
              <w:top w:val="nil"/>
              <w:left w:val="nil"/>
              <w:bottom w:val="nil"/>
              <w:right w:val="nil"/>
            </w:tcBorders>
            <w:shd w:val="clear" w:color="auto" w:fill="auto"/>
            <w:noWrap/>
            <w:vAlign w:val="center"/>
          </w:tcPr>
          <w:p w14:paraId="7F7663FB"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CFRI</w:t>
            </w:r>
          </w:p>
        </w:tc>
        <w:tc>
          <w:tcPr>
            <w:tcW w:w="1033" w:type="dxa"/>
            <w:tcBorders>
              <w:top w:val="nil"/>
              <w:left w:val="nil"/>
              <w:bottom w:val="nil"/>
              <w:right w:val="nil"/>
            </w:tcBorders>
            <w:vAlign w:val="center"/>
          </w:tcPr>
          <w:p w14:paraId="7BE685B2"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55A4050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1062F2FC"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3F105B8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260F691F" w14:textId="77777777" w:rsidTr="00846329">
        <w:trPr>
          <w:trHeight w:val="59"/>
          <w:jc w:val="center"/>
        </w:trPr>
        <w:tc>
          <w:tcPr>
            <w:tcW w:w="3685" w:type="dxa"/>
            <w:tcBorders>
              <w:top w:val="nil"/>
              <w:left w:val="nil"/>
              <w:bottom w:val="nil"/>
              <w:right w:val="nil"/>
            </w:tcBorders>
            <w:shd w:val="clear" w:color="auto" w:fill="auto"/>
            <w:noWrap/>
            <w:vAlign w:val="center"/>
          </w:tcPr>
          <w:p w14:paraId="00B7F692" w14:textId="77777777" w:rsidR="00406027" w:rsidRPr="00C7354B" w:rsidRDefault="00406027" w:rsidP="006B1B51">
            <w:pPr>
              <w:widowControl w:val="0"/>
              <w:spacing w:line="240" w:lineRule="auto"/>
              <w:jc w:val="left"/>
              <w:rPr>
                <w:rFonts w:eastAsia="Helvetica"/>
                <w:color w:val="000000" w:themeColor="text1"/>
                <w:sz w:val="22"/>
                <w:lang w:val="en-US"/>
              </w:rPr>
            </w:pPr>
            <w:r w:rsidRPr="00C7354B">
              <w:rPr>
                <w:rFonts w:eastAsia="Helvetica"/>
                <w:color w:val="000000" w:themeColor="text1"/>
                <w:sz w:val="22"/>
                <w:lang w:val="en-US"/>
              </w:rPr>
              <w:t>Markóczy, Li Sun, Peng, Shi, and Ren (2013)</w:t>
            </w:r>
          </w:p>
        </w:tc>
        <w:tc>
          <w:tcPr>
            <w:tcW w:w="1134" w:type="dxa"/>
            <w:tcBorders>
              <w:top w:val="nil"/>
              <w:left w:val="nil"/>
              <w:bottom w:val="nil"/>
              <w:right w:val="nil"/>
            </w:tcBorders>
            <w:shd w:val="clear" w:color="auto" w:fill="auto"/>
            <w:noWrap/>
            <w:vAlign w:val="center"/>
          </w:tcPr>
          <w:p w14:paraId="2C7AF1EB"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SMJ</w:t>
            </w:r>
          </w:p>
        </w:tc>
        <w:tc>
          <w:tcPr>
            <w:tcW w:w="1033" w:type="dxa"/>
            <w:tcBorders>
              <w:top w:val="nil"/>
              <w:left w:val="nil"/>
              <w:bottom w:val="nil"/>
              <w:right w:val="nil"/>
            </w:tcBorders>
            <w:vAlign w:val="center"/>
          </w:tcPr>
          <w:p w14:paraId="039F84AA"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19B126E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3C2DD2B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44F92BBA"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1DA276E0" w14:textId="77777777" w:rsidTr="00846329">
        <w:trPr>
          <w:trHeight w:val="59"/>
          <w:jc w:val="center"/>
        </w:trPr>
        <w:tc>
          <w:tcPr>
            <w:tcW w:w="3685" w:type="dxa"/>
            <w:tcBorders>
              <w:top w:val="nil"/>
              <w:left w:val="nil"/>
              <w:bottom w:val="nil"/>
              <w:right w:val="nil"/>
            </w:tcBorders>
            <w:shd w:val="clear" w:color="auto" w:fill="auto"/>
            <w:noWrap/>
            <w:vAlign w:val="center"/>
          </w:tcPr>
          <w:p w14:paraId="384088FA"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lastRenderedPageBreak/>
              <w:t>Markoczy, Sun, and Zhu (2020)</w:t>
            </w:r>
          </w:p>
        </w:tc>
        <w:tc>
          <w:tcPr>
            <w:tcW w:w="1134" w:type="dxa"/>
            <w:tcBorders>
              <w:top w:val="nil"/>
              <w:left w:val="nil"/>
              <w:bottom w:val="nil"/>
              <w:right w:val="nil"/>
            </w:tcBorders>
            <w:shd w:val="clear" w:color="auto" w:fill="auto"/>
            <w:noWrap/>
            <w:vAlign w:val="center"/>
          </w:tcPr>
          <w:p w14:paraId="1ED3B9E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JBE</w:t>
            </w:r>
          </w:p>
        </w:tc>
        <w:tc>
          <w:tcPr>
            <w:tcW w:w="1033" w:type="dxa"/>
            <w:tcBorders>
              <w:top w:val="nil"/>
              <w:left w:val="nil"/>
              <w:bottom w:val="nil"/>
              <w:right w:val="nil"/>
            </w:tcBorders>
            <w:vAlign w:val="center"/>
          </w:tcPr>
          <w:p w14:paraId="3B90DAD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3F2956B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2FF03259"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2CC85CF2"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5D7AA822" w14:textId="77777777" w:rsidTr="00846329">
        <w:trPr>
          <w:trHeight w:val="59"/>
          <w:jc w:val="center"/>
        </w:trPr>
        <w:tc>
          <w:tcPr>
            <w:tcW w:w="3685" w:type="dxa"/>
            <w:tcBorders>
              <w:top w:val="nil"/>
              <w:left w:val="nil"/>
              <w:bottom w:val="nil"/>
              <w:right w:val="nil"/>
            </w:tcBorders>
            <w:shd w:val="clear" w:color="auto" w:fill="auto"/>
            <w:noWrap/>
            <w:vAlign w:val="center"/>
          </w:tcPr>
          <w:p w14:paraId="7CB7235F"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Martin, Gözübüyük, and Becerra (2015)</w:t>
            </w:r>
          </w:p>
        </w:tc>
        <w:tc>
          <w:tcPr>
            <w:tcW w:w="1134" w:type="dxa"/>
            <w:tcBorders>
              <w:top w:val="nil"/>
              <w:left w:val="nil"/>
              <w:bottom w:val="nil"/>
              <w:right w:val="nil"/>
            </w:tcBorders>
            <w:shd w:val="clear" w:color="auto" w:fill="auto"/>
            <w:noWrap/>
            <w:vAlign w:val="center"/>
          </w:tcPr>
          <w:p w14:paraId="18D4F5F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SMJ</w:t>
            </w:r>
          </w:p>
        </w:tc>
        <w:tc>
          <w:tcPr>
            <w:tcW w:w="1033" w:type="dxa"/>
            <w:tcBorders>
              <w:top w:val="nil"/>
              <w:left w:val="nil"/>
              <w:bottom w:val="nil"/>
              <w:right w:val="nil"/>
            </w:tcBorders>
            <w:vAlign w:val="center"/>
          </w:tcPr>
          <w:p w14:paraId="3CECC159"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61C24B2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75C9C62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58C3755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1E6AAC91" w14:textId="77777777" w:rsidTr="00846329">
        <w:trPr>
          <w:trHeight w:val="59"/>
          <w:jc w:val="center"/>
        </w:trPr>
        <w:tc>
          <w:tcPr>
            <w:tcW w:w="3685" w:type="dxa"/>
            <w:tcBorders>
              <w:top w:val="nil"/>
              <w:left w:val="nil"/>
              <w:bottom w:val="nil"/>
              <w:right w:val="nil"/>
            </w:tcBorders>
            <w:shd w:val="clear" w:color="auto" w:fill="auto"/>
            <w:noWrap/>
            <w:vAlign w:val="center"/>
          </w:tcPr>
          <w:p w14:paraId="45910C66"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Miglani, Ahmed, and Henry (2020)</w:t>
            </w:r>
          </w:p>
        </w:tc>
        <w:tc>
          <w:tcPr>
            <w:tcW w:w="1134" w:type="dxa"/>
            <w:tcBorders>
              <w:top w:val="nil"/>
              <w:left w:val="nil"/>
              <w:bottom w:val="nil"/>
              <w:right w:val="nil"/>
            </w:tcBorders>
            <w:shd w:val="clear" w:color="auto" w:fill="auto"/>
            <w:noWrap/>
            <w:vAlign w:val="center"/>
          </w:tcPr>
          <w:p w14:paraId="68957C0B"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NA</w:t>
            </w:r>
          </w:p>
        </w:tc>
        <w:tc>
          <w:tcPr>
            <w:tcW w:w="1033" w:type="dxa"/>
            <w:tcBorders>
              <w:top w:val="nil"/>
              <w:left w:val="nil"/>
              <w:bottom w:val="nil"/>
              <w:right w:val="nil"/>
            </w:tcBorders>
            <w:vAlign w:val="center"/>
          </w:tcPr>
          <w:p w14:paraId="49C4ADC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194B87D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01A6B65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73AF12A1"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53E047CA" w14:textId="77777777" w:rsidTr="00846329">
        <w:trPr>
          <w:trHeight w:val="59"/>
          <w:jc w:val="center"/>
        </w:trPr>
        <w:tc>
          <w:tcPr>
            <w:tcW w:w="3685" w:type="dxa"/>
            <w:tcBorders>
              <w:top w:val="nil"/>
              <w:left w:val="nil"/>
              <w:bottom w:val="nil"/>
              <w:right w:val="nil"/>
            </w:tcBorders>
            <w:shd w:val="clear" w:color="auto" w:fill="auto"/>
            <w:noWrap/>
            <w:vAlign w:val="center"/>
          </w:tcPr>
          <w:p w14:paraId="7D6B0246" w14:textId="77777777" w:rsidR="00406027" w:rsidRPr="00C7354B" w:rsidRDefault="00406027" w:rsidP="006B1B51">
            <w:pPr>
              <w:widowControl w:val="0"/>
              <w:spacing w:line="240" w:lineRule="auto"/>
              <w:jc w:val="left"/>
              <w:rPr>
                <w:rFonts w:eastAsia="Helvetica"/>
                <w:color w:val="000000" w:themeColor="text1"/>
                <w:sz w:val="22"/>
                <w:lang w:val="en-US"/>
              </w:rPr>
            </w:pPr>
            <w:r w:rsidRPr="00C7354B">
              <w:rPr>
                <w:rFonts w:eastAsia="Helvetica"/>
                <w:color w:val="000000" w:themeColor="text1"/>
                <w:sz w:val="22"/>
                <w:lang w:val="en-US"/>
              </w:rPr>
              <w:t>Moore, Bell, Filatotchev, and Rasheed (2012)</w:t>
            </w:r>
          </w:p>
        </w:tc>
        <w:tc>
          <w:tcPr>
            <w:tcW w:w="1134" w:type="dxa"/>
            <w:tcBorders>
              <w:top w:val="nil"/>
              <w:left w:val="nil"/>
              <w:bottom w:val="nil"/>
              <w:right w:val="nil"/>
            </w:tcBorders>
            <w:shd w:val="clear" w:color="auto" w:fill="auto"/>
            <w:noWrap/>
            <w:vAlign w:val="center"/>
          </w:tcPr>
          <w:p w14:paraId="0D434233"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SMJ</w:t>
            </w:r>
          </w:p>
        </w:tc>
        <w:tc>
          <w:tcPr>
            <w:tcW w:w="1033" w:type="dxa"/>
            <w:tcBorders>
              <w:top w:val="nil"/>
              <w:left w:val="nil"/>
              <w:bottom w:val="nil"/>
              <w:right w:val="nil"/>
            </w:tcBorders>
            <w:vAlign w:val="center"/>
          </w:tcPr>
          <w:p w14:paraId="684F6149"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485427A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5F820E5A"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1B6D86F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6C2988B8" w14:textId="77777777" w:rsidTr="00846329">
        <w:trPr>
          <w:trHeight w:val="59"/>
          <w:jc w:val="center"/>
        </w:trPr>
        <w:tc>
          <w:tcPr>
            <w:tcW w:w="3685" w:type="dxa"/>
            <w:tcBorders>
              <w:top w:val="nil"/>
              <w:left w:val="nil"/>
              <w:bottom w:val="nil"/>
              <w:right w:val="nil"/>
            </w:tcBorders>
            <w:shd w:val="clear" w:color="auto" w:fill="auto"/>
            <w:noWrap/>
            <w:vAlign w:val="center"/>
          </w:tcPr>
          <w:p w14:paraId="5E2EECD8"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Nam and An (2018)</w:t>
            </w:r>
          </w:p>
        </w:tc>
        <w:tc>
          <w:tcPr>
            <w:tcW w:w="1134" w:type="dxa"/>
            <w:tcBorders>
              <w:top w:val="nil"/>
              <w:left w:val="nil"/>
              <w:bottom w:val="nil"/>
              <w:right w:val="nil"/>
            </w:tcBorders>
            <w:shd w:val="clear" w:color="auto" w:fill="auto"/>
            <w:noWrap/>
            <w:vAlign w:val="center"/>
          </w:tcPr>
          <w:p w14:paraId="4940F9DA"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GER</w:t>
            </w:r>
          </w:p>
        </w:tc>
        <w:tc>
          <w:tcPr>
            <w:tcW w:w="1033" w:type="dxa"/>
            <w:tcBorders>
              <w:top w:val="nil"/>
              <w:left w:val="nil"/>
              <w:bottom w:val="nil"/>
              <w:right w:val="nil"/>
            </w:tcBorders>
            <w:vAlign w:val="center"/>
          </w:tcPr>
          <w:p w14:paraId="5CBE02C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007E4DD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087BE82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1485CD81"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30E30FD4" w14:textId="77777777" w:rsidTr="00846329">
        <w:trPr>
          <w:trHeight w:val="59"/>
          <w:jc w:val="center"/>
        </w:trPr>
        <w:tc>
          <w:tcPr>
            <w:tcW w:w="3685" w:type="dxa"/>
            <w:tcBorders>
              <w:top w:val="nil"/>
              <w:left w:val="nil"/>
              <w:bottom w:val="nil"/>
              <w:right w:val="nil"/>
            </w:tcBorders>
            <w:shd w:val="clear" w:color="auto" w:fill="auto"/>
            <w:noWrap/>
            <w:vAlign w:val="center"/>
          </w:tcPr>
          <w:p w14:paraId="106EDB8B"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Ni Sullivan and Tang (2013)</w:t>
            </w:r>
          </w:p>
        </w:tc>
        <w:tc>
          <w:tcPr>
            <w:tcW w:w="1134" w:type="dxa"/>
            <w:tcBorders>
              <w:top w:val="nil"/>
              <w:left w:val="nil"/>
              <w:bottom w:val="nil"/>
              <w:right w:val="nil"/>
            </w:tcBorders>
            <w:shd w:val="clear" w:color="auto" w:fill="auto"/>
            <w:noWrap/>
            <w:vAlign w:val="center"/>
          </w:tcPr>
          <w:p w14:paraId="07E9138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SO</w:t>
            </w:r>
          </w:p>
        </w:tc>
        <w:tc>
          <w:tcPr>
            <w:tcW w:w="1033" w:type="dxa"/>
            <w:tcBorders>
              <w:top w:val="nil"/>
              <w:left w:val="nil"/>
              <w:bottom w:val="nil"/>
              <w:right w:val="nil"/>
            </w:tcBorders>
            <w:vAlign w:val="center"/>
          </w:tcPr>
          <w:p w14:paraId="139EE61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51ED646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1B31CD2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60978C02"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51B0B1D7" w14:textId="77777777" w:rsidTr="00846329">
        <w:trPr>
          <w:trHeight w:val="59"/>
          <w:jc w:val="center"/>
        </w:trPr>
        <w:tc>
          <w:tcPr>
            <w:tcW w:w="3685" w:type="dxa"/>
            <w:tcBorders>
              <w:top w:val="nil"/>
              <w:left w:val="nil"/>
              <w:bottom w:val="nil"/>
              <w:right w:val="nil"/>
            </w:tcBorders>
            <w:shd w:val="clear" w:color="auto" w:fill="auto"/>
            <w:noWrap/>
            <w:vAlign w:val="center"/>
          </w:tcPr>
          <w:p w14:paraId="11E30F76" w14:textId="77777777" w:rsidR="00406027" w:rsidRPr="00C7354B" w:rsidRDefault="00406027" w:rsidP="006B1B51">
            <w:pPr>
              <w:widowControl w:val="0"/>
              <w:spacing w:line="240" w:lineRule="auto"/>
              <w:jc w:val="left"/>
              <w:rPr>
                <w:rFonts w:eastAsia="Helvetica"/>
                <w:color w:val="000000" w:themeColor="text1"/>
                <w:sz w:val="22"/>
                <w:lang w:val="en-US"/>
              </w:rPr>
            </w:pPr>
            <w:r w:rsidRPr="00C7354B">
              <w:rPr>
                <w:rFonts w:eastAsia="Helvetica"/>
                <w:color w:val="000000" w:themeColor="text1"/>
                <w:sz w:val="22"/>
                <w:lang w:val="en-US"/>
              </w:rPr>
              <w:t>Noyes, Brush, Hatten, and Smith-Doerr (2014)</w:t>
            </w:r>
          </w:p>
        </w:tc>
        <w:tc>
          <w:tcPr>
            <w:tcW w:w="1134" w:type="dxa"/>
            <w:tcBorders>
              <w:top w:val="nil"/>
              <w:left w:val="nil"/>
              <w:bottom w:val="nil"/>
              <w:right w:val="nil"/>
            </w:tcBorders>
            <w:shd w:val="clear" w:color="auto" w:fill="auto"/>
            <w:noWrap/>
            <w:vAlign w:val="center"/>
          </w:tcPr>
          <w:p w14:paraId="4ED4D45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JSBM</w:t>
            </w:r>
          </w:p>
        </w:tc>
        <w:tc>
          <w:tcPr>
            <w:tcW w:w="1033" w:type="dxa"/>
            <w:tcBorders>
              <w:top w:val="nil"/>
              <w:left w:val="nil"/>
              <w:bottom w:val="nil"/>
              <w:right w:val="nil"/>
            </w:tcBorders>
            <w:vAlign w:val="center"/>
          </w:tcPr>
          <w:p w14:paraId="55E40452"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2786A66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73AA13A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5EC1F3B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 / -</w:t>
            </w:r>
          </w:p>
        </w:tc>
      </w:tr>
      <w:tr w:rsidR="00406027" w:rsidRPr="00C7354B" w14:paraId="2884552E" w14:textId="77777777" w:rsidTr="00846329">
        <w:trPr>
          <w:trHeight w:val="59"/>
          <w:jc w:val="center"/>
        </w:trPr>
        <w:tc>
          <w:tcPr>
            <w:tcW w:w="3685" w:type="dxa"/>
            <w:tcBorders>
              <w:top w:val="nil"/>
              <w:left w:val="nil"/>
              <w:bottom w:val="nil"/>
              <w:right w:val="nil"/>
            </w:tcBorders>
            <w:shd w:val="clear" w:color="auto" w:fill="auto"/>
            <w:noWrap/>
            <w:vAlign w:val="center"/>
          </w:tcPr>
          <w:p w14:paraId="02A35B94"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Ohlenbusch and Kakievska (2018)</w:t>
            </w:r>
          </w:p>
        </w:tc>
        <w:tc>
          <w:tcPr>
            <w:tcW w:w="1134" w:type="dxa"/>
            <w:tcBorders>
              <w:top w:val="nil"/>
              <w:left w:val="nil"/>
              <w:bottom w:val="nil"/>
              <w:right w:val="nil"/>
            </w:tcBorders>
            <w:shd w:val="clear" w:color="auto" w:fill="auto"/>
            <w:noWrap/>
            <w:vAlign w:val="center"/>
          </w:tcPr>
          <w:p w14:paraId="4FFCE16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BINBS</w:t>
            </w:r>
          </w:p>
        </w:tc>
        <w:tc>
          <w:tcPr>
            <w:tcW w:w="1033" w:type="dxa"/>
            <w:tcBorders>
              <w:top w:val="nil"/>
              <w:left w:val="nil"/>
              <w:bottom w:val="nil"/>
              <w:right w:val="nil"/>
            </w:tcBorders>
            <w:vAlign w:val="center"/>
          </w:tcPr>
          <w:p w14:paraId="336025C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0A97243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6354CCF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4747CCB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73E726B7" w14:textId="77777777" w:rsidTr="00846329">
        <w:trPr>
          <w:trHeight w:val="59"/>
          <w:jc w:val="center"/>
        </w:trPr>
        <w:tc>
          <w:tcPr>
            <w:tcW w:w="3685" w:type="dxa"/>
            <w:tcBorders>
              <w:top w:val="nil"/>
              <w:left w:val="nil"/>
              <w:bottom w:val="nil"/>
              <w:right w:val="nil"/>
            </w:tcBorders>
            <w:shd w:val="clear" w:color="auto" w:fill="auto"/>
            <w:noWrap/>
            <w:vAlign w:val="center"/>
          </w:tcPr>
          <w:p w14:paraId="77C485FF" w14:textId="77777777" w:rsidR="00406027" w:rsidRPr="00C7354B" w:rsidRDefault="00406027" w:rsidP="006B1B51">
            <w:pPr>
              <w:widowControl w:val="0"/>
              <w:spacing w:line="240" w:lineRule="auto"/>
              <w:jc w:val="left"/>
              <w:rPr>
                <w:rFonts w:eastAsia="Helvetica"/>
                <w:color w:val="000000" w:themeColor="text1"/>
                <w:sz w:val="22"/>
                <w:lang w:val="en-US"/>
              </w:rPr>
            </w:pPr>
            <w:r w:rsidRPr="00C7354B">
              <w:rPr>
                <w:rFonts w:eastAsia="Helvetica"/>
                <w:color w:val="000000" w:themeColor="text1"/>
                <w:sz w:val="22"/>
                <w:lang w:val="en-US"/>
              </w:rPr>
              <w:t>Ooi, Hooy, and Mat Som (2017)</w:t>
            </w:r>
          </w:p>
        </w:tc>
        <w:tc>
          <w:tcPr>
            <w:tcW w:w="1134" w:type="dxa"/>
            <w:tcBorders>
              <w:top w:val="nil"/>
              <w:left w:val="nil"/>
              <w:bottom w:val="nil"/>
              <w:right w:val="nil"/>
            </w:tcBorders>
            <w:shd w:val="clear" w:color="auto" w:fill="auto"/>
            <w:noWrap/>
            <w:vAlign w:val="center"/>
          </w:tcPr>
          <w:p w14:paraId="495581F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MF</w:t>
            </w:r>
          </w:p>
        </w:tc>
        <w:tc>
          <w:tcPr>
            <w:tcW w:w="1033" w:type="dxa"/>
            <w:tcBorders>
              <w:top w:val="nil"/>
              <w:left w:val="nil"/>
              <w:bottom w:val="nil"/>
              <w:right w:val="nil"/>
            </w:tcBorders>
            <w:vAlign w:val="center"/>
          </w:tcPr>
          <w:p w14:paraId="7068DEF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023D8C16"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0E33D4E1"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757A67A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2724B724" w14:textId="77777777" w:rsidTr="00846329">
        <w:trPr>
          <w:trHeight w:val="59"/>
          <w:jc w:val="center"/>
        </w:trPr>
        <w:tc>
          <w:tcPr>
            <w:tcW w:w="3685" w:type="dxa"/>
            <w:tcBorders>
              <w:top w:val="nil"/>
              <w:left w:val="nil"/>
              <w:bottom w:val="nil"/>
              <w:right w:val="nil"/>
            </w:tcBorders>
            <w:shd w:val="clear" w:color="auto" w:fill="auto"/>
            <w:noWrap/>
            <w:vAlign w:val="center"/>
          </w:tcPr>
          <w:p w14:paraId="05C52B67" w14:textId="77777777" w:rsidR="00406027" w:rsidRPr="00C7354B" w:rsidRDefault="00406027" w:rsidP="006B1B51">
            <w:pPr>
              <w:widowControl w:val="0"/>
              <w:spacing w:line="240" w:lineRule="auto"/>
              <w:jc w:val="left"/>
              <w:rPr>
                <w:rFonts w:eastAsia="Helvetica"/>
                <w:color w:val="000000" w:themeColor="text1"/>
                <w:sz w:val="22"/>
                <w:lang w:val="en-US"/>
              </w:rPr>
            </w:pPr>
            <w:r w:rsidRPr="00C7354B">
              <w:rPr>
                <w:rFonts w:eastAsia="Helvetica"/>
                <w:color w:val="000000" w:themeColor="text1"/>
                <w:sz w:val="22"/>
                <w:lang w:val="en-US"/>
              </w:rPr>
              <w:t>Ortiz‐de‐Mandojana, Aragón‐Correa, Delgado‐Ceballos, and Ferrón‐Vílchez (2012)</w:t>
            </w:r>
          </w:p>
        </w:tc>
        <w:tc>
          <w:tcPr>
            <w:tcW w:w="1134" w:type="dxa"/>
            <w:tcBorders>
              <w:top w:val="nil"/>
              <w:left w:val="nil"/>
              <w:bottom w:val="nil"/>
              <w:right w:val="nil"/>
            </w:tcBorders>
            <w:shd w:val="clear" w:color="auto" w:fill="auto"/>
            <w:noWrap/>
            <w:vAlign w:val="center"/>
          </w:tcPr>
          <w:p w14:paraId="781EB7B3"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CG</w:t>
            </w:r>
          </w:p>
        </w:tc>
        <w:tc>
          <w:tcPr>
            <w:tcW w:w="1033" w:type="dxa"/>
            <w:tcBorders>
              <w:top w:val="nil"/>
              <w:left w:val="nil"/>
              <w:bottom w:val="nil"/>
              <w:right w:val="nil"/>
            </w:tcBorders>
            <w:vAlign w:val="center"/>
          </w:tcPr>
          <w:p w14:paraId="4D7A5173"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689399B1"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017C113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0FAE2742"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3957B98F" w14:textId="77777777" w:rsidTr="00846329">
        <w:trPr>
          <w:trHeight w:val="59"/>
          <w:jc w:val="center"/>
        </w:trPr>
        <w:tc>
          <w:tcPr>
            <w:tcW w:w="3685" w:type="dxa"/>
            <w:tcBorders>
              <w:top w:val="nil"/>
              <w:left w:val="nil"/>
              <w:bottom w:val="nil"/>
              <w:right w:val="nil"/>
            </w:tcBorders>
            <w:shd w:val="clear" w:color="auto" w:fill="auto"/>
            <w:noWrap/>
            <w:vAlign w:val="center"/>
          </w:tcPr>
          <w:p w14:paraId="4692ACD8" w14:textId="77777777" w:rsidR="00406027" w:rsidRPr="00C7354B" w:rsidRDefault="00406027" w:rsidP="006B1B51">
            <w:pPr>
              <w:widowControl w:val="0"/>
              <w:spacing w:line="240" w:lineRule="auto"/>
              <w:jc w:val="left"/>
              <w:rPr>
                <w:rFonts w:eastAsia="Helvetica"/>
                <w:color w:val="000000" w:themeColor="text1"/>
                <w:sz w:val="22"/>
                <w:lang w:val="en-US"/>
              </w:rPr>
            </w:pPr>
            <w:r w:rsidRPr="00C7354B">
              <w:rPr>
                <w:rFonts w:eastAsia="Helvetica"/>
                <w:color w:val="000000" w:themeColor="text1"/>
                <w:sz w:val="22"/>
                <w:lang w:val="en-US"/>
              </w:rPr>
              <w:t>Owen-Smith, Cotton-Nessler, and Buhr (2015)</w:t>
            </w:r>
          </w:p>
        </w:tc>
        <w:tc>
          <w:tcPr>
            <w:tcW w:w="1134" w:type="dxa"/>
            <w:tcBorders>
              <w:top w:val="nil"/>
              <w:left w:val="nil"/>
              <w:bottom w:val="nil"/>
              <w:right w:val="nil"/>
            </w:tcBorders>
            <w:shd w:val="clear" w:color="auto" w:fill="auto"/>
            <w:noWrap/>
            <w:vAlign w:val="center"/>
          </w:tcPr>
          <w:p w14:paraId="03FDA49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SN</w:t>
            </w:r>
          </w:p>
        </w:tc>
        <w:tc>
          <w:tcPr>
            <w:tcW w:w="1033" w:type="dxa"/>
            <w:tcBorders>
              <w:top w:val="nil"/>
              <w:left w:val="nil"/>
              <w:bottom w:val="nil"/>
              <w:right w:val="nil"/>
            </w:tcBorders>
            <w:vAlign w:val="center"/>
          </w:tcPr>
          <w:p w14:paraId="34A0D76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197559E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4605A1B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6119E449"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4DC595F8" w14:textId="77777777" w:rsidTr="00846329">
        <w:trPr>
          <w:trHeight w:val="59"/>
          <w:jc w:val="center"/>
        </w:trPr>
        <w:tc>
          <w:tcPr>
            <w:tcW w:w="3685" w:type="dxa"/>
            <w:tcBorders>
              <w:top w:val="nil"/>
              <w:left w:val="nil"/>
              <w:bottom w:val="nil"/>
              <w:right w:val="nil"/>
            </w:tcBorders>
            <w:shd w:val="clear" w:color="auto" w:fill="auto"/>
            <w:noWrap/>
            <w:vAlign w:val="center"/>
          </w:tcPr>
          <w:p w14:paraId="75767225"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Palmer and Barber (2001)</w:t>
            </w:r>
          </w:p>
        </w:tc>
        <w:tc>
          <w:tcPr>
            <w:tcW w:w="1134" w:type="dxa"/>
            <w:tcBorders>
              <w:top w:val="nil"/>
              <w:left w:val="nil"/>
              <w:bottom w:val="nil"/>
              <w:right w:val="nil"/>
            </w:tcBorders>
            <w:shd w:val="clear" w:color="auto" w:fill="auto"/>
            <w:noWrap/>
            <w:vAlign w:val="center"/>
          </w:tcPr>
          <w:p w14:paraId="5C05F56B"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ASQ</w:t>
            </w:r>
          </w:p>
        </w:tc>
        <w:tc>
          <w:tcPr>
            <w:tcW w:w="1033" w:type="dxa"/>
            <w:tcBorders>
              <w:top w:val="nil"/>
              <w:left w:val="nil"/>
              <w:bottom w:val="nil"/>
              <w:right w:val="nil"/>
            </w:tcBorders>
            <w:vAlign w:val="center"/>
          </w:tcPr>
          <w:p w14:paraId="6BA4ED0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3124FEC1"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734DFF5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124A770B"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 / -</w:t>
            </w:r>
          </w:p>
        </w:tc>
      </w:tr>
      <w:tr w:rsidR="00406027" w:rsidRPr="00C7354B" w14:paraId="2EB034CC" w14:textId="77777777" w:rsidTr="00846329">
        <w:trPr>
          <w:trHeight w:val="59"/>
          <w:jc w:val="center"/>
        </w:trPr>
        <w:tc>
          <w:tcPr>
            <w:tcW w:w="3685" w:type="dxa"/>
            <w:tcBorders>
              <w:top w:val="nil"/>
              <w:left w:val="nil"/>
              <w:bottom w:val="nil"/>
              <w:right w:val="nil"/>
            </w:tcBorders>
            <w:shd w:val="clear" w:color="auto" w:fill="auto"/>
            <w:noWrap/>
            <w:vAlign w:val="center"/>
          </w:tcPr>
          <w:p w14:paraId="3017350B"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Palmer, Jennings, and Zhou (1993)</w:t>
            </w:r>
          </w:p>
        </w:tc>
        <w:tc>
          <w:tcPr>
            <w:tcW w:w="1134" w:type="dxa"/>
            <w:tcBorders>
              <w:top w:val="nil"/>
              <w:left w:val="nil"/>
              <w:bottom w:val="nil"/>
              <w:right w:val="nil"/>
            </w:tcBorders>
            <w:shd w:val="clear" w:color="auto" w:fill="auto"/>
            <w:noWrap/>
            <w:vAlign w:val="center"/>
          </w:tcPr>
          <w:p w14:paraId="055ABAB2"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ASQ</w:t>
            </w:r>
          </w:p>
        </w:tc>
        <w:tc>
          <w:tcPr>
            <w:tcW w:w="1033" w:type="dxa"/>
            <w:tcBorders>
              <w:top w:val="nil"/>
              <w:left w:val="nil"/>
              <w:bottom w:val="nil"/>
              <w:right w:val="nil"/>
            </w:tcBorders>
            <w:vAlign w:val="center"/>
          </w:tcPr>
          <w:p w14:paraId="04B8EE06"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459007D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418A7F2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793CDB26"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1DC6564F" w14:textId="77777777" w:rsidTr="00846329">
        <w:trPr>
          <w:trHeight w:val="59"/>
          <w:jc w:val="center"/>
        </w:trPr>
        <w:tc>
          <w:tcPr>
            <w:tcW w:w="3685" w:type="dxa"/>
            <w:tcBorders>
              <w:top w:val="nil"/>
              <w:left w:val="nil"/>
              <w:bottom w:val="nil"/>
              <w:right w:val="nil"/>
            </w:tcBorders>
            <w:shd w:val="clear" w:color="auto" w:fill="auto"/>
            <w:noWrap/>
            <w:vAlign w:val="center"/>
          </w:tcPr>
          <w:p w14:paraId="38E6307B"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Park and Oh (2023)</w:t>
            </w:r>
          </w:p>
        </w:tc>
        <w:tc>
          <w:tcPr>
            <w:tcW w:w="1134" w:type="dxa"/>
            <w:tcBorders>
              <w:top w:val="nil"/>
              <w:left w:val="nil"/>
              <w:bottom w:val="nil"/>
              <w:right w:val="nil"/>
            </w:tcBorders>
            <w:shd w:val="clear" w:color="auto" w:fill="auto"/>
            <w:noWrap/>
            <w:vAlign w:val="center"/>
          </w:tcPr>
          <w:p w14:paraId="71DEA543"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FIP</w:t>
            </w:r>
          </w:p>
        </w:tc>
        <w:tc>
          <w:tcPr>
            <w:tcW w:w="1033" w:type="dxa"/>
            <w:tcBorders>
              <w:top w:val="nil"/>
              <w:left w:val="nil"/>
              <w:bottom w:val="nil"/>
              <w:right w:val="nil"/>
            </w:tcBorders>
            <w:vAlign w:val="center"/>
          </w:tcPr>
          <w:p w14:paraId="0576FF9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41380E42"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1E87E1FB"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5DF5122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0</w:t>
            </w:r>
          </w:p>
        </w:tc>
      </w:tr>
      <w:tr w:rsidR="00406027" w:rsidRPr="00C7354B" w14:paraId="3538AF73" w14:textId="77777777" w:rsidTr="00846329">
        <w:trPr>
          <w:trHeight w:val="59"/>
          <w:jc w:val="center"/>
        </w:trPr>
        <w:tc>
          <w:tcPr>
            <w:tcW w:w="3685" w:type="dxa"/>
            <w:tcBorders>
              <w:top w:val="nil"/>
              <w:left w:val="nil"/>
              <w:bottom w:val="nil"/>
              <w:right w:val="nil"/>
            </w:tcBorders>
            <w:shd w:val="clear" w:color="auto" w:fill="auto"/>
            <w:noWrap/>
            <w:vAlign w:val="center"/>
          </w:tcPr>
          <w:p w14:paraId="5CE9DD01"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Park, Tsai, and Lungeanu (2018)</w:t>
            </w:r>
          </w:p>
        </w:tc>
        <w:tc>
          <w:tcPr>
            <w:tcW w:w="1134" w:type="dxa"/>
            <w:tcBorders>
              <w:top w:val="nil"/>
              <w:left w:val="nil"/>
              <w:bottom w:val="nil"/>
              <w:right w:val="nil"/>
            </w:tcBorders>
            <w:shd w:val="clear" w:color="auto" w:fill="auto"/>
            <w:noWrap/>
            <w:vAlign w:val="center"/>
          </w:tcPr>
          <w:p w14:paraId="12D05412"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AMP</w:t>
            </w:r>
          </w:p>
        </w:tc>
        <w:tc>
          <w:tcPr>
            <w:tcW w:w="1033" w:type="dxa"/>
            <w:tcBorders>
              <w:top w:val="nil"/>
              <w:left w:val="nil"/>
              <w:bottom w:val="nil"/>
              <w:right w:val="nil"/>
            </w:tcBorders>
            <w:vAlign w:val="center"/>
          </w:tcPr>
          <w:p w14:paraId="5D35EEC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791764D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1184B70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2B6DFABB"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388CEC08" w14:textId="77777777" w:rsidTr="00846329">
        <w:trPr>
          <w:trHeight w:val="59"/>
          <w:jc w:val="center"/>
        </w:trPr>
        <w:tc>
          <w:tcPr>
            <w:tcW w:w="3685" w:type="dxa"/>
            <w:tcBorders>
              <w:top w:val="nil"/>
              <w:left w:val="nil"/>
              <w:bottom w:val="nil"/>
              <w:right w:val="nil"/>
            </w:tcBorders>
            <w:shd w:val="clear" w:color="auto" w:fill="auto"/>
            <w:noWrap/>
            <w:vAlign w:val="center"/>
          </w:tcPr>
          <w:p w14:paraId="5AAFAE9C" w14:textId="77777777" w:rsidR="00406027" w:rsidRPr="00C7354B" w:rsidRDefault="00406027" w:rsidP="006B1B51">
            <w:pPr>
              <w:widowControl w:val="0"/>
              <w:spacing w:line="240" w:lineRule="auto"/>
              <w:jc w:val="left"/>
              <w:rPr>
                <w:rFonts w:eastAsia="Helvetica"/>
                <w:color w:val="000000" w:themeColor="text1"/>
                <w:sz w:val="22"/>
                <w:lang w:val="en-US"/>
              </w:rPr>
            </w:pPr>
            <w:r w:rsidRPr="00C7354B">
              <w:rPr>
                <w:rFonts w:eastAsia="Helvetica"/>
                <w:color w:val="000000" w:themeColor="text1"/>
                <w:sz w:val="22"/>
                <w:lang w:val="en-US"/>
              </w:rPr>
              <w:t>Pérez-Calero, Del Villegas, and Barroso (2016)</w:t>
            </w:r>
          </w:p>
        </w:tc>
        <w:tc>
          <w:tcPr>
            <w:tcW w:w="1134" w:type="dxa"/>
            <w:tcBorders>
              <w:top w:val="nil"/>
              <w:left w:val="nil"/>
              <w:bottom w:val="nil"/>
              <w:right w:val="nil"/>
            </w:tcBorders>
            <w:shd w:val="clear" w:color="auto" w:fill="auto"/>
            <w:noWrap/>
            <w:vAlign w:val="center"/>
          </w:tcPr>
          <w:p w14:paraId="20CA7CBA"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CG</w:t>
            </w:r>
          </w:p>
        </w:tc>
        <w:tc>
          <w:tcPr>
            <w:tcW w:w="1033" w:type="dxa"/>
            <w:tcBorders>
              <w:top w:val="nil"/>
              <w:left w:val="nil"/>
              <w:bottom w:val="nil"/>
              <w:right w:val="nil"/>
            </w:tcBorders>
            <w:vAlign w:val="center"/>
          </w:tcPr>
          <w:p w14:paraId="131FAE2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416A06E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1B97D736"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2B27FFCC"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47169E2C" w14:textId="77777777" w:rsidTr="00846329">
        <w:trPr>
          <w:trHeight w:val="59"/>
          <w:jc w:val="center"/>
        </w:trPr>
        <w:tc>
          <w:tcPr>
            <w:tcW w:w="3685" w:type="dxa"/>
            <w:tcBorders>
              <w:top w:val="nil"/>
              <w:left w:val="nil"/>
              <w:bottom w:val="nil"/>
              <w:right w:val="nil"/>
            </w:tcBorders>
            <w:shd w:val="clear" w:color="auto" w:fill="auto"/>
            <w:noWrap/>
            <w:vAlign w:val="center"/>
          </w:tcPr>
          <w:p w14:paraId="1147CE38" w14:textId="77777777" w:rsidR="00406027" w:rsidRPr="00C7354B" w:rsidRDefault="00406027" w:rsidP="006B1B51">
            <w:pPr>
              <w:widowControl w:val="0"/>
              <w:spacing w:line="240" w:lineRule="auto"/>
              <w:jc w:val="left"/>
              <w:rPr>
                <w:rFonts w:eastAsia="Helvetica"/>
                <w:color w:val="000000" w:themeColor="text1"/>
                <w:sz w:val="22"/>
                <w:lang w:val="en-US"/>
              </w:rPr>
            </w:pPr>
            <w:r w:rsidRPr="00C7354B">
              <w:rPr>
                <w:rFonts w:eastAsia="Helvetica"/>
                <w:color w:val="000000" w:themeColor="text1"/>
                <w:sz w:val="22"/>
                <w:lang w:val="en-US"/>
              </w:rPr>
              <w:t>Pérez-Calero, Hurtado-González, and López-Iturriaga (2019)</w:t>
            </w:r>
          </w:p>
        </w:tc>
        <w:tc>
          <w:tcPr>
            <w:tcW w:w="1134" w:type="dxa"/>
            <w:tcBorders>
              <w:top w:val="nil"/>
              <w:left w:val="nil"/>
              <w:bottom w:val="nil"/>
              <w:right w:val="nil"/>
            </w:tcBorders>
            <w:shd w:val="clear" w:color="auto" w:fill="auto"/>
            <w:noWrap/>
            <w:vAlign w:val="center"/>
          </w:tcPr>
          <w:p w14:paraId="0ABEEF9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SO</w:t>
            </w:r>
          </w:p>
        </w:tc>
        <w:tc>
          <w:tcPr>
            <w:tcW w:w="1033" w:type="dxa"/>
            <w:tcBorders>
              <w:top w:val="nil"/>
              <w:left w:val="nil"/>
              <w:bottom w:val="nil"/>
              <w:right w:val="nil"/>
            </w:tcBorders>
            <w:vAlign w:val="center"/>
          </w:tcPr>
          <w:p w14:paraId="59FB5FDB"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1B993E23"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60F17591"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2A38260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343407D6" w14:textId="77777777" w:rsidTr="00846329">
        <w:trPr>
          <w:trHeight w:val="59"/>
          <w:jc w:val="center"/>
        </w:trPr>
        <w:tc>
          <w:tcPr>
            <w:tcW w:w="3685" w:type="dxa"/>
            <w:tcBorders>
              <w:top w:val="nil"/>
              <w:left w:val="nil"/>
              <w:bottom w:val="nil"/>
              <w:right w:val="nil"/>
            </w:tcBorders>
            <w:shd w:val="clear" w:color="auto" w:fill="auto"/>
            <w:noWrap/>
            <w:vAlign w:val="center"/>
          </w:tcPr>
          <w:p w14:paraId="49BEE576"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Phan, Lee, and Lau (2003)</w:t>
            </w:r>
          </w:p>
        </w:tc>
        <w:tc>
          <w:tcPr>
            <w:tcW w:w="1134" w:type="dxa"/>
            <w:tcBorders>
              <w:top w:val="nil"/>
              <w:left w:val="nil"/>
              <w:bottom w:val="nil"/>
              <w:right w:val="nil"/>
            </w:tcBorders>
            <w:shd w:val="clear" w:color="auto" w:fill="auto"/>
            <w:noWrap/>
            <w:vAlign w:val="center"/>
          </w:tcPr>
          <w:p w14:paraId="3B75B3CA"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JMI</w:t>
            </w:r>
          </w:p>
        </w:tc>
        <w:tc>
          <w:tcPr>
            <w:tcW w:w="1033" w:type="dxa"/>
            <w:tcBorders>
              <w:top w:val="nil"/>
              <w:left w:val="nil"/>
              <w:bottom w:val="nil"/>
              <w:right w:val="nil"/>
            </w:tcBorders>
            <w:vAlign w:val="center"/>
          </w:tcPr>
          <w:p w14:paraId="2D7F10A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7EAE4F9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0031841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06A6486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004FB026" w14:textId="77777777" w:rsidTr="00846329">
        <w:trPr>
          <w:trHeight w:val="59"/>
          <w:jc w:val="center"/>
        </w:trPr>
        <w:tc>
          <w:tcPr>
            <w:tcW w:w="3685" w:type="dxa"/>
            <w:tcBorders>
              <w:top w:val="nil"/>
              <w:left w:val="nil"/>
              <w:bottom w:val="nil"/>
              <w:right w:val="nil"/>
            </w:tcBorders>
            <w:shd w:val="clear" w:color="auto" w:fill="auto"/>
            <w:noWrap/>
            <w:vAlign w:val="center"/>
          </w:tcPr>
          <w:p w14:paraId="4B1D66FB"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Popli, Ladkani, and Gaur (2017)</w:t>
            </w:r>
          </w:p>
        </w:tc>
        <w:tc>
          <w:tcPr>
            <w:tcW w:w="1134" w:type="dxa"/>
            <w:tcBorders>
              <w:top w:val="nil"/>
              <w:left w:val="nil"/>
              <w:bottom w:val="nil"/>
              <w:right w:val="nil"/>
            </w:tcBorders>
            <w:shd w:val="clear" w:color="auto" w:fill="auto"/>
            <w:noWrap/>
            <w:vAlign w:val="center"/>
          </w:tcPr>
          <w:p w14:paraId="420494B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JBR</w:t>
            </w:r>
          </w:p>
        </w:tc>
        <w:tc>
          <w:tcPr>
            <w:tcW w:w="1033" w:type="dxa"/>
            <w:tcBorders>
              <w:top w:val="nil"/>
              <w:left w:val="nil"/>
              <w:bottom w:val="nil"/>
              <w:right w:val="nil"/>
            </w:tcBorders>
            <w:vAlign w:val="center"/>
          </w:tcPr>
          <w:p w14:paraId="44CA3DCC"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1DB1849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3E395C2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3990BA81"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04007955" w14:textId="77777777" w:rsidTr="00846329">
        <w:trPr>
          <w:trHeight w:val="59"/>
          <w:jc w:val="center"/>
        </w:trPr>
        <w:tc>
          <w:tcPr>
            <w:tcW w:w="3685" w:type="dxa"/>
            <w:tcBorders>
              <w:top w:val="nil"/>
              <w:left w:val="nil"/>
              <w:bottom w:val="nil"/>
              <w:right w:val="nil"/>
            </w:tcBorders>
            <w:shd w:val="clear" w:color="auto" w:fill="auto"/>
            <w:noWrap/>
            <w:vAlign w:val="center"/>
          </w:tcPr>
          <w:p w14:paraId="0C2547A6"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Qu, Xu, and Guo (2022)</w:t>
            </w:r>
          </w:p>
        </w:tc>
        <w:tc>
          <w:tcPr>
            <w:tcW w:w="1134" w:type="dxa"/>
            <w:tcBorders>
              <w:top w:val="nil"/>
              <w:left w:val="nil"/>
              <w:bottom w:val="nil"/>
              <w:right w:val="nil"/>
            </w:tcBorders>
            <w:shd w:val="clear" w:color="auto" w:fill="auto"/>
            <w:noWrap/>
            <w:vAlign w:val="center"/>
          </w:tcPr>
          <w:p w14:paraId="0D3A545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FP</w:t>
            </w:r>
          </w:p>
        </w:tc>
        <w:tc>
          <w:tcPr>
            <w:tcW w:w="1033" w:type="dxa"/>
            <w:tcBorders>
              <w:top w:val="nil"/>
              <w:left w:val="nil"/>
              <w:bottom w:val="nil"/>
              <w:right w:val="nil"/>
            </w:tcBorders>
            <w:vAlign w:val="center"/>
          </w:tcPr>
          <w:p w14:paraId="11C370A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11C6AC4B"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0DCC671B"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759C3093"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2B412BDE" w14:textId="77777777" w:rsidTr="00846329">
        <w:trPr>
          <w:trHeight w:val="59"/>
          <w:jc w:val="center"/>
        </w:trPr>
        <w:tc>
          <w:tcPr>
            <w:tcW w:w="3685" w:type="dxa"/>
            <w:tcBorders>
              <w:top w:val="nil"/>
              <w:left w:val="nil"/>
              <w:bottom w:val="nil"/>
              <w:right w:val="nil"/>
            </w:tcBorders>
            <w:shd w:val="clear" w:color="auto" w:fill="auto"/>
            <w:noWrap/>
            <w:vAlign w:val="center"/>
          </w:tcPr>
          <w:p w14:paraId="213B6428"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Roudaki and Bhuiyan (2015)</w:t>
            </w:r>
          </w:p>
        </w:tc>
        <w:tc>
          <w:tcPr>
            <w:tcW w:w="1134" w:type="dxa"/>
            <w:tcBorders>
              <w:top w:val="nil"/>
              <w:left w:val="nil"/>
              <w:bottom w:val="nil"/>
              <w:right w:val="nil"/>
            </w:tcBorders>
            <w:shd w:val="clear" w:color="auto" w:fill="auto"/>
            <w:noWrap/>
            <w:vAlign w:val="center"/>
          </w:tcPr>
          <w:p w14:paraId="7E7E27CC"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AABFJ</w:t>
            </w:r>
          </w:p>
        </w:tc>
        <w:tc>
          <w:tcPr>
            <w:tcW w:w="1033" w:type="dxa"/>
            <w:tcBorders>
              <w:top w:val="nil"/>
              <w:left w:val="nil"/>
              <w:bottom w:val="nil"/>
              <w:right w:val="nil"/>
            </w:tcBorders>
            <w:vAlign w:val="center"/>
          </w:tcPr>
          <w:p w14:paraId="48C9B212"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7CC14B3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1E6F14F6"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2683D9A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242D6346" w14:textId="77777777" w:rsidTr="00846329">
        <w:trPr>
          <w:trHeight w:val="59"/>
          <w:jc w:val="center"/>
        </w:trPr>
        <w:tc>
          <w:tcPr>
            <w:tcW w:w="3685" w:type="dxa"/>
            <w:tcBorders>
              <w:top w:val="nil"/>
              <w:left w:val="nil"/>
              <w:bottom w:val="nil"/>
              <w:right w:val="nil"/>
            </w:tcBorders>
            <w:shd w:val="clear" w:color="auto" w:fill="auto"/>
            <w:noWrap/>
            <w:vAlign w:val="center"/>
          </w:tcPr>
          <w:p w14:paraId="7E3C9B77"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Rubino and Napoli (2020)</w:t>
            </w:r>
          </w:p>
        </w:tc>
        <w:tc>
          <w:tcPr>
            <w:tcW w:w="1134" w:type="dxa"/>
            <w:tcBorders>
              <w:top w:val="nil"/>
              <w:left w:val="nil"/>
              <w:bottom w:val="nil"/>
              <w:right w:val="nil"/>
            </w:tcBorders>
            <w:shd w:val="clear" w:color="auto" w:fill="auto"/>
            <w:noWrap/>
            <w:vAlign w:val="center"/>
          </w:tcPr>
          <w:p w14:paraId="762530CB"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WP</w:t>
            </w:r>
          </w:p>
        </w:tc>
        <w:tc>
          <w:tcPr>
            <w:tcW w:w="1033" w:type="dxa"/>
            <w:tcBorders>
              <w:top w:val="nil"/>
              <w:left w:val="nil"/>
              <w:bottom w:val="nil"/>
              <w:right w:val="nil"/>
            </w:tcBorders>
            <w:vAlign w:val="center"/>
          </w:tcPr>
          <w:p w14:paraId="0BCDD2A9"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72175B0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050D3B19"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67A0F03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 / -</w:t>
            </w:r>
          </w:p>
        </w:tc>
      </w:tr>
      <w:tr w:rsidR="00406027" w:rsidRPr="00C7354B" w14:paraId="3B63179B" w14:textId="77777777" w:rsidTr="00846329">
        <w:trPr>
          <w:trHeight w:val="59"/>
          <w:jc w:val="center"/>
        </w:trPr>
        <w:tc>
          <w:tcPr>
            <w:tcW w:w="3685" w:type="dxa"/>
            <w:tcBorders>
              <w:top w:val="nil"/>
              <w:left w:val="nil"/>
              <w:bottom w:val="nil"/>
              <w:right w:val="nil"/>
            </w:tcBorders>
            <w:shd w:val="clear" w:color="auto" w:fill="auto"/>
            <w:noWrap/>
            <w:vAlign w:val="center"/>
          </w:tcPr>
          <w:p w14:paraId="7C464BB8"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Ruigrok, Peck, and Keller (2006)</w:t>
            </w:r>
          </w:p>
        </w:tc>
        <w:tc>
          <w:tcPr>
            <w:tcW w:w="1134" w:type="dxa"/>
            <w:tcBorders>
              <w:top w:val="nil"/>
              <w:left w:val="nil"/>
              <w:bottom w:val="nil"/>
              <w:right w:val="nil"/>
            </w:tcBorders>
            <w:shd w:val="clear" w:color="auto" w:fill="auto"/>
            <w:noWrap/>
            <w:vAlign w:val="center"/>
          </w:tcPr>
          <w:p w14:paraId="2FD3C323"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JMS</w:t>
            </w:r>
          </w:p>
        </w:tc>
        <w:tc>
          <w:tcPr>
            <w:tcW w:w="1033" w:type="dxa"/>
            <w:tcBorders>
              <w:top w:val="nil"/>
              <w:left w:val="nil"/>
              <w:bottom w:val="nil"/>
              <w:right w:val="nil"/>
            </w:tcBorders>
            <w:vAlign w:val="center"/>
          </w:tcPr>
          <w:p w14:paraId="69F1E1C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7F6F040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60FB5D7B"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263E342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231C702B" w14:textId="77777777" w:rsidTr="00846329">
        <w:trPr>
          <w:trHeight w:val="59"/>
          <w:jc w:val="center"/>
        </w:trPr>
        <w:tc>
          <w:tcPr>
            <w:tcW w:w="3685" w:type="dxa"/>
            <w:tcBorders>
              <w:top w:val="nil"/>
              <w:left w:val="nil"/>
              <w:bottom w:val="nil"/>
              <w:right w:val="nil"/>
            </w:tcBorders>
            <w:shd w:val="clear" w:color="auto" w:fill="auto"/>
            <w:noWrap/>
            <w:vAlign w:val="center"/>
          </w:tcPr>
          <w:p w14:paraId="638D5692"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Salgado, Schneider, and Costa (2022)</w:t>
            </w:r>
          </w:p>
        </w:tc>
        <w:tc>
          <w:tcPr>
            <w:tcW w:w="1134" w:type="dxa"/>
            <w:tcBorders>
              <w:top w:val="nil"/>
              <w:left w:val="nil"/>
              <w:bottom w:val="nil"/>
              <w:right w:val="nil"/>
            </w:tcBorders>
            <w:shd w:val="clear" w:color="auto" w:fill="auto"/>
            <w:noWrap/>
            <w:vAlign w:val="center"/>
          </w:tcPr>
          <w:p w14:paraId="403F00E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IJDG</w:t>
            </w:r>
          </w:p>
        </w:tc>
        <w:tc>
          <w:tcPr>
            <w:tcW w:w="1033" w:type="dxa"/>
            <w:tcBorders>
              <w:top w:val="nil"/>
              <w:left w:val="nil"/>
              <w:bottom w:val="nil"/>
              <w:right w:val="nil"/>
            </w:tcBorders>
            <w:vAlign w:val="center"/>
          </w:tcPr>
          <w:p w14:paraId="4C123392"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715154D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583065B1"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53BA09F2"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1FC09368" w14:textId="77777777" w:rsidTr="00846329">
        <w:trPr>
          <w:trHeight w:val="59"/>
          <w:jc w:val="center"/>
        </w:trPr>
        <w:tc>
          <w:tcPr>
            <w:tcW w:w="3685" w:type="dxa"/>
            <w:tcBorders>
              <w:top w:val="nil"/>
              <w:left w:val="nil"/>
              <w:bottom w:val="nil"/>
              <w:right w:val="nil"/>
            </w:tcBorders>
            <w:shd w:val="clear" w:color="auto" w:fill="auto"/>
            <w:noWrap/>
            <w:vAlign w:val="center"/>
          </w:tcPr>
          <w:p w14:paraId="1507E0A4"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Sarkar and Sarkar (2009)</w:t>
            </w:r>
          </w:p>
        </w:tc>
        <w:tc>
          <w:tcPr>
            <w:tcW w:w="1134" w:type="dxa"/>
            <w:tcBorders>
              <w:top w:val="nil"/>
              <w:left w:val="nil"/>
              <w:bottom w:val="nil"/>
              <w:right w:val="nil"/>
            </w:tcBorders>
            <w:shd w:val="clear" w:color="auto" w:fill="auto"/>
            <w:noWrap/>
            <w:vAlign w:val="center"/>
          </w:tcPr>
          <w:p w14:paraId="6A419DD6"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PBFJ</w:t>
            </w:r>
          </w:p>
        </w:tc>
        <w:tc>
          <w:tcPr>
            <w:tcW w:w="1033" w:type="dxa"/>
            <w:tcBorders>
              <w:top w:val="nil"/>
              <w:left w:val="nil"/>
              <w:bottom w:val="nil"/>
              <w:right w:val="nil"/>
            </w:tcBorders>
            <w:vAlign w:val="center"/>
          </w:tcPr>
          <w:p w14:paraId="725105AA"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29532C51"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76D7E61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53A2987B"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78D24B04" w14:textId="77777777" w:rsidTr="00846329">
        <w:trPr>
          <w:trHeight w:val="59"/>
          <w:jc w:val="center"/>
        </w:trPr>
        <w:tc>
          <w:tcPr>
            <w:tcW w:w="3685" w:type="dxa"/>
            <w:tcBorders>
              <w:top w:val="nil"/>
              <w:left w:val="nil"/>
              <w:bottom w:val="nil"/>
              <w:right w:val="nil"/>
            </w:tcBorders>
            <w:shd w:val="clear" w:color="auto" w:fill="auto"/>
            <w:noWrap/>
            <w:vAlign w:val="center"/>
          </w:tcPr>
          <w:p w14:paraId="39E3C5C3"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Shao (2010)</w:t>
            </w:r>
          </w:p>
        </w:tc>
        <w:tc>
          <w:tcPr>
            <w:tcW w:w="1134" w:type="dxa"/>
            <w:tcBorders>
              <w:top w:val="nil"/>
              <w:left w:val="nil"/>
              <w:bottom w:val="nil"/>
              <w:right w:val="nil"/>
            </w:tcBorders>
            <w:shd w:val="clear" w:color="auto" w:fill="auto"/>
            <w:noWrap/>
            <w:vAlign w:val="center"/>
          </w:tcPr>
          <w:p w14:paraId="7226A08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JMBS</w:t>
            </w:r>
          </w:p>
        </w:tc>
        <w:tc>
          <w:tcPr>
            <w:tcW w:w="1033" w:type="dxa"/>
            <w:tcBorders>
              <w:top w:val="nil"/>
              <w:left w:val="nil"/>
              <w:bottom w:val="nil"/>
              <w:right w:val="nil"/>
            </w:tcBorders>
            <w:vAlign w:val="center"/>
          </w:tcPr>
          <w:p w14:paraId="4EE9615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6A47271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46B3357B"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64179C41"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5995FE10" w14:textId="77777777" w:rsidTr="00846329">
        <w:trPr>
          <w:trHeight w:val="59"/>
          <w:jc w:val="center"/>
        </w:trPr>
        <w:tc>
          <w:tcPr>
            <w:tcW w:w="3685" w:type="dxa"/>
            <w:tcBorders>
              <w:top w:val="nil"/>
              <w:left w:val="nil"/>
              <w:bottom w:val="nil"/>
              <w:right w:val="nil"/>
            </w:tcBorders>
            <w:shd w:val="clear" w:color="auto" w:fill="auto"/>
            <w:noWrap/>
            <w:vAlign w:val="center"/>
          </w:tcPr>
          <w:p w14:paraId="3694DDC0"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Shaw, Cordeiro, and Saravanan (2016)</w:t>
            </w:r>
          </w:p>
        </w:tc>
        <w:tc>
          <w:tcPr>
            <w:tcW w:w="1134" w:type="dxa"/>
            <w:tcBorders>
              <w:top w:val="nil"/>
              <w:left w:val="nil"/>
              <w:bottom w:val="nil"/>
              <w:right w:val="nil"/>
            </w:tcBorders>
            <w:shd w:val="clear" w:color="auto" w:fill="auto"/>
            <w:noWrap/>
            <w:vAlign w:val="center"/>
          </w:tcPr>
          <w:p w14:paraId="080BEDF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ABM</w:t>
            </w:r>
          </w:p>
        </w:tc>
        <w:tc>
          <w:tcPr>
            <w:tcW w:w="1033" w:type="dxa"/>
            <w:tcBorders>
              <w:top w:val="nil"/>
              <w:left w:val="nil"/>
              <w:bottom w:val="nil"/>
              <w:right w:val="nil"/>
            </w:tcBorders>
            <w:vAlign w:val="center"/>
          </w:tcPr>
          <w:p w14:paraId="4CB5B13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715C6E8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020A4D2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603E858B"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0BE19D44" w14:textId="77777777" w:rsidTr="00846329">
        <w:trPr>
          <w:trHeight w:val="59"/>
          <w:jc w:val="center"/>
        </w:trPr>
        <w:tc>
          <w:tcPr>
            <w:tcW w:w="3685" w:type="dxa"/>
            <w:tcBorders>
              <w:top w:val="nil"/>
              <w:left w:val="nil"/>
              <w:bottom w:val="nil"/>
              <w:right w:val="nil"/>
            </w:tcBorders>
            <w:shd w:val="clear" w:color="auto" w:fill="auto"/>
            <w:noWrap/>
            <w:vAlign w:val="center"/>
          </w:tcPr>
          <w:p w14:paraId="6A40911D" w14:textId="77777777" w:rsidR="00406027" w:rsidRPr="00C7354B" w:rsidRDefault="00406027" w:rsidP="006B1B51">
            <w:pPr>
              <w:widowControl w:val="0"/>
              <w:spacing w:line="240" w:lineRule="auto"/>
              <w:jc w:val="left"/>
              <w:rPr>
                <w:rFonts w:eastAsia="Helvetica"/>
                <w:color w:val="000000" w:themeColor="text1"/>
                <w:sz w:val="22"/>
                <w:lang w:val="en-US"/>
              </w:rPr>
            </w:pPr>
            <w:r w:rsidRPr="00C7354B">
              <w:rPr>
                <w:rFonts w:eastAsia="Helvetica"/>
                <w:color w:val="000000" w:themeColor="text1"/>
                <w:sz w:val="22"/>
                <w:lang w:val="en-US"/>
              </w:rPr>
              <w:t>Shi, Hong Teoh, and Zhou (2023)</w:t>
            </w:r>
          </w:p>
        </w:tc>
        <w:tc>
          <w:tcPr>
            <w:tcW w:w="1134" w:type="dxa"/>
            <w:tcBorders>
              <w:top w:val="nil"/>
              <w:left w:val="nil"/>
              <w:bottom w:val="nil"/>
              <w:right w:val="nil"/>
            </w:tcBorders>
            <w:shd w:val="clear" w:color="auto" w:fill="auto"/>
            <w:noWrap/>
            <w:vAlign w:val="center"/>
          </w:tcPr>
          <w:p w14:paraId="4A0BF58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CCSM</w:t>
            </w:r>
          </w:p>
        </w:tc>
        <w:tc>
          <w:tcPr>
            <w:tcW w:w="1033" w:type="dxa"/>
            <w:tcBorders>
              <w:top w:val="nil"/>
              <w:left w:val="nil"/>
              <w:bottom w:val="nil"/>
              <w:right w:val="nil"/>
            </w:tcBorders>
            <w:vAlign w:val="center"/>
          </w:tcPr>
          <w:p w14:paraId="47D8114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471B3EE3"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7B48547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20DE514C"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6F0C2D43" w14:textId="77777777" w:rsidTr="00846329">
        <w:trPr>
          <w:trHeight w:val="59"/>
          <w:jc w:val="center"/>
        </w:trPr>
        <w:tc>
          <w:tcPr>
            <w:tcW w:w="3685" w:type="dxa"/>
            <w:tcBorders>
              <w:top w:val="nil"/>
              <w:left w:val="nil"/>
              <w:bottom w:val="nil"/>
              <w:right w:val="nil"/>
            </w:tcBorders>
            <w:shd w:val="clear" w:color="auto" w:fill="auto"/>
            <w:noWrap/>
            <w:vAlign w:val="center"/>
          </w:tcPr>
          <w:p w14:paraId="695AE635"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Shipilov, Greve, and Rowley (2010)</w:t>
            </w:r>
          </w:p>
        </w:tc>
        <w:tc>
          <w:tcPr>
            <w:tcW w:w="1134" w:type="dxa"/>
            <w:tcBorders>
              <w:top w:val="nil"/>
              <w:left w:val="nil"/>
              <w:bottom w:val="nil"/>
              <w:right w:val="nil"/>
            </w:tcBorders>
            <w:shd w:val="clear" w:color="auto" w:fill="auto"/>
            <w:noWrap/>
            <w:vAlign w:val="center"/>
          </w:tcPr>
          <w:p w14:paraId="5F3E7B69"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AMJ</w:t>
            </w:r>
          </w:p>
        </w:tc>
        <w:tc>
          <w:tcPr>
            <w:tcW w:w="1033" w:type="dxa"/>
            <w:tcBorders>
              <w:top w:val="nil"/>
              <w:left w:val="nil"/>
              <w:bottom w:val="nil"/>
              <w:right w:val="nil"/>
            </w:tcBorders>
            <w:vAlign w:val="center"/>
          </w:tcPr>
          <w:p w14:paraId="7B11442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6070AAA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5D4F3602"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42D7E22A"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02574DC3" w14:textId="77777777" w:rsidTr="00846329">
        <w:trPr>
          <w:trHeight w:val="59"/>
          <w:jc w:val="center"/>
        </w:trPr>
        <w:tc>
          <w:tcPr>
            <w:tcW w:w="3685" w:type="dxa"/>
            <w:tcBorders>
              <w:top w:val="nil"/>
              <w:left w:val="nil"/>
              <w:bottom w:val="nil"/>
              <w:right w:val="nil"/>
            </w:tcBorders>
            <w:shd w:val="clear" w:color="auto" w:fill="auto"/>
            <w:noWrap/>
            <w:vAlign w:val="center"/>
          </w:tcPr>
          <w:p w14:paraId="41315289"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Shipilov, Greve, and Rowley (2019)</w:t>
            </w:r>
          </w:p>
        </w:tc>
        <w:tc>
          <w:tcPr>
            <w:tcW w:w="1134" w:type="dxa"/>
            <w:tcBorders>
              <w:top w:val="nil"/>
              <w:left w:val="nil"/>
              <w:bottom w:val="nil"/>
              <w:right w:val="nil"/>
            </w:tcBorders>
            <w:shd w:val="clear" w:color="auto" w:fill="auto"/>
            <w:noWrap/>
            <w:vAlign w:val="center"/>
          </w:tcPr>
          <w:p w14:paraId="1C381A8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SMJ</w:t>
            </w:r>
          </w:p>
        </w:tc>
        <w:tc>
          <w:tcPr>
            <w:tcW w:w="1033" w:type="dxa"/>
            <w:tcBorders>
              <w:top w:val="nil"/>
              <w:left w:val="nil"/>
              <w:bottom w:val="nil"/>
              <w:right w:val="nil"/>
            </w:tcBorders>
            <w:vAlign w:val="center"/>
          </w:tcPr>
          <w:p w14:paraId="2F5E6ED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54CEA749"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16F4876B"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3DFBDCE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3ECB11E6" w14:textId="77777777" w:rsidTr="00846329">
        <w:trPr>
          <w:trHeight w:val="59"/>
          <w:jc w:val="center"/>
        </w:trPr>
        <w:tc>
          <w:tcPr>
            <w:tcW w:w="3685" w:type="dxa"/>
            <w:tcBorders>
              <w:top w:val="nil"/>
              <w:left w:val="nil"/>
              <w:bottom w:val="nil"/>
              <w:right w:val="nil"/>
            </w:tcBorders>
            <w:shd w:val="clear" w:color="auto" w:fill="auto"/>
            <w:noWrap/>
            <w:vAlign w:val="center"/>
          </w:tcPr>
          <w:p w14:paraId="6A4EE743"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Siudak (2020)</w:t>
            </w:r>
          </w:p>
        </w:tc>
        <w:tc>
          <w:tcPr>
            <w:tcW w:w="1134" w:type="dxa"/>
            <w:tcBorders>
              <w:top w:val="nil"/>
              <w:left w:val="nil"/>
              <w:bottom w:val="nil"/>
              <w:right w:val="nil"/>
            </w:tcBorders>
            <w:shd w:val="clear" w:color="auto" w:fill="auto"/>
            <w:noWrap/>
            <w:vAlign w:val="center"/>
          </w:tcPr>
          <w:p w14:paraId="700AE2BC"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WP</w:t>
            </w:r>
          </w:p>
        </w:tc>
        <w:tc>
          <w:tcPr>
            <w:tcW w:w="1033" w:type="dxa"/>
            <w:tcBorders>
              <w:top w:val="nil"/>
              <w:left w:val="nil"/>
              <w:bottom w:val="nil"/>
              <w:right w:val="nil"/>
            </w:tcBorders>
            <w:vAlign w:val="center"/>
          </w:tcPr>
          <w:p w14:paraId="6CA93EA1"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33D49BE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7E6DB8AB"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52526A76"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2646C1F3" w14:textId="77777777" w:rsidTr="00846329">
        <w:trPr>
          <w:trHeight w:val="59"/>
          <w:jc w:val="center"/>
        </w:trPr>
        <w:tc>
          <w:tcPr>
            <w:tcW w:w="3685" w:type="dxa"/>
            <w:tcBorders>
              <w:top w:val="nil"/>
              <w:left w:val="nil"/>
              <w:bottom w:val="nil"/>
              <w:right w:val="nil"/>
            </w:tcBorders>
            <w:shd w:val="clear" w:color="auto" w:fill="auto"/>
            <w:noWrap/>
            <w:vAlign w:val="center"/>
          </w:tcPr>
          <w:p w14:paraId="0F7A8704"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Smith (2009)</w:t>
            </w:r>
          </w:p>
        </w:tc>
        <w:tc>
          <w:tcPr>
            <w:tcW w:w="1134" w:type="dxa"/>
            <w:tcBorders>
              <w:top w:val="nil"/>
              <w:left w:val="nil"/>
              <w:bottom w:val="nil"/>
              <w:right w:val="nil"/>
            </w:tcBorders>
            <w:shd w:val="clear" w:color="auto" w:fill="auto"/>
            <w:noWrap/>
            <w:vAlign w:val="center"/>
          </w:tcPr>
          <w:p w14:paraId="6A9A4B7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Thesis</w:t>
            </w:r>
          </w:p>
        </w:tc>
        <w:tc>
          <w:tcPr>
            <w:tcW w:w="1033" w:type="dxa"/>
            <w:tcBorders>
              <w:top w:val="nil"/>
              <w:left w:val="nil"/>
              <w:bottom w:val="nil"/>
              <w:right w:val="nil"/>
            </w:tcBorders>
            <w:vAlign w:val="center"/>
          </w:tcPr>
          <w:p w14:paraId="3C4EEC9A"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3AD7A2E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7D90E196"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3A2B32C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 / -</w:t>
            </w:r>
          </w:p>
        </w:tc>
      </w:tr>
      <w:tr w:rsidR="00406027" w:rsidRPr="00C7354B" w14:paraId="683569A2" w14:textId="77777777" w:rsidTr="00846329">
        <w:trPr>
          <w:trHeight w:val="59"/>
          <w:jc w:val="center"/>
        </w:trPr>
        <w:tc>
          <w:tcPr>
            <w:tcW w:w="3685" w:type="dxa"/>
            <w:tcBorders>
              <w:top w:val="nil"/>
              <w:left w:val="nil"/>
              <w:bottom w:val="nil"/>
              <w:right w:val="nil"/>
            </w:tcBorders>
            <w:shd w:val="clear" w:color="auto" w:fill="auto"/>
            <w:noWrap/>
            <w:vAlign w:val="center"/>
          </w:tcPr>
          <w:p w14:paraId="038B44B9"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Song, Lee, and Kang (2021)</w:t>
            </w:r>
          </w:p>
        </w:tc>
        <w:tc>
          <w:tcPr>
            <w:tcW w:w="1134" w:type="dxa"/>
            <w:tcBorders>
              <w:top w:val="nil"/>
              <w:left w:val="nil"/>
              <w:bottom w:val="nil"/>
              <w:right w:val="nil"/>
            </w:tcBorders>
            <w:shd w:val="clear" w:color="auto" w:fill="auto"/>
            <w:noWrap/>
            <w:vAlign w:val="center"/>
          </w:tcPr>
          <w:p w14:paraId="10D81E9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TM</w:t>
            </w:r>
          </w:p>
        </w:tc>
        <w:tc>
          <w:tcPr>
            <w:tcW w:w="1033" w:type="dxa"/>
            <w:tcBorders>
              <w:top w:val="nil"/>
              <w:left w:val="nil"/>
              <w:bottom w:val="nil"/>
              <w:right w:val="nil"/>
            </w:tcBorders>
            <w:vAlign w:val="center"/>
          </w:tcPr>
          <w:p w14:paraId="4E1A2ED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5D84D456"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4BD2D15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71B5D83C"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7ACBE766" w14:textId="77777777" w:rsidTr="00846329">
        <w:trPr>
          <w:trHeight w:val="59"/>
          <w:jc w:val="center"/>
        </w:trPr>
        <w:tc>
          <w:tcPr>
            <w:tcW w:w="3685" w:type="dxa"/>
            <w:tcBorders>
              <w:top w:val="nil"/>
              <w:left w:val="nil"/>
              <w:bottom w:val="nil"/>
              <w:right w:val="nil"/>
            </w:tcBorders>
            <w:shd w:val="clear" w:color="auto" w:fill="auto"/>
            <w:noWrap/>
            <w:vAlign w:val="center"/>
          </w:tcPr>
          <w:p w14:paraId="64226529"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Sousa Barros, Cárdenas, and Mendes-Da-Silva (2021)</w:t>
            </w:r>
          </w:p>
        </w:tc>
        <w:tc>
          <w:tcPr>
            <w:tcW w:w="1134" w:type="dxa"/>
            <w:tcBorders>
              <w:top w:val="nil"/>
              <w:left w:val="nil"/>
              <w:bottom w:val="nil"/>
              <w:right w:val="nil"/>
            </w:tcBorders>
            <w:shd w:val="clear" w:color="auto" w:fill="auto"/>
            <w:noWrap/>
            <w:vAlign w:val="center"/>
          </w:tcPr>
          <w:p w14:paraId="168FB2A9"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JMG</w:t>
            </w:r>
          </w:p>
        </w:tc>
        <w:tc>
          <w:tcPr>
            <w:tcW w:w="1033" w:type="dxa"/>
            <w:tcBorders>
              <w:top w:val="nil"/>
              <w:left w:val="nil"/>
              <w:bottom w:val="nil"/>
              <w:right w:val="nil"/>
            </w:tcBorders>
            <w:vAlign w:val="center"/>
          </w:tcPr>
          <w:p w14:paraId="21C5ABE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3761753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30DAC22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53583A92"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0E421B1B" w14:textId="77777777" w:rsidTr="00846329">
        <w:trPr>
          <w:trHeight w:val="59"/>
          <w:jc w:val="center"/>
        </w:trPr>
        <w:tc>
          <w:tcPr>
            <w:tcW w:w="3685" w:type="dxa"/>
            <w:tcBorders>
              <w:top w:val="nil"/>
              <w:left w:val="nil"/>
              <w:bottom w:val="nil"/>
              <w:right w:val="nil"/>
            </w:tcBorders>
            <w:shd w:val="clear" w:color="auto" w:fill="auto"/>
            <w:noWrap/>
            <w:vAlign w:val="center"/>
          </w:tcPr>
          <w:p w14:paraId="7B7937A0"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Sukumara Panicker and Upadhyayula (2021)</w:t>
            </w:r>
          </w:p>
        </w:tc>
        <w:tc>
          <w:tcPr>
            <w:tcW w:w="1134" w:type="dxa"/>
            <w:tcBorders>
              <w:top w:val="nil"/>
              <w:left w:val="nil"/>
              <w:bottom w:val="nil"/>
              <w:right w:val="nil"/>
            </w:tcBorders>
            <w:shd w:val="clear" w:color="auto" w:fill="auto"/>
            <w:noWrap/>
            <w:vAlign w:val="center"/>
          </w:tcPr>
          <w:p w14:paraId="7457F3D3"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CCSM</w:t>
            </w:r>
          </w:p>
        </w:tc>
        <w:tc>
          <w:tcPr>
            <w:tcW w:w="1033" w:type="dxa"/>
            <w:tcBorders>
              <w:top w:val="nil"/>
              <w:left w:val="nil"/>
              <w:bottom w:val="nil"/>
              <w:right w:val="nil"/>
            </w:tcBorders>
            <w:vAlign w:val="center"/>
          </w:tcPr>
          <w:p w14:paraId="6D31EBD9"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2F31C9F6"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241DAC06"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215D2AD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303B95C2" w14:textId="77777777" w:rsidTr="00846329">
        <w:trPr>
          <w:trHeight w:val="59"/>
          <w:jc w:val="center"/>
        </w:trPr>
        <w:tc>
          <w:tcPr>
            <w:tcW w:w="3685" w:type="dxa"/>
            <w:tcBorders>
              <w:top w:val="nil"/>
              <w:left w:val="nil"/>
              <w:bottom w:val="nil"/>
              <w:right w:val="nil"/>
            </w:tcBorders>
            <w:shd w:val="clear" w:color="auto" w:fill="auto"/>
            <w:noWrap/>
            <w:vAlign w:val="center"/>
          </w:tcPr>
          <w:p w14:paraId="1916A4D7"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Sullivan, Haunschild, and Page (2007)</w:t>
            </w:r>
          </w:p>
        </w:tc>
        <w:tc>
          <w:tcPr>
            <w:tcW w:w="1134" w:type="dxa"/>
            <w:tcBorders>
              <w:top w:val="nil"/>
              <w:left w:val="nil"/>
              <w:bottom w:val="nil"/>
              <w:right w:val="nil"/>
            </w:tcBorders>
            <w:shd w:val="clear" w:color="auto" w:fill="auto"/>
            <w:noWrap/>
            <w:vAlign w:val="center"/>
          </w:tcPr>
          <w:p w14:paraId="14BE914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OS</w:t>
            </w:r>
          </w:p>
        </w:tc>
        <w:tc>
          <w:tcPr>
            <w:tcW w:w="1033" w:type="dxa"/>
            <w:tcBorders>
              <w:top w:val="nil"/>
              <w:left w:val="nil"/>
              <w:bottom w:val="nil"/>
              <w:right w:val="nil"/>
            </w:tcBorders>
            <w:vAlign w:val="center"/>
          </w:tcPr>
          <w:p w14:paraId="6DD7AA4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05AC581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3FBB117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0698D54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5CC02621" w14:textId="77777777" w:rsidTr="00846329">
        <w:trPr>
          <w:trHeight w:val="59"/>
          <w:jc w:val="center"/>
        </w:trPr>
        <w:tc>
          <w:tcPr>
            <w:tcW w:w="3685" w:type="dxa"/>
            <w:tcBorders>
              <w:top w:val="nil"/>
              <w:left w:val="nil"/>
              <w:bottom w:val="nil"/>
              <w:right w:val="nil"/>
            </w:tcBorders>
            <w:shd w:val="clear" w:color="auto" w:fill="auto"/>
            <w:noWrap/>
            <w:vAlign w:val="center"/>
          </w:tcPr>
          <w:p w14:paraId="78ED0273"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Tang, Mack, and Chen (2018)</w:t>
            </w:r>
          </w:p>
        </w:tc>
        <w:tc>
          <w:tcPr>
            <w:tcW w:w="1134" w:type="dxa"/>
            <w:tcBorders>
              <w:top w:val="nil"/>
              <w:left w:val="nil"/>
              <w:bottom w:val="nil"/>
              <w:right w:val="nil"/>
            </w:tcBorders>
            <w:shd w:val="clear" w:color="auto" w:fill="auto"/>
            <w:noWrap/>
            <w:vAlign w:val="center"/>
          </w:tcPr>
          <w:p w14:paraId="3783E0DA"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SMJ</w:t>
            </w:r>
          </w:p>
        </w:tc>
        <w:tc>
          <w:tcPr>
            <w:tcW w:w="1033" w:type="dxa"/>
            <w:tcBorders>
              <w:top w:val="nil"/>
              <w:left w:val="nil"/>
              <w:bottom w:val="nil"/>
              <w:right w:val="nil"/>
            </w:tcBorders>
            <w:vAlign w:val="center"/>
          </w:tcPr>
          <w:p w14:paraId="5955D466"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4CC238A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52043236"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06072FC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 / -</w:t>
            </w:r>
          </w:p>
        </w:tc>
      </w:tr>
      <w:tr w:rsidR="00406027" w:rsidRPr="00C7354B" w14:paraId="38B20438" w14:textId="77777777" w:rsidTr="00846329">
        <w:trPr>
          <w:trHeight w:val="59"/>
          <w:jc w:val="center"/>
        </w:trPr>
        <w:tc>
          <w:tcPr>
            <w:tcW w:w="3685" w:type="dxa"/>
            <w:tcBorders>
              <w:top w:val="nil"/>
              <w:left w:val="nil"/>
              <w:bottom w:val="nil"/>
              <w:right w:val="nil"/>
            </w:tcBorders>
            <w:shd w:val="clear" w:color="auto" w:fill="auto"/>
            <w:noWrap/>
            <w:vAlign w:val="center"/>
          </w:tcPr>
          <w:p w14:paraId="5283951B"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Tian, Haleblian, and Rajagopalan (2011)</w:t>
            </w:r>
          </w:p>
        </w:tc>
        <w:tc>
          <w:tcPr>
            <w:tcW w:w="1134" w:type="dxa"/>
            <w:tcBorders>
              <w:top w:val="nil"/>
              <w:left w:val="nil"/>
              <w:bottom w:val="nil"/>
              <w:right w:val="nil"/>
            </w:tcBorders>
            <w:shd w:val="clear" w:color="auto" w:fill="auto"/>
            <w:noWrap/>
            <w:vAlign w:val="center"/>
          </w:tcPr>
          <w:p w14:paraId="1CFC13D6"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SMJ</w:t>
            </w:r>
          </w:p>
        </w:tc>
        <w:tc>
          <w:tcPr>
            <w:tcW w:w="1033" w:type="dxa"/>
            <w:tcBorders>
              <w:top w:val="nil"/>
              <w:left w:val="nil"/>
              <w:bottom w:val="nil"/>
              <w:right w:val="nil"/>
            </w:tcBorders>
            <w:vAlign w:val="center"/>
          </w:tcPr>
          <w:p w14:paraId="0D91C93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2CE11FF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5394308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77169729"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 / -</w:t>
            </w:r>
          </w:p>
        </w:tc>
      </w:tr>
      <w:tr w:rsidR="00406027" w:rsidRPr="00C7354B" w14:paraId="12998D8A" w14:textId="77777777" w:rsidTr="00846329">
        <w:trPr>
          <w:trHeight w:val="59"/>
          <w:jc w:val="center"/>
        </w:trPr>
        <w:tc>
          <w:tcPr>
            <w:tcW w:w="3685" w:type="dxa"/>
            <w:tcBorders>
              <w:top w:val="nil"/>
              <w:left w:val="nil"/>
              <w:bottom w:val="nil"/>
              <w:right w:val="nil"/>
            </w:tcBorders>
            <w:shd w:val="clear" w:color="auto" w:fill="auto"/>
            <w:noWrap/>
            <w:vAlign w:val="center"/>
          </w:tcPr>
          <w:p w14:paraId="2058A9CB"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lastRenderedPageBreak/>
              <w:t>Tian, Wang, and Li (2021)</w:t>
            </w:r>
          </w:p>
        </w:tc>
        <w:tc>
          <w:tcPr>
            <w:tcW w:w="1134" w:type="dxa"/>
            <w:tcBorders>
              <w:top w:val="nil"/>
              <w:left w:val="nil"/>
              <w:bottom w:val="nil"/>
              <w:right w:val="nil"/>
            </w:tcBorders>
            <w:shd w:val="clear" w:color="auto" w:fill="auto"/>
            <w:noWrap/>
            <w:vAlign w:val="center"/>
          </w:tcPr>
          <w:p w14:paraId="0476953C"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MDE</w:t>
            </w:r>
          </w:p>
        </w:tc>
        <w:tc>
          <w:tcPr>
            <w:tcW w:w="1033" w:type="dxa"/>
            <w:tcBorders>
              <w:top w:val="nil"/>
              <w:left w:val="nil"/>
              <w:bottom w:val="nil"/>
              <w:right w:val="nil"/>
            </w:tcBorders>
            <w:vAlign w:val="center"/>
          </w:tcPr>
          <w:p w14:paraId="5447D30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627757C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177076B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508828F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3EA6B6A4" w14:textId="77777777" w:rsidTr="00846329">
        <w:trPr>
          <w:trHeight w:val="59"/>
          <w:jc w:val="center"/>
        </w:trPr>
        <w:tc>
          <w:tcPr>
            <w:tcW w:w="3685" w:type="dxa"/>
            <w:tcBorders>
              <w:top w:val="nil"/>
              <w:left w:val="nil"/>
              <w:bottom w:val="nil"/>
              <w:right w:val="nil"/>
            </w:tcBorders>
            <w:shd w:val="clear" w:color="auto" w:fill="auto"/>
            <w:noWrap/>
            <w:vAlign w:val="center"/>
          </w:tcPr>
          <w:p w14:paraId="27D7A4E0" w14:textId="77777777" w:rsidR="00406027" w:rsidRPr="00C7354B" w:rsidRDefault="00406027" w:rsidP="006B1B51">
            <w:pPr>
              <w:widowControl w:val="0"/>
              <w:spacing w:line="240" w:lineRule="auto"/>
              <w:jc w:val="left"/>
              <w:rPr>
                <w:rFonts w:eastAsia="Helvetica"/>
                <w:color w:val="000000" w:themeColor="text1"/>
                <w:sz w:val="22"/>
                <w:lang w:val="en-US"/>
              </w:rPr>
            </w:pPr>
            <w:r w:rsidRPr="00C7354B">
              <w:rPr>
                <w:rFonts w:eastAsia="Helvetica"/>
                <w:color w:val="000000" w:themeColor="text1"/>
                <w:sz w:val="22"/>
                <w:lang w:val="en-US"/>
              </w:rPr>
              <w:t>Wang, Lu, Kweh, Nourani, and Hong (2021)</w:t>
            </w:r>
          </w:p>
        </w:tc>
        <w:tc>
          <w:tcPr>
            <w:tcW w:w="1134" w:type="dxa"/>
            <w:tcBorders>
              <w:top w:val="nil"/>
              <w:left w:val="nil"/>
              <w:bottom w:val="nil"/>
              <w:right w:val="nil"/>
            </w:tcBorders>
            <w:shd w:val="clear" w:color="auto" w:fill="auto"/>
            <w:noWrap/>
            <w:vAlign w:val="center"/>
          </w:tcPr>
          <w:p w14:paraId="16DCF2A1"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RMS</w:t>
            </w:r>
          </w:p>
        </w:tc>
        <w:tc>
          <w:tcPr>
            <w:tcW w:w="1033" w:type="dxa"/>
            <w:tcBorders>
              <w:top w:val="nil"/>
              <w:left w:val="nil"/>
              <w:bottom w:val="nil"/>
              <w:right w:val="nil"/>
            </w:tcBorders>
            <w:vAlign w:val="center"/>
          </w:tcPr>
          <w:p w14:paraId="3554C861"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10980C6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34218D9C"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0642759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1F001427" w14:textId="77777777" w:rsidTr="00846329">
        <w:trPr>
          <w:trHeight w:val="59"/>
          <w:jc w:val="center"/>
        </w:trPr>
        <w:tc>
          <w:tcPr>
            <w:tcW w:w="3685" w:type="dxa"/>
            <w:tcBorders>
              <w:top w:val="nil"/>
              <w:left w:val="nil"/>
              <w:bottom w:val="nil"/>
              <w:right w:val="nil"/>
            </w:tcBorders>
            <w:shd w:val="clear" w:color="auto" w:fill="auto"/>
            <w:noWrap/>
            <w:vAlign w:val="center"/>
          </w:tcPr>
          <w:p w14:paraId="1CB98AAC" w14:textId="77777777" w:rsidR="00406027" w:rsidRPr="00C7354B" w:rsidRDefault="00406027" w:rsidP="006B1B51">
            <w:pPr>
              <w:widowControl w:val="0"/>
              <w:spacing w:line="240" w:lineRule="auto"/>
              <w:jc w:val="left"/>
              <w:rPr>
                <w:rFonts w:eastAsia="Helvetica"/>
                <w:color w:val="000000" w:themeColor="text1"/>
                <w:sz w:val="22"/>
                <w:lang w:val="en-US"/>
              </w:rPr>
            </w:pPr>
            <w:r w:rsidRPr="00C7354B">
              <w:rPr>
                <w:rFonts w:eastAsia="Helvetica"/>
                <w:color w:val="000000" w:themeColor="text1"/>
                <w:sz w:val="22"/>
                <w:lang w:val="en-US"/>
              </w:rPr>
              <w:t>Wang, Lu, Ting, and Chen (2021)</w:t>
            </w:r>
          </w:p>
        </w:tc>
        <w:tc>
          <w:tcPr>
            <w:tcW w:w="1134" w:type="dxa"/>
            <w:tcBorders>
              <w:top w:val="nil"/>
              <w:left w:val="nil"/>
              <w:bottom w:val="nil"/>
              <w:right w:val="nil"/>
            </w:tcBorders>
            <w:shd w:val="clear" w:color="auto" w:fill="auto"/>
            <w:noWrap/>
            <w:vAlign w:val="center"/>
          </w:tcPr>
          <w:p w14:paraId="15099AD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SAR</w:t>
            </w:r>
          </w:p>
        </w:tc>
        <w:tc>
          <w:tcPr>
            <w:tcW w:w="1033" w:type="dxa"/>
            <w:tcBorders>
              <w:top w:val="nil"/>
              <w:left w:val="nil"/>
              <w:bottom w:val="nil"/>
              <w:right w:val="nil"/>
            </w:tcBorders>
            <w:vAlign w:val="center"/>
          </w:tcPr>
          <w:p w14:paraId="2C85DFFB"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26EE6AAA"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237EC45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513FFE0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0BB8CE82" w14:textId="77777777" w:rsidTr="00846329">
        <w:trPr>
          <w:trHeight w:val="59"/>
          <w:jc w:val="center"/>
        </w:trPr>
        <w:tc>
          <w:tcPr>
            <w:tcW w:w="3685" w:type="dxa"/>
            <w:tcBorders>
              <w:top w:val="nil"/>
              <w:left w:val="nil"/>
              <w:bottom w:val="nil"/>
              <w:right w:val="nil"/>
            </w:tcBorders>
            <w:shd w:val="clear" w:color="auto" w:fill="auto"/>
            <w:noWrap/>
            <w:vAlign w:val="center"/>
          </w:tcPr>
          <w:p w14:paraId="6111E0F3"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Westphal, Seidel, and Stewart (2001)</w:t>
            </w:r>
          </w:p>
        </w:tc>
        <w:tc>
          <w:tcPr>
            <w:tcW w:w="1134" w:type="dxa"/>
            <w:tcBorders>
              <w:top w:val="nil"/>
              <w:left w:val="nil"/>
              <w:bottom w:val="nil"/>
              <w:right w:val="nil"/>
            </w:tcBorders>
            <w:shd w:val="clear" w:color="auto" w:fill="auto"/>
            <w:noWrap/>
            <w:vAlign w:val="center"/>
          </w:tcPr>
          <w:p w14:paraId="05EFC0B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ASQ</w:t>
            </w:r>
          </w:p>
        </w:tc>
        <w:tc>
          <w:tcPr>
            <w:tcW w:w="1033" w:type="dxa"/>
            <w:tcBorders>
              <w:top w:val="nil"/>
              <w:left w:val="nil"/>
              <w:bottom w:val="nil"/>
              <w:right w:val="nil"/>
            </w:tcBorders>
            <w:vAlign w:val="center"/>
          </w:tcPr>
          <w:p w14:paraId="59C1F32B"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009A90AB"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44AC8DA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2AC2BC26"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 / -</w:t>
            </w:r>
          </w:p>
        </w:tc>
      </w:tr>
      <w:tr w:rsidR="00406027" w:rsidRPr="00C7354B" w14:paraId="54AD6065" w14:textId="77777777" w:rsidTr="00846329">
        <w:trPr>
          <w:trHeight w:val="59"/>
          <w:jc w:val="center"/>
        </w:trPr>
        <w:tc>
          <w:tcPr>
            <w:tcW w:w="3685" w:type="dxa"/>
            <w:tcBorders>
              <w:top w:val="nil"/>
              <w:left w:val="nil"/>
              <w:bottom w:val="nil"/>
              <w:right w:val="nil"/>
            </w:tcBorders>
            <w:shd w:val="clear" w:color="auto" w:fill="auto"/>
            <w:noWrap/>
            <w:vAlign w:val="center"/>
          </w:tcPr>
          <w:p w14:paraId="4BD6F664"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Wu, Zhang, and Chen (2021)</w:t>
            </w:r>
          </w:p>
        </w:tc>
        <w:tc>
          <w:tcPr>
            <w:tcW w:w="1134" w:type="dxa"/>
            <w:tcBorders>
              <w:top w:val="nil"/>
              <w:left w:val="nil"/>
              <w:bottom w:val="nil"/>
              <w:right w:val="nil"/>
            </w:tcBorders>
            <w:shd w:val="clear" w:color="auto" w:fill="auto"/>
            <w:noWrap/>
            <w:vAlign w:val="center"/>
          </w:tcPr>
          <w:p w14:paraId="10B737C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JCG</w:t>
            </w:r>
          </w:p>
        </w:tc>
        <w:tc>
          <w:tcPr>
            <w:tcW w:w="1033" w:type="dxa"/>
            <w:tcBorders>
              <w:top w:val="nil"/>
              <w:left w:val="nil"/>
              <w:bottom w:val="nil"/>
              <w:right w:val="nil"/>
            </w:tcBorders>
            <w:vAlign w:val="center"/>
          </w:tcPr>
          <w:p w14:paraId="5FE3211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27791C6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6C42E22C"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5CEB9483"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08F0F3A4" w14:textId="77777777" w:rsidTr="00846329">
        <w:trPr>
          <w:trHeight w:val="59"/>
          <w:jc w:val="center"/>
        </w:trPr>
        <w:tc>
          <w:tcPr>
            <w:tcW w:w="3685" w:type="dxa"/>
            <w:tcBorders>
              <w:top w:val="nil"/>
              <w:left w:val="nil"/>
              <w:bottom w:val="nil"/>
              <w:right w:val="nil"/>
            </w:tcBorders>
            <w:shd w:val="clear" w:color="auto" w:fill="auto"/>
            <w:noWrap/>
            <w:vAlign w:val="center"/>
          </w:tcPr>
          <w:p w14:paraId="1A57F7BB"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Xie, Lin, Wang, Hu, and Miao (2020)</w:t>
            </w:r>
          </w:p>
        </w:tc>
        <w:tc>
          <w:tcPr>
            <w:tcW w:w="1134" w:type="dxa"/>
            <w:tcBorders>
              <w:top w:val="nil"/>
              <w:left w:val="nil"/>
              <w:bottom w:val="nil"/>
              <w:right w:val="nil"/>
            </w:tcBorders>
            <w:shd w:val="clear" w:color="auto" w:fill="auto"/>
            <w:noWrap/>
            <w:vAlign w:val="center"/>
          </w:tcPr>
          <w:p w14:paraId="3BC79022"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NA</w:t>
            </w:r>
          </w:p>
        </w:tc>
        <w:tc>
          <w:tcPr>
            <w:tcW w:w="1033" w:type="dxa"/>
            <w:tcBorders>
              <w:top w:val="nil"/>
              <w:left w:val="nil"/>
              <w:bottom w:val="nil"/>
              <w:right w:val="nil"/>
            </w:tcBorders>
            <w:vAlign w:val="center"/>
          </w:tcPr>
          <w:p w14:paraId="71F141F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4F7C83DC"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76DB74B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5C1ABDD1"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 / -</w:t>
            </w:r>
          </w:p>
        </w:tc>
      </w:tr>
      <w:tr w:rsidR="00406027" w:rsidRPr="00C7354B" w14:paraId="7A9469CD" w14:textId="77777777" w:rsidTr="00846329">
        <w:trPr>
          <w:trHeight w:val="59"/>
          <w:jc w:val="center"/>
        </w:trPr>
        <w:tc>
          <w:tcPr>
            <w:tcW w:w="3685" w:type="dxa"/>
            <w:tcBorders>
              <w:top w:val="nil"/>
              <w:left w:val="nil"/>
              <w:bottom w:val="nil"/>
              <w:right w:val="nil"/>
            </w:tcBorders>
            <w:shd w:val="clear" w:color="auto" w:fill="auto"/>
            <w:noWrap/>
            <w:vAlign w:val="center"/>
          </w:tcPr>
          <w:p w14:paraId="1EBF7F98" w14:textId="77777777" w:rsidR="00406027" w:rsidRPr="00C7354B" w:rsidRDefault="00406027" w:rsidP="006B1B51">
            <w:pPr>
              <w:widowControl w:val="0"/>
              <w:spacing w:line="240" w:lineRule="auto"/>
              <w:jc w:val="left"/>
              <w:rPr>
                <w:rFonts w:eastAsia="Helvetica"/>
                <w:color w:val="000000" w:themeColor="text1"/>
                <w:sz w:val="22"/>
                <w:lang w:val="en-US"/>
              </w:rPr>
            </w:pPr>
            <w:r w:rsidRPr="00C7354B">
              <w:rPr>
                <w:rFonts w:eastAsia="Helvetica"/>
                <w:color w:val="000000" w:themeColor="text1"/>
                <w:sz w:val="22"/>
                <w:lang w:val="en-US"/>
              </w:rPr>
              <w:t>Yoo, Reed, Shin, and Lemak (2009)</w:t>
            </w:r>
          </w:p>
        </w:tc>
        <w:tc>
          <w:tcPr>
            <w:tcW w:w="1134" w:type="dxa"/>
            <w:tcBorders>
              <w:top w:val="nil"/>
              <w:left w:val="nil"/>
              <w:bottom w:val="nil"/>
              <w:right w:val="nil"/>
            </w:tcBorders>
            <w:shd w:val="clear" w:color="auto" w:fill="auto"/>
            <w:noWrap/>
            <w:vAlign w:val="center"/>
          </w:tcPr>
          <w:p w14:paraId="338EB9B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JMS</w:t>
            </w:r>
          </w:p>
        </w:tc>
        <w:tc>
          <w:tcPr>
            <w:tcW w:w="1033" w:type="dxa"/>
            <w:tcBorders>
              <w:top w:val="nil"/>
              <w:left w:val="nil"/>
              <w:bottom w:val="nil"/>
              <w:right w:val="nil"/>
            </w:tcBorders>
            <w:vAlign w:val="center"/>
          </w:tcPr>
          <w:p w14:paraId="057796F9"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57E77AB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665C8BE9"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07704F0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 / -</w:t>
            </w:r>
          </w:p>
        </w:tc>
      </w:tr>
      <w:tr w:rsidR="00406027" w:rsidRPr="00C7354B" w14:paraId="3EFA552E" w14:textId="77777777" w:rsidTr="00846329">
        <w:trPr>
          <w:trHeight w:val="59"/>
          <w:jc w:val="center"/>
        </w:trPr>
        <w:tc>
          <w:tcPr>
            <w:tcW w:w="3685" w:type="dxa"/>
            <w:tcBorders>
              <w:top w:val="nil"/>
              <w:left w:val="nil"/>
              <w:bottom w:val="nil"/>
              <w:right w:val="nil"/>
            </w:tcBorders>
            <w:shd w:val="clear" w:color="auto" w:fill="auto"/>
            <w:noWrap/>
            <w:vAlign w:val="center"/>
          </w:tcPr>
          <w:p w14:paraId="2AABC866" w14:textId="77777777" w:rsidR="00406027" w:rsidRPr="00C7354B" w:rsidRDefault="00406027" w:rsidP="006B1B51">
            <w:pPr>
              <w:widowControl w:val="0"/>
              <w:spacing w:line="240" w:lineRule="auto"/>
              <w:jc w:val="left"/>
              <w:rPr>
                <w:rFonts w:eastAsia="Helvetica"/>
                <w:color w:val="000000" w:themeColor="text1"/>
                <w:sz w:val="22"/>
                <w:lang w:val="en-US"/>
              </w:rPr>
            </w:pPr>
            <w:r w:rsidRPr="00C7354B">
              <w:rPr>
                <w:rFonts w:eastAsia="Helvetica"/>
                <w:color w:val="000000" w:themeColor="text1"/>
                <w:sz w:val="22"/>
                <w:lang w:val="en-US"/>
              </w:rPr>
              <w:t>Yoshikawa, Shim, Kim, and Tuschke (2020)</w:t>
            </w:r>
          </w:p>
        </w:tc>
        <w:tc>
          <w:tcPr>
            <w:tcW w:w="1134" w:type="dxa"/>
            <w:tcBorders>
              <w:top w:val="nil"/>
              <w:left w:val="nil"/>
              <w:bottom w:val="nil"/>
              <w:right w:val="nil"/>
            </w:tcBorders>
            <w:shd w:val="clear" w:color="auto" w:fill="auto"/>
            <w:noWrap/>
            <w:vAlign w:val="center"/>
          </w:tcPr>
          <w:p w14:paraId="1B33AC53"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CG</w:t>
            </w:r>
          </w:p>
        </w:tc>
        <w:tc>
          <w:tcPr>
            <w:tcW w:w="1033" w:type="dxa"/>
            <w:tcBorders>
              <w:top w:val="nil"/>
              <w:left w:val="nil"/>
              <w:bottom w:val="nil"/>
              <w:right w:val="nil"/>
            </w:tcBorders>
            <w:vAlign w:val="center"/>
          </w:tcPr>
          <w:p w14:paraId="2866B9A1"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07EC284A"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09D24759"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6307D81A"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 / -</w:t>
            </w:r>
          </w:p>
        </w:tc>
      </w:tr>
      <w:tr w:rsidR="00406027" w:rsidRPr="00C7354B" w14:paraId="0E77A196" w14:textId="77777777" w:rsidTr="00846329">
        <w:trPr>
          <w:trHeight w:val="59"/>
          <w:jc w:val="center"/>
        </w:trPr>
        <w:tc>
          <w:tcPr>
            <w:tcW w:w="3685" w:type="dxa"/>
            <w:tcBorders>
              <w:top w:val="nil"/>
              <w:left w:val="nil"/>
              <w:bottom w:val="nil"/>
              <w:right w:val="nil"/>
            </w:tcBorders>
            <w:shd w:val="clear" w:color="auto" w:fill="auto"/>
            <w:noWrap/>
            <w:vAlign w:val="center"/>
          </w:tcPr>
          <w:p w14:paraId="24A2A998" w14:textId="77777777" w:rsidR="00406027" w:rsidRPr="00C7354B" w:rsidRDefault="00406027" w:rsidP="006B1B51">
            <w:pPr>
              <w:widowControl w:val="0"/>
              <w:spacing w:line="240" w:lineRule="auto"/>
              <w:jc w:val="left"/>
              <w:rPr>
                <w:rFonts w:eastAsia="Helvetica"/>
                <w:color w:val="000000" w:themeColor="text1"/>
                <w:sz w:val="22"/>
                <w:lang w:val="en-US"/>
              </w:rPr>
            </w:pPr>
            <w:r w:rsidRPr="00C7354B">
              <w:rPr>
                <w:rFonts w:eastAsia="Helvetica"/>
                <w:color w:val="000000" w:themeColor="text1"/>
                <w:sz w:val="22"/>
                <w:lang w:val="en-US"/>
              </w:rPr>
              <w:t>Yousaf, Ullah, Jiang, and Wang (2022)</w:t>
            </w:r>
          </w:p>
        </w:tc>
        <w:tc>
          <w:tcPr>
            <w:tcW w:w="1134" w:type="dxa"/>
            <w:tcBorders>
              <w:top w:val="nil"/>
              <w:left w:val="nil"/>
              <w:bottom w:val="nil"/>
              <w:right w:val="nil"/>
            </w:tcBorders>
            <w:shd w:val="clear" w:color="auto" w:fill="auto"/>
            <w:noWrap/>
            <w:vAlign w:val="center"/>
          </w:tcPr>
          <w:p w14:paraId="0F50E491"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JBEF</w:t>
            </w:r>
          </w:p>
        </w:tc>
        <w:tc>
          <w:tcPr>
            <w:tcW w:w="1033" w:type="dxa"/>
            <w:tcBorders>
              <w:top w:val="nil"/>
              <w:left w:val="nil"/>
              <w:bottom w:val="nil"/>
              <w:right w:val="nil"/>
            </w:tcBorders>
            <w:vAlign w:val="center"/>
          </w:tcPr>
          <w:p w14:paraId="2D5D58E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71297C86"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5F9B0741"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59723C1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119F9E71" w14:textId="77777777" w:rsidTr="00846329">
        <w:trPr>
          <w:trHeight w:val="59"/>
          <w:jc w:val="center"/>
        </w:trPr>
        <w:tc>
          <w:tcPr>
            <w:tcW w:w="3685" w:type="dxa"/>
            <w:tcBorders>
              <w:top w:val="nil"/>
              <w:left w:val="nil"/>
              <w:bottom w:val="nil"/>
              <w:right w:val="nil"/>
            </w:tcBorders>
            <w:shd w:val="clear" w:color="auto" w:fill="auto"/>
            <w:noWrap/>
            <w:vAlign w:val="center"/>
          </w:tcPr>
          <w:p w14:paraId="1E7EB490"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Yu and Chiu (2013)</w:t>
            </w:r>
          </w:p>
        </w:tc>
        <w:tc>
          <w:tcPr>
            <w:tcW w:w="1134" w:type="dxa"/>
            <w:tcBorders>
              <w:top w:val="nil"/>
              <w:left w:val="nil"/>
              <w:bottom w:val="nil"/>
              <w:right w:val="nil"/>
            </w:tcBorders>
            <w:shd w:val="clear" w:color="auto" w:fill="auto"/>
            <w:noWrap/>
            <w:vAlign w:val="center"/>
          </w:tcPr>
          <w:p w14:paraId="7DE1AD3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JMI</w:t>
            </w:r>
          </w:p>
        </w:tc>
        <w:tc>
          <w:tcPr>
            <w:tcW w:w="1033" w:type="dxa"/>
            <w:tcBorders>
              <w:top w:val="nil"/>
              <w:left w:val="nil"/>
              <w:bottom w:val="nil"/>
              <w:right w:val="nil"/>
            </w:tcBorders>
            <w:vAlign w:val="center"/>
          </w:tcPr>
          <w:p w14:paraId="55BED399"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14C86C7A"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67F63A4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6C263A83"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6607DF7C" w14:textId="77777777" w:rsidTr="00846329">
        <w:trPr>
          <w:trHeight w:val="59"/>
          <w:jc w:val="center"/>
        </w:trPr>
        <w:tc>
          <w:tcPr>
            <w:tcW w:w="3685" w:type="dxa"/>
            <w:tcBorders>
              <w:top w:val="nil"/>
              <w:left w:val="nil"/>
              <w:bottom w:val="nil"/>
              <w:right w:val="nil"/>
            </w:tcBorders>
            <w:shd w:val="clear" w:color="auto" w:fill="auto"/>
            <w:noWrap/>
            <w:vAlign w:val="center"/>
          </w:tcPr>
          <w:p w14:paraId="338E096D"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Yue (2012)</w:t>
            </w:r>
          </w:p>
        </w:tc>
        <w:tc>
          <w:tcPr>
            <w:tcW w:w="1134" w:type="dxa"/>
            <w:tcBorders>
              <w:top w:val="nil"/>
              <w:left w:val="nil"/>
              <w:bottom w:val="nil"/>
              <w:right w:val="nil"/>
            </w:tcBorders>
            <w:shd w:val="clear" w:color="auto" w:fill="auto"/>
            <w:noWrap/>
            <w:vAlign w:val="center"/>
          </w:tcPr>
          <w:p w14:paraId="6B0C7329"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OSe</w:t>
            </w:r>
          </w:p>
        </w:tc>
        <w:tc>
          <w:tcPr>
            <w:tcW w:w="1033" w:type="dxa"/>
            <w:tcBorders>
              <w:top w:val="nil"/>
              <w:left w:val="nil"/>
              <w:bottom w:val="nil"/>
              <w:right w:val="nil"/>
            </w:tcBorders>
            <w:vAlign w:val="center"/>
          </w:tcPr>
          <w:p w14:paraId="57AAE08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5175A0B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28A48E3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4BF08AC1"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188B7C51" w14:textId="77777777" w:rsidTr="00846329">
        <w:trPr>
          <w:trHeight w:val="59"/>
          <w:jc w:val="center"/>
        </w:trPr>
        <w:tc>
          <w:tcPr>
            <w:tcW w:w="3685" w:type="dxa"/>
            <w:tcBorders>
              <w:top w:val="nil"/>
              <w:left w:val="nil"/>
              <w:bottom w:val="nil"/>
              <w:right w:val="nil"/>
            </w:tcBorders>
            <w:shd w:val="clear" w:color="auto" w:fill="auto"/>
            <w:noWrap/>
            <w:vAlign w:val="center"/>
          </w:tcPr>
          <w:p w14:paraId="57157BED"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Zajac and Westphal (1996)</w:t>
            </w:r>
          </w:p>
        </w:tc>
        <w:tc>
          <w:tcPr>
            <w:tcW w:w="1134" w:type="dxa"/>
            <w:tcBorders>
              <w:top w:val="nil"/>
              <w:left w:val="nil"/>
              <w:bottom w:val="nil"/>
              <w:right w:val="nil"/>
            </w:tcBorders>
            <w:shd w:val="clear" w:color="auto" w:fill="auto"/>
            <w:noWrap/>
            <w:vAlign w:val="center"/>
          </w:tcPr>
          <w:p w14:paraId="6E4011C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ASQ</w:t>
            </w:r>
          </w:p>
        </w:tc>
        <w:tc>
          <w:tcPr>
            <w:tcW w:w="1033" w:type="dxa"/>
            <w:tcBorders>
              <w:top w:val="nil"/>
              <w:left w:val="nil"/>
              <w:bottom w:val="nil"/>
              <w:right w:val="nil"/>
            </w:tcBorders>
            <w:vAlign w:val="center"/>
          </w:tcPr>
          <w:p w14:paraId="2AF7FC7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069CC84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47BC395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1AF08783"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2B99F5D0" w14:textId="77777777" w:rsidTr="00846329">
        <w:trPr>
          <w:trHeight w:val="59"/>
          <w:jc w:val="center"/>
        </w:trPr>
        <w:tc>
          <w:tcPr>
            <w:tcW w:w="3685" w:type="dxa"/>
            <w:tcBorders>
              <w:top w:val="nil"/>
              <w:left w:val="nil"/>
              <w:bottom w:val="nil"/>
              <w:right w:val="nil"/>
            </w:tcBorders>
            <w:shd w:val="clear" w:color="auto" w:fill="auto"/>
            <w:noWrap/>
            <w:vAlign w:val="center"/>
          </w:tcPr>
          <w:p w14:paraId="3A2CED18"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Zhao (2021)</w:t>
            </w:r>
          </w:p>
        </w:tc>
        <w:tc>
          <w:tcPr>
            <w:tcW w:w="1134" w:type="dxa"/>
            <w:tcBorders>
              <w:top w:val="nil"/>
              <w:left w:val="nil"/>
              <w:bottom w:val="nil"/>
              <w:right w:val="nil"/>
            </w:tcBorders>
            <w:shd w:val="clear" w:color="auto" w:fill="auto"/>
            <w:noWrap/>
            <w:vAlign w:val="center"/>
          </w:tcPr>
          <w:p w14:paraId="6890780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IREF</w:t>
            </w:r>
          </w:p>
        </w:tc>
        <w:tc>
          <w:tcPr>
            <w:tcW w:w="1033" w:type="dxa"/>
            <w:tcBorders>
              <w:top w:val="nil"/>
              <w:left w:val="nil"/>
              <w:bottom w:val="nil"/>
              <w:right w:val="nil"/>
            </w:tcBorders>
            <w:vAlign w:val="center"/>
          </w:tcPr>
          <w:p w14:paraId="09588061"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top w:val="nil"/>
              <w:left w:val="nil"/>
              <w:bottom w:val="nil"/>
              <w:right w:val="nil"/>
            </w:tcBorders>
            <w:vAlign w:val="center"/>
          </w:tcPr>
          <w:p w14:paraId="2341BDB1"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2C16E879"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05E1342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 / -</w:t>
            </w:r>
          </w:p>
        </w:tc>
      </w:tr>
      <w:tr w:rsidR="00406027" w:rsidRPr="00C7354B" w14:paraId="13FF02FB" w14:textId="77777777" w:rsidTr="00846329">
        <w:trPr>
          <w:trHeight w:val="59"/>
          <w:jc w:val="center"/>
        </w:trPr>
        <w:tc>
          <w:tcPr>
            <w:tcW w:w="3685" w:type="dxa"/>
            <w:tcBorders>
              <w:top w:val="nil"/>
              <w:left w:val="nil"/>
              <w:bottom w:val="nil"/>
              <w:right w:val="nil"/>
            </w:tcBorders>
            <w:shd w:val="clear" w:color="auto" w:fill="auto"/>
            <w:noWrap/>
            <w:vAlign w:val="center"/>
          </w:tcPr>
          <w:p w14:paraId="4C77F0E6"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Zhao and Chan (2023)</w:t>
            </w:r>
          </w:p>
        </w:tc>
        <w:tc>
          <w:tcPr>
            <w:tcW w:w="1134" w:type="dxa"/>
            <w:tcBorders>
              <w:top w:val="nil"/>
              <w:left w:val="nil"/>
              <w:bottom w:val="nil"/>
              <w:right w:val="nil"/>
            </w:tcBorders>
            <w:shd w:val="clear" w:color="auto" w:fill="auto"/>
            <w:noWrap/>
            <w:vAlign w:val="center"/>
          </w:tcPr>
          <w:p w14:paraId="30617435"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IRFA</w:t>
            </w:r>
          </w:p>
        </w:tc>
        <w:tc>
          <w:tcPr>
            <w:tcW w:w="1033" w:type="dxa"/>
            <w:tcBorders>
              <w:top w:val="nil"/>
              <w:left w:val="nil"/>
              <w:bottom w:val="nil"/>
              <w:right w:val="nil"/>
            </w:tcBorders>
            <w:vAlign w:val="center"/>
          </w:tcPr>
          <w:p w14:paraId="25B3E820"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bottom w:val="nil"/>
              <w:right w:val="nil"/>
            </w:tcBorders>
            <w:vAlign w:val="center"/>
          </w:tcPr>
          <w:p w14:paraId="01DCE96C"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bottom w:val="nil"/>
              <w:right w:val="nil"/>
            </w:tcBorders>
            <w:vAlign w:val="center"/>
          </w:tcPr>
          <w:p w14:paraId="12F386E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bottom w:val="nil"/>
              <w:right w:val="nil"/>
            </w:tcBorders>
            <w:vAlign w:val="center"/>
          </w:tcPr>
          <w:p w14:paraId="238A843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2AE0DF1D" w14:textId="77777777" w:rsidTr="00846329">
        <w:trPr>
          <w:trHeight w:val="59"/>
          <w:jc w:val="center"/>
        </w:trPr>
        <w:tc>
          <w:tcPr>
            <w:tcW w:w="3685" w:type="dxa"/>
            <w:tcBorders>
              <w:top w:val="nil"/>
              <w:left w:val="nil"/>
              <w:right w:val="nil"/>
            </w:tcBorders>
            <w:shd w:val="clear" w:color="auto" w:fill="auto"/>
            <w:noWrap/>
            <w:vAlign w:val="center"/>
          </w:tcPr>
          <w:p w14:paraId="39221839" w14:textId="77777777" w:rsidR="00406027" w:rsidRPr="00C7354B" w:rsidRDefault="00406027" w:rsidP="006B1B51">
            <w:pPr>
              <w:widowControl w:val="0"/>
              <w:spacing w:line="240" w:lineRule="auto"/>
              <w:jc w:val="left"/>
              <w:rPr>
                <w:rFonts w:eastAsia="Helvetica"/>
                <w:color w:val="000000" w:themeColor="text1"/>
                <w:sz w:val="22"/>
              </w:rPr>
            </w:pPr>
            <w:r w:rsidRPr="00C7354B">
              <w:rPr>
                <w:rFonts w:eastAsia="Helvetica"/>
                <w:color w:val="000000" w:themeColor="text1"/>
                <w:sz w:val="22"/>
              </w:rPr>
              <w:t>Zhu and Chen (2015)</w:t>
            </w:r>
          </w:p>
        </w:tc>
        <w:tc>
          <w:tcPr>
            <w:tcW w:w="1134" w:type="dxa"/>
            <w:tcBorders>
              <w:top w:val="nil"/>
              <w:left w:val="nil"/>
              <w:right w:val="nil"/>
            </w:tcBorders>
            <w:shd w:val="clear" w:color="auto" w:fill="auto"/>
            <w:noWrap/>
            <w:vAlign w:val="center"/>
          </w:tcPr>
          <w:p w14:paraId="6C080FA8"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ASQ</w:t>
            </w:r>
          </w:p>
        </w:tc>
        <w:tc>
          <w:tcPr>
            <w:tcW w:w="1033" w:type="dxa"/>
            <w:tcBorders>
              <w:top w:val="nil"/>
              <w:left w:val="nil"/>
              <w:right w:val="nil"/>
            </w:tcBorders>
            <w:vAlign w:val="center"/>
          </w:tcPr>
          <w:p w14:paraId="0C4D8EC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right w:val="nil"/>
            </w:tcBorders>
            <w:vAlign w:val="center"/>
          </w:tcPr>
          <w:p w14:paraId="166B2DC1"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right w:val="nil"/>
            </w:tcBorders>
            <w:vAlign w:val="center"/>
          </w:tcPr>
          <w:p w14:paraId="28C70734"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right w:val="nil"/>
            </w:tcBorders>
            <w:vAlign w:val="center"/>
          </w:tcPr>
          <w:p w14:paraId="766C114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4A091F1C" w14:textId="77777777" w:rsidTr="00846329">
        <w:trPr>
          <w:trHeight w:val="59"/>
          <w:jc w:val="center"/>
        </w:trPr>
        <w:tc>
          <w:tcPr>
            <w:tcW w:w="3685" w:type="dxa"/>
            <w:tcBorders>
              <w:top w:val="nil"/>
              <w:left w:val="nil"/>
              <w:right w:val="nil"/>
            </w:tcBorders>
            <w:shd w:val="clear" w:color="auto" w:fill="auto"/>
            <w:noWrap/>
            <w:vAlign w:val="center"/>
          </w:tcPr>
          <w:p w14:paraId="0FDC2618" w14:textId="77777777" w:rsidR="00406027" w:rsidRPr="00C7354B" w:rsidRDefault="00406027" w:rsidP="006B1B51">
            <w:pPr>
              <w:widowControl w:val="0"/>
              <w:spacing w:line="240" w:lineRule="auto"/>
              <w:jc w:val="left"/>
              <w:rPr>
                <w:rFonts w:eastAsia="Helvetica"/>
                <w:color w:val="000000" w:themeColor="text1"/>
                <w:sz w:val="22"/>
                <w:lang w:val="en-US"/>
              </w:rPr>
            </w:pPr>
            <w:r w:rsidRPr="00C7354B">
              <w:rPr>
                <w:rFonts w:eastAsia="Helvetica"/>
                <w:color w:val="000000" w:themeColor="text1"/>
                <w:sz w:val="22"/>
                <w:lang w:val="en-US"/>
              </w:rPr>
              <w:t>Zona, Gomez-Mejia, and Withers (2018)</w:t>
            </w:r>
          </w:p>
        </w:tc>
        <w:tc>
          <w:tcPr>
            <w:tcW w:w="1134" w:type="dxa"/>
            <w:tcBorders>
              <w:top w:val="nil"/>
              <w:left w:val="nil"/>
              <w:right w:val="nil"/>
            </w:tcBorders>
            <w:shd w:val="clear" w:color="auto" w:fill="auto"/>
            <w:noWrap/>
            <w:vAlign w:val="center"/>
          </w:tcPr>
          <w:p w14:paraId="0BAE0FE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JOM</w:t>
            </w:r>
          </w:p>
        </w:tc>
        <w:tc>
          <w:tcPr>
            <w:tcW w:w="1033" w:type="dxa"/>
            <w:tcBorders>
              <w:top w:val="nil"/>
              <w:left w:val="nil"/>
              <w:right w:val="nil"/>
            </w:tcBorders>
            <w:vAlign w:val="center"/>
          </w:tcPr>
          <w:p w14:paraId="2FA5F38E"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134" w:type="dxa"/>
            <w:tcBorders>
              <w:top w:val="nil"/>
              <w:left w:val="nil"/>
              <w:right w:val="nil"/>
            </w:tcBorders>
            <w:vAlign w:val="center"/>
          </w:tcPr>
          <w:p w14:paraId="0C7D5D1D"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top w:val="nil"/>
              <w:left w:val="nil"/>
              <w:right w:val="nil"/>
            </w:tcBorders>
            <w:vAlign w:val="center"/>
          </w:tcPr>
          <w:p w14:paraId="4069E2CC"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No</w:t>
            </w:r>
          </w:p>
        </w:tc>
        <w:tc>
          <w:tcPr>
            <w:tcW w:w="1033" w:type="dxa"/>
            <w:tcBorders>
              <w:top w:val="nil"/>
              <w:left w:val="nil"/>
              <w:right w:val="nil"/>
            </w:tcBorders>
            <w:vAlign w:val="center"/>
          </w:tcPr>
          <w:p w14:paraId="392E8DF7"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w:t>
            </w:r>
          </w:p>
        </w:tc>
      </w:tr>
      <w:tr w:rsidR="00406027" w:rsidRPr="00C7354B" w14:paraId="593F76C3" w14:textId="77777777" w:rsidTr="00846329">
        <w:trPr>
          <w:trHeight w:val="59"/>
          <w:jc w:val="center"/>
        </w:trPr>
        <w:tc>
          <w:tcPr>
            <w:tcW w:w="3685" w:type="dxa"/>
            <w:tcBorders>
              <w:left w:val="nil"/>
              <w:bottom w:val="single" w:sz="4" w:space="0" w:color="auto"/>
              <w:right w:val="nil"/>
            </w:tcBorders>
            <w:shd w:val="clear" w:color="auto" w:fill="auto"/>
            <w:noWrap/>
            <w:vAlign w:val="center"/>
          </w:tcPr>
          <w:p w14:paraId="5AFB61F7" w14:textId="77777777" w:rsidR="00406027" w:rsidRPr="00C7354B" w:rsidRDefault="00406027" w:rsidP="006B1B51">
            <w:pPr>
              <w:widowControl w:val="0"/>
              <w:spacing w:line="240" w:lineRule="auto"/>
              <w:jc w:val="left"/>
              <w:rPr>
                <w:rFonts w:eastAsia="Helvetica"/>
                <w:color w:val="000000" w:themeColor="text1"/>
                <w:sz w:val="22"/>
                <w:lang w:val="en-US"/>
              </w:rPr>
            </w:pPr>
            <w:r w:rsidRPr="00C7354B">
              <w:rPr>
                <w:rFonts w:eastAsia="Helvetica"/>
                <w:color w:val="000000" w:themeColor="text1"/>
                <w:sz w:val="22"/>
                <w:lang w:val="en-US"/>
              </w:rPr>
              <w:t>Zou, Xie, Meng, and Yang (2019)</w:t>
            </w:r>
          </w:p>
        </w:tc>
        <w:tc>
          <w:tcPr>
            <w:tcW w:w="1134" w:type="dxa"/>
            <w:tcBorders>
              <w:left w:val="nil"/>
              <w:bottom w:val="single" w:sz="4" w:space="0" w:color="auto"/>
              <w:right w:val="nil"/>
            </w:tcBorders>
            <w:shd w:val="clear" w:color="auto" w:fill="auto"/>
            <w:noWrap/>
            <w:vAlign w:val="center"/>
          </w:tcPr>
          <w:p w14:paraId="78EA370A"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CSREM</w:t>
            </w:r>
          </w:p>
        </w:tc>
        <w:tc>
          <w:tcPr>
            <w:tcW w:w="1033" w:type="dxa"/>
            <w:tcBorders>
              <w:left w:val="nil"/>
              <w:bottom w:val="single" w:sz="4" w:space="0" w:color="auto"/>
              <w:right w:val="nil"/>
            </w:tcBorders>
            <w:vAlign w:val="center"/>
          </w:tcPr>
          <w:p w14:paraId="4C4E7391"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134" w:type="dxa"/>
            <w:tcBorders>
              <w:left w:val="nil"/>
              <w:bottom w:val="single" w:sz="4" w:space="0" w:color="auto"/>
              <w:right w:val="nil"/>
            </w:tcBorders>
            <w:vAlign w:val="center"/>
          </w:tcPr>
          <w:p w14:paraId="78B4621B"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left w:val="nil"/>
              <w:bottom w:val="single" w:sz="4" w:space="0" w:color="auto"/>
              <w:right w:val="nil"/>
            </w:tcBorders>
            <w:vAlign w:val="center"/>
          </w:tcPr>
          <w:p w14:paraId="3B249D3F"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Yes</w:t>
            </w:r>
          </w:p>
        </w:tc>
        <w:tc>
          <w:tcPr>
            <w:tcW w:w="1033" w:type="dxa"/>
            <w:tcBorders>
              <w:left w:val="nil"/>
              <w:bottom w:val="single" w:sz="4" w:space="0" w:color="auto"/>
              <w:right w:val="nil"/>
            </w:tcBorders>
            <w:vAlign w:val="center"/>
          </w:tcPr>
          <w:p w14:paraId="06B1420C" w14:textId="77777777" w:rsidR="00406027" w:rsidRPr="00C7354B" w:rsidRDefault="00406027" w:rsidP="006B1B51">
            <w:pPr>
              <w:widowControl w:val="0"/>
              <w:spacing w:line="240" w:lineRule="auto"/>
              <w:jc w:val="center"/>
              <w:rPr>
                <w:rFonts w:eastAsia="Helvetica"/>
                <w:color w:val="000000" w:themeColor="text1"/>
                <w:sz w:val="22"/>
              </w:rPr>
            </w:pPr>
            <w:r w:rsidRPr="00C7354B">
              <w:rPr>
                <w:rFonts w:eastAsia="Helvetica"/>
                <w:color w:val="000000" w:themeColor="text1"/>
                <w:sz w:val="22"/>
              </w:rPr>
              <w:t>+ / -</w:t>
            </w:r>
          </w:p>
        </w:tc>
      </w:tr>
    </w:tbl>
    <w:p w14:paraId="72BBFDB7" w14:textId="77777777" w:rsidR="00406027" w:rsidRPr="00C7354B" w:rsidRDefault="00406027" w:rsidP="006B1B51">
      <w:pPr>
        <w:widowControl w:val="0"/>
        <w:adjustRightInd w:val="0"/>
        <w:snapToGrid w:val="0"/>
        <w:spacing w:before="60" w:after="60" w:line="240" w:lineRule="auto"/>
        <w:rPr>
          <w:rFonts w:eastAsia="SimSun"/>
          <w:color w:val="000000" w:themeColor="text1"/>
          <w:kern w:val="2"/>
          <w:sz w:val="22"/>
          <w:lang w:val="en-US" w:eastAsia="zh-CN"/>
        </w:rPr>
      </w:pPr>
      <w:r w:rsidRPr="00C7354B">
        <w:rPr>
          <w:rFonts w:eastAsia="SimSun"/>
          <w:i/>
          <w:iCs/>
          <w:color w:val="000000" w:themeColor="text1"/>
          <w:kern w:val="2"/>
          <w:sz w:val="22"/>
          <w:lang w:val="en-US" w:eastAsia="zh-CN"/>
        </w:rPr>
        <w:t>Note</w:t>
      </w:r>
      <w:r w:rsidRPr="00C7354B">
        <w:rPr>
          <w:rFonts w:eastAsia="SimSun"/>
          <w:color w:val="000000" w:themeColor="text1"/>
          <w:kern w:val="2"/>
          <w:sz w:val="22"/>
          <w:lang w:val="en-US" w:eastAsia="zh-CN"/>
        </w:rPr>
        <w:t>: AMJ = Academy of Management Journal; AMP = Academy of Management Proceedings; ACCR = Accounting Review; ASQ = Administrative Science Quarterly; AJS = American Journal of Sociology; APJOM = Asia Pacific Journal of Management; ABM = Asian Business &amp; Management; AJRBF = Asian Journal of Research in Banking and Finance; AA = Australasian Accounting; BINBS = BI Norwegian Business School; BJM = British Journal of Management; BSE = Business Strategy and the Environment; CJASQ = Canadian Journal of Administrative Sciences; CFRI = China Finance Review International; CBM = Cogent Business &amp; Management; CMOT = Computational and Mathematical Organization Theory; CG = Corporate Governance; CSREM = Corporate Social Responsibility and Environmental Management; CCSM = Cross Cultural &amp; Strategic Management; EMFT = Emerging Markets Finance and Trade; ERD = Entrepreneurship &amp; Regional Development; FIP = Frontiers in Physics; FP = Frontiers in Psychology; GER = Global Economic Review; IBR = International Business Review; IJDG = International Journal of Disclosure and Governance; IJIM = International Journal of Information Management; IREF = International Review of Economics &amp; Finance; IRFA = International Review of Financial Analysis; JABR = Journal of Applied Business Research; JBEF = Journal of Behavioral and Experimental Finance; JBE = Journal of Business Ethics; JBR = Journal of Business Research; JCG = Journal of Chinese Governance; JICT = Journal of Industry;  Competition and Trade; JOM = Journal of Management; JMG = Journal of Management &amp; Governance; JMS = Journal of Management Studies; JOMI = Journal of Managerial Issues; JMBS = Journal of Media Business Studies; JRFM = Journal of Risk and Financial Management; JSBM = Journal of Small Business Management; LRP = Long Range Planning; MOR = Management and Organization Review; MD = Management Decision; MDE = Managerial Decision Economics; MF = Managerial Finance; MATEC = MATEC Conference; OS = Organization Science; PBFJ = Pacific-Basin Finance Journal; RMS = Review of Managerial Science; RQFA = Review of Quantitative Finance and Accounting; SN = Social Networks; SAR = Spanish Accounting Review; SSRN = SSRN Electronic Journal; SMJ = Strategic Management Journal; SO = Strategic Organization; S = Sustainability; T = Thesis; TM = Tourism Management; WP = Working Paper.</w:t>
      </w:r>
    </w:p>
    <w:p w14:paraId="17C2F478" w14:textId="77777777" w:rsidR="00406027" w:rsidRDefault="00406027" w:rsidP="00406027">
      <w:pPr>
        <w:widowControl w:val="0"/>
        <w:adjustRightInd w:val="0"/>
        <w:snapToGrid w:val="0"/>
        <w:spacing w:before="60" w:after="60"/>
        <w:rPr>
          <w:rFonts w:eastAsia="SimSun"/>
          <w:kern w:val="2"/>
          <w:sz w:val="15"/>
          <w:szCs w:val="15"/>
          <w:lang w:val="en-US" w:eastAsia="zh-CN"/>
        </w:rPr>
      </w:pPr>
    </w:p>
    <w:p w14:paraId="2D296248" w14:textId="77777777" w:rsidR="00406027" w:rsidRPr="00F75D8C" w:rsidRDefault="00406027" w:rsidP="00406027">
      <w:pPr>
        <w:widowControl w:val="0"/>
        <w:adjustRightInd w:val="0"/>
        <w:snapToGrid w:val="0"/>
        <w:spacing w:before="60" w:after="60"/>
        <w:rPr>
          <w:lang w:val="en-US" w:eastAsia="zh-CN"/>
        </w:rPr>
        <w:sectPr w:rsidR="00406027" w:rsidRPr="00F75D8C" w:rsidSect="00794C6C">
          <w:headerReference w:type="even" r:id="rId25"/>
          <w:headerReference w:type="default" r:id="rId26"/>
          <w:footerReference w:type="even" r:id="rId27"/>
          <w:footerReference w:type="default" r:id="rId28"/>
          <w:headerReference w:type="first" r:id="rId29"/>
          <w:footerReference w:type="first" r:id="rId30"/>
          <w:pgSz w:w="11906" w:h="16838"/>
          <w:pgMar w:top="1417" w:right="1417" w:bottom="1134" w:left="1417" w:header="709" w:footer="709" w:gutter="0"/>
          <w:cols w:space="708"/>
          <w:docGrid w:linePitch="360"/>
        </w:sectPr>
      </w:pPr>
    </w:p>
    <w:p w14:paraId="27AC30F6" w14:textId="77777777" w:rsidR="00406027" w:rsidRPr="004E5844" w:rsidRDefault="00406027" w:rsidP="00406027">
      <w:pPr>
        <w:pStyle w:val="1fake"/>
      </w:pPr>
      <w:r>
        <w:lastRenderedPageBreak/>
        <w:t>O</w:t>
      </w:r>
      <w:r w:rsidRPr="004E5844">
        <w:t>nline Supplement 1</w:t>
      </w:r>
      <w:r>
        <w:t>B</w:t>
      </w:r>
    </w:p>
    <w:p w14:paraId="13DF07D0" w14:textId="67A846FC" w:rsidR="00406027" w:rsidRPr="00346ED4" w:rsidRDefault="00406027" w:rsidP="00406027">
      <w:pPr>
        <w:pStyle w:val="TabelleHeading"/>
        <w:rPr>
          <w:lang w:val="en-US"/>
        </w:rPr>
      </w:pPr>
      <w:r w:rsidRPr="00346ED4">
        <w:rPr>
          <w:rFonts w:hint="eastAsia"/>
          <w:lang w:val="en-US"/>
        </w:rPr>
        <w:t xml:space="preserve">References for </w:t>
      </w:r>
      <w:r w:rsidR="007F2F08">
        <w:rPr>
          <w:lang w:val="en-US"/>
        </w:rPr>
        <w:t>s</w:t>
      </w:r>
      <w:r w:rsidRPr="00346ED4">
        <w:rPr>
          <w:rFonts w:hint="eastAsia"/>
          <w:lang w:val="en-US"/>
        </w:rPr>
        <w:t xml:space="preserve">tudies </w:t>
      </w:r>
      <w:r w:rsidR="007F2F08">
        <w:rPr>
          <w:lang w:val="en-US"/>
        </w:rPr>
        <w:t>i</w:t>
      </w:r>
      <w:r w:rsidRPr="00346ED4">
        <w:rPr>
          <w:rFonts w:hint="eastAsia"/>
          <w:lang w:val="en-US"/>
        </w:rPr>
        <w:t xml:space="preserve">ncluded in the </w:t>
      </w:r>
      <w:r w:rsidR="007F2F08">
        <w:rPr>
          <w:lang w:val="en-US"/>
        </w:rPr>
        <w:t>m</w:t>
      </w:r>
      <w:r w:rsidRPr="00346ED4">
        <w:rPr>
          <w:rFonts w:hint="eastAsia"/>
          <w:lang w:val="en-US"/>
        </w:rPr>
        <w:t>eta-</w:t>
      </w:r>
      <w:r w:rsidR="007F2F08">
        <w:rPr>
          <w:lang w:val="en-US"/>
        </w:rPr>
        <w:t>a</w:t>
      </w:r>
      <w:r w:rsidRPr="00346ED4">
        <w:rPr>
          <w:rFonts w:hint="eastAsia"/>
          <w:lang w:val="en-US"/>
        </w:rPr>
        <w:t>nalysis</w:t>
      </w:r>
    </w:p>
    <w:p w14:paraId="6E3B841C" w14:textId="77777777" w:rsidR="00406027" w:rsidRPr="00454C23" w:rsidRDefault="00406027" w:rsidP="006C77FE">
      <w:pPr>
        <w:pStyle w:val="CitaviBibliographyEntry"/>
        <w:spacing w:after="0"/>
        <w:jc w:val="both"/>
      </w:pPr>
      <w:r w:rsidRPr="00454C23">
        <w:t xml:space="preserve">Aalbers, R., &amp; Ma, R. 2023. The Roles of Supply Networks and Board Interlocks in Firms’ Technological Entry and Exit: Evidence from the Chinese Automotive Industry. </w:t>
      </w:r>
      <w:r w:rsidRPr="00454C23">
        <w:rPr>
          <w:i/>
        </w:rPr>
        <w:t>Management and Organization Review</w:t>
      </w:r>
      <w:r w:rsidRPr="00454C23">
        <w:t>, 19: 279-315.</w:t>
      </w:r>
    </w:p>
    <w:p w14:paraId="7C48264C" w14:textId="77777777" w:rsidR="00406027" w:rsidRPr="00454C23" w:rsidRDefault="00406027" w:rsidP="006C77FE">
      <w:pPr>
        <w:pStyle w:val="CitaviBibliographyEntry"/>
        <w:spacing w:after="0"/>
        <w:jc w:val="both"/>
      </w:pPr>
      <w:r w:rsidRPr="00CE03DC">
        <w:t xml:space="preserve">Afzali, S. M., &amp; Kettunen, J. 2019. </w:t>
      </w:r>
      <w:r w:rsidRPr="00454C23">
        <w:t xml:space="preserve">Board Centrality and Firm Performance: Evidence from Private Firms. </w:t>
      </w:r>
      <w:r w:rsidRPr="00454C23">
        <w:rPr>
          <w:i/>
        </w:rPr>
        <w:t xml:space="preserve">SSRN Electronic Journal. </w:t>
      </w:r>
      <w:r w:rsidRPr="00454C23">
        <w:t xml:space="preserve">doi:10.2139/ssrn.3344238 </w:t>
      </w:r>
    </w:p>
    <w:p w14:paraId="76F222D3" w14:textId="77777777" w:rsidR="00406027" w:rsidRPr="00454C23" w:rsidRDefault="00406027" w:rsidP="006C77FE">
      <w:pPr>
        <w:pStyle w:val="CitaviBibliographyEntry"/>
        <w:spacing w:after="0"/>
        <w:jc w:val="both"/>
      </w:pPr>
      <w:r w:rsidRPr="00454C23">
        <w:t xml:space="preserve">Aggarwal, R., Jindal, V., &amp; Seth, R. 2019. Board diversity and firm performance: The role of business group affiliation. </w:t>
      </w:r>
      <w:r w:rsidRPr="00454C23">
        <w:rPr>
          <w:i/>
        </w:rPr>
        <w:t>International Business Review</w:t>
      </w:r>
      <w:r w:rsidRPr="00454C23">
        <w:t>, 28: 101600.</w:t>
      </w:r>
    </w:p>
    <w:p w14:paraId="422EE42D" w14:textId="77777777" w:rsidR="00406027" w:rsidRPr="00454C23" w:rsidRDefault="00406027" w:rsidP="006C77FE">
      <w:pPr>
        <w:pStyle w:val="CitaviBibliographyEntry"/>
        <w:spacing w:after="0"/>
        <w:jc w:val="both"/>
      </w:pPr>
      <w:r w:rsidRPr="00CE03DC">
        <w:t xml:space="preserve">Akram, F., &amp; Abrar Ul Haq, M. 2022. </w:t>
      </w:r>
      <w:r w:rsidRPr="00454C23">
        <w:t xml:space="preserve">Integrating agency and resource dependence theories to examine the impact of corporate governance and innovation on firm performance. </w:t>
      </w:r>
      <w:r w:rsidRPr="00454C23">
        <w:rPr>
          <w:i/>
        </w:rPr>
        <w:t>Cogent Business &amp; Management</w:t>
      </w:r>
      <w:r w:rsidRPr="00454C23">
        <w:t>, 9.</w:t>
      </w:r>
    </w:p>
    <w:p w14:paraId="1BF45F00" w14:textId="77777777" w:rsidR="00406027" w:rsidRPr="00454C23" w:rsidRDefault="00406027" w:rsidP="006C77FE">
      <w:pPr>
        <w:pStyle w:val="CitaviBibliographyEntry"/>
        <w:spacing w:after="0"/>
        <w:jc w:val="both"/>
      </w:pPr>
      <w:r w:rsidRPr="00454C23">
        <w:t xml:space="preserve">Al Dah, B., Dah, M. A., &amp; Frye, M. 2023. Board Refreshment: Like a Breath of Fresh Air. </w:t>
      </w:r>
      <w:r w:rsidRPr="00454C23">
        <w:rPr>
          <w:i/>
        </w:rPr>
        <w:t xml:space="preserve">SSRN Electronic Journal. </w:t>
      </w:r>
      <w:r w:rsidRPr="00454C23">
        <w:t xml:space="preserve">doi:10.2139/ssrn.4352088 </w:t>
      </w:r>
    </w:p>
    <w:p w14:paraId="08ED55E0" w14:textId="77777777" w:rsidR="00406027" w:rsidRPr="00454C23" w:rsidRDefault="00406027" w:rsidP="006C77FE">
      <w:pPr>
        <w:pStyle w:val="CitaviBibliographyEntry"/>
        <w:spacing w:after="0"/>
        <w:jc w:val="both"/>
      </w:pPr>
      <w:r w:rsidRPr="00454C23">
        <w:t xml:space="preserve">Andersen, A. 2015. </w:t>
      </w:r>
      <w:r w:rsidRPr="00454C23">
        <w:rPr>
          <w:i/>
        </w:rPr>
        <w:t>Help or hindrance? Boardroom network connectivity and firm performance</w:t>
      </w:r>
      <w:r w:rsidRPr="00454C23">
        <w:t>.</w:t>
      </w:r>
    </w:p>
    <w:p w14:paraId="140421CF" w14:textId="77777777" w:rsidR="00406027" w:rsidRPr="00454C23" w:rsidRDefault="00406027" w:rsidP="006C77FE">
      <w:pPr>
        <w:pStyle w:val="CitaviBibliographyEntry"/>
        <w:spacing w:after="0"/>
        <w:jc w:val="both"/>
      </w:pPr>
      <w:r w:rsidRPr="00454C23">
        <w:t>Basuil, D. A., &amp; Datta, D. K. 2017. Value creation in cross-border acquisitions: The role of outside directors</w:t>
      </w:r>
      <w:r>
        <w:t>’</w:t>
      </w:r>
      <w:r w:rsidRPr="00454C23">
        <w:t xml:space="preserve"> human and social capital. </w:t>
      </w:r>
      <w:r w:rsidRPr="00454C23">
        <w:rPr>
          <w:i/>
        </w:rPr>
        <w:t>Journal of Business Research</w:t>
      </w:r>
      <w:r w:rsidRPr="00454C23">
        <w:t>, 80: 35-44.</w:t>
      </w:r>
    </w:p>
    <w:p w14:paraId="7D91B4D9" w14:textId="77777777" w:rsidR="00406027" w:rsidRPr="00454C23" w:rsidRDefault="00406027" w:rsidP="006C77FE">
      <w:pPr>
        <w:pStyle w:val="CitaviBibliographyEntry"/>
        <w:spacing w:after="0"/>
        <w:jc w:val="both"/>
      </w:pPr>
      <w:r w:rsidRPr="00454C23">
        <w:t xml:space="preserve">Beckman, C. M., Haunschild, P. R., &amp; Phillips, D. J. 2004. Friends or Strangers? Firm-Specific Uncertainty, Market Uncertainty, and Network Partner Selection. </w:t>
      </w:r>
      <w:r w:rsidRPr="00454C23">
        <w:rPr>
          <w:i/>
        </w:rPr>
        <w:t>Organization Science</w:t>
      </w:r>
      <w:r w:rsidRPr="00454C23">
        <w:t>, 15: 259-275.</w:t>
      </w:r>
    </w:p>
    <w:p w14:paraId="59D3E0F1" w14:textId="77777777" w:rsidR="00406027" w:rsidRPr="00454C23" w:rsidRDefault="00406027" w:rsidP="006C77FE">
      <w:pPr>
        <w:pStyle w:val="CitaviBibliographyEntry"/>
        <w:spacing w:after="0"/>
        <w:jc w:val="both"/>
      </w:pPr>
      <w:r w:rsidRPr="00454C23">
        <w:t xml:space="preserve">Bell, G. G. 2005. Clusters, networks, and firm innovativeness. </w:t>
      </w:r>
      <w:r w:rsidRPr="00454C23">
        <w:rPr>
          <w:i/>
        </w:rPr>
        <w:t>Strategic Management Journal</w:t>
      </w:r>
      <w:r w:rsidRPr="00454C23">
        <w:t>, 26: 287-295.</w:t>
      </w:r>
    </w:p>
    <w:p w14:paraId="30695DFC" w14:textId="77777777" w:rsidR="00406027" w:rsidRPr="00454C23" w:rsidRDefault="00406027" w:rsidP="006C77FE">
      <w:pPr>
        <w:pStyle w:val="CitaviBibliographyEntry"/>
        <w:spacing w:after="0"/>
        <w:jc w:val="both"/>
      </w:pPr>
      <w:r w:rsidRPr="00454C23">
        <w:t xml:space="preserve">Ben Barka, H., &amp; Dardour, A. 2015. Investigating the relationship between director’s profile, board interlocks and corporate social responsibility. </w:t>
      </w:r>
      <w:r w:rsidRPr="00454C23">
        <w:rPr>
          <w:i/>
        </w:rPr>
        <w:t>Management Decision</w:t>
      </w:r>
      <w:r w:rsidRPr="00454C23">
        <w:t>, 53: 553-570.</w:t>
      </w:r>
    </w:p>
    <w:p w14:paraId="55475D9E" w14:textId="77777777" w:rsidR="00406027" w:rsidRPr="00454C23" w:rsidRDefault="00406027" w:rsidP="006C77FE">
      <w:pPr>
        <w:pStyle w:val="CitaviBibliographyEntry"/>
        <w:spacing w:after="0"/>
        <w:jc w:val="both"/>
      </w:pPr>
      <w:r w:rsidRPr="00454C23">
        <w:lastRenderedPageBreak/>
        <w:t xml:space="preserve">Benton, R. A. 2021. Women in the Inner Circle: Gender and Director Networks After the Fracturing of the Corporate Elite. </w:t>
      </w:r>
      <w:r w:rsidRPr="00454C23">
        <w:rPr>
          <w:i/>
        </w:rPr>
        <w:t>Organization Science</w:t>
      </w:r>
      <w:r w:rsidRPr="00454C23">
        <w:t>, 32: 1492-1522.</w:t>
      </w:r>
    </w:p>
    <w:p w14:paraId="2DDF64C5" w14:textId="77777777" w:rsidR="00406027" w:rsidRPr="00454C23" w:rsidRDefault="00406027" w:rsidP="006C77FE">
      <w:pPr>
        <w:pStyle w:val="CitaviBibliographyEntry"/>
        <w:spacing w:after="0"/>
        <w:jc w:val="both"/>
      </w:pPr>
      <w:r w:rsidRPr="00454C23">
        <w:t xml:space="preserve">Bischoff, O., &amp; Buchwald, A. 2018. Horizontal and Vertical Firm Networks, Corporate Performance and Product Market Competition. </w:t>
      </w:r>
      <w:r w:rsidRPr="00454C23">
        <w:rPr>
          <w:i/>
        </w:rPr>
        <w:t>Journal of Industry, Competition and Trade</w:t>
      </w:r>
      <w:r w:rsidRPr="00454C23">
        <w:t>, 18: 25-45.</w:t>
      </w:r>
    </w:p>
    <w:p w14:paraId="6E29A265" w14:textId="77777777" w:rsidR="00406027" w:rsidRPr="00454C23" w:rsidRDefault="00406027" w:rsidP="006C77FE">
      <w:pPr>
        <w:pStyle w:val="CitaviBibliographyEntry"/>
        <w:spacing w:after="0"/>
        <w:jc w:val="both"/>
      </w:pPr>
      <w:r w:rsidRPr="00454C23">
        <w:t xml:space="preserve">Brown, A. B., Dai, J., &amp; Zur, E. 2018. Too Busy or Well-Connected? Evidence from a Shock to Multiple Directorships. </w:t>
      </w:r>
      <w:r w:rsidRPr="00454C23">
        <w:rPr>
          <w:i/>
        </w:rPr>
        <w:t xml:space="preserve">SSRN Electronic Journal. </w:t>
      </w:r>
      <w:r w:rsidRPr="00454C23">
        <w:t xml:space="preserve">doi:10.2139/ssrn.3162614 </w:t>
      </w:r>
    </w:p>
    <w:p w14:paraId="4E47EBCF" w14:textId="77777777" w:rsidR="00406027" w:rsidRPr="00454C23" w:rsidRDefault="00406027" w:rsidP="006C77FE">
      <w:pPr>
        <w:pStyle w:val="CitaviBibliographyEntry"/>
        <w:spacing w:after="0"/>
        <w:jc w:val="both"/>
      </w:pPr>
      <w:r w:rsidRPr="00454C23">
        <w:t xml:space="preserve">Cannella, A. A., Jones, C. D., &amp; Withers, M. C. 2015. Family- versus Lone-Founder-Controlled Public Corporations: Social Identity Theory and Boards of Directors. </w:t>
      </w:r>
      <w:r w:rsidRPr="00454C23">
        <w:rPr>
          <w:i/>
        </w:rPr>
        <w:t>Academy of Management Journal</w:t>
      </w:r>
      <w:r w:rsidRPr="00454C23">
        <w:t>, 58: 436-459.</w:t>
      </w:r>
    </w:p>
    <w:p w14:paraId="382E4C6D" w14:textId="77777777" w:rsidR="00406027" w:rsidRPr="00454C23" w:rsidRDefault="00406027" w:rsidP="006C77FE">
      <w:pPr>
        <w:pStyle w:val="CitaviBibliographyEntry"/>
        <w:spacing w:after="0"/>
        <w:jc w:val="both"/>
      </w:pPr>
      <w:r w:rsidRPr="00454C23">
        <w:t xml:space="preserve">Carpenter, M. A., &amp; Westphal, J. D. 2001. The Strategic Context of External Network Ties: Examining the Impact of Director Appointments on Board Involvement in Strategic Decision Making. </w:t>
      </w:r>
      <w:r w:rsidRPr="00454C23">
        <w:rPr>
          <w:i/>
        </w:rPr>
        <w:t>Academy of Management Journal</w:t>
      </w:r>
      <w:r w:rsidRPr="00454C23">
        <w:t>, 44: 639-660.</w:t>
      </w:r>
    </w:p>
    <w:p w14:paraId="6336BE79" w14:textId="77777777" w:rsidR="00406027" w:rsidRPr="004973EC" w:rsidRDefault="00406027" w:rsidP="006C77FE">
      <w:pPr>
        <w:pStyle w:val="CitaviBibliographyEntry"/>
        <w:spacing w:after="0"/>
        <w:jc w:val="both"/>
      </w:pPr>
      <w:r w:rsidRPr="00454C23">
        <w:t xml:space="preserve">Chan, A. L.-C., Lee, E., Petaibanlue, J., &amp; Tan, N. 2017. Do board interlocks motivate voluntary disclosure? </w:t>
      </w:r>
      <w:r w:rsidRPr="004973EC">
        <w:t xml:space="preserve">Evidence from Taiwan. </w:t>
      </w:r>
      <w:r w:rsidRPr="004973EC">
        <w:rPr>
          <w:i/>
        </w:rPr>
        <w:t>Review of Quantitative Finance and Accounting</w:t>
      </w:r>
      <w:r w:rsidRPr="004973EC">
        <w:t>, 48: 441-466.</w:t>
      </w:r>
    </w:p>
    <w:p w14:paraId="46360FBC" w14:textId="77777777" w:rsidR="00406027" w:rsidRPr="000875FD" w:rsidRDefault="00406027" w:rsidP="006C77FE">
      <w:pPr>
        <w:pStyle w:val="CitaviBibliographyEntry"/>
        <w:spacing w:after="0"/>
        <w:jc w:val="both"/>
      </w:pPr>
      <w:r w:rsidRPr="004973EC">
        <w:t xml:space="preserve">Chandler, D., Haunschild, P. R., Rhee, M., &amp; Beckman, C. M. 2013. </w:t>
      </w:r>
      <w:r w:rsidRPr="000875FD">
        <w:t xml:space="preserve">The effects of firm reputation and status on interorganizational network structure. </w:t>
      </w:r>
      <w:r w:rsidRPr="000875FD">
        <w:rPr>
          <w:i/>
        </w:rPr>
        <w:t>Strategic Organization</w:t>
      </w:r>
      <w:r w:rsidRPr="000875FD">
        <w:t>, 11: 217-244.</w:t>
      </w:r>
    </w:p>
    <w:p w14:paraId="230668BB" w14:textId="77777777" w:rsidR="00406027" w:rsidRPr="000875FD" w:rsidRDefault="00406027" w:rsidP="006C77FE">
      <w:pPr>
        <w:pStyle w:val="CitaviBibliographyEntry"/>
        <w:spacing w:after="0"/>
        <w:jc w:val="both"/>
      </w:pPr>
      <w:r w:rsidRPr="000875FD">
        <w:t xml:space="preserve">Chen, C., Ding, D. K., &amp; Wilson, W. R. 2021. The Old Boys Club in New Zealand Listed Companies. </w:t>
      </w:r>
      <w:r w:rsidRPr="000875FD">
        <w:rPr>
          <w:i/>
        </w:rPr>
        <w:t>Journal of Risk and Financial Management</w:t>
      </w:r>
      <w:r w:rsidRPr="000875FD">
        <w:t>, 14: 342.</w:t>
      </w:r>
    </w:p>
    <w:p w14:paraId="47EC81B5" w14:textId="77777777" w:rsidR="00406027" w:rsidRPr="000875FD" w:rsidRDefault="00406027" w:rsidP="006C77FE">
      <w:pPr>
        <w:pStyle w:val="CitaviBibliographyEntry"/>
        <w:spacing w:after="0"/>
        <w:jc w:val="both"/>
      </w:pPr>
      <w:r w:rsidRPr="000875FD">
        <w:t xml:space="preserve">Chen, H.-L. 2014. Board Capital, CEO Power and R&amp;D Investment in Electronics Firms. </w:t>
      </w:r>
      <w:r w:rsidRPr="000875FD">
        <w:rPr>
          <w:i/>
        </w:rPr>
        <w:t>Corporate Governance: An International Review</w:t>
      </w:r>
      <w:r w:rsidRPr="000875FD">
        <w:t>, 22: 422-436.</w:t>
      </w:r>
    </w:p>
    <w:p w14:paraId="5738EA4C" w14:textId="77777777" w:rsidR="00406027" w:rsidRPr="000875FD" w:rsidRDefault="00406027" w:rsidP="006C77FE">
      <w:pPr>
        <w:pStyle w:val="CitaviBibliographyEntry"/>
        <w:spacing w:after="0"/>
        <w:jc w:val="both"/>
      </w:pPr>
      <w:r w:rsidRPr="00932F58">
        <w:t xml:space="preserve">Chen, H.-L., Hsu, W.-T., &amp; Chang, C.-Y. 2016. </w:t>
      </w:r>
      <w:r w:rsidRPr="000875FD">
        <w:t xml:space="preserve">Independent directors’ human and social capital, firm internationalization and performance implications: An integrated agency-resource dependence view. </w:t>
      </w:r>
      <w:r w:rsidRPr="000875FD">
        <w:rPr>
          <w:i/>
        </w:rPr>
        <w:t>International Business Review</w:t>
      </w:r>
      <w:r w:rsidRPr="000875FD">
        <w:t>, 25: 859-871.</w:t>
      </w:r>
    </w:p>
    <w:p w14:paraId="3D8154E1" w14:textId="77777777" w:rsidR="00406027" w:rsidRPr="000875FD" w:rsidRDefault="00406027" w:rsidP="006C77FE">
      <w:pPr>
        <w:pStyle w:val="CitaviBibliographyEntry"/>
        <w:spacing w:after="0"/>
        <w:jc w:val="both"/>
      </w:pPr>
      <w:r w:rsidRPr="000875FD">
        <w:lastRenderedPageBreak/>
        <w:t xml:space="preserve">Chiu, P.-C., Teoh, S. H., &amp; Tian, F. 2010. Board Interlocks and Earnings Management Contagion. </w:t>
      </w:r>
      <w:r w:rsidRPr="000875FD">
        <w:rPr>
          <w:i/>
        </w:rPr>
        <w:t xml:space="preserve">SSRN Electronic Journal. </w:t>
      </w:r>
      <w:r w:rsidRPr="000875FD">
        <w:t xml:space="preserve">doi:10.2139/ssrn.1723714 </w:t>
      </w:r>
    </w:p>
    <w:p w14:paraId="25A20B77" w14:textId="77777777" w:rsidR="00406027" w:rsidRPr="000875FD" w:rsidRDefault="00406027" w:rsidP="006C77FE">
      <w:pPr>
        <w:pStyle w:val="CitaviBibliographyEntry"/>
        <w:spacing w:after="0"/>
        <w:jc w:val="both"/>
      </w:pPr>
      <w:r w:rsidRPr="000875FD">
        <w:t xml:space="preserve">Chong, Jennifer, L. Y., Jong, Ling, Yap, &amp; Seng, C. 2023. Board Capital and Firm Performance. </w:t>
      </w:r>
      <w:r w:rsidRPr="000875FD">
        <w:rPr>
          <w:i/>
        </w:rPr>
        <w:t>MATEC Web of Conferences</w:t>
      </w:r>
      <w:r w:rsidRPr="000875FD">
        <w:t>, 377: 2005.</w:t>
      </w:r>
    </w:p>
    <w:p w14:paraId="549E91E5" w14:textId="77777777" w:rsidR="00406027" w:rsidRPr="000875FD" w:rsidRDefault="00406027" w:rsidP="006C77FE">
      <w:pPr>
        <w:pStyle w:val="CitaviBibliographyEntry"/>
        <w:spacing w:after="0"/>
        <w:jc w:val="both"/>
      </w:pPr>
      <w:r w:rsidRPr="000875FD">
        <w:t xml:space="preserve">Chu, J. S. G. 2012. Who Killed the Inner Circle? The End of the Era of the Corporate Interlock Network. </w:t>
      </w:r>
      <w:r w:rsidRPr="000875FD">
        <w:rPr>
          <w:i/>
        </w:rPr>
        <w:t xml:space="preserve">SSRN Electronic Journal. </w:t>
      </w:r>
      <w:r w:rsidRPr="000875FD">
        <w:t xml:space="preserve">doi:10.2139/ssrn.2061113 </w:t>
      </w:r>
    </w:p>
    <w:p w14:paraId="624FEAD6" w14:textId="77777777" w:rsidR="00406027" w:rsidRPr="000875FD" w:rsidRDefault="00406027" w:rsidP="006C77FE">
      <w:pPr>
        <w:pStyle w:val="CitaviBibliographyEntry"/>
        <w:spacing w:after="0"/>
        <w:jc w:val="both"/>
      </w:pPr>
      <w:r w:rsidRPr="000875FD">
        <w:t xml:space="preserve">Connelly, B. L., Johnson, J. L., Tihanyi, L., &amp; Ellstrand, A. E. 2011. More Than Adopters: Competing Influences in the Interlocking Directorate. </w:t>
      </w:r>
      <w:r w:rsidRPr="000875FD">
        <w:rPr>
          <w:i/>
        </w:rPr>
        <w:t>Organization Science</w:t>
      </w:r>
      <w:r w:rsidRPr="000875FD">
        <w:t>, 22: 688-703.</w:t>
      </w:r>
    </w:p>
    <w:p w14:paraId="2EF0FC1E" w14:textId="77777777" w:rsidR="00406027" w:rsidRPr="000875FD" w:rsidRDefault="00406027" w:rsidP="006C77FE">
      <w:pPr>
        <w:pStyle w:val="CitaviBibliographyEntry"/>
        <w:spacing w:after="0"/>
        <w:jc w:val="both"/>
      </w:pPr>
      <w:r w:rsidRPr="000875FD">
        <w:t xml:space="preserve">Cordeiro, J. J. 1993. The role of director interlocks, governance, and management incentives in explaining stockholder gains from Joint Ventures. </w:t>
      </w:r>
      <w:r w:rsidRPr="000875FD">
        <w:rPr>
          <w:i/>
        </w:rPr>
        <w:t>Academy of Management Proceedings</w:t>
      </w:r>
      <w:r w:rsidRPr="000875FD">
        <w:t>, 1993: 12-16.</w:t>
      </w:r>
    </w:p>
    <w:p w14:paraId="6E04E5B6" w14:textId="77777777" w:rsidR="00406027" w:rsidRPr="000875FD" w:rsidRDefault="00406027" w:rsidP="006C77FE">
      <w:pPr>
        <w:pStyle w:val="CitaviBibliographyEntry"/>
        <w:spacing w:after="0"/>
        <w:jc w:val="both"/>
      </w:pPr>
      <w:r w:rsidRPr="000875FD">
        <w:t xml:space="preserve">Croci, E., &amp; Grassi, R. 2014. The economic effect of interlocking directorates in Italy: new evidence using centrality measures. </w:t>
      </w:r>
      <w:r w:rsidRPr="000875FD">
        <w:rPr>
          <w:i/>
        </w:rPr>
        <w:t>Computational and Mathematical Organization Theory</w:t>
      </w:r>
      <w:r w:rsidRPr="000875FD">
        <w:t>, 20: 89-112.</w:t>
      </w:r>
    </w:p>
    <w:p w14:paraId="4CED56A6" w14:textId="77777777" w:rsidR="00406027" w:rsidRPr="000875FD" w:rsidRDefault="00406027" w:rsidP="006C77FE">
      <w:pPr>
        <w:pStyle w:val="CitaviBibliographyEntry"/>
        <w:spacing w:after="0"/>
        <w:jc w:val="both"/>
      </w:pPr>
      <w:r w:rsidRPr="000875FD">
        <w:t>Dalziel, T., Gentry, R. J., &amp; Bowerman, M. 2011. An Integrated Agency–Resource Dependence View of the Influence of Directors</w:t>
      </w:r>
      <w:r>
        <w:t>’</w:t>
      </w:r>
      <w:r w:rsidRPr="000875FD">
        <w:t xml:space="preserve"> Human and Relational Capital on Firms</w:t>
      </w:r>
      <w:r>
        <w:t>’</w:t>
      </w:r>
      <w:r w:rsidRPr="000875FD">
        <w:t xml:space="preserve"> R&amp;D Spending. </w:t>
      </w:r>
      <w:r w:rsidRPr="000875FD">
        <w:rPr>
          <w:i/>
        </w:rPr>
        <w:t>Journal of Management Studies</w:t>
      </w:r>
      <w:r w:rsidRPr="000875FD">
        <w:t>, 48: 1217-1242.</w:t>
      </w:r>
    </w:p>
    <w:p w14:paraId="48220EEC" w14:textId="77777777" w:rsidR="00406027" w:rsidRPr="000875FD" w:rsidRDefault="00406027" w:rsidP="006C77FE">
      <w:pPr>
        <w:pStyle w:val="CitaviBibliographyEntry"/>
        <w:spacing w:after="0"/>
        <w:jc w:val="both"/>
      </w:pPr>
      <w:r w:rsidRPr="000875FD">
        <w:t xml:space="preserve">Davis, G. F. 1991. Agents without Principles? The Spread of the Poison Pill through the Intercorporate Network. </w:t>
      </w:r>
      <w:r w:rsidRPr="000875FD">
        <w:rPr>
          <w:i/>
        </w:rPr>
        <w:t>Administrative Science Quarterly</w:t>
      </w:r>
      <w:r w:rsidRPr="000875FD">
        <w:t>, 36: 583.</w:t>
      </w:r>
    </w:p>
    <w:p w14:paraId="5DA34DCC" w14:textId="77777777" w:rsidR="00406027" w:rsidRPr="00454C23" w:rsidRDefault="00406027" w:rsidP="006C77FE">
      <w:pPr>
        <w:pStyle w:val="CitaviBibliographyEntry"/>
        <w:spacing w:after="0"/>
        <w:jc w:val="both"/>
      </w:pPr>
      <w:r w:rsidRPr="000875FD">
        <w:t xml:space="preserve">Elouaer Mrizak, S. 2009. Interlocking Directorates and Firm Performance: Evidence from French Companies. </w:t>
      </w:r>
      <w:r w:rsidRPr="00454C23">
        <w:rPr>
          <w:i/>
        </w:rPr>
        <w:t xml:space="preserve">SSRN Electronic Journal. </w:t>
      </w:r>
      <w:r w:rsidRPr="00454C23">
        <w:t xml:space="preserve">doi:10.2139/ssrn.1369353 </w:t>
      </w:r>
    </w:p>
    <w:p w14:paraId="5CEC71AF" w14:textId="77777777" w:rsidR="00406027" w:rsidRPr="00454C23" w:rsidRDefault="00406027" w:rsidP="006C77FE">
      <w:pPr>
        <w:pStyle w:val="CitaviBibliographyEntry"/>
        <w:spacing w:after="0"/>
        <w:jc w:val="both"/>
      </w:pPr>
      <w:r w:rsidRPr="00454C23">
        <w:t xml:space="preserve">Farwis, M., &amp; Nazar, M. 2019. Interlocking Directorate and Firm Performance of Listed Companies in Sri Lanka. </w:t>
      </w:r>
      <w:r w:rsidRPr="00454C23">
        <w:rPr>
          <w:i/>
        </w:rPr>
        <w:t>Asian Journal of Research in Banking and Finance</w:t>
      </w:r>
      <w:r w:rsidRPr="00454C23">
        <w:t>, 9: 1.</w:t>
      </w:r>
    </w:p>
    <w:p w14:paraId="75D239F6" w14:textId="77777777" w:rsidR="00406027" w:rsidRPr="00454C23" w:rsidRDefault="00406027" w:rsidP="006C77FE">
      <w:pPr>
        <w:pStyle w:val="CitaviBibliographyEntry"/>
        <w:spacing w:after="0"/>
        <w:jc w:val="both"/>
      </w:pPr>
      <w:r w:rsidRPr="00454C23">
        <w:t xml:space="preserve">Filatotchev, I., Chahine, S., &amp; Bruton, G. D. 2018. Board Interlocks and Initial Public Offering Performance in the United States and the United Kingdom: An Institutional Perspective. </w:t>
      </w:r>
      <w:r w:rsidRPr="00454C23">
        <w:rPr>
          <w:i/>
        </w:rPr>
        <w:t>Journal of Management</w:t>
      </w:r>
      <w:r w:rsidRPr="00454C23">
        <w:t>, 44: 1620-1650.</w:t>
      </w:r>
    </w:p>
    <w:p w14:paraId="1D068815" w14:textId="77777777" w:rsidR="00406027" w:rsidRPr="00454C23" w:rsidRDefault="00406027" w:rsidP="006C77FE">
      <w:pPr>
        <w:pStyle w:val="CitaviBibliographyEntry"/>
        <w:spacing w:after="0"/>
        <w:jc w:val="both"/>
      </w:pPr>
      <w:r w:rsidRPr="00454C23">
        <w:lastRenderedPageBreak/>
        <w:t xml:space="preserve">Fonseka, M. M., Farooque, O. A., Rajapakse, R. L. T. N., &amp; Tian, G.-L. 2018. Political and Interlocking Connections in the Boardroom on Private Equity Placements. </w:t>
      </w:r>
      <w:r w:rsidRPr="00454C23">
        <w:rPr>
          <w:i/>
        </w:rPr>
        <w:t>Emerging Markets Finance and Trade</w:t>
      </w:r>
      <w:r w:rsidRPr="00454C23">
        <w:t>, 54: 2053-2077.</w:t>
      </w:r>
    </w:p>
    <w:p w14:paraId="1E9F4EE5" w14:textId="77777777" w:rsidR="00406027" w:rsidRPr="00454C23" w:rsidRDefault="00406027" w:rsidP="006C77FE">
      <w:pPr>
        <w:pStyle w:val="CitaviBibliographyEntry"/>
        <w:spacing w:after="0"/>
        <w:jc w:val="both"/>
      </w:pPr>
      <w:r w:rsidRPr="00454C23">
        <w:t xml:space="preserve">Fortich, R., Gutiérrez Ramírez, L. H., &amp; Pombo Vejarano, C. 2008. Board Structure and Firm Performance: Evidence from Colombia. </w:t>
      </w:r>
      <w:r w:rsidRPr="00454C23">
        <w:rPr>
          <w:i/>
        </w:rPr>
        <w:t>1900-1606</w:t>
      </w:r>
      <w:r w:rsidRPr="00454C23">
        <w:t>,</w:t>
      </w:r>
    </w:p>
    <w:p w14:paraId="60A262AF" w14:textId="77777777" w:rsidR="00406027" w:rsidRPr="00454C23" w:rsidRDefault="00406027" w:rsidP="006C77FE">
      <w:pPr>
        <w:pStyle w:val="CitaviBibliographyEntry"/>
        <w:spacing w:after="0"/>
        <w:jc w:val="both"/>
      </w:pPr>
      <w:r w:rsidRPr="00454C23">
        <w:t xml:space="preserve">Fuad, M., &amp; Sinha, A. K. 2018. Entry-timing, business groups and early-mover advantage within industry merger waves in emerging markets: A study of Indian firms. </w:t>
      </w:r>
      <w:r w:rsidRPr="00454C23">
        <w:rPr>
          <w:i/>
        </w:rPr>
        <w:t>Asia Pacific Journal of Management</w:t>
      </w:r>
      <w:r w:rsidRPr="00454C23">
        <w:t>, 35: 919-942.</w:t>
      </w:r>
    </w:p>
    <w:p w14:paraId="50B0B5F4" w14:textId="77777777" w:rsidR="00406027" w:rsidRPr="00454C23" w:rsidRDefault="00406027" w:rsidP="006C77FE">
      <w:pPr>
        <w:pStyle w:val="CitaviBibliographyEntry"/>
        <w:spacing w:after="0"/>
        <w:jc w:val="both"/>
      </w:pPr>
      <w:r w:rsidRPr="00346ED4">
        <w:t xml:space="preserve">Geletkanycz, M. A., Boyd, B. K., &amp; Finkelstein, S. 2001. </w:t>
      </w:r>
      <w:r w:rsidRPr="00454C23">
        <w:t xml:space="preserve">The strategic value of CEO external directorate networks: implications for CEO compensation. </w:t>
      </w:r>
      <w:r w:rsidRPr="00454C23">
        <w:rPr>
          <w:i/>
        </w:rPr>
        <w:t>Strategic Management Journal</w:t>
      </w:r>
      <w:r w:rsidRPr="00454C23">
        <w:t>, 22: 889-898.</w:t>
      </w:r>
    </w:p>
    <w:p w14:paraId="26413E70" w14:textId="77777777" w:rsidR="00406027" w:rsidRPr="00454C23" w:rsidRDefault="00406027" w:rsidP="006C77FE">
      <w:pPr>
        <w:pStyle w:val="CitaviBibliographyEntry"/>
        <w:spacing w:after="0"/>
        <w:jc w:val="both"/>
      </w:pPr>
      <w:r w:rsidRPr="00454C23">
        <w:t xml:space="preserve">Geletkanycz, M. A., &amp; Hambrick, D. C. 1997. The External Ties of Top Executives: Implications for Strategic Choice and Performance. </w:t>
      </w:r>
      <w:r w:rsidRPr="00454C23">
        <w:rPr>
          <w:i/>
        </w:rPr>
        <w:t>Administrative Science Quarterly</w:t>
      </w:r>
      <w:r w:rsidRPr="00454C23">
        <w:t>, 42: 654.</w:t>
      </w:r>
    </w:p>
    <w:p w14:paraId="30051EA3" w14:textId="77777777" w:rsidR="00406027" w:rsidRPr="00454C23" w:rsidRDefault="00406027" w:rsidP="006C77FE">
      <w:pPr>
        <w:pStyle w:val="CitaviBibliographyEntry"/>
        <w:spacing w:after="0"/>
        <w:jc w:val="both"/>
      </w:pPr>
      <w:r w:rsidRPr="00454C23">
        <w:t xml:space="preserve">George, G., Robley Wood, D., &amp; Khan, R. 2001. Networking strategy of boards: implications for small and medium-sized enterprises. </w:t>
      </w:r>
      <w:r w:rsidRPr="00454C23">
        <w:rPr>
          <w:i/>
        </w:rPr>
        <w:t>Entrepreneurship &amp; Regional Development</w:t>
      </w:r>
      <w:r w:rsidRPr="00454C23">
        <w:t>, 13: 269-285.</w:t>
      </w:r>
    </w:p>
    <w:p w14:paraId="4F7525C9" w14:textId="77777777" w:rsidR="00406027" w:rsidRPr="00454C23" w:rsidRDefault="00406027" w:rsidP="006C77FE">
      <w:pPr>
        <w:pStyle w:val="CitaviBibliographyEntry"/>
        <w:spacing w:after="0"/>
        <w:jc w:val="both"/>
      </w:pPr>
      <w:r w:rsidRPr="00454C23">
        <w:t xml:space="preserve">Glass, C., Cook, A., &amp; Ingersoll, A. R. 2016. Do Women Leaders Promote Sustainability? Analyzing the Effect of Corporate Governance Composition on Environmental Performance. </w:t>
      </w:r>
      <w:r w:rsidRPr="00454C23">
        <w:rPr>
          <w:i/>
        </w:rPr>
        <w:t>Business Strategy and the Environment</w:t>
      </w:r>
      <w:r w:rsidRPr="00454C23">
        <w:t>, 25: 495-511.</w:t>
      </w:r>
    </w:p>
    <w:p w14:paraId="5C37704D" w14:textId="77777777" w:rsidR="00406027" w:rsidRPr="00454C23" w:rsidRDefault="00406027" w:rsidP="006C77FE">
      <w:pPr>
        <w:pStyle w:val="CitaviBibliographyEntry"/>
        <w:spacing w:after="0"/>
        <w:jc w:val="both"/>
      </w:pPr>
      <w:r w:rsidRPr="00454C23">
        <w:t xml:space="preserve">González, C. 2019. Transnational Board Interlocks as a Source of Non‐experiential Knowledge for the Firm in Foreign Markets. </w:t>
      </w:r>
      <w:r w:rsidRPr="00454C23">
        <w:rPr>
          <w:i/>
        </w:rPr>
        <w:t>British Journal of Management</w:t>
      </w:r>
      <w:r w:rsidRPr="00454C23">
        <w:t>, 30: 459-472.</w:t>
      </w:r>
    </w:p>
    <w:p w14:paraId="55DC2378" w14:textId="77777777" w:rsidR="00406027" w:rsidRPr="00454C23" w:rsidRDefault="00406027" w:rsidP="006C77FE">
      <w:pPr>
        <w:pStyle w:val="CitaviBibliographyEntry"/>
        <w:spacing w:after="0"/>
        <w:jc w:val="both"/>
      </w:pPr>
      <w:r w:rsidRPr="00454C23">
        <w:t xml:space="preserve">Gulati, R., &amp; Westphal, J. D. 1999. Cooperative or Controlling? The Effects of CEO-Board Relations and the Content of Interlocks on the Formation of Joint Ventures. </w:t>
      </w:r>
      <w:r w:rsidRPr="00454C23">
        <w:rPr>
          <w:i/>
        </w:rPr>
        <w:t>Administrative Science Quarterly</w:t>
      </w:r>
      <w:r w:rsidRPr="00454C23">
        <w:t>, 44: 473-506.</w:t>
      </w:r>
    </w:p>
    <w:p w14:paraId="7949A934" w14:textId="77777777" w:rsidR="00406027" w:rsidRPr="00454C23" w:rsidRDefault="00406027" w:rsidP="006C77FE">
      <w:pPr>
        <w:pStyle w:val="CitaviBibliographyEntry"/>
        <w:spacing w:after="0"/>
        <w:jc w:val="both"/>
      </w:pPr>
      <w:r w:rsidRPr="00454C23">
        <w:lastRenderedPageBreak/>
        <w:t xml:space="preserve">Hammami, A., Lyubimov, A., &amp; Yousefvand Mansouri, R. 2023. The double‐edged sword of going “overboard”: Board connectedness, debt quality, and the cost of debt. </w:t>
      </w:r>
      <w:r w:rsidRPr="00454C23">
        <w:rPr>
          <w:i/>
        </w:rPr>
        <w:t>Canadian Journal of Administrative Sciences / Revue Canadienne des Sciences de l</w:t>
      </w:r>
      <w:r>
        <w:rPr>
          <w:i/>
        </w:rPr>
        <w:t>’</w:t>
      </w:r>
      <w:r w:rsidRPr="00454C23">
        <w:rPr>
          <w:i/>
        </w:rPr>
        <w:t xml:space="preserve">Administration. </w:t>
      </w:r>
      <w:r w:rsidRPr="00454C23">
        <w:t xml:space="preserve">doi:10.1002/cjas.1736 </w:t>
      </w:r>
    </w:p>
    <w:p w14:paraId="19ED1E56" w14:textId="77777777" w:rsidR="00406027" w:rsidRPr="00B17673" w:rsidRDefault="00406027" w:rsidP="006C77FE">
      <w:pPr>
        <w:pStyle w:val="CitaviBibliographyEntry"/>
        <w:spacing w:after="0"/>
        <w:jc w:val="both"/>
      </w:pPr>
      <w:r w:rsidRPr="00454C23">
        <w:t xml:space="preserve">Haunschild, P. R. 1993. Interorganizational Imitation: The Impact of Interlocks on Corporate Acquisition Activity. </w:t>
      </w:r>
      <w:r w:rsidRPr="00B17673">
        <w:rPr>
          <w:i/>
        </w:rPr>
        <w:t>Administrative Science Quarterly</w:t>
      </w:r>
      <w:r w:rsidRPr="00B17673">
        <w:t>, 38: 564.</w:t>
      </w:r>
    </w:p>
    <w:p w14:paraId="38B19931" w14:textId="77777777" w:rsidR="00406027" w:rsidRPr="00B17673" w:rsidRDefault="00406027" w:rsidP="006C77FE">
      <w:pPr>
        <w:pStyle w:val="CitaviBibliographyEntry"/>
        <w:spacing w:after="0"/>
        <w:jc w:val="both"/>
      </w:pPr>
      <w:r w:rsidRPr="00B17673">
        <w:t xml:space="preserve">Hernández-Lara, A. B., &amp; Gonzales-Bustos, J. P. 2019. The impact of interlocking directorates on innovation: the effects of business and social ties. </w:t>
      </w:r>
      <w:r w:rsidRPr="00B17673">
        <w:rPr>
          <w:i/>
        </w:rPr>
        <w:t>Management Decision</w:t>
      </w:r>
      <w:r w:rsidRPr="00B17673">
        <w:t>, 57: 2799-2815.</w:t>
      </w:r>
    </w:p>
    <w:p w14:paraId="104EBF60" w14:textId="77777777" w:rsidR="00406027" w:rsidRPr="00B17673" w:rsidRDefault="00406027" w:rsidP="006C77FE">
      <w:pPr>
        <w:pStyle w:val="CitaviBibliographyEntry"/>
        <w:spacing w:after="0"/>
        <w:jc w:val="both"/>
      </w:pPr>
      <w:r w:rsidRPr="00B17673">
        <w:t xml:space="preserve">Howard, M. D., Withers, M. C., Carnes, C. M., &amp; Hillman, A. J. 2016. Friends or strangers? It all depends on context: A replication and extension of B eckman, Haunschild, and P hillips (2004). </w:t>
      </w:r>
      <w:r w:rsidRPr="00B17673">
        <w:rPr>
          <w:i/>
        </w:rPr>
        <w:t>Strategic Management Journal</w:t>
      </w:r>
      <w:r w:rsidRPr="00B17673">
        <w:t>, 37: 2222-2234.</w:t>
      </w:r>
    </w:p>
    <w:p w14:paraId="38107FCC" w14:textId="77777777" w:rsidR="00406027" w:rsidRPr="00B17673" w:rsidRDefault="00406027" w:rsidP="006C77FE">
      <w:pPr>
        <w:pStyle w:val="CitaviBibliographyEntry"/>
        <w:spacing w:after="0"/>
        <w:jc w:val="both"/>
      </w:pPr>
      <w:r w:rsidRPr="00B17673">
        <w:t xml:space="preserve">Howard, M. D., Withers, M. C., &amp; Tihanyi, L. 2017. Knowledge Dependence and the Formation of Director Interlocks. </w:t>
      </w:r>
      <w:r w:rsidRPr="00B17673">
        <w:rPr>
          <w:i/>
        </w:rPr>
        <w:t>Academy of Management Journal</w:t>
      </w:r>
      <w:r w:rsidRPr="00B17673">
        <w:t>, 60: 1986-2013.</w:t>
      </w:r>
    </w:p>
    <w:p w14:paraId="6C03783E" w14:textId="77777777" w:rsidR="00406027" w:rsidRPr="00B17673" w:rsidRDefault="00406027" w:rsidP="006C77FE">
      <w:pPr>
        <w:pStyle w:val="CitaviBibliographyEntry"/>
        <w:spacing w:after="0"/>
        <w:jc w:val="both"/>
      </w:pPr>
      <w:r w:rsidRPr="00B17673">
        <w:t xml:space="preserve">Hudson, K., &amp; Morgan, R. E. 2022. The wisdom and madness of crowds: How information networks and board cognition help or hinder firm performance across the business cycle. </w:t>
      </w:r>
      <w:r w:rsidRPr="00B17673">
        <w:rPr>
          <w:i/>
        </w:rPr>
        <w:t>Long Range Planning</w:t>
      </w:r>
      <w:r w:rsidRPr="00B17673">
        <w:t>, 55: 102180.</w:t>
      </w:r>
    </w:p>
    <w:p w14:paraId="5C28D922" w14:textId="77777777" w:rsidR="00406027" w:rsidRPr="00B17673" w:rsidRDefault="00406027" w:rsidP="006C77FE">
      <w:pPr>
        <w:pStyle w:val="CitaviBibliographyEntry"/>
        <w:spacing w:after="0"/>
        <w:jc w:val="both"/>
      </w:pPr>
      <w:r w:rsidRPr="00B17673">
        <w:t xml:space="preserve">Janney, J. J., &amp; Gove, S. 2017. Firm Linkages to Scandals via Directors and Professional Service Firms: Insights from the Backdating Scandal. </w:t>
      </w:r>
      <w:r w:rsidRPr="00B17673">
        <w:rPr>
          <w:i/>
        </w:rPr>
        <w:t>Journal of Business Ethics</w:t>
      </w:r>
      <w:r w:rsidRPr="00B17673">
        <w:t>, 140: 65-79.</w:t>
      </w:r>
    </w:p>
    <w:p w14:paraId="261EDBDF" w14:textId="77777777" w:rsidR="00406027" w:rsidRPr="00B17673" w:rsidRDefault="00406027" w:rsidP="006C77FE">
      <w:pPr>
        <w:pStyle w:val="CitaviBibliographyEntry"/>
        <w:spacing w:after="0"/>
        <w:jc w:val="both"/>
      </w:pPr>
      <w:r w:rsidRPr="00B17673">
        <w:t xml:space="preserve">Johansen, T. R., &amp; Pettersson, K. 2013. The Impact of Board Interlocks on Auditor Choice and Audit Fees. </w:t>
      </w:r>
      <w:r w:rsidRPr="00B17673">
        <w:rPr>
          <w:i/>
        </w:rPr>
        <w:t>Corporate Governance: An International Review</w:t>
      </w:r>
      <w:r w:rsidRPr="00B17673">
        <w:t>, 21: 287-310.</w:t>
      </w:r>
    </w:p>
    <w:p w14:paraId="08E5D0C8" w14:textId="77777777" w:rsidR="00406027" w:rsidRPr="00B17673" w:rsidRDefault="00406027" w:rsidP="006C77FE">
      <w:pPr>
        <w:pStyle w:val="CitaviBibliographyEntry"/>
        <w:spacing w:after="0"/>
        <w:jc w:val="both"/>
      </w:pPr>
      <w:r w:rsidRPr="00B17673">
        <w:t xml:space="preserve">Johnson, S., Schnatterly, K., Bolton, J. F., &amp; Tuggle, C. 2011. Antecedents of New Director Social Capital. </w:t>
      </w:r>
      <w:r w:rsidRPr="00B17673">
        <w:rPr>
          <w:i/>
        </w:rPr>
        <w:t>Journal of Management Studies</w:t>
      </w:r>
      <w:r w:rsidRPr="00B17673">
        <w:t>, 48: 1782-1803.</w:t>
      </w:r>
    </w:p>
    <w:p w14:paraId="7387492B" w14:textId="77777777" w:rsidR="00406027" w:rsidRPr="00B17673" w:rsidRDefault="00406027" w:rsidP="006C77FE">
      <w:pPr>
        <w:pStyle w:val="CitaviBibliographyEntry"/>
        <w:spacing w:after="0"/>
        <w:jc w:val="both"/>
      </w:pPr>
      <w:r w:rsidRPr="00B17673">
        <w:t xml:space="preserve">Kaczmarek, S., Kimino, S., &amp; Pye, A. 2014. Interlocking directorships and firm performance in highly regulated sectors: the moderating impact of board diversity. </w:t>
      </w:r>
      <w:r w:rsidRPr="00B17673">
        <w:rPr>
          <w:i/>
        </w:rPr>
        <w:t>Journal of Management and Governance</w:t>
      </w:r>
      <w:r w:rsidRPr="00B17673">
        <w:t>, 18: 347-372.</w:t>
      </w:r>
    </w:p>
    <w:p w14:paraId="280EDF86" w14:textId="77777777" w:rsidR="00406027" w:rsidRPr="00B17673" w:rsidRDefault="00406027" w:rsidP="006C77FE">
      <w:pPr>
        <w:pStyle w:val="CitaviBibliographyEntry"/>
        <w:spacing w:after="0"/>
        <w:jc w:val="both"/>
      </w:pPr>
      <w:r w:rsidRPr="00B17673">
        <w:lastRenderedPageBreak/>
        <w:t>Keister, L. A. 1998. Engineering Growth: Business Group Structure and Firm Performance in China</w:t>
      </w:r>
      <w:r>
        <w:t>’</w:t>
      </w:r>
      <w:r w:rsidRPr="00B17673">
        <w:t xml:space="preserve">s Transition Economy. </w:t>
      </w:r>
      <w:r w:rsidRPr="00B17673">
        <w:rPr>
          <w:i/>
        </w:rPr>
        <w:t>American Journal of Sociology</w:t>
      </w:r>
      <w:r w:rsidRPr="00B17673">
        <w:t>, 104: 404-440.</w:t>
      </w:r>
    </w:p>
    <w:p w14:paraId="5DA1D68B" w14:textId="77777777" w:rsidR="00406027" w:rsidRPr="00B17673" w:rsidRDefault="00406027" w:rsidP="006C77FE">
      <w:pPr>
        <w:pStyle w:val="CitaviBibliographyEntry"/>
        <w:spacing w:after="0"/>
        <w:jc w:val="both"/>
      </w:pPr>
      <w:r w:rsidRPr="00B17673">
        <w:t xml:space="preserve">Khanna, P., Jones, C. D., &amp; Boivie, S. 2014. Director Human Capital, Information Processing Demands, and Board Effectiveness. </w:t>
      </w:r>
      <w:r w:rsidRPr="00B17673">
        <w:rPr>
          <w:i/>
        </w:rPr>
        <w:t>Journal of Management</w:t>
      </w:r>
      <w:r w:rsidRPr="00B17673">
        <w:t>, 40: 557-585.</w:t>
      </w:r>
    </w:p>
    <w:p w14:paraId="24B07B8C" w14:textId="77777777" w:rsidR="00406027" w:rsidRPr="00B17673" w:rsidRDefault="00406027" w:rsidP="006C77FE">
      <w:pPr>
        <w:pStyle w:val="CitaviBibliographyEntry"/>
        <w:spacing w:after="0"/>
        <w:jc w:val="both"/>
      </w:pPr>
      <w:r w:rsidRPr="00B17673">
        <w:t xml:space="preserve">Kiel, G. C., &amp; Nicholson, G. J. 2003. Board Composition and Corporate Performance: how the Australian experience informs contrasting theories of corporate governance. </w:t>
      </w:r>
      <w:r w:rsidRPr="00B17673">
        <w:rPr>
          <w:i/>
        </w:rPr>
        <w:t>Corporate Governance: An International Review</w:t>
      </w:r>
      <w:r w:rsidRPr="00B17673">
        <w:t>, 11: 189-205.</w:t>
      </w:r>
    </w:p>
    <w:p w14:paraId="218076AA" w14:textId="77777777" w:rsidR="00406027" w:rsidRPr="00B17673" w:rsidRDefault="00406027" w:rsidP="006C77FE">
      <w:pPr>
        <w:pStyle w:val="CitaviBibliographyEntry"/>
        <w:spacing w:after="0"/>
        <w:jc w:val="both"/>
      </w:pPr>
      <w:r w:rsidRPr="007F2F08">
        <w:t xml:space="preserve">Kiel, G. C., &amp; Nicholson, G. J. 2006. </w:t>
      </w:r>
      <w:r w:rsidRPr="00B17673">
        <w:t xml:space="preserve">Multiple Directorships and Corporate Performance in Australian Listed Companies  </w:t>
      </w:r>
      <w:r w:rsidRPr="00B17673">
        <w:rPr>
          <w:i/>
        </w:rPr>
        <w:t>Corporate Governance: An International Review</w:t>
      </w:r>
      <w:r w:rsidRPr="00B17673">
        <w:t>, 14: 530-546.</w:t>
      </w:r>
    </w:p>
    <w:p w14:paraId="58551233" w14:textId="77777777" w:rsidR="00406027" w:rsidRPr="00B17673" w:rsidRDefault="00406027" w:rsidP="006C77FE">
      <w:pPr>
        <w:pStyle w:val="CitaviBibliographyEntry"/>
        <w:spacing w:after="0"/>
        <w:jc w:val="both"/>
      </w:pPr>
      <w:r w:rsidRPr="00406027">
        <w:rPr>
          <w:lang w:val="de-DE"/>
        </w:rPr>
        <w:t xml:space="preserve">Kirschbaum, C., Rossoni, L., Minardi, A., &amp; Da Silva, E. B. 2023. </w:t>
      </w:r>
      <w:r w:rsidRPr="00B17673">
        <w:t xml:space="preserve">The Tradeoff Between Private Equity Sponsorship, Board Centrality, and Experience as Credible Signals for IPO Performance. </w:t>
      </w:r>
      <w:r w:rsidRPr="00B17673">
        <w:rPr>
          <w:i/>
        </w:rPr>
        <w:t>Management and Organization Review</w:t>
      </w:r>
      <w:r w:rsidRPr="00B17673">
        <w:t>, 19: 462-497.</w:t>
      </w:r>
    </w:p>
    <w:p w14:paraId="52A82271" w14:textId="77777777" w:rsidR="00406027" w:rsidRPr="00B17673" w:rsidRDefault="00406027" w:rsidP="006C77FE">
      <w:pPr>
        <w:pStyle w:val="CitaviBibliographyEntry"/>
        <w:spacing w:after="0"/>
        <w:jc w:val="both"/>
      </w:pPr>
      <w:r w:rsidRPr="00B17673">
        <w:t xml:space="preserve">Kopoboru, S., Cuevas-Rodríguez, G., &amp; Pérez-Calero, L. 2020. Boards that Make a Difference in Firm’s Acquisitions: The Role of Interlocks and Former Politicians in Spain. </w:t>
      </w:r>
      <w:r w:rsidRPr="00B17673">
        <w:rPr>
          <w:i/>
        </w:rPr>
        <w:t>Sustainability</w:t>
      </w:r>
      <w:r w:rsidRPr="00B17673">
        <w:t>, 12: 984.</w:t>
      </w:r>
    </w:p>
    <w:p w14:paraId="173E22D1" w14:textId="77777777" w:rsidR="00406027" w:rsidRPr="00B17673" w:rsidRDefault="00406027" w:rsidP="006C77FE">
      <w:pPr>
        <w:pStyle w:val="CitaviBibliographyEntry"/>
        <w:spacing w:after="0"/>
        <w:jc w:val="both"/>
      </w:pPr>
      <w:r w:rsidRPr="00B17673">
        <w:t xml:space="preserve">Kor, Y. Y., &amp; Sundaramurthy, C. 2009. Experience-Based Human Capital and Social Capital of Outside Directors. </w:t>
      </w:r>
      <w:r w:rsidRPr="00B17673">
        <w:rPr>
          <w:i/>
        </w:rPr>
        <w:t>Journal of Management</w:t>
      </w:r>
      <w:r w:rsidRPr="00B17673">
        <w:t>, 35: 981-1006.</w:t>
      </w:r>
    </w:p>
    <w:p w14:paraId="45CA76A1" w14:textId="77777777" w:rsidR="00406027" w:rsidRPr="00B17673" w:rsidRDefault="00406027" w:rsidP="006C77FE">
      <w:pPr>
        <w:pStyle w:val="CitaviBibliographyEntry"/>
        <w:spacing w:after="0"/>
        <w:jc w:val="both"/>
      </w:pPr>
      <w:r w:rsidRPr="00B17673">
        <w:t xml:space="preserve">Krause, R., Wu, Z., Bruton, G. D., &amp; Carter, S. M. 2019. The Coercive Isomorphism Ripple Effect: An Investigation of Nonprofit Interlocks on Corporate Boards. </w:t>
      </w:r>
      <w:r w:rsidRPr="00B17673">
        <w:rPr>
          <w:i/>
        </w:rPr>
        <w:t>Academy of Management Journal</w:t>
      </w:r>
      <w:r w:rsidRPr="00B17673">
        <w:t>, 62: 283-308.</w:t>
      </w:r>
    </w:p>
    <w:p w14:paraId="0335DC01" w14:textId="77777777" w:rsidR="00406027" w:rsidRPr="00B17673" w:rsidRDefault="00406027" w:rsidP="006C77FE">
      <w:pPr>
        <w:pStyle w:val="CitaviBibliographyEntry"/>
        <w:spacing w:after="0"/>
        <w:jc w:val="both"/>
      </w:pPr>
      <w:r w:rsidRPr="00B17673">
        <w:t xml:space="preserve">Li, L., Tian, G., &amp; Yan, W. 2013. The Network Of Interlocking Directorates And Firm Performance In Transition Economies: Evidence From China. </w:t>
      </w:r>
      <w:r w:rsidRPr="00B17673">
        <w:rPr>
          <w:i/>
        </w:rPr>
        <w:t>Journal of Applied Business Research (JABR)</w:t>
      </w:r>
      <w:r w:rsidRPr="00B17673">
        <w:t>, 29: 607.</w:t>
      </w:r>
    </w:p>
    <w:p w14:paraId="4445B9DA" w14:textId="77777777" w:rsidR="00406027" w:rsidRPr="00B17673" w:rsidRDefault="00406027" w:rsidP="006C77FE">
      <w:pPr>
        <w:pStyle w:val="CitaviBibliographyEntry"/>
        <w:spacing w:after="0"/>
        <w:jc w:val="both"/>
      </w:pPr>
      <w:r w:rsidRPr="00CE03DC">
        <w:lastRenderedPageBreak/>
        <w:t xml:space="preserve">Li, X., Fung, A., Fung, H.-G., &amp; Qiao, P. 2020. </w:t>
      </w:r>
      <w:r w:rsidRPr="00B17673">
        <w:t xml:space="preserve">Directorate interlocks and corporate cash holdings in emerging economies: Evidence from China. </w:t>
      </w:r>
      <w:r w:rsidRPr="00B17673">
        <w:rPr>
          <w:i/>
        </w:rPr>
        <w:t>International Review of Economics &amp; Finance</w:t>
      </w:r>
      <w:r w:rsidRPr="00B17673">
        <w:t>, 66: 244-260.</w:t>
      </w:r>
    </w:p>
    <w:p w14:paraId="41F7AF79" w14:textId="77777777" w:rsidR="00406027" w:rsidRPr="00B17673" w:rsidRDefault="00406027" w:rsidP="006C77FE">
      <w:pPr>
        <w:pStyle w:val="CitaviBibliographyEntry"/>
        <w:spacing w:after="0"/>
        <w:jc w:val="both"/>
      </w:pPr>
      <w:r w:rsidRPr="00B17673">
        <w:t xml:space="preserve">Lin, R., Xie, Z., Hao, Y., &amp; Wang, J. 2020. Improving high-tech enterprise innovation in big data environment: A combinative view of internal and external governance. </w:t>
      </w:r>
      <w:r w:rsidRPr="00B17673">
        <w:rPr>
          <w:i/>
        </w:rPr>
        <w:t>International Journal of Information Management</w:t>
      </w:r>
      <w:r w:rsidRPr="00B17673">
        <w:t>, 50: 575-585.</w:t>
      </w:r>
    </w:p>
    <w:p w14:paraId="5613862E" w14:textId="77777777" w:rsidR="00406027" w:rsidRPr="00B17673" w:rsidRDefault="00406027" w:rsidP="006C77FE">
      <w:pPr>
        <w:pStyle w:val="CitaviBibliographyEntry"/>
        <w:spacing w:after="0"/>
        <w:jc w:val="both"/>
      </w:pPr>
      <w:r w:rsidRPr="00B17673">
        <w:t xml:space="preserve">Lu, J., Mahmoudian, F., Yu, D., Nazari, J. A., &amp; Herremans, I. M. 2021. Board interlocks, absorptive capacity, and environmental performance. </w:t>
      </w:r>
      <w:r w:rsidRPr="00B17673">
        <w:rPr>
          <w:i/>
        </w:rPr>
        <w:t>Business Strategy and the Environment</w:t>
      </w:r>
      <w:r w:rsidRPr="00B17673">
        <w:t>, 30: 3425-3443.</w:t>
      </w:r>
    </w:p>
    <w:p w14:paraId="460F68A7" w14:textId="77777777" w:rsidR="00406027" w:rsidRPr="00B17673" w:rsidRDefault="00406027" w:rsidP="006C77FE">
      <w:pPr>
        <w:pStyle w:val="CitaviBibliographyEntry"/>
        <w:spacing w:after="0"/>
        <w:jc w:val="both"/>
      </w:pPr>
      <w:r w:rsidRPr="00406027">
        <w:rPr>
          <w:lang w:val="de-DE"/>
        </w:rPr>
        <w:t xml:space="preserve">Lu, X., Wang, J., &amp; Dong, D. 2013. </w:t>
      </w:r>
      <w:r w:rsidRPr="00B17673">
        <w:t xml:space="preserve">Busy boards and corporate performance. </w:t>
      </w:r>
      <w:r w:rsidRPr="00B17673">
        <w:rPr>
          <w:i/>
        </w:rPr>
        <w:t>China Finance Review International</w:t>
      </w:r>
      <w:r w:rsidRPr="00B17673">
        <w:t>, 3: 203-219.</w:t>
      </w:r>
    </w:p>
    <w:p w14:paraId="582EB59E" w14:textId="77777777" w:rsidR="00406027" w:rsidRPr="00B17673" w:rsidRDefault="00406027" w:rsidP="006C77FE">
      <w:pPr>
        <w:pStyle w:val="CitaviBibliographyEntry"/>
        <w:spacing w:after="0"/>
        <w:jc w:val="both"/>
      </w:pPr>
      <w:r w:rsidRPr="00B17673">
        <w:t xml:space="preserve">Lu, Y., Shailer, G., &amp; Wilson, M. 2016. Corporate Political Donations: Influences from Directors’ Networks. </w:t>
      </w:r>
      <w:r w:rsidRPr="00B17673">
        <w:rPr>
          <w:i/>
        </w:rPr>
        <w:t>Journal of Business Ethics</w:t>
      </w:r>
      <w:r w:rsidRPr="00B17673">
        <w:t>, 135: 461-481.</w:t>
      </w:r>
    </w:p>
    <w:p w14:paraId="12FA5E45" w14:textId="77777777" w:rsidR="00406027" w:rsidRPr="00B17673" w:rsidRDefault="00406027" w:rsidP="006C77FE">
      <w:pPr>
        <w:pStyle w:val="CitaviBibliographyEntry"/>
        <w:spacing w:after="0"/>
        <w:jc w:val="both"/>
      </w:pPr>
      <w:r w:rsidRPr="00B17673">
        <w:t xml:space="preserve">Markoczy, L., Sun, S. L., &amp; Zhu, J. 2020. Few Women on Boards: What’s Identity Got to Do With It? </w:t>
      </w:r>
      <w:r w:rsidRPr="00B17673">
        <w:rPr>
          <w:i/>
        </w:rPr>
        <w:t>Journal of Business Ethics</w:t>
      </w:r>
      <w:r w:rsidRPr="00B17673">
        <w:t>, 165: 311-327.</w:t>
      </w:r>
    </w:p>
    <w:p w14:paraId="29FF37D0" w14:textId="77777777" w:rsidR="00406027" w:rsidRPr="00B17673" w:rsidRDefault="00406027" w:rsidP="006C77FE">
      <w:pPr>
        <w:pStyle w:val="CitaviBibliographyEntry"/>
        <w:spacing w:after="0"/>
        <w:jc w:val="both"/>
      </w:pPr>
      <w:r w:rsidRPr="00B17673">
        <w:t xml:space="preserve">Markóczy, L., Li Sun, S., Peng, M. W., Shi, W., &amp; Ren, B. 2013. Social network contingency, symbolic management, and boundary stretching. </w:t>
      </w:r>
      <w:r w:rsidRPr="00B17673">
        <w:rPr>
          <w:i/>
        </w:rPr>
        <w:t>Strategic Management Journal</w:t>
      </w:r>
      <w:r w:rsidRPr="00B17673">
        <w:t>, 34: 1367-1387.</w:t>
      </w:r>
    </w:p>
    <w:p w14:paraId="3F0CE9A0" w14:textId="77777777" w:rsidR="00406027" w:rsidRPr="00B17673" w:rsidRDefault="00406027" w:rsidP="006C77FE">
      <w:pPr>
        <w:pStyle w:val="CitaviBibliographyEntry"/>
        <w:spacing w:after="0"/>
        <w:jc w:val="both"/>
      </w:pPr>
      <w:r w:rsidRPr="00B17673">
        <w:t xml:space="preserve">Martin, G., Gözübüyük, R., &amp; Becerra, M. 2015. Interlocks and firm performance: The role of uncertainty in the directorate interlock-performance relationship. </w:t>
      </w:r>
      <w:r w:rsidRPr="00B17673">
        <w:rPr>
          <w:i/>
        </w:rPr>
        <w:t>Strategic Management Journal</w:t>
      </w:r>
      <w:r w:rsidRPr="00B17673">
        <w:t>, 36: 235-253.</w:t>
      </w:r>
    </w:p>
    <w:p w14:paraId="6D6B6867" w14:textId="77777777" w:rsidR="00406027" w:rsidRPr="00B17673" w:rsidRDefault="00406027" w:rsidP="006C77FE">
      <w:pPr>
        <w:pStyle w:val="CitaviBibliographyEntry"/>
        <w:spacing w:after="0"/>
        <w:jc w:val="both"/>
      </w:pPr>
      <w:r w:rsidRPr="00B17673">
        <w:t xml:space="preserve">Miglani, S., Ahmed, K., &amp; Henry, D. 2020. Corporate governance and turnaround: Evidence from Australia. </w:t>
      </w:r>
      <w:r w:rsidRPr="00B17673">
        <w:rPr>
          <w:i/>
        </w:rPr>
        <w:t>Australian Journal of Management</w:t>
      </w:r>
      <w:r w:rsidRPr="00B17673">
        <w:t>, 45: 549-578.</w:t>
      </w:r>
    </w:p>
    <w:p w14:paraId="4C9129FC" w14:textId="77777777" w:rsidR="00406027" w:rsidRPr="00B17673" w:rsidRDefault="00406027" w:rsidP="006C77FE">
      <w:pPr>
        <w:pStyle w:val="CitaviBibliographyEntry"/>
        <w:spacing w:after="0"/>
        <w:jc w:val="both"/>
      </w:pPr>
      <w:r w:rsidRPr="00B17673">
        <w:t xml:space="preserve">Moore, C. B., Bell, R. G., Filatotchev, I., &amp; Rasheed, A. A. 2012. Foreign IPO capital market choice: Understanding the institutional fit of corporate governance. </w:t>
      </w:r>
      <w:r w:rsidRPr="00B17673">
        <w:rPr>
          <w:i/>
        </w:rPr>
        <w:t>Strategic Management Journal</w:t>
      </w:r>
      <w:r w:rsidRPr="00B17673">
        <w:t>, 33: 914-937.</w:t>
      </w:r>
    </w:p>
    <w:p w14:paraId="7804780B" w14:textId="77777777" w:rsidR="00406027" w:rsidRPr="00B17673" w:rsidRDefault="00406027" w:rsidP="006C77FE">
      <w:pPr>
        <w:pStyle w:val="CitaviBibliographyEntry"/>
        <w:spacing w:after="0"/>
        <w:jc w:val="both"/>
      </w:pPr>
      <w:r w:rsidRPr="00B17673">
        <w:lastRenderedPageBreak/>
        <w:t xml:space="preserve">Ni Sullivan, B., &amp; Tang, Y. 2013. Which signal to rely on? The impact of the quality of board interlocks and inventive capabilities on research and development alliance formation under uncertainty. </w:t>
      </w:r>
      <w:r w:rsidRPr="00B17673">
        <w:rPr>
          <w:i/>
        </w:rPr>
        <w:t>Strategic Organization</w:t>
      </w:r>
      <w:r w:rsidRPr="00B17673">
        <w:t>, 11: 364-388.</w:t>
      </w:r>
    </w:p>
    <w:p w14:paraId="5E7E337B" w14:textId="77777777" w:rsidR="00406027" w:rsidRPr="00B17673" w:rsidRDefault="00406027" w:rsidP="006C77FE">
      <w:pPr>
        <w:pStyle w:val="CitaviBibliographyEntry"/>
        <w:spacing w:after="0"/>
        <w:jc w:val="both"/>
      </w:pPr>
      <w:r w:rsidRPr="00B17673">
        <w:t xml:space="preserve">Noyes, E., Brush, C., Hatten, K., &amp; Smith-Doerr, L. 2014. Firm Network Position and Corporate Venture Capital Investment. </w:t>
      </w:r>
      <w:r w:rsidRPr="00B17673">
        <w:rPr>
          <w:i/>
        </w:rPr>
        <w:t>Journal of Small Business Management</w:t>
      </w:r>
      <w:r w:rsidRPr="00B17673">
        <w:t>, 52: 713-731.</w:t>
      </w:r>
    </w:p>
    <w:p w14:paraId="2A89EEB2" w14:textId="77777777" w:rsidR="00406027" w:rsidRPr="00B17673" w:rsidRDefault="00406027" w:rsidP="006C77FE">
      <w:pPr>
        <w:pStyle w:val="CitaviBibliographyEntry"/>
        <w:spacing w:after="0"/>
        <w:jc w:val="both"/>
      </w:pPr>
      <w:r w:rsidRPr="00B17673">
        <w:t xml:space="preserve">Ooi, C.-A., Hooy, C.-W., &amp; Mat Som, A. P. 2017. The influence of board diversity in human capital and social capital in crisis. </w:t>
      </w:r>
      <w:r w:rsidRPr="00B17673">
        <w:rPr>
          <w:i/>
        </w:rPr>
        <w:t>Managerial Finance</w:t>
      </w:r>
      <w:r w:rsidRPr="00B17673">
        <w:t>, 43: 700-719.</w:t>
      </w:r>
    </w:p>
    <w:p w14:paraId="0896E38E" w14:textId="77777777" w:rsidR="00406027" w:rsidRPr="00B17673" w:rsidRDefault="00406027" w:rsidP="006C77FE">
      <w:pPr>
        <w:pStyle w:val="CitaviBibliographyEntry"/>
        <w:spacing w:after="0"/>
        <w:jc w:val="both"/>
      </w:pPr>
      <w:r w:rsidRPr="00B17673">
        <w:t>Ortiz‐de‐Mandojana, N., Aragón‐Correa, J. A., Delgado‐Ceballos, J., &amp; Ferrón‐Vílchez, V. 2012. The Effect of Director Interlocks on Firms</w:t>
      </w:r>
      <w:r>
        <w:t>’</w:t>
      </w:r>
      <w:r w:rsidRPr="00B17673">
        <w:t xml:space="preserve"> Adoption of Proactive Environmental Strategies. </w:t>
      </w:r>
      <w:r w:rsidRPr="00B17673">
        <w:rPr>
          <w:i/>
        </w:rPr>
        <w:t>Corporate Governance: An International Review</w:t>
      </w:r>
      <w:r w:rsidRPr="00B17673">
        <w:t>, 20: 164-178.</w:t>
      </w:r>
    </w:p>
    <w:p w14:paraId="1FA47D9A" w14:textId="77777777" w:rsidR="00406027" w:rsidRPr="00B17673" w:rsidRDefault="00406027" w:rsidP="006C77FE">
      <w:pPr>
        <w:pStyle w:val="CitaviBibliographyEntry"/>
        <w:spacing w:after="0"/>
        <w:jc w:val="both"/>
      </w:pPr>
      <w:r w:rsidRPr="00B17673">
        <w:t xml:space="preserve">Owen-Smith, J., Cotton-Nessler, N. C., &amp; Buhr, H. 2015. Network effects on organizational decision-making: Blended social mechanisms and IPO withdrawal. </w:t>
      </w:r>
      <w:r w:rsidRPr="00B17673">
        <w:rPr>
          <w:i/>
        </w:rPr>
        <w:t>Social Networks</w:t>
      </w:r>
      <w:r w:rsidRPr="00B17673">
        <w:t>, 41: 1-17.</w:t>
      </w:r>
    </w:p>
    <w:p w14:paraId="04734D92" w14:textId="77777777" w:rsidR="00406027" w:rsidRPr="00B17673" w:rsidRDefault="00406027" w:rsidP="006C77FE">
      <w:pPr>
        <w:pStyle w:val="CitaviBibliographyEntry"/>
        <w:spacing w:after="0"/>
        <w:jc w:val="both"/>
      </w:pPr>
      <w:r w:rsidRPr="007F2F08">
        <w:t xml:space="preserve">Palmer, D., &amp; Barber, B. M. 2001. </w:t>
      </w:r>
      <w:r w:rsidRPr="00B17673">
        <w:t xml:space="preserve">Challengers, Elites, and Owning Families: A Social Class Theory of Corporate Acquisitions in the 1960s. </w:t>
      </w:r>
      <w:r w:rsidRPr="00B17673">
        <w:rPr>
          <w:i/>
        </w:rPr>
        <w:t>Administrative Science Quarterly</w:t>
      </w:r>
      <w:r w:rsidRPr="00B17673">
        <w:t>, 46: 87-120.</w:t>
      </w:r>
    </w:p>
    <w:p w14:paraId="56739E99" w14:textId="77777777" w:rsidR="00406027" w:rsidRPr="00B17673" w:rsidRDefault="00406027" w:rsidP="006C77FE">
      <w:pPr>
        <w:pStyle w:val="CitaviBibliographyEntry"/>
        <w:spacing w:after="0"/>
        <w:jc w:val="both"/>
      </w:pPr>
      <w:r w:rsidRPr="00B17673">
        <w:t xml:space="preserve">Palmer, D. A., Jennings, P. D., &amp; Zhou, X. 1993. Late Adoption of the Multidivisional Form by Large U.S. Corporations: Institutional, Political, and Economic Accounts. </w:t>
      </w:r>
      <w:r w:rsidRPr="00B17673">
        <w:rPr>
          <w:i/>
        </w:rPr>
        <w:t>Administrative Science Quarterly</w:t>
      </w:r>
      <w:r w:rsidRPr="00B17673">
        <w:t>, 38: 100.</w:t>
      </w:r>
    </w:p>
    <w:p w14:paraId="2C983524" w14:textId="77777777" w:rsidR="00406027" w:rsidRPr="00B17673" w:rsidRDefault="00406027" w:rsidP="006C77FE">
      <w:pPr>
        <w:pStyle w:val="CitaviBibliographyEntry"/>
        <w:spacing w:after="0"/>
        <w:jc w:val="both"/>
      </w:pPr>
      <w:r w:rsidRPr="00B17673">
        <w:t xml:space="preserve">Park, A.-Y., &amp; Oh, G. 2023. The core of board networks and firm value. </w:t>
      </w:r>
      <w:r w:rsidRPr="00B17673">
        <w:rPr>
          <w:i/>
        </w:rPr>
        <w:t>Frontiers in Physics</w:t>
      </w:r>
      <w:r w:rsidRPr="00B17673">
        <w:t xml:space="preserve">, 11. doi:10.3389/fphy.2023.1099870 </w:t>
      </w:r>
    </w:p>
    <w:p w14:paraId="663B6C95" w14:textId="77777777" w:rsidR="00406027" w:rsidRPr="00B17673" w:rsidRDefault="00406027" w:rsidP="006C77FE">
      <w:pPr>
        <w:pStyle w:val="CitaviBibliographyEntry"/>
        <w:spacing w:after="0"/>
        <w:jc w:val="both"/>
      </w:pPr>
      <w:r w:rsidRPr="00CE03DC">
        <w:t xml:space="preserve">Park, C., Tsai, W., &amp; Lungeanu, R. 2018. </w:t>
      </w:r>
      <w:r w:rsidRPr="00B17673">
        <w:t xml:space="preserve">Weathering the storm: Network change and firm performance after financial fraud. </w:t>
      </w:r>
      <w:r w:rsidRPr="00B17673">
        <w:rPr>
          <w:i/>
        </w:rPr>
        <w:t>Academy of Management Proceedings</w:t>
      </w:r>
      <w:r w:rsidRPr="00B17673">
        <w:t>, 2018: 18017.</w:t>
      </w:r>
    </w:p>
    <w:p w14:paraId="10C18D6A" w14:textId="77777777" w:rsidR="00406027" w:rsidRPr="00B17673" w:rsidRDefault="00406027" w:rsidP="006C77FE">
      <w:pPr>
        <w:pStyle w:val="CitaviBibliographyEntry"/>
        <w:spacing w:after="0"/>
        <w:jc w:val="both"/>
      </w:pPr>
      <w:r w:rsidRPr="00B17673">
        <w:t xml:space="preserve">Pérez-Calero, L., Del Villegas, M. M., &amp; Barroso, C. 2016. A framework for board capital. </w:t>
      </w:r>
      <w:r w:rsidRPr="00B17673">
        <w:rPr>
          <w:i/>
        </w:rPr>
        <w:t>Corporate Governance: The International Journal of Business in Society</w:t>
      </w:r>
      <w:r w:rsidRPr="00B17673">
        <w:t>, 16: 452-475.</w:t>
      </w:r>
    </w:p>
    <w:p w14:paraId="6C5AC398" w14:textId="77777777" w:rsidR="00406027" w:rsidRPr="00B17673" w:rsidRDefault="00406027" w:rsidP="006C77FE">
      <w:pPr>
        <w:pStyle w:val="CitaviBibliographyEntry"/>
        <w:spacing w:after="0"/>
        <w:jc w:val="both"/>
      </w:pPr>
      <w:r w:rsidRPr="00B17673">
        <w:lastRenderedPageBreak/>
        <w:t xml:space="preserve">Pérez-Calero, L., Hurtado-González, J. M., &amp; López-Iturriaga, F. J. 2019. Do the institutional environment and types of owners influence the relationship between ownership concentration and board of director independence? An international meta-analysis. </w:t>
      </w:r>
      <w:r w:rsidRPr="00B17673">
        <w:rPr>
          <w:i/>
        </w:rPr>
        <w:t>International Review of Financial Analysis</w:t>
      </w:r>
      <w:r w:rsidRPr="00B17673">
        <w:t>, 61: 233-244.</w:t>
      </w:r>
    </w:p>
    <w:p w14:paraId="710E7EE0" w14:textId="77777777" w:rsidR="00406027" w:rsidRPr="00B17673" w:rsidRDefault="00406027" w:rsidP="006C77FE">
      <w:pPr>
        <w:pStyle w:val="CitaviBibliographyEntry"/>
        <w:spacing w:after="0"/>
        <w:jc w:val="both"/>
      </w:pPr>
      <w:r w:rsidRPr="00B17673">
        <w:t xml:space="preserve">Popli, M., Ladkani, R. M., &amp; Gaur, A. S. 2017. Business group affiliation and post-acquisition performance: An extended resource-based view. </w:t>
      </w:r>
      <w:r w:rsidRPr="00B17673">
        <w:rPr>
          <w:i/>
        </w:rPr>
        <w:t>Journal of Business Research</w:t>
      </w:r>
      <w:r w:rsidRPr="00B17673">
        <w:t>, 81: 21-30.</w:t>
      </w:r>
    </w:p>
    <w:p w14:paraId="54263D80" w14:textId="77777777" w:rsidR="00406027" w:rsidRPr="00B17673" w:rsidRDefault="00406027" w:rsidP="006C77FE">
      <w:pPr>
        <w:pStyle w:val="CitaviBibliographyEntry"/>
        <w:spacing w:after="0"/>
        <w:jc w:val="both"/>
      </w:pPr>
      <w:r w:rsidRPr="00CE03DC">
        <w:t xml:space="preserve">Qu, L., Xu, Y., &amp; Guo, Y. 2022. </w:t>
      </w:r>
      <w:r w:rsidRPr="00B17673">
        <w:t xml:space="preserve">Research on the Influence of Network Position on Corporate Social Responsibility: Moderating Effect Based on Ownership Concentration. </w:t>
      </w:r>
      <w:r w:rsidRPr="00B17673">
        <w:rPr>
          <w:i/>
        </w:rPr>
        <w:t>Frontiers in psychology</w:t>
      </w:r>
      <w:r w:rsidRPr="00B17673">
        <w:t>, 13: 894725.</w:t>
      </w:r>
    </w:p>
    <w:p w14:paraId="5A124784" w14:textId="77777777" w:rsidR="00406027" w:rsidRPr="00B17673" w:rsidRDefault="00406027" w:rsidP="006C77FE">
      <w:pPr>
        <w:pStyle w:val="CitaviBibliographyEntry"/>
        <w:spacing w:after="0"/>
        <w:jc w:val="both"/>
      </w:pPr>
      <w:r w:rsidRPr="00B17673">
        <w:t xml:space="preserve">Roudaki, J., &amp; Bhuiyan, M. B. U. 2015. Interlocking Directorship in New Zealand. </w:t>
      </w:r>
      <w:r w:rsidRPr="00B17673">
        <w:rPr>
          <w:i/>
        </w:rPr>
        <w:t>Australasian Accounting, Business and Finance Journal</w:t>
      </w:r>
      <w:r w:rsidRPr="00B17673">
        <w:t>, 9: 45-58.</w:t>
      </w:r>
    </w:p>
    <w:p w14:paraId="0A4E8200" w14:textId="77777777" w:rsidR="00406027" w:rsidRPr="00B17673" w:rsidRDefault="00406027" w:rsidP="006C77FE">
      <w:pPr>
        <w:pStyle w:val="CitaviBibliographyEntry"/>
        <w:spacing w:after="0"/>
        <w:jc w:val="both"/>
      </w:pPr>
      <w:r w:rsidRPr="00B17673">
        <w:t xml:space="preserve">Rubino, F., &amp; Napoli, F. 2020. What Impact Does Corporate Governance Have on Corporate Environmental Performances? An Empirical Study of Italian Listed Firms. </w:t>
      </w:r>
      <w:r w:rsidRPr="00B17673">
        <w:rPr>
          <w:i/>
        </w:rPr>
        <w:t>Sustainability</w:t>
      </w:r>
      <w:r w:rsidRPr="00B17673">
        <w:t>, 12: 5742.</w:t>
      </w:r>
    </w:p>
    <w:p w14:paraId="00DDF4D3" w14:textId="77777777" w:rsidR="00406027" w:rsidRPr="00B17673" w:rsidRDefault="00406027" w:rsidP="006C77FE">
      <w:pPr>
        <w:pStyle w:val="CitaviBibliographyEntry"/>
        <w:spacing w:after="0"/>
        <w:jc w:val="both"/>
      </w:pPr>
      <w:r w:rsidRPr="00B17673">
        <w:t xml:space="preserve">Ruigrok, W., Peck, S. I., &amp; Keller, H. 2006. Board Characteristics and Involvement in Strategic Decision Making: Evidence from Swiss Companies  </w:t>
      </w:r>
      <w:r w:rsidRPr="00B17673">
        <w:rPr>
          <w:i/>
        </w:rPr>
        <w:t>Journal of Management Studies</w:t>
      </w:r>
      <w:r w:rsidRPr="00B17673">
        <w:t>, 43: 1201-1226.</w:t>
      </w:r>
    </w:p>
    <w:p w14:paraId="5E05E651" w14:textId="77777777" w:rsidR="00406027" w:rsidRPr="00B17673" w:rsidRDefault="00406027" w:rsidP="006C77FE">
      <w:pPr>
        <w:pStyle w:val="CitaviBibliographyEntry"/>
        <w:spacing w:after="0"/>
        <w:jc w:val="both"/>
      </w:pPr>
      <w:r w:rsidRPr="00B17673">
        <w:t xml:space="preserve">Sarkar, J., &amp; Sarkar, S. 2009. Multiple board appointments and firm performance in emerging economies: Evidence from India. </w:t>
      </w:r>
      <w:r w:rsidRPr="00B17673">
        <w:rPr>
          <w:i/>
        </w:rPr>
        <w:t>Pacific-Basin Finance Journal</w:t>
      </w:r>
      <w:r w:rsidRPr="00B17673">
        <w:t>, 17: 271-293.</w:t>
      </w:r>
    </w:p>
    <w:p w14:paraId="23619CF3" w14:textId="77777777" w:rsidR="00406027" w:rsidRPr="00B17673" w:rsidRDefault="00406027" w:rsidP="006C77FE">
      <w:pPr>
        <w:pStyle w:val="CitaviBibliographyEntry"/>
        <w:spacing w:after="0"/>
        <w:jc w:val="both"/>
      </w:pPr>
      <w:r w:rsidRPr="00B17673">
        <w:t xml:space="preserve">Shao, G. 2010. The Effects of Board Structure on Media Companies’ Performance: A Stakeholder Perspective. </w:t>
      </w:r>
      <w:r w:rsidRPr="00B17673">
        <w:rPr>
          <w:i/>
        </w:rPr>
        <w:t>Journal of Media Business Studies</w:t>
      </w:r>
      <w:r w:rsidRPr="00B17673">
        <w:t>, 7: 1-16.</w:t>
      </w:r>
    </w:p>
    <w:p w14:paraId="72CEEE51" w14:textId="77777777" w:rsidR="00406027" w:rsidRPr="00B17673" w:rsidRDefault="00406027" w:rsidP="006C77FE">
      <w:pPr>
        <w:pStyle w:val="CitaviBibliographyEntry"/>
        <w:spacing w:after="0"/>
        <w:jc w:val="both"/>
      </w:pPr>
      <w:r w:rsidRPr="00B17673">
        <w:t xml:space="preserve">Shaw, T. S., Cordeiro, J. J., &amp; Saravanan, P. 2016. Director network resources and firm performance: Evidence from Indian corporate governance reforms. </w:t>
      </w:r>
      <w:r w:rsidRPr="00B17673">
        <w:rPr>
          <w:i/>
        </w:rPr>
        <w:t>Asian Business &amp; Management</w:t>
      </w:r>
      <w:r w:rsidRPr="00B17673">
        <w:t>, 15: 165-200.</w:t>
      </w:r>
    </w:p>
    <w:p w14:paraId="079983AE" w14:textId="77777777" w:rsidR="00406027" w:rsidRPr="00B17673" w:rsidRDefault="00406027" w:rsidP="006C77FE">
      <w:pPr>
        <w:pStyle w:val="CitaviBibliographyEntry"/>
        <w:spacing w:after="0"/>
        <w:jc w:val="both"/>
      </w:pPr>
      <w:r w:rsidRPr="00B17673">
        <w:lastRenderedPageBreak/>
        <w:t xml:space="preserve">Shi, L., Hong Teoh, S., &amp; Zhou, J. 2023. Non-Audit Services in Audit Committee Interlocked Firms, Financial Reporting Quality, and Future Performance. </w:t>
      </w:r>
      <w:r w:rsidRPr="00B17673">
        <w:rPr>
          <w:i/>
        </w:rPr>
        <w:t>Journal of Accounting, Auditing &amp; Finance</w:t>
      </w:r>
      <w:r w:rsidRPr="00B17673">
        <w:t>, 38: 804-832.</w:t>
      </w:r>
    </w:p>
    <w:p w14:paraId="275D4D34" w14:textId="77777777" w:rsidR="00406027" w:rsidRPr="00B17673" w:rsidRDefault="00406027" w:rsidP="006C77FE">
      <w:pPr>
        <w:pStyle w:val="CitaviBibliographyEntry"/>
        <w:spacing w:after="0"/>
        <w:jc w:val="both"/>
      </w:pPr>
      <w:r w:rsidRPr="00B17673">
        <w:t xml:space="preserve">Shipilov, A. V., Greve, H. R., &amp; Rowley, T. J. 2010. When do Interlocks Matter? Institutional Logics and the Diffusion of Multiple Corporate Governance Practices. </w:t>
      </w:r>
      <w:r w:rsidRPr="00B17673">
        <w:rPr>
          <w:i/>
        </w:rPr>
        <w:t>Academy of Management Journal</w:t>
      </w:r>
      <w:r w:rsidRPr="00B17673">
        <w:t>, 53: 846-864.</w:t>
      </w:r>
    </w:p>
    <w:p w14:paraId="41679710" w14:textId="77777777" w:rsidR="00406027" w:rsidRPr="00B17673" w:rsidRDefault="00406027" w:rsidP="006C77FE">
      <w:pPr>
        <w:pStyle w:val="CitaviBibliographyEntry"/>
        <w:spacing w:after="0"/>
        <w:jc w:val="both"/>
      </w:pPr>
      <w:r w:rsidRPr="00B17673">
        <w:t xml:space="preserve">Shipilov, A. V., Greve, H. R., &amp; Rowley, T. J. 2019. Is all publicity good publicity? The impact of direct and indirect media pressure on the adoption of governance practices. </w:t>
      </w:r>
      <w:r w:rsidRPr="00B17673">
        <w:rPr>
          <w:i/>
        </w:rPr>
        <w:t>Strategic Management Journal</w:t>
      </w:r>
      <w:r w:rsidRPr="00B17673">
        <w:t>, 40: 1368-1393.</w:t>
      </w:r>
    </w:p>
    <w:p w14:paraId="3E1B0C1E" w14:textId="77777777" w:rsidR="00406027" w:rsidRPr="00B17673" w:rsidRDefault="00406027" w:rsidP="006C77FE">
      <w:pPr>
        <w:pStyle w:val="CitaviBibliographyEntry"/>
        <w:spacing w:after="0"/>
        <w:jc w:val="both"/>
      </w:pPr>
      <w:r w:rsidRPr="00B17673">
        <w:t xml:space="preserve">Siudak, D. 2020. The Influence of Interlocking Directorates on the Propensity of Dividend Payout to the Parent Company. </w:t>
      </w:r>
      <w:r w:rsidRPr="00B17673">
        <w:rPr>
          <w:i/>
        </w:rPr>
        <w:t>Complexity</w:t>
      </w:r>
      <w:r w:rsidRPr="00B17673">
        <w:t>, 2020: 1-16.</w:t>
      </w:r>
    </w:p>
    <w:p w14:paraId="2EACA36E" w14:textId="77777777" w:rsidR="00406027" w:rsidRPr="00346ED4" w:rsidRDefault="00406027" w:rsidP="006C77FE">
      <w:pPr>
        <w:pStyle w:val="CitaviBibliographyEntry"/>
        <w:spacing w:after="0"/>
        <w:jc w:val="both"/>
        <w:rPr>
          <w:lang w:val="de-DE"/>
        </w:rPr>
      </w:pPr>
      <w:r w:rsidRPr="00CE03DC">
        <w:t xml:space="preserve">Song, H. J., Lee, S., &amp; Kang, K. H. 2021. </w:t>
      </w:r>
      <w:r w:rsidRPr="00B17673">
        <w:t xml:space="preserve">The influence of board interlocks on firm performance: In the context of geographic diversification in the restaurant industry. </w:t>
      </w:r>
      <w:r w:rsidRPr="00346ED4">
        <w:rPr>
          <w:i/>
          <w:lang w:val="de-DE"/>
        </w:rPr>
        <w:t>Tourism Management</w:t>
      </w:r>
      <w:r w:rsidRPr="00346ED4">
        <w:rPr>
          <w:lang w:val="de-DE"/>
        </w:rPr>
        <w:t>, 83: 104238.</w:t>
      </w:r>
    </w:p>
    <w:p w14:paraId="30068635" w14:textId="77777777" w:rsidR="00406027" w:rsidRPr="00B17673" w:rsidRDefault="00406027" w:rsidP="006C77FE">
      <w:pPr>
        <w:pStyle w:val="CitaviBibliographyEntry"/>
        <w:spacing w:after="0"/>
        <w:jc w:val="both"/>
      </w:pPr>
      <w:r w:rsidRPr="00406027">
        <w:rPr>
          <w:lang w:val="de-DE"/>
        </w:rPr>
        <w:t xml:space="preserve">Sousa Barros, T. de, Cárdenas, J., &amp; Mendes-Da-Silva, W. 2021. </w:t>
      </w:r>
      <w:r w:rsidRPr="00B17673">
        <w:t xml:space="preserve">The effect of interlocking directorates on mergers and acquisitions in Brazil. </w:t>
      </w:r>
      <w:r w:rsidRPr="00B17673">
        <w:rPr>
          <w:i/>
        </w:rPr>
        <w:t>Journal of Management and Governance</w:t>
      </w:r>
      <w:r w:rsidRPr="00B17673">
        <w:t>, 25: 811-839.</w:t>
      </w:r>
    </w:p>
    <w:p w14:paraId="05577187" w14:textId="77777777" w:rsidR="00406027" w:rsidRPr="00B17673" w:rsidRDefault="00406027" w:rsidP="006C77FE">
      <w:pPr>
        <w:pStyle w:val="CitaviBibliographyEntry"/>
        <w:spacing w:after="0"/>
        <w:jc w:val="both"/>
      </w:pPr>
      <w:r w:rsidRPr="00B17673">
        <w:t xml:space="preserve">Sukumara Panicker, V., &amp; Upadhyayula, R. S. 2021. Limiting role of resource dependence: an examination of director interlocks, board meetings and family ownership. </w:t>
      </w:r>
      <w:r w:rsidRPr="00B17673">
        <w:rPr>
          <w:i/>
        </w:rPr>
        <w:t>Cross Cultural &amp; Strategic Management</w:t>
      </w:r>
      <w:r w:rsidRPr="00B17673">
        <w:t>, 28: 424-451.</w:t>
      </w:r>
    </w:p>
    <w:p w14:paraId="06AB0C75" w14:textId="77777777" w:rsidR="00406027" w:rsidRPr="00B17673" w:rsidRDefault="00406027" w:rsidP="006C77FE">
      <w:pPr>
        <w:pStyle w:val="CitaviBibliographyEntry"/>
        <w:spacing w:after="0"/>
        <w:jc w:val="both"/>
      </w:pPr>
      <w:r w:rsidRPr="00CE03DC">
        <w:t xml:space="preserve">Sullivan, B. N., Haunschild, P., &amp; Page, K. 2007. </w:t>
      </w:r>
      <w:r w:rsidRPr="00B17673">
        <w:t xml:space="preserve">Organizations Non Gratae? The Impact of Unethical Corporate Acts on Interorganizational Networks. </w:t>
      </w:r>
      <w:r w:rsidRPr="00B17673">
        <w:rPr>
          <w:i/>
        </w:rPr>
        <w:t>Organization Science</w:t>
      </w:r>
      <w:r w:rsidRPr="00B17673">
        <w:t>, 18: 55-70.</w:t>
      </w:r>
    </w:p>
    <w:p w14:paraId="6B0991C2" w14:textId="77777777" w:rsidR="00406027" w:rsidRPr="00B17673" w:rsidRDefault="00406027" w:rsidP="006C77FE">
      <w:pPr>
        <w:pStyle w:val="CitaviBibliographyEntry"/>
        <w:spacing w:after="0"/>
        <w:jc w:val="both"/>
      </w:pPr>
      <w:r w:rsidRPr="00B17673">
        <w:t xml:space="preserve">Tang, Y., Mack, D. Z., &amp; Chen, G. 2018. The differential effects of CEO narcissism and hubris on corporate social responsibility. </w:t>
      </w:r>
      <w:r w:rsidRPr="00B17673">
        <w:rPr>
          <w:i/>
        </w:rPr>
        <w:t>Strategic Management Journal</w:t>
      </w:r>
      <w:r w:rsidRPr="00B17673">
        <w:t>, 39: 1370-1387.</w:t>
      </w:r>
    </w:p>
    <w:p w14:paraId="6929B496" w14:textId="77777777" w:rsidR="00406027" w:rsidRPr="00B17673" w:rsidRDefault="00406027" w:rsidP="006C77FE">
      <w:pPr>
        <w:pStyle w:val="CitaviBibliographyEntry"/>
        <w:spacing w:after="0"/>
        <w:jc w:val="both"/>
      </w:pPr>
      <w:r w:rsidRPr="00B17673">
        <w:lastRenderedPageBreak/>
        <w:t xml:space="preserve">Tian, J., Haleblian, J., &amp; Rajagopalan, N. 2011. The effects of board human and social capital on investor reactions to new CEO selection. </w:t>
      </w:r>
      <w:r w:rsidRPr="00B17673">
        <w:rPr>
          <w:i/>
        </w:rPr>
        <w:t>Strategic Management Journal</w:t>
      </w:r>
      <w:r w:rsidRPr="00B17673">
        <w:t>, 32: 731-747.</w:t>
      </w:r>
    </w:p>
    <w:p w14:paraId="0001DB1A" w14:textId="77777777" w:rsidR="00406027" w:rsidRPr="00B17673" w:rsidRDefault="00406027" w:rsidP="006C77FE">
      <w:pPr>
        <w:pStyle w:val="CitaviBibliographyEntry"/>
        <w:spacing w:after="0"/>
        <w:jc w:val="both"/>
      </w:pPr>
      <w:r w:rsidRPr="00B17673">
        <w:t xml:space="preserve">Tian, M., Wang, T., &amp; Li, X. 2021. Dual function of corporate social responsibility on R&amp;D strategy: Moderating effect of board interlock. </w:t>
      </w:r>
      <w:r w:rsidRPr="00B17673">
        <w:rPr>
          <w:i/>
        </w:rPr>
        <w:t>Managerial and Decision Economics</w:t>
      </w:r>
      <w:r w:rsidRPr="00B17673">
        <w:t>, 42: 1492-1508.</w:t>
      </w:r>
    </w:p>
    <w:p w14:paraId="623F2A8B" w14:textId="77777777" w:rsidR="00406027" w:rsidRPr="00B17673" w:rsidRDefault="00406027" w:rsidP="006C77FE">
      <w:pPr>
        <w:pStyle w:val="CitaviBibliographyEntry"/>
        <w:spacing w:after="0"/>
        <w:jc w:val="both"/>
      </w:pPr>
      <w:r w:rsidRPr="00B17673">
        <w:t xml:space="preserve">Wang, W.-K., Lu, W.-M., Kweh, Q. L., Nourani, M., &amp; Hong, R.-S. 2021. Interlocking directorates and dynamic corporate performance: the roles of centrality, structural holes and number of connections in social networks. </w:t>
      </w:r>
      <w:r w:rsidRPr="00B17673">
        <w:rPr>
          <w:i/>
        </w:rPr>
        <w:t>Review of Managerial Science</w:t>
      </w:r>
      <w:r w:rsidRPr="00B17673">
        <w:t>, 15: 437-457.</w:t>
      </w:r>
    </w:p>
    <w:p w14:paraId="2C4FF5E2" w14:textId="77777777" w:rsidR="00406027" w:rsidRPr="00B17673" w:rsidRDefault="00406027" w:rsidP="006C77FE">
      <w:pPr>
        <w:pStyle w:val="CitaviBibliographyEntry"/>
        <w:spacing w:after="0"/>
        <w:jc w:val="both"/>
      </w:pPr>
      <w:r w:rsidRPr="00B17673">
        <w:t xml:space="preserve">Wang, W.-K., Lu, W.-M., Ting, I. W. K., &amp; Chen, Y.-H. 2021. Social Networks and Dynamic Firm Performance: Evidence from the Taiwanese Semiconductor Industry. </w:t>
      </w:r>
      <w:r w:rsidRPr="00B17673">
        <w:rPr>
          <w:i/>
        </w:rPr>
        <w:t>Revista de Contabilidad</w:t>
      </w:r>
      <w:r w:rsidRPr="00B17673">
        <w:t>, 24: 62-74.</w:t>
      </w:r>
    </w:p>
    <w:p w14:paraId="1298A935" w14:textId="77777777" w:rsidR="00406027" w:rsidRPr="00B17673" w:rsidRDefault="00406027" w:rsidP="006C77FE">
      <w:pPr>
        <w:pStyle w:val="CitaviBibliographyEntry"/>
        <w:spacing w:after="0"/>
        <w:jc w:val="both"/>
      </w:pPr>
      <w:r w:rsidRPr="00CE03DC">
        <w:t xml:space="preserve">Westphal, J. D., Seidel, M.-D. L., &amp; Stewart, K. J. 2001. </w:t>
      </w:r>
      <w:r w:rsidRPr="00B17673">
        <w:t xml:space="preserve">Second-Order Imitation: Uncovering Latent Effects of Board Network Ties. </w:t>
      </w:r>
      <w:r w:rsidRPr="00B17673">
        <w:rPr>
          <w:i/>
        </w:rPr>
        <w:t>Administrative Science Quarterly</w:t>
      </w:r>
      <w:r w:rsidRPr="00B17673">
        <w:t>, 46: 717-747.</w:t>
      </w:r>
    </w:p>
    <w:p w14:paraId="05A02263" w14:textId="77777777" w:rsidR="00406027" w:rsidRPr="004973EC" w:rsidRDefault="00406027" w:rsidP="006C77FE">
      <w:pPr>
        <w:pStyle w:val="CitaviBibliographyEntry"/>
        <w:spacing w:after="0"/>
        <w:jc w:val="both"/>
      </w:pPr>
      <w:r w:rsidRPr="00CE03DC">
        <w:t xml:space="preserve">Wu, Y., Zhang, Y., &amp; Chen, Y. 2021. </w:t>
      </w:r>
      <w:r w:rsidRPr="00B17673">
        <w:t xml:space="preserve">The influence of board interlocking network centrality on foundation performance: evidence from China. </w:t>
      </w:r>
      <w:r w:rsidRPr="004973EC">
        <w:rPr>
          <w:i/>
        </w:rPr>
        <w:t>Journal of Chinese Governance</w:t>
      </w:r>
      <w:r w:rsidRPr="004973EC">
        <w:t>, 6: 43-57.</w:t>
      </w:r>
    </w:p>
    <w:p w14:paraId="6B53D20E" w14:textId="77777777" w:rsidR="00406027" w:rsidRPr="000875FD" w:rsidRDefault="00406027" w:rsidP="006C77FE">
      <w:pPr>
        <w:pStyle w:val="CitaviBibliographyEntry"/>
        <w:spacing w:after="0"/>
        <w:jc w:val="both"/>
      </w:pPr>
      <w:r w:rsidRPr="007E3F5D">
        <w:t xml:space="preserve">Xie, Z., Lin, R., Wang, J., Hu, W., &amp; Miao, L. 2020. </w:t>
      </w:r>
      <w:r w:rsidRPr="000875FD">
        <w:t>Vicarious Learning: How Entrepreneurs Enhance a Firm</w:t>
      </w:r>
      <w:r>
        <w:t>’</w:t>
      </w:r>
      <w:r w:rsidRPr="000875FD">
        <w:t xml:space="preserve">s International Competitiveness Through Learning From Interlocking Director Network Partners. </w:t>
      </w:r>
      <w:r w:rsidRPr="000875FD">
        <w:rPr>
          <w:i/>
        </w:rPr>
        <w:t>Frontiers in psychology</w:t>
      </w:r>
      <w:r w:rsidRPr="000875FD">
        <w:t>, 11: 689.</w:t>
      </w:r>
    </w:p>
    <w:p w14:paraId="09AE55BB" w14:textId="77777777" w:rsidR="00406027" w:rsidRPr="000875FD" w:rsidRDefault="00406027" w:rsidP="006C77FE">
      <w:pPr>
        <w:pStyle w:val="CitaviBibliographyEntry"/>
        <w:spacing w:after="0"/>
        <w:jc w:val="both"/>
      </w:pPr>
      <w:r w:rsidRPr="000875FD">
        <w:t>Yoo, J. W., Reed, R., Shin, S. J., &amp; Lemak, D. J. 2009. Strategic Choice and Performance in Late Movers: Influence of the Top Management Team</w:t>
      </w:r>
      <w:r>
        <w:t>’</w:t>
      </w:r>
      <w:r w:rsidRPr="000875FD">
        <w:t xml:space="preserve">s External Ties. </w:t>
      </w:r>
      <w:r w:rsidRPr="000875FD">
        <w:rPr>
          <w:i/>
        </w:rPr>
        <w:t>Journal of Management Studies</w:t>
      </w:r>
      <w:r w:rsidRPr="000875FD">
        <w:t>, 46: 308-335.</w:t>
      </w:r>
    </w:p>
    <w:p w14:paraId="001B971E" w14:textId="77777777" w:rsidR="00406027" w:rsidRPr="000875FD" w:rsidRDefault="00406027" w:rsidP="006C77FE">
      <w:pPr>
        <w:pStyle w:val="CitaviBibliographyEntry"/>
        <w:spacing w:after="0"/>
        <w:jc w:val="both"/>
      </w:pPr>
      <w:r w:rsidRPr="000875FD">
        <w:t xml:space="preserve">Yoshikawa, T., Shim, J. W., Kim, C. H., &amp; Tuschke, A. 2020. How do board ties affect the adoption of new practices? The effects of managerial interest and hierarchical power. </w:t>
      </w:r>
      <w:r w:rsidRPr="000875FD">
        <w:rPr>
          <w:i/>
        </w:rPr>
        <w:t>Corporate Governance: An International Review</w:t>
      </w:r>
      <w:r w:rsidRPr="000875FD">
        <w:t>, 28: 2-22.</w:t>
      </w:r>
    </w:p>
    <w:p w14:paraId="3D810582" w14:textId="77777777" w:rsidR="00406027" w:rsidRPr="000875FD" w:rsidRDefault="00406027" w:rsidP="006C77FE">
      <w:pPr>
        <w:pStyle w:val="CitaviBibliographyEntry"/>
        <w:spacing w:after="0"/>
        <w:jc w:val="both"/>
      </w:pPr>
      <w:r w:rsidRPr="000875FD">
        <w:lastRenderedPageBreak/>
        <w:t xml:space="preserve">Yousaf, U. B., Ullah, I., Jiang, J., &amp; Wang, M. 2022. The role of board capital in driving green innovation: Evidence from China. </w:t>
      </w:r>
      <w:r w:rsidRPr="000875FD">
        <w:rPr>
          <w:i/>
        </w:rPr>
        <w:t>Journal of Behavioral and Experimental Finance</w:t>
      </w:r>
      <w:r w:rsidRPr="000875FD">
        <w:t>, 35: 100714.</w:t>
      </w:r>
    </w:p>
    <w:p w14:paraId="19BD1B21" w14:textId="77777777" w:rsidR="00406027" w:rsidRPr="000875FD" w:rsidRDefault="00406027" w:rsidP="006C77FE">
      <w:pPr>
        <w:pStyle w:val="CitaviBibliographyEntry"/>
        <w:spacing w:after="0"/>
        <w:jc w:val="both"/>
      </w:pPr>
      <w:r w:rsidRPr="000875FD">
        <w:t xml:space="preserve">Yue, L. Q. 2012. Asymmetric Effects of Fashions on the Formation and Dissolution of Networks: Board Interlocks with Internet Companies, 1996–2006. </w:t>
      </w:r>
      <w:r w:rsidRPr="000875FD">
        <w:rPr>
          <w:i/>
        </w:rPr>
        <w:t>Organization Science</w:t>
      </w:r>
      <w:r w:rsidRPr="000875FD">
        <w:t>, 23: 1114-1134.</w:t>
      </w:r>
    </w:p>
    <w:p w14:paraId="06C68D1F" w14:textId="77777777" w:rsidR="00406027" w:rsidRPr="000875FD" w:rsidRDefault="00406027" w:rsidP="006C77FE">
      <w:pPr>
        <w:pStyle w:val="CitaviBibliographyEntry"/>
        <w:spacing w:after="0"/>
        <w:jc w:val="both"/>
      </w:pPr>
      <w:r w:rsidRPr="000875FD">
        <w:t xml:space="preserve">Zajac, E. J., &amp; Westphal, J. D. 1996. Who shall succeed? How CEO/board preferences and power affect the choice of new CEOs. </w:t>
      </w:r>
      <w:r w:rsidRPr="000875FD">
        <w:rPr>
          <w:i/>
        </w:rPr>
        <w:t>Academy of Management Journal</w:t>
      </w:r>
      <w:r w:rsidRPr="000875FD">
        <w:t>, 39: 64-90.</w:t>
      </w:r>
    </w:p>
    <w:p w14:paraId="0A20805C" w14:textId="77777777" w:rsidR="00406027" w:rsidRPr="000875FD" w:rsidRDefault="00406027" w:rsidP="006C77FE">
      <w:pPr>
        <w:pStyle w:val="CitaviBibliographyEntry"/>
        <w:spacing w:after="0"/>
        <w:jc w:val="both"/>
      </w:pPr>
      <w:r w:rsidRPr="000875FD">
        <w:t xml:space="preserve">Zhao, T. 2021. Board network, investment efficiency, and the mediating role of CSR: Evidence from China. </w:t>
      </w:r>
      <w:r w:rsidRPr="000875FD">
        <w:rPr>
          <w:i/>
        </w:rPr>
        <w:t>International Review of Economics &amp; Finance</w:t>
      </w:r>
      <w:r w:rsidRPr="000875FD">
        <w:t>, 76: 897-919.</w:t>
      </w:r>
    </w:p>
    <w:p w14:paraId="1BE8EF57" w14:textId="77777777" w:rsidR="00406027" w:rsidRPr="000875FD" w:rsidRDefault="00406027" w:rsidP="006C77FE">
      <w:pPr>
        <w:pStyle w:val="CitaviBibliographyEntry"/>
        <w:spacing w:after="0"/>
        <w:jc w:val="both"/>
      </w:pPr>
      <w:r w:rsidRPr="000875FD">
        <w:t xml:space="preserve">Zhao, T., &amp; Chan, K. C. 2023. Corporate social network and corporate social responsibility: A perspective of interlocking directorates. </w:t>
      </w:r>
      <w:r w:rsidRPr="000875FD">
        <w:rPr>
          <w:i/>
        </w:rPr>
        <w:t>International Review of Financial Analysis</w:t>
      </w:r>
      <w:r w:rsidRPr="000875FD">
        <w:t>, 88: 102711.</w:t>
      </w:r>
    </w:p>
    <w:p w14:paraId="52328CA2" w14:textId="77777777" w:rsidR="00406027" w:rsidRPr="000875FD" w:rsidRDefault="00406027" w:rsidP="006C77FE">
      <w:pPr>
        <w:pStyle w:val="CitaviBibliographyEntry"/>
        <w:spacing w:after="0"/>
        <w:jc w:val="both"/>
      </w:pPr>
      <w:r w:rsidRPr="000875FD">
        <w:t xml:space="preserve">Zona, F., Gomez-Mejia, L. R., &amp; Withers, M. C. 2018. Board Interlocks and Firm Performance: Toward a Combined Agency–Resource Dependence Perspective. </w:t>
      </w:r>
      <w:r w:rsidRPr="000875FD">
        <w:rPr>
          <w:i/>
        </w:rPr>
        <w:t>Journal of Management</w:t>
      </w:r>
      <w:r w:rsidRPr="000875FD">
        <w:t>, 44: 589-618.</w:t>
      </w:r>
    </w:p>
    <w:p w14:paraId="784A0D3F" w14:textId="77777777" w:rsidR="00406027" w:rsidRPr="00454C23" w:rsidRDefault="00406027" w:rsidP="006C77FE">
      <w:pPr>
        <w:pStyle w:val="CitaviBibliographyEntry"/>
        <w:spacing w:after="0"/>
        <w:jc w:val="both"/>
      </w:pPr>
      <w:r w:rsidRPr="00CE03DC">
        <w:t xml:space="preserve">Zou, H., Xie, X., Meng, X., &amp; Yang, M. 2019. </w:t>
      </w:r>
      <w:r w:rsidRPr="00454C23">
        <w:t xml:space="preserve">The diffusion of corporate social responsibility through social network ties: From the perspective of strategic imitation. </w:t>
      </w:r>
      <w:r w:rsidRPr="00454C23">
        <w:rPr>
          <w:i/>
        </w:rPr>
        <w:t>Corporate Social Responsibility and Environmental Management</w:t>
      </w:r>
      <w:r w:rsidRPr="00454C23">
        <w:t>, 26: 186-198.</w:t>
      </w:r>
    </w:p>
    <w:p w14:paraId="4BEB2764" w14:textId="77777777" w:rsidR="00406027" w:rsidRPr="00454C23" w:rsidRDefault="00406027" w:rsidP="006C77FE">
      <w:pPr>
        <w:pStyle w:val="CitaviBibliographyEntry"/>
        <w:jc w:val="both"/>
      </w:pPr>
    </w:p>
    <w:p w14:paraId="17530AC3" w14:textId="77777777" w:rsidR="00406027" w:rsidRPr="006662B0" w:rsidRDefault="00406027" w:rsidP="00921EC5">
      <w:pPr>
        <w:spacing w:line="240" w:lineRule="auto"/>
        <w:rPr>
          <w:lang w:val="en-US"/>
        </w:rPr>
      </w:pPr>
      <w:r w:rsidRPr="006662B0">
        <w:rPr>
          <w:lang w:val="en-US"/>
        </w:rPr>
        <w:br w:type="page"/>
      </w:r>
    </w:p>
    <w:p w14:paraId="67D08FBD" w14:textId="77777777" w:rsidR="00406027" w:rsidRPr="004E5844" w:rsidRDefault="00406027" w:rsidP="00406027">
      <w:pPr>
        <w:pStyle w:val="1fake"/>
      </w:pPr>
      <w:r w:rsidRPr="004E5844">
        <w:lastRenderedPageBreak/>
        <w:t xml:space="preserve">Online Supplement </w:t>
      </w:r>
      <w:r>
        <w:t>2</w:t>
      </w:r>
    </w:p>
    <w:p w14:paraId="5EB5ECDC" w14:textId="443CE904" w:rsidR="003A640A" w:rsidRPr="006B1B51" w:rsidRDefault="003A640A" w:rsidP="003A640A">
      <w:pPr>
        <w:pStyle w:val="Tabelle"/>
      </w:pPr>
      <w:bookmarkStart w:id="246" w:name="_Toc180964659"/>
      <w:r>
        <w:t xml:space="preserve">T - I - </w:t>
      </w:r>
      <w:r>
        <w:fldChar w:fldCharType="begin"/>
      </w:r>
      <w:r>
        <w:instrText xml:space="preserve"> SEQ T_-_I_- \* ARABIC </w:instrText>
      </w:r>
      <w:r>
        <w:fldChar w:fldCharType="separate"/>
      </w:r>
      <w:r w:rsidR="00E91088">
        <w:rPr>
          <w:noProof/>
        </w:rPr>
        <w:t>9</w:t>
      </w:r>
      <w:r>
        <w:fldChar w:fldCharType="end"/>
      </w:r>
      <w:r>
        <w:t xml:space="preserve">: </w:t>
      </w:r>
      <w:r w:rsidRPr="003A5FDB">
        <w:t xml:space="preserve">TSSEM - </w:t>
      </w:r>
      <w:r w:rsidR="007F2F08">
        <w:t>p</w:t>
      </w:r>
      <w:r w:rsidRPr="003A5FDB">
        <w:t xml:space="preserve">ooled </w:t>
      </w:r>
      <w:r w:rsidR="007F2F08">
        <w:t>c</w:t>
      </w:r>
      <w:r w:rsidRPr="003A5FDB">
        <w:t xml:space="preserve">orrelation </w:t>
      </w:r>
      <w:r w:rsidR="007F2F08">
        <w:t>m</w:t>
      </w:r>
      <w:r w:rsidRPr="003A5FDB">
        <w:t>atrix</w:t>
      </w:r>
      <w:bookmarkEnd w:id="246"/>
    </w:p>
    <w:tbl>
      <w:tblPr>
        <w:tblW w:w="9072" w:type="dxa"/>
        <w:tblLayout w:type="fixed"/>
        <w:tblCellMar>
          <w:top w:w="6" w:type="dxa"/>
          <w:left w:w="6" w:type="dxa"/>
          <w:bottom w:w="6" w:type="dxa"/>
          <w:right w:w="6" w:type="dxa"/>
        </w:tblCellMar>
        <w:tblLook w:val="04A0" w:firstRow="1" w:lastRow="0" w:firstColumn="1" w:lastColumn="0" w:noHBand="0" w:noVBand="1"/>
      </w:tblPr>
      <w:tblGrid>
        <w:gridCol w:w="2046"/>
        <w:gridCol w:w="1507"/>
        <w:gridCol w:w="1839"/>
        <w:gridCol w:w="1841"/>
        <w:gridCol w:w="1839"/>
      </w:tblGrid>
      <w:tr w:rsidR="006B1B51" w:rsidRPr="00C7354B" w14:paraId="04B93EFB" w14:textId="77777777" w:rsidTr="00846329">
        <w:trPr>
          <w:trHeight w:val="21"/>
        </w:trPr>
        <w:tc>
          <w:tcPr>
            <w:tcW w:w="2106" w:type="dxa"/>
            <w:tcBorders>
              <w:top w:val="single" w:sz="4" w:space="0" w:color="auto"/>
              <w:left w:val="nil"/>
              <w:bottom w:val="single" w:sz="4" w:space="0" w:color="auto"/>
              <w:right w:val="nil"/>
            </w:tcBorders>
            <w:shd w:val="clear" w:color="auto" w:fill="auto"/>
            <w:noWrap/>
            <w:hideMark/>
          </w:tcPr>
          <w:p w14:paraId="67B4F95D" w14:textId="3B8FEC93" w:rsidR="006B1B51" w:rsidRPr="00C7354B" w:rsidRDefault="003953A5" w:rsidP="003953A5">
            <w:pPr>
              <w:widowControl w:val="0"/>
              <w:spacing w:line="240" w:lineRule="auto"/>
              <w:jc w:val="left"/>
              <w:rPr>
                <w:b/>
                <w:bCs/>
                <w:color w:val="000000" w:themeColor="text1"/>
                <w:kern w:val="2"/>
                <w:sz w:val="22"/>
                <w:lang w:val="en-US" w:eastAsia="zh-CN"/>
              </w:rPr>
            </w:pPr>
            <w:r w:rsidRPr="00C7354B">
              <w:rPr>
                <w:b/>
                <w:bCs/>
                <w:color w:val="000000" w:themeColor="text1"/>
                <w:kern w:val="2"/>
                <w:sz w:val="22"/>
                <w:lang w:val="en-US" w:eastAsia="zh-CN"/>
              </w:rPr>
              <w:t>Variables</w:t>
            </w:r>
          </w:p>
        </w:tc>
        <w:tc>
          <w:tcPr>
            <w:tcW w:w="1552" w:type="dxa"/>
            <w:tcBorders>
              <w:top w:val="single" w:sz="4" w:space="0" w:color="auto"/>
              <w:left w:val="nil"/>
              <w:bottom w:val="single" w:sz="4" w:space="0" w:color="auto"/>
              <w:right w:val="nil"/>
            </w:tcBorders>
            <w:shd w:val="clear" w:color="auto" w:fill="auto"/>
            <w:noWrap/>
            <w:hideMark/>
          </w:tcPr>
          <w:p w14:paraId="24CF63B7" w14:textId="77777777" w:rsidR="006B1B51" w:rsidRPr="00C7354B" w:rsidRDefault="006B1B51" w:rsidP="00CE54D1">
            <w:pPr>
              <w:widowControl w:val="0"/>
              <w:spacing w:line="240" w:lineRule="auto"/>
              <w:jc w:val="center"/>
              <w:rPr>
                <w:b/>
                <w:bCs/>
                <w:color w:val="000000" w:themeColor="text1"/>
                <w:kern w:val="2"/>
                <w:sz w:val="22"/>
                <w:lang w:eastAsia="zh-CN"/>
              </w:rPr>
            </w:pPr>
            <w:r w:rsidRPr="00C7354B">
              <w:rPr>
                <w:b/>
                <w:bCs/>
                <w:color w:val="000000" w:themeColor="text1"/>
                <w:kern w:val="2"/>
                <w:sz w:val="22"/>
                <w:lang w:eastAsia="zh-CN"/>
              </w:rPr>
              <w:t>(1)</w:t>
            </w:r>
          </w:p>
        </w:tc>
        <w:tc>
          <w:tcPr>
            <w:tcW w:w="1894" w:type="dxa"/>
            <w:tcBorders>
              <w:top w:val="single" w:sz="4" w:space="0" w:color="auto"/>
              <w:left w:val="nil"/>
              <w:bottom w:val="single" w:sz="4" w:space="0" w:color="auto"/>
              <w:right w:val="nil"/>
            </w:tcBorders>
            <w:shd w:val="clear" w:color="auto" w:fill="auto"/>
            <w:noWrap/>
            <w:hideMark/>
          </w:tcPr>
          <w:p w14:paraId="433131C8" w14:textId="77777777" w:rsidR="006B1B51" w:rsidRPr="00C7354B" w:rsidRDefault="006B1B51" w:rsidP="00CE54D1">
            <w:pPr>
              <w:widowControl w:val="0"/>
              <w:spacing w:line="240" w:lineRule="auto"/>
              <w:jc w:val="center"/>
              <w:rPr>
                <w:b/>
                <w:bCs/>
                <w:color w:val="000000" w:themeColor="text1"/>
                <w:kern w:val="2"/>
                <w:sz w:val="22"/>
                <w:lang w:eastAsia="zh-CN"/>
              </w:rPr>
            </w:pPr>
            <w:r w:rsidRPr="00C7354B">
              <w:rPr>
                <w:b/>
                <w:bCs/>
                <w:color w:val="000000" w:themeColor="text1"/>
                <w:kern w:val="2"/>
                <w:sz w:val="22"/>
                <w:lang w:eastAsia="zh-CN"/>
              </w:rPr>
              <w:t>(2)</w:t>
            </w:r>
          </w:p>
        </w:tc>
        <w:tc>
          <w:tcPr>
            <w:tcW w:w="1896" w:type="dxa"/>
            <w:tcBorders>
              <w:top w:val="single" w:sz="4" w:space="0" w:color="auto"/>
              <w:left w:val="nil"/>
              <w:bottom w:val="single" w:sz="4" w:space="0" w:color="auto"/>
              <w:right w:val="nil"/>
            </w:tcBorders>
            <w:shd w:val="clear" w:color="auto" w:fill="auto"/>
            <w:noWrap/>
            <w:hideMark/>
          </w:tcPr>
          <w:p w14:paraId="514F9860" w14:textId="77777777" w:rsidR="006B1B51" w:rsidRPr="00C7354B" w:rsidRDefault="006B1B51" w:rsidP="00CE54D1">
            <w:pPr>
              <w:widowControl w:val="0"/>
              <w:spacing w:line="240" w:lineRule="auto"/>
              <w:jc w:val="center"/>
              <w:rPr>
                <w:b/>
                <w:bCs/>
                <w:color w:val="000000" w:themeColor="text1"/>
                <w:kern w:val="2"/>
                <w:sz w:val="22"/>
                <w:lang w:eastAsia="zh-CN"/>
              </w:rPr>
            </w:pPr>
            <w:r w:rsidRPr="00C7354B">
              <w:rPr>
                <w:b/>
                <w:bCs/>
                <w:color w:val="000000" w:themeColor="text1"/>
                <w:kern w:val="2"/>
                <w:sz w:val="22"/>
                <w:lang w:eastAsia="zh-CN"/>
              </w:rPr>
              <w:t>(3)</w:t>
            </w:r>
          </w:p>
        </w:tc>
        <w:tc>
          <w:tcPr>
            <w:tcW w:w="1894" w:type="dxa"/>
            <w:tcBorders>
              <w:top w:val="single" w:sz="4" w:space="0" w:color="auto"/>
              <w:left w:val="nil"/>
              <w:bottom w:val="single" w:sz="4" w:space="0" w:color="auto"/>
              <w:right w:val="nil"/>
            </w:tcBorders>
          </w:tcPr>
          <w:p w14:paraId="75958917" w14:textId="77777777" w:rsidR="006B1B51" w:rsidRPr="00C7354B" w:rsidRDefault="006B1B51" w:rsidP="00CE54D1">
            <w:pPr>
              <w:widowControl w:val="0"/>
              <w:spacing w:line="240" w:lineRule="auto"/>
              <w:jc w:val="center"/>
              <w:rPr>
                <w:b/>
                <w:bCs/>
                <w:color w:val="000000" w:themeColor="text1"/>
                <w:kern w:val="2"/>
                <w:sz w:val="22"/>
                <w:lang w:eastAsia="zh-CN"/>
              </w:rPr>
            </w:pPr>
            <w:r w:rsidRPr="00C7354B">
              <w:rPr>
                <w:b/>
                <w:bCs/>
                <w:color w:val="000000" w:themeColor="text1"/>
                <w:kern w:val="2"/>
                <w:sz w:val="22"/>
                <w:lang w:eastAsia="zh-CN"/>
              </w:rPr>
              <w:t>(4)</w:t>
            </w:r>
          </w:p>
        </w:tc>
      </w:tr>
      <w:tr w:rsidR="006B1B51" w:rsidRPr="00C7354B" w14:paraId="1A2B7A51" w14:textId="77777777" w:rsidTr="00846329">
        <w:trPr>
          <w:trHeight w:val="21"/>
        </w:trPr>
        <w:tc>
          <w:tcPr>
            <w:tcW w:w="2106" w:type="dxa"/>
            <w:tcBorders>
              <w:top w:val="nil"/>
              <w:left w:val="nil"/>
              <w:bottom w:val="nil"/>
              <w:right w:val="nil"/>
            </w:tcBorders>
            <w:shd w:val="clear" w:color="auto" w:fill="auto"/>
            <w:noWrap/>
          </w:tcPr>
          <w:p w14:paraId="51B1CDF8" w14:textId="77777777" w:rsidR="006B1B51" w:rsidRPr="00C7354B" w:rsidRDefault="006B1B51" w:rsidP="00CE54D1">
            <w:pPr>
              <w:widowControl w:val="0"/>
              <w:spacing w:line="240" w:lineRule="auto"/>
              <w:jc w:val="left"/>
              <w:rPr>
                <w:b/>
                <w:bCs/>
                <w:color w:val="000000" w:themeColor="text1"/>
                <w:kern w:val="2"/>
                <w:sz w:val="22"/>
                <w:lang w:eastAsia="zh-CN"/>
              </w:rPr>
            </w:pPr>
            <w:r w:rsidRPr="00C7354B">
              <w:rPr>
                <w:b/>
                <w:bCs/>
                <w:color w:val="000000" w:themeColor="text1"/>
                <w:kern w:val="2"/>
                <w:sz w:val="22"/>
                <w:lang w:eastAsia="zh-CN"/>
              </w:rPr>
              <w:t>(1) Board interlocks</w:t>
            </w:r>
          </w:p>
        </w:tc>
        <w:tc>
          <w:tcPr>
            <w:tcW w:w="1552" w:type="dxa"/>
            <w:tcBorders>
              <w:top w:val="nil"/>
              <w:left w:val="nil"/>
              <w:bottom w:val="nil"/>
              <w:right w:val="nil"/>
            </w:tcBorders>
            <w:shd w:val="clear" w:color="auto" w:fill="auto"/>
            <w:noWrap/>
          </w:tcPr>
          <w:p w14:paraId="2D377212" w14:textId="77777777" w:rsidR="006B1B51" w:rsidRPr="00C7354B" w:rsidRDefault="006B1B51" w:rsidP="00CE54D1">
            <w:pPr>
              <w:widowControl w:val="0"/>
              <w:spacing w:line="240" w:lineRule="auto"/>
              <w:jc w:val="left"/>
              <w:rPr>
                <w:color w:val="000000" w:themeColor="text1"/>
                <w:kern w:val="2"/>
                <w:sz w:val="22"/>
                <w:lang w:eastAsia="zh-CN"/>
              </w:rPr>
            </w:pPr>
            <w:r w:rsidRPr="00C7354B">
              <w:rPr>
                <w:color w:val="000000" w:themeColor="text1"/>
                <w:kern w:val="2"/>
                <w:sz w:val="22"/>
                <w:lang w:eastAsia="zh-CN"/>
              </w:rPr>
              <w:t>-</w:t>
            </w:r>
          </w:p>
        </w:tc>
        <w:tc>
          <w:tcPr>
            <w:tcW w:w="1894" w:type="dxa"/>
            <w:tcBorders>
              <w:top w:val="nil"/>
              <w:left w:val="nil"/>
              <w:bottom w:val="nil"/>
              <w:right w:val="nil"/>
            </w:tcBorders>
            <w:shd w:val="clear" w:color="auto" w:fill="auto"/>
            <w:noWrap/>
          </w:tcPr>
          <w:p w14:paraId="431FE140" w14:textId="77777777" w:rsidR="006B1B51" w:rsidRPr="00C7354B" w:rsidRDefault="006B1B51" w:rsidP="00CE54D1">
            <w:pPr>
              <w:widowControl w:val="0"/>
              <w:spacing w:line="240" w:lineRule="auto"/>
              <w:jc w:val="left"/>
              <w:rPr>
                <w:color w:val="000000" w:themeColor="text1"/>
                <w:kern w:val="2"/>
                <w:sz w:val="22"/>
                <w:lang w:eastAsia="zh-CN"/>
              </w:rPr>
            </w:pPr>
          </w:p>
        </w:tc>
        <w:tc>
          <w:tcPr>
            <w:tcW w:w="1896" w:type="dxa"/>
            <w:tcBorders>
              <w:top w:val="nil"/>
              <w:left w:val="nil"/>
              <w:bottom w:val="nil"/>
              <w:right w:val="nil"/>
            </w:tcBorders>
            <w:shd w:val="clear" w:color="auto" w:fill="auto"/>
            <w:noWrap/>
          </w:tcPr>
          <w:p w14:paraId="39111D61" w14:textId="77777777" w:rsidR="006B1B51" w:rsidRPr="00C7354B" w:rsidRDefault="006B1B51" w:rsidP="00CE54D1">
            <w:pPr>
              <w:widowControl w:val="0"/>
              <w:spacing w:line="240" w:lineRule="auto"/>
              <w:jc w:val="left"/>
              <w:rPr>
                <w:color w:val="000000" w:themeColor="text1"/>
                <w:kern w:val="2"/>
                <w:sz w:val="22"/>
                <w:lang w:eastAsia="zh-CN"/>
              </w:rPr>
            </w:pPr>
          </w:p>
        </w:tc>
        <w:tc>
          <w:tcPr>
            <w:tcW w:w="1894" w:type="dxa"/>
            <w:tcBorders>
              <w:top w:val="nil"/>
              <w:left w:val="nil"/>
              <w:bottom w:val="nil"/>
              <w:right w:val="nil"/>
            </w:tcBorders>
          </w:tcPr>
          <w:p w14:paraId="60A0F6DE" w14:textId="77777777" w:rsidR="006B1B51" w:rsidRPr="00C7354B" w:rsidRDefault="006B1B51" w:rsidP="00CE54D1">
            <w:pPr>
              <w:widowControl w:val="0"/>
              <w:spacing w:line="240" w:lineRule="auto"/>
              <w:jc w:val="left"/>
              <w:rPr>
                <w:color w:val="000000" w:themeColor="text1"/>
                <w:kern w:val="2"/>
                <w:sz w:val="22"/>
                <w:lang w:eastAsia="zh-CN"/>
              </w:rPr>
            </w:pPr>
          </w:p>
        </w:tc>
      </w:tr>
      <w:tr w:rsidR="002323D7" w:rsidRPr="00C7354B" w14:paraId="66CEFBF9" w14:textId="77777777" w:rsidTr="00846329">
        <w:trPr>
          <w:trHeight w:val="21"/>
        </w:trPr>
        <w:tc>
          <w:tcPr>
            <w:tcW w:w="3658" w:type="dxa"/>
            <w:gridSpan w:val="2"/>
            <w:tcBorders>
              <w:top w:val="nil"/>
              <w:left w:val="nil"/>
              <w:bottom w:val="nil"/>
              <w:right w:val="nil"/>
            </w:tcBorders>
            <w:shd w:val="clear" w:color="auto" w:fill="auto"/>
            <w:noWrap/>
          </w:tcPr>
          <w:p w14:paraId="512A9530" w14:textId="2BD4E446" w:rsidR="002323D7" w:rsidRPr="00C7354B" w:rsidRDefault="002323D7" w:rsidP="00CE54D1">
            <w:pPr>
              <w:widowControl w:val="0"/>
              <w:spacing w:line="240" w:lineRule="auto"/>
              <w:jc w:val="left"/>
              <w:rPr>
                <w:color w:val="000000" w:themeColor="text1"/>
                <w:kern w:val="2"/>
                <w:sz w:val="22"/>
                <w:lang w:eastAsia="zh-CN"/>
              </w:rPr>
            </w:pPr>
            <w:r w:rsidRPr="00C7354B">
              <w:rPr>
                <w:b/>
                <w:bCs/>
                <w:color w:val="000000" w:themeColor="text1"/>
                <w:kern w:val="2"/>
                <w:sz w:val="22"/>
                <w:lang w:eastAsia="zh-CN"/>
              </w:rPr>
              <w:t>(2) Resource provision</w:t>
            </w:r>
          </w:p>
        </w:tc>
        <w:tc>
          <w:tcPr>
            <w:tcW w:w="1894" w:type="dxa"/>
            <w:tcBorders>
              <w:top w:val="nil"/>
              <w:left w:val="nil"/>
              <w:bottom w:val="nil"/>
              <w:right w:val="nil"/>
            </w:tcBorders>
            <w:shd w:val="clear" w:color="auto" w:fill="auto"/>
            <w:noWrap/>
          </w:tcPr>
          <w:p w14:paraId="69AA3C29" w14:textId="77777777" w:rsidR="002323D7" w:rsidRPr="00C7354B" w:rsidRDefault="002323D7" w:rsidP="00CE54D1">
            <w:pPr>
              <w:widowControl w:val="0"/>
              <w:spacing w:line="240" w:lineRule="auto"/>
              <w:jc w:val="left"/>
              <w:rPr>
                <w:color w:val="000000" w:themeColor="text1"/>
                <w:kern w:val="2"/>
                <w:sz w:val="22"/>
                <w:lang w:eastAsia="zh-CN"/>
              </w:rPr>
            </w:pPr>
          </w:p>
        </w:tc>
        <w:tc>
          <w:tcPr>
            <w:tcW w:w="1896" w:type="dxa"/>
            <w:tcBorders>
              <w:top w:val="nil"/>
              <w:left w:val="nil"/>
              <w:bottom w:val="nil"/>
              <w:right w:val="nil"/>
            </w:tcBorders>
            <w:shd w:val="clear" w:color="auto" w:fill="auto"/>
            <w:noWrap/>
          </w:tcPr>
          <w:p w14:paraId="42D2D60C" w14:textId="77777777" w:rsidR="002323D7" w:rsidRPr="00C7354B" w:rsidRDefault="002323D7" w:rsidP="00CE54D1">
            <w:pPr>
              <w:widowControl w:val="0"/>
              <w:spacing w:line="240" w:lineRule="auto"/>
              <w:jc w:val="left"/>
              <w:rPr>
                <w:color w:val="000000" w:themeColor="text1"/>
                <w:kern w:val="2"/>
                <w:sz w:val="22"/>
                <w:lang w:eastAsia="zh-CN"/>
              </w:rPr>
            </w:pPr>
          </w:p>
        </w:tc>
        <w:tc>
          <w:tcPr>
            <w:tcW w:w="1894" w:type="dxa"/>
            <w:tcBorders>
              <w:top w:val="nil"/>
              <w:left w:val="nil"/>
              <w:bottom w:val="nil"/>
              <w:right w:val="nil"/>
            </w:tcBorders>
          </w:tcPr>
          <w:p w14:paraId="2D6A6C71" w14:textId="77777777" w:rsidR="002323D7" w:rsidRPr="00C7354B" w:rsidRDefault="002323D7" w:rsidP="00CE54D1">
            <w:pPr>
              <w:widowControl w:val="0"/>
              <w:spacing w:line="240" w:lineRule="auto"/>
              <w:jc w:val="left"/>
              <w:rPr>
                <w:color w:val="000000" w:themeColor="text1"/>
                <w:kern w:val="2"/>
                <w:sz w:val="22"/>
                <w:lang w:eastAsia="zh-CN"/>
              </w:rPr>
            </w:pPr>
          </w:p>
        </w:tc>
      </w:tr>
      <w:tr w:rsidR="006B1B51" w:rsidRPr="00C7354B" w14:paraId="21F8C284" w14:textId="77777777" w:rsidTr="00846329">
        <w:trPr>
          <w:trHeight w:val="21"/>
        </w:trPr>
        <w:tc>
          <w:tcPr>
            <w:tcW w:w="2106" w:type="dxa"/>
            <w:tcBorders>
              <w:top w:val="nil"/>
              <w:left w:val="nil"/>
              <w:bottom w:val="nil"/>
              <w:right w:val="nil"/>
            </w:tcBorders>
            <w:shd w:val="clear" w:color="auto" w:fill="auto"/>
            <w:noWrap/>
          </w:tcPr>
          <w:p w14:paraId="2ED0406B" w14:textId="77777777" w:rsidR="002323D7" w:rsidRPr="002323D7" w:rsidRDefault="002323D7" w:rsidP="002323D7">
            <w:pPr>
              <w:widowControl w:val="0"/>
              <w:spacing w:line="240" w:lineRule="auto"/>
              <w:jc w:val="center"/>
              <w:rPr>
                <w:i/>
                <w:iCs/>
                <w:color w:val="000000" w:themeColor="text1"/>
                <w:kern w:val="2"/>
                <w:sz w:val="22"/>
                <w:lang w:eastAsia="zh-CN"/>
              </w:rPr>
            </w:pPr>
            <w:r w:rsidRPr="002323D7">
              <w:rPr>
                <w:i/>
                <w:iCs/>
                <w:color w:val="000000" w:themeColor="text1"/>
                <w:kern w:val="2"/>
                <w:sz w:val="22"/>
                <w:lang w:eastAsia="zh-CN"/>
              </w:rPr>
              <w:t>r</w:t>
            </w:r>
          </w:p>
          <w:p w14:paraId="064426C3" w14:textId="77777777" w:rsidR="002323D7" w:rsidRPr="00C7354B" w:rsidRDefault="002323D7" w:rsidP="002323D7">
            <w:pPr>
              <w:widowControl w:val="0"/>
              <w:spacing w:line="240" w:lineRule="auto"/>
              <w:jc w:val="center"/>
              <w:rPr>
                <w:color w:val="000000" w:themeColor="text1"/>
                <w:kern w:val="2"/>
                <w:sz w:val="22"/>
                <w:lang w:eastAsia="zh-CN"/>
              </w:rPr>
            </w:pPr>
            <w:r w:rsidRPr="00C7354B">
              <w:rPr>
                <w:color w:val="000000" w:themeColor="text1"/>
                <w:kern w:val="2"/>
                <w:sz w:val="22"/>
                <w:lang w:eastAsia="zh-CN"/>
              </w:rPr>
              <w:t>95% CI</w:t>
            </w:r>
          </w:p>
          <w:p w14:paraId="437D2BED" w14:textId="7F8FAACD" w:rsidR="006B1B51" w:rsidRPr="00C7354B" w:rsidRDefault="002323D7" w:rsidP="002323D7">
            <w:pPr>
              <w:widowControl w:val="0"/>
              <w:spacing w:line="240" w:lineRule="auto"/>
              <w:jc w:val="center"/>
              <w:rPr>
                <w:color w:val="000000" w:themeColor="text1"/>
                <w:kern w:val="2"/>
                <w:sz w:val="22"/>
                <w:lang w:eastAsia="zh-CN"/>
              </w:rPr>
            </w:pPr>
            <w:r w:rsidRPr="002323D7">
              <w:rPr>
                <w:i/>
                <w:iCs/>
                <w:color w:val="000000" w:themeColor="text1"/>
                <w:kern w:val="2"/>
                <w:sz w:val="22"/>
                <w:lang w:eastAsia="zh-CN"/>
              </w:rPr>
              <w:t>n</w:t>
            </w:r>
            <w:r w:rsidRPr="00C7354B">
              <w:rPr>
                <w:color w:val="000000" w:themeColor="text1"/>
                <w:kern w:val="2"/>
                <w:sz w:val="22"/>
                <w:lang w:eastAsia="zh-CN"/>
              </w:rPr>
              <w:t xml:space="preserve"> (</w:t>
            </w:r>
            <w:r w:rsidRPr="002323D7">
              <w:rPr>
                <w:i/>
                <w:iCs/>
                <w:color w:val="000000" w:themeColor="text1"/>
                <w:kern w:val="2"/>
                <w:sz w:val="22"/>
                <w:lang w:eastAsia="zh-CN"/>
              </w:rPr>
              <w:t>k</w:t>
            </w:r>
            <w:r w:rsidRPr="00C7354B">
              <w:rPr>
                <w:color w:val="000000" w:themeColor="text1"/>
                <w:kern w:val="2"/>
                <w:sz w:val="22"/>
                <w:lang w:eastAsia="zh-CN"/>
              </w:rPr>
              <w:t>)</w:t>
            </w:r>
          </w:p>
        </w:tc>
        <w:tc>
          <w:tcPr>
            <w:tcW w:w="1552" w:type="dxa"/>
            <w:tcBorders>
              <w:top w:val="nil"/>
              <w:left w:val="nil"/>
              <w:bottom w:val="nil"/>
              <w:right w:val="nil"/>
            </w:tcBorders>
            <w:shd w:val="clear" w:color="auto" w:fill="auto"/>
            <w:noWrap/>
          </w:tcPr>
          <w:p w14:paraId="340AEBEE" w14:textId="77777777" w:rsidR="006B1B51" w:rsidRPr="00C7354B" w:rsidRDefault="006B1B51" w:rsidP="00CE54D1">
            <w:pPr>
              <w:widowControl w:val="0"/>
              <w:spacing w:line="240" w:lineRule="auto"/>
              <w:jc w:val="center"/>
              <w:rPr>
                <w:color w:val="000000" w:themeColor="text1"/>
                <w:kern w:val="2"/>
                <w:sz w:val="22"/>
                <w:lang w:eastAsia="zh-CN"/>
              </w:rPr>
            </w:pPr>
            <w:r w:rsidRPr="00C7354B">
              <w:rPr>
                <w:color w:val="000000" w:themeColor="text1"/>
                <w:kern w:val="2"/>
                <w:sz w:val="22"/>
                <w:lang w:eastAsia="zh-CN"/>
              </w:rPr>
              <w:t>.07</w:t>
            </w:r>
          </w:p>
          <w:p w14:paraId="2209D238" w14:textId="77777777" w:rsidR="006B1B51" w:rsidRPr="00C7354B" w:rsidRDefault="006B1B51" w:rsidP="00CE54D1">
            <w:pPr>
              <w:widowControl w:val="0"/>
              <w:spacing w:line="240" w:lineRule="auto"/>
              <w:jc w:val="center"/>
              <w:rPr>
                <w:color w:val="000000" w:themeColor="text1"/>
                <w:kern w:val="2"/>
                <w:sz w:val="22"/>
                <w:lang w:eastAsia="zh-CN"/>
              </w:rPr>
            </w:pPr>
            <w:r w:rsidRPr="00C7354B">
              <w:rPr>
                <w:color w:val="000000" w:themeColor="text1"/>
                <w:kern w:val="2"/>
                <w:sz w:val="22"/>
                <w:lang w:eastAsia="zh-CN"/>
              </w:rPr>
              <w:t>[.02: .11]</w:t>
            </w:r>
          </w:p>
          <w:p w14:paraId="6DD27021" w14:textId="77777777" w:rsidR="006B1B51" w:rsidRPr="00C7354B" w:rsidRDefault="006B1B51" w:rsidP="00CE54D1">
            <w:pPr>
              <w:widowControl w:val="0"/>
              <w:spacing w:line="240" w:lineRule="auto"/>
              <w:jc w:val="center"/>
              <w:rPr>
                <w:color w:val="000000" w:themeColor="text1"/>
                <w:kern w:val="2"/>
                <w:sz w:val="22"/>
                <w:lang w:eastAsia="zh-CN"/>
              </w:rPr>
            </w:pPr>
            <w:r w:rsidRPr="00C7354B">
              <w:rPr>
                <w:color w:val="000000" w:themeColor="text1"/>
                <w:kern w:val="2"/>
                <w:sz w:val="22"/>
                <w:lang w:eastAsia="zh-CN"/>
              </w:rPr>
              <w:t>171,337 (69)</w:t>
            </w:r>
          </w:p>
        </w:tc>
        <w:tc>
          <w:tcPr>
            <w:tcW w:w="1894" w:type="dxa"/>
            <w:tcBorders>
              <w:top w:val="nil"/>
              <w:left w:val="nil"/>
              <w:bottom w:val="nil"/>
              <w:right w:val="nil"/>
            </w:tcBorders>
            <w:shd w:val="clear" w:color="auto" w:fill="auto"/>
            <w:noWrap/>
          </w:tcPr>
          <w:p w14:paraId="3D248E43" w14:textId="77777777" w:rsidR="006B1B51" w:rsidRPr="00C7354B" w:rsidRDefault="006B1B51" w:rsidP="00CE54D1">
            <w:pPr>
              <w:widowControl w:val="0"/>
              <w:spacing w:line="240" w:lineRule="auto"/>
              <w:jc w:val="center"/>
              <w:rPr>
                <w:color w:val="000000" w:themeColor="text1"/>
                <w:kern w:val="2"/>
                <w:sz w:val="22"/>
                <w:lang w:eastAsia="zh-CN"/>
              </w:rPr>
            </w:pPr>
          </w:p>
        </w:tc>
        <w:tc>
          <w:tcPr>
            <w:tcW w:w="1896" w:type="dxa"/>
            <w:tcBorders>
              <w:top w:val="nil"/>
              <w:left w:val="nil"/>
              <w:bottom w:val="nil"/>
              <w:right w:val="nil"/>
            </w:tcBorders>
            <w:shd w:val="clear" w:color="auto" w:fill="auto"/>
            <w:noWrap/>
          </w:tcPr>
          <w:p w14:paraId="3E7265F3" w14:textId="77777777" w:rsidR="006B1B51" w:rsidRPr="00C7354B" w:rsidRDefault="006B1B51" w:rsidP="00CE54D1">
            <w:pPr>
              <w:widowControl w:val="0"/>
              <w:spacing w:line="240" w:lineRule="auto"/>
              <w:jc w:val="center"/>
              <w:rPr>
                <w:color w:val="000000" w:themeColor="text1"/>
                <w:kern w:val="2"/>
                <w:sz w:val="22"/>
                <w:lang w:eastAsia="zh-CN"/>
              </w:rPr>
            </w:pPr>
          </w:p>
        </w:tc>
        <w:tc>
          <w:tcPr>
            <w:tcW w:w="1894" w:type="dxa"/>
            <w:tcBorders>
              <w:top w:val="nil"/>
              <w:left w:val="nil"/>
              <w:bottom w:val="nil"/>
              <w:right w:val="nil"/>
            </w:tcBorders>
          </w:tcPr>
          <w:p w14:paraId="45BDEB4D" w14:textId="77777777" w:rsidR="006B1B51" w:rsidRPr="00C7354B" w:rsidRDefault="006B1B51" w:rsidP="00CE54D1">
            <w:pPr>
              <w:widowControl w:val="0"/>
              <w:spacing w:line="240" w:lineRule="auto"/>
              <w:jc w:val="center"/>
              <w:rPr>
                <w:color w:val="000000" w:themeColor="text1"/>
                <w:kern w:val="2"/>
                <w:sz w:val="22"/>
                <w:lang w:eastAsia="zh-CN"/>
              </w:rPr>
            </w:pPr>
          </w:p>
        </w:tc>
      </w:tr>
      <w:tr w:rsidR="006B1B51" w:rsidRPr="00C7354B" w14:paraId="25240DF1" w14:textId="77777777" w:rsidTr="00846329">
        <w:trPr>
          <w:trHeight w:val="21"/>
        </w:trPr>
        <w:tc>
          <w:tcPr>
            <w:tcW w:w="2106" w:type="dxa"/>
            <w:tcBorders>
              <w:top w:val="nil"/>
              <w:left w:val="nil"/>
              <w:bottom w:val="nil"/>
              <w:right w:val="nil"/>
            </w:tcBorders>
            <w:shd w:val="clear" w:color="auto" w:fill="auto"/>
            <w:noWrap/>
          </w:tcPr>
          <w:p w14:paraId="5F4AF7C0" w14:textId="77777777" w:rsidR="006B1B51" w:rsidRPr="00C7354B" w:rsidRDefault="006B1B51" w:rsidP="00CE54D1">
            <w:pPr>
              <w:widowControl w:val="0"/>
              <w:spacing w:line="240" w:lineRule="auto"/>
              <w:jc w:val="left"/>
              <w:rPr>
                <w:b/>
                <w:bCs/>
                <w:color w:val="000000" w:themeColor="text1"/>
                <w:kern w:val="2"/>
                <w:sz w:val="22"/>
                <w:lang w:eastAsia="zh-CN"/>
              </w:rPr>
            </w:pPr>
            <w:r w:rsidRPr="00C7354B">
              <w:rPr>
                <w:b/>
                <w:bCs/>
                <w:color w:val="000000" w:themeColor="text1"/>
                <w:kern w:val="2"/>
                <w:sz w:val="22"/>
                <w:lang w:eastAsia="zh-CN"/>
              </w:rPr>
              <w:t>(3) Agency costs</w:t>
            </w:r>
          </w:p>
        </w:tc>
        <w:tc>
          <w:tcPr>
            <w:tcW w:w="1552" w:type="dxa"/>
            <w:tcBorders>
              <w:top w:val="nil"/>
              <w:left w:val="nil"/>
              <w:bottom w:val="nil"/>
              <w:right w:val="nil"/>
            </w:tcBorders>
            <w:shd w:val="clear" w:color="auto" w:fill="auto"/>
            <w:noWrap/>
          </w:tcPr>
          <w:p w14:paraId="5A0F6A9F" w14:textId="77777777" w:rsidR="006B1B51" w:rsidRPr="00C7354B" w:rsidRDefault="006B1B51" w:rsidP="00CE54D1">
            <w:pPr>
              <w:widowControl w:val="0"/>
              <w:spacing w:line="240" w:lineRule="auto"/>
              <w:jc w:val="left"/>
              <w:rPr>
                <w:color w:val="000000" w:themeColor="text1"/>
                <w:kern w:val="2"/>
                <w:sz w:val="22"/>
                <w:lang w:eastAsia="zh-CN"/>
              </w:rPr>
            </w:pPr>
          </w:p>
        </w:tc>
        <w:tc>
          <w:tcPr>
            <w:tcW w:w="1894" w:type="dxa"/>
            <w:tcBorders>
              <w:top w:val="nil"/>
              <w:left w:val="nil"/>
              <w:bottom w:val="nil"/>
              <w:right w:val="nil"/>
            </w:tcBorders>
            <w:shd w:val="clear" w:color="auto" w:fill="auto"/>
            <w:noWrap/>
          </w:tcPr>
          <w:p w14:paraId="1C7A48DB" w14:textId="77777777" w:rsidR="006B1B51" w:rsidRPr="00C7354B" w:rsidRDefault="006B1B51" w:rsidP="00CE54D1">
            <w:pPr>
              <w:widowControl w:val="0"/>
              <w:spacing w:line="240" w:lineRule="auto"/>
              <w:jc w:val="left"/>
              <w:rPr>
                <w:color w:val="000000" w:themeColor="text1"/>
                <w:kern w:val="2"/>
                <w:sz w:val="22"/>
                <w:lang w:eastAsia="zh-CN"/>
              </w:rPr>
            </w:pPr>
          </w:p>
        </w:tc>
        <w:tc>
          <w:tcPr>
            <w:tcW w:w="1896" w:type="dxa"/>
            <w:tcBorders>
              <w:top w:val="nil"/>
              <w:left w:val="nil"/>
              <w:bottom w:val="nil"/>
              <w:right w:val="nil"/>
            </w:tcBorders>
            <w:shd w:val="clear" w:color="auto" w:fill="auto"/>
            <w:noWrap/>
          </w:tcPr>
          <w:p w14:paraId="1A49AD09" w14:textId="77777777" w:rsidR="006B1B51" w:rsidRPr="00C7354B" w:rsidRDefault="006B1B51" w:rsidP="00CE54D1">
            <w:pPr>
              <w:widowControl w:val="0"/>
              <w:spacing w:line="240" w:lineRule="auto"/>
              <w:jc w:val="left"/>
              <w:rPr>
                <w:color w:val="000000" w:themeColor="text1"/>
                <w:kern w:val="2"/>
                <w:sz w:val="22"/>
                <w:lang w:eastAsia="zh-CN"/>
              </w:rPr>
            </w:pPr>
          </w:p>
        </w:tc>
        <w:tc>
          <w:tcPr>
            <w:tcW w:w="1894" w:type="dxa"/>
            <w:tcBorders>
              <w:top w:val="nil"/>
              <w:left w:val="nil"/>
              <w:bottom w:val="nil"/>
              <w:right w:val="nil"/>
            </w:tcBorders>
          </w:tcPr>
          <w:p w14:paraId="178003F2" w14:textId="77777777" w:rsidR="006B1B51" w:rsidRPr="00C7354B" w:rsidRDefault="006B1B51" w:rsidP="00CE54D1">
            <w:pPr>
              <w:widowControl w:val="0"/>
              <w:spacing w:line="240" w:lineRule="auto"/>
              <w:jc w:val="left"/>
              <w:rPr>
                <w:color w:val="000000" w:themeColor="text1"/>
                <w:kern w:val="2"/>
                <w:sz w:val="22"/>
                <w:lang w:eastAsia="zh-CN"/>
              </w:rPr>
            </w:pPr>
          </w:p>
        </w:tc>
      </w:tr>
      <w:tr w:rsidR="006B1B51" w:rsidRPr="00C7354B" w14:paraId="1048CDDA" w14:textId="77777777" w:rsidTr="00846329">
        <w:trPr>
          <w:trHeight w:val="21"/>
        </w:trPr>
        <w:tc>
          <w:tcPr>
            <w:tcW w:w="2106" w:type="dxa"/>
            <w:tcBorders>
              <w:top w:val="nil"/>
              <w:left w:val="nil"/>
              <w:bottom w:val="nil"/>
              <w:right w:val="nil"/>
            </w:tcBorders>
            <w:shd w:val="clear" w:color="auto" w:fill="auto"/>
            <w:noWrap/>
          </w:tcPr>
          <w:p w14:paraId="378E6923" w14:textId="77777777" w:rsidR="002323D7" w:rsidRPr="002323D7" w:rsidRDefault="002323D7" w:rsidP="002323D7">
            <w:pPr>
              <w:widowControl w:val="0"/>
              <w:spacing w:line="240" w:lineRule="auto"/>
              <w:jc w:val="center"/>
              <w:rPr>
                <w:i/>
                <w:iCs/>
                <w:color w:val="000000" w:themeColor="text1"/>
                <w:kern w:val="2"/>
                <w:sz w:val="22"/>
                <w:lang w:eastAsia="zh-CN"/>
              </w:rPr>
            </w:pPr>
            <w:r w:rsidRPr="002323D7">
              <w:rPr>
                <w:i/>
                <w:iCs/>
                <w:color w:val="000000" w:themeColor="text1"/>
                <w:kern w:val="2"/>
                <w:sz w:val="22"/>
                <w:lang w:eastAsia="zh-CN"/>
              </w:rPr>
              <w:t>r</w:t>
            </w:r>
          </w:p>
          <w:p w14:paraId="6D6425CD" w14:textId="77777777" w:rsidR="002323D7" w:rsidRPr="00C7354B" w:rsidRDefault="002323D7" w:rsidP="002323D7">
            <w:pPr>
              <w:widowControl w:val="0"/>
              <w:spacing w:line="240" w:lineRule="auto"/>
              <w:jc w:val="center"/>
              <w:rPr>
                <w:color w:val="000000" w:themeColor="text1"/>
                <w:kern w:val="2"/>
                <w:sz w:val="22"/>
                <w:lang w:eastAsia="zh-CN"/>
              </w:rPr>
            </w:pPr>
            <w:r w:rsidRPr="00C7354B">
              <w:rPr>
                <w:color w:val="000000" w:themeColor="text1"/>
                <w:kern w:val="2"/>
                <w:sz w:val="22"/>
                <w:lang w:eastAsia="zh-CN"/>
              </w:rPr>
              <w:t>95% CI</w:t>
            </w:r>
          </w:p>
          <w:p w14:paraId="33C1C26A" w14:textId="360B0B41" w:rsidR="006B1B51" w:rsidRPr="00C7354B" w:rsidRDefault="002323D7" w:rsidP="002323D7">
            <w:pPr>
              <w:widowControl w:val="0"/>
              <w:spacing w:line="240" w:lineRule="auto"/>
              <w:jc w:val="center"/>
              <w:rPr>
                <w:color w:val="000000" w:themeColor="text1"/>
                <w:kern w:val="2"/>
                <w:sz w:val="22"/>
                <w:lang w:eastAsia="zh-CN"/>
              </w:rPr>
            </w:pPr>
            <w:r w:rsidRPr="002323D7">
              <w:rPr>
                <w:i/>
                <w:iCs/>
                <w:color w:val="000000" w:themeColor="text1"/>
                <w:kern w:val="2"/>
                <w:sz w:val="22"/>
                <w:lang w:eastAsia="zh-CN"/>
              </w:rPr>
              <w:t>n</w:t>
            </w:r>
            <w:r w:rsidRPr="00C7354B">
              <w:rPr>
                <w:color w:val="000000" w:themeColor="text1"/>
                <w:kern w:val="2"/>
                <w:sz w:val="22"/>
                <w:lang w:eastAsia="zh-CN"/>
              </w:rPr>
              <w:t xml:space="preserve"> (</w:t>
            </w:r>
            <w:r w:rsidRPr="002323D7">
              <w:rPr>
                <w:i/>
                <w:iCs/>
                <w:color w:val="000000" w:themeColor="text1"/>
                <w:kern w:val="2"/>
                <w:sz w:val="22"/>
                <w:lang w:eastAsia="zh-CN"/>
              </w:rPr>
              <w:t>k</w:t>
            </w:r>
            <w:r w:rsidRPr="00C7354B">
              <w:rPr>
                <w:color w:val="000000" w:themeColor="text1"/>
                <w:kern w:val="2"/>
                <w:sz w:val="22"/>
                <w:lang w:eastAsia="zh-CN"/>
              </w:rPr>
              <w:t>)</w:t>
            </w:r>
          </w:p>
        </w:tc>
        <w:tc>
          <w:tcPr>
            <w:tcW w:w="1552" w:type="dxa"/>
            <w:tcBorders>
              <w:top w:val="nil"/>
              <w:left w:val="nil"/>
              <w:bottom w:val="nil"/>
              <w:right w:val="nil"/>
            </w:tcBorders>
            <w:shd w:val="clear" w:color="auto" w:fill="auto"/>
            <w:noWrap/>
          </w:tcPr>
          <w:p w14:paraId="2B4C1DFF" w14:textId="77777777" w:rsidR="006B1B51" w:rsidRPr="00C7354B" w:rsidRDefault="006B1B51" w:rsidP="00CE54D1">
            <w:pPr>
              <w:widowControl w:val="0"/>
              <w:spacing w:line="240" w:lineRule="auto"/>
              <w:jc w:val="center"/>
              <w:rPr>
                <w:color w:val="000000" w:themeColor="text1"/>
                <w:kern w:val="2"/>
                <w:sz w:val="22"/>
                <w:lang w:eastAsia="zh-CN"/>
              </w:rPr>
            </w:pPr>
            <w:r w:rsidRPr="00C7354B">
              <w:rPr>
                <w:color w:val="000000" w:themeColor="text1"/>
                <w:kern w:val="2"/>
                <w:sz w:val="22"/>
                <w:lang w:eastAsia="zh-CN"/>
              </w:rPr>
              <w:t>.04</w:t>
            </w:r>
          </w:p>
          <w:p w14:paraId="22279009" w14:textId="77777777" w:rsidR="006B1B51" w:rsidRPr="00C7354B" w:rsidRDefault="006B1B51" w:rsidP="00CE54D1">
            <w:pPr>
              <w:widowControl w:val="0"/>
              <w:spacing w:line="240" w:lineRule="auto"/>
              <w:jc w:val="center"/>
              <w:rPr>
                <w:color w:val="000000" w:themeColor="text1"/>
                <w:kern w:val="2"/>
                <w:sz w:val="22"/>
                <w:lang w:eastAsia="zh-CN"/>
              </w:rPr>
            </w:pPr>
            <w:r w:rsidRPr="00C7354B">
              <w:rPr>
                <w:color w:val="000000" w:themeColor="text1"/>
                <w:kern w:val="2"/>
                <w:sz w:val="22"/>
                <w:lang w:eastAsia="zh-CN"/>
              </w:rPr>
              <w:t>[.01: .06]</w:t>
            </w:r>
          </w:p>
          <w:p w14:paraId="62CD7F49" w14:textId="77777777" w:rsidR="006B1B51" w:rsidRPr="00C7354B" w:rsidRDefault="006B1B51" w:rsidP="00CE54D1">
            <w:pPr>
              <w:widowControl w:val="0"/>
              <w:spacing w:line="240" w:lineRule="auto"/>
              <w:jc w:val="center"/>
              <w:rPr>
                <w:color w:val="000000" w:themeColor="text1"/>
                <w:kern w:val="2"/>
                <w:sz w:val="22"/>
                <w:lang w:eastAsia="zh-CN"/>
              </w:rPr>
            </w:pPr>
            <w:r w:rsidRPr="00C7354B">
              <w:rPr>
                <w:color w:val="000000" w:themeColor="text1"/>
                <w:kern w:val="2"/>
                <w:sz w:val="22"/>
                <w:lang w:eastAsia="zh-CN"/>
              </w:rPr>
              <w:t>452,113 (112)</w:t>
            </w:r>
          </w:p>
        </w:tc>
        <w:tc>
          <w:tcPr>
            <w:tcW w:w="1894" w:type="dxa"/>
            <w:tcBorders>
              <w:top w:val="nil"/>
              <w:left w:val="nil"/>
              <w:bottom w:val="nil"/>
              <w:right w:val="nil"/>
            </w:tcBorders>
            <w:shd w:val="clear" w:color="auto" w:fill="auto"/>
            <w:noWrap/>
          </w:tcPr>
          <w:p w14:paraId="00990172" w14:textId="77777777" w:rsidR="006B1B51" w:rsidRPr="00C7354B" w:rsidRDefault="006B1B51" w:rsidP="00CE54D1">
            <w:pPr>
              <w:widowControl w:val="0"/>
              <w:spacing w:line="240" w:lineRule="auto"/>
              <w:jc w:val="center"/>
              <w:rPr>
                <w:color w:val="000000" w:themeColor="text1"/>
                <w:kern w:val="2"/>
                <w:sz w:val="22"/>
                <w:lang w:eastAsia="zh-CN"/>
              </w:rPr>
            </w:pPr>
            <w:r w:rsidRPr="00C7354B">
              <w:rPr>
                <w:color w:val="000000" w:themeColor="text1"/>
                <w:kern w:val="2"/>
                <w:sz w:val="22"/>
                <w:lang w:eastAsia="zh-CN"/>
              </w:rPr>
              <w:t>.01</w:t>
            </w:r>
          </w:p>
          <w:p w14:paraId="08D91170" w14:textId="77777777" w:rsidR="006B1B51" w:rsidRPr="00C7354B" w:rsidRDefault="006B1B51" w:rsidP="00CE54D1">
            <w:pPr>
              <w:widowControl w:val="0"/>
              <w:spacing w:line="240" w:lineRule="auto"/>
              <w:jc w:val="center"/>
              <w:rPr>
                <w:color w:val="000000" w:themeColor="text1"/>
                <w:kern w:val="2"/>
                <w:sz w:val="22"/>
                <w:lang w:eastAsia="zh-CN"/>
              </w:rPr>
            </w:pPr>
            <w:r w:rsidRPr="00C7354B">
              <w:rPr>
                <w:color w:val="000000" w:themeColor="text1"/>
                <w:kern w:val="2"/>
                <w:sz w:val="22"/>
                <w:lang w:eastAsia="zh-CN"/>
              </w:rPr>
              <w:t>[-.05: .07]</w:t>
            </w:r>
            <w:r w:rsidRPr="00C7354B">
              <w:rPr>
                <w:color w:val="000000" w:themeColor="text1"/>
                <w:kern w:val="2"/>
                <w:sz w:val="22"/>
                <w:lang w:eastAsia="zh-CN"/>
              </w:rPr>
              <w:br/>
              <w:t>158,395 (51)</w:t>
            </w:r>
          </w:p>
        </w:tc>
        <w:tc>
          <w:tcPr>
            <w:tcW w:w="1896" w:type="dxa"/>
            <w:tcBorders>
              <w:top w:val="nil"/>
              <w:left w:val="nil"/>
              <w:bottom w:val="nil"/>
              <w:right w:val="nil"/>
            </w:tcBorders>
            <w:shd w:val="clear" w:color="auto" w:fill="auto"/>
            <w:noWrap/>
          </w:tcPr>
          <w:p w14:paraId="0A7EB0D0" w14:textId="77777777" w:rsidR="006B1B51" w:rsidRPr="00C7354B" w:rsidRDefault="006B1B51" w:rsidP="00CE54D1">
            <w:pPr>
              <w:widowControl w:val="0"/>
              <w:spacing w:line="240" w:lineRule="auto"/>
              <w:jc w:val="center"/>
              <w:rPr>
                <w:color w:val="000000" w:themeColor="text1"/>
                <w:kern w:val="2"/>
                <w:sz w:val="22"/>
                <w:lang w:eastAsia="zh-CN"/>
              </w:rPr>
            </w:pPr>
          </w:p>
        </w:tc>
        <w:tc>
          <w:tcPr>
            <w:tcW w:w="1894" w:type="dxa"/>
            <w:tcBorders>
              <w:top w:val="nil"/>
              <w:left w:val="nil"/>
              <w:bottom w:val="nil"/>
              <w:right w:val="nil"/>
            </w:tcBorders>
          </w:tcPr>
          <w:p w14:paraId="3951C03E" w14:textId="77777777" w:rsidR="006B1B51" w:rsidRPr="00C7354B" w:rsidRDefault="006B1B51" w:rsidP="00CE54D1">
            <w:pPr>
              <w:widowControl w:val="0"/>
              <w:spacing w:line="240" w:lineRule="auto"/>
              <w:jc w:val="center"/>
              <w:rPr>
                <w:color w:val="000000" w:themeColor="text1"/>
                <w:kern w:val="2"/>
                <w:sz w:val="22"/>
                <w:lang w:eastAsia="zh-CN"/>
              </w:rPr>
            </w:pPr>
          </w:p>
        </w:tc>
      </w:tr>
      <w:tr w:rsidR="006B1B51" w:rsidRPr="00C7354B" w14:paraId="6725785D" w14:textId="77777777" w:rsidTr="00846329">
        <w:trPr>
          <w:trHeight w:val="21"/>
        </w:trPr>
        <w:tc>
          <w:tcPr>
            <w:tcW w:w="2106" w:type="dxa"/>
            <w:tcBorders>
              <w:top w:val="nil"/>
              <w:left w:val="nil"/>
              <w:bottom w:val="nil"/>
              <w:right w:val="nil"/>
            </w:tcBorders>
            <w:shd w:val="clear" w:color="auto" w:fill="auto"/>
            <w:noWrap/>
          </w:tcPr>
          <w:p w14:paraId="540DCC5B" w14:textId="77777777" w:rsidR="006B1B51" w:rsidRPr="00C7354B" w:rsidRDefault="006B1B51" w:rsidP="00CE54D1">
            <w:pPr>
              <w:widowControl w:val="0"/>
              <w:spacing w:line="240" w:lineRule="auto"/>
              <w:jc w:val="left"/>
              <w:rPr>
                <w:b/>
                <w:bCs/>
                <w:color w:val="000000" w:themeColor="text1"/>
                <w:kern w:val="2"/>
                <w:sz w:val="22"/>
                <w:lang w:eastAsia="zh-CN"/>
              </w:rPr>
            </w:pPr>
            <w:r w:rsidRPr="00C7354B">
              <w:rPr>
                <w:b/>
                <w:bCs/>
                <w:color w:val="000000" w:themeColor="text1"/>
                <w:kern w:val="2"/>
                <w:sz w:val="22"/>
                <w:lang w:eastAsia="zh-CN"/>
              </w:rPr>
              <w:t>(4) Firm size</w:t>
            </w:r>
          </w:p>
        </w:tc>
        <w:tc>
          <w:tcPr>
            <w:tcW w:w="1552" w:type="dxa"/>
            <w:tcBorders>
              <w:top w:val="nil"/>
              <w:left w:val="nil"/>
              <w:bottom w:val="nil"/>
              <w:right w:val="nil"/>
            </w:tcBorders>
            <w:shd w:val="clear" w:color="auto" w:fill="auto"/>
            <w:noWrap/>
          </w:tcPr>
          <w:p w14:paraId="3065A6B0" w14:textId="77777777" w:rsidR="006B1B51" w:rsidRPr="00C7354B" w:rsidRDefault="006B1B51" w:rsidP="00CE54D1">
            <w:pPr>
              <w:widowControl w:val="0"/>
              <w:spacing w:line="240" w:lineRule="auto"/>
              <w:jc w:val="left"/>
              <w:rPr>
                <w:color w:val="000000" w:themeColor="text1"/>
                <w:kern w:val="2"/>
                <w:sz w:val="22"/>
                <w:lang w:eastAsia="zh-CN"/>
              </w:rPr>
            </w:pPr>
          </w:p>
        </w:tc>
        <w:tc>
          <w:tcPr>
            <w:tcW w:w="1894" w:type="dxa"/>
            <w:tcBorders>
              <w:top w:val="nil"/>
              <w:left w:val="nil"/>
              <w:bottom w:val="nil"/>
              <w:right w:val="nil"/>
            </w:tcBorders>
            <w:shd w:val="clear" w:color="auto" w:fill="auto"/>
            <w:noWrap/>
          </w:tcPr>
          <w:p w14:paraId="46B8696E" w14:textId="77777777" w:rsidR="006B1B51" w:rsidRPr="00C7354B" w:rsidRDefault="006B1B51" w:rsidP="00CE54D1">
            <w:pPr>
              <w:widowControl w:val="0"/>
              <w:spacing w:line="240" w:lineRule="auto"/>
              <w:jc w:val="left"/>
              <w:rPr>
                <w:color w:val="000000" w:themeColor="text1"/>
                <w:kern w:val="2"/>
                <w:sz w:val="22"/>
                <w:lang w:eastAsia="zh-CN"/>
              </w:rPr>
            </w:pPr>
          </w:p>
        </w:tc>
        <w:tc>
          <w:tcPr>
            <w:tcW w:w="1896" w:type="dxa"/>
            <w:tcBorders>
              <w:top w:val="nil"/>
              <w:left w:val="nil"/>
              <w:bottom w:val="nil"/>
              <w:right w:val="nil"/>
            </w:tcBorders>
            <w:shd w:val="clear" w:color="auto" w:fill="auto"/>
            <w:noWrap/>
          </w:tcPr>
          <w:p w14:paraId="2BB18358" w14:textId="77777777" w:rsidR="006B1B51" w:rsidRPr="00C7354B" w:rsidRDefault="006B1B51" w:rsidP="00CE54D1">
            <w:pPr>
              <w:widowControl w:val="0"/>
              <w:spacing w:line="240" w:lineRule="auto"/>
              <w:jc w:val="left"/>
              <w:rPr>
                <w:color w:val="000000" w:themeColor="text1"/>
                <w:kern w:val="2"/>
                <w:sz w:val="22"/>
                <w:lang w:eastAsia="zh-CN"/>
              </w:rPr>
            </w:pPr>
          </w:p>
        </w:tc>
        <w:tc>
          <w:tcPr>
            <w:tcW w:w="1894" w:type="dxa"/>
            <w:tcBorders>
              <w:top w:val="nil"/>
              <w:left w:val="nil"/>
              <w:bottom w:val="nil"/>
              <w:right w:val="nil"/>
            </w:tcBorders>
          </w:tcPr>
          <w:p w14:paraId="54088D67" w14:textId="77777777" w:rsidR="006B1B51" w:rsidRPr="00C7354B" w:rsidRDefault="006B1B51" w:rsidP="00CE54D1">
            <w:pPr>
              <w:widowControl w:val="0"/>
              <w:spacing w:line="240" w:lineRule="auto"/>
              <w:jc w:val="left"/>
              <w:rPr>
                <w:color w:val="000000" w:themeColor="text1"/>
                <w:kern w:val="2"/>
                <w:sz w:val="22"/>
                <w:lang w:eastAsia="zh-CN"/>
              </w:rPr>
            </w:pPr>
          </w:p>
        </w:tc>
      </w:tr>
      <w:tr w:rsidR="006B1B51" w:rsidRPr="00C7354B" w14:paraId="649F6224" w14:textId="77777777" w:rsidTr="00846329">
        <w:trPr>
          <w:trHeight w:val="21"/>
        </w:trPr>
        <w:tc>
          <w:tcPr>
            <w:tcW w:w="2106" w:type="dxa"/>
            <w:tcBorders>
              <w:top w:val="nil"/>
              <w:left w:val="nil"/>
              <w:right w:val="nil"/>
            </w:tcBorders>
            <w:shd w:val="clear" w:color="auto" w:fill="auto"/>
            <w:noWrap/>
          </w:tcPr>
          <w:p w14:paraId="32E1A84E" w14:textId="77777777" w:rsidR="002323D7" w:rsidRPr="002323D7" w:rsidRDefault="002323D7" w:rsidP="002323D7">
            <w:pPr>
              <w:widowControl w:val="0"/>
              <w:spacing w:line="240" w:lineRule="auto"/>
              <w:jc w:val="center"/>
              <w:rPr>
                <w:i/>
                <w:iCs/>
                <w:color w:val="000000" w:themeColor="text1"/>
                <w:kern w:val="2"/>
                <w:sz w:val="22"/>
                <w:lang w:eastAsia="zh-CN"/>
              </w:rPr>
            </w:pPr>
            <w:r w:rsidRPr="002323D7">
              <w:rPr>
                <w:i/>
                <w:iCs/>
                <w:color w:val="000000" w:themeColor="text1"/>
                <w:kern w:val="2"/>
                <w:sz w:val="22"/>
                <w:lang w:eastAsia="zh-CN"/>
              </w:rPr>
              <w:t>r</w:t>
            </w:r>
          </w:p>
          <w:p w14:paraId="1602764E" w14:textId="77777777" w:rsidR="002323D7" w:rsidRPr="00C7354B" w:rsidRDefault="002323D7" w:rsidP="002323D7">
            <w:pPr>
              <w:widowControl w:val="0"/>
              <w:spacing w:line="240" w:lineRule="auto"/>
              <w:jc w:val="center"/>
              <w:rPr>
                <w:color w:val="000000" w:themeColor="text1"/>
                <w:kern w:val="2"/>
                <w:sz w:val="22"/>
                <w:lang w:eastAsia="zh-CN"/>
              </w:rPr>
            </w:pPr>
            <w:r w:rsidRPr="00C7354B">
              <w:rPr>
                <w:color w:val="000000" w:themeColor="text1"/>
                <w:kern w:val="2"/>
                <w:sz w:val="22"/>
                <w:lang w:eastAsia="zh-CN"/>
              </w:rPr>
              <w:t>95% CI</w:t>
            </w:r>
          </w:p>
          <w:p w14:paraId="68B8FC1F" w14:textId="77814A20" w:rsidR="006B1B51" w:rsidRPr="00C7354B" w:rsidRDefault="002323D7" w:rsidP="002323D7">
            <w:pPr>
              <w:widowControl w:val="0"/>
              <w:spacing w:line="240" w:lineRule="auto"/>
              <w:jc w:val="center"/>
              <w:rPr>
                <w:color w:val="000000" w:themeColor="text1"/>
                <w:kern w:val="2"/>
                <w:sz w:val="22"/>
                <w:lang w:eastAsia="zh-CN"/>
              </w:rPr>
            </w:pPr>
            <w:r w:rsidRPr="002323D7">
              <w:rPr>
                <w:i/>
                <w:iCs/>
                <w:color w:val="000000" w:themeColor="text1"/>
                <w:kern w:val="2"/>
                <w:sz w:val="22"/>
                <w:lang w:eastAsia="zh-CN"/>
              </w:rPr>
              <w:t>n</w:t>
            </w:r>
            <w:r w:rsidRPr="00C7354B">
              <w:rPr>
                <w:color w:val="000000" w:themeColor="text1"/>
                <w:kern w:val="2"/>
                <w:sz w:val="22"/>
                <w:lang w:eastAsia="zh-CN"/>
              </w:rPr>
              <w:t xml:space="preserve"> (</w:t>
            </w:r>
            <w:r w:rsidRPr="002323D7">
              <w:rPr>
                <w:i/>
                <w:iCs/>
                <w:color w:val="000000" w:themeColor="text1"/>
                <w:kern w:val="2"/>
                <w:sz w:val="22"/>
                <w:lang w:eastAsia="zh-CN"/>
              </w:rPr>
              <w:t>k</w:t>
            </w:r>
            <w:r w:rsidRPr="00C7354B">
              <w:rPr>
                <w:color w:val="000000" w:themeColor="text1"/>
                <w:kern w:val="2"/>
                <w:sz w:val="22"/>
                <w:lang w:eastAsia="zh-CN"/>
              </w:rPr>
              <w:t>)</w:t>
            </w:r>
          </w:p>
        </w:tc>
        <w:tc>
          <w:tcPr>
            <w:tcW w:w="1552" w:type="dxa"/>
            <w:tcBorders>
              <w:top w:val="nil"/>
              <w:left w:val="nil"/>
              <w:right w:val="nil"/>
            </w:tcBorders>
            <w:shd w:val="clear" w:color="auto" w:fill="auto"/>
            <w:noWrap/>
          </w:tcPr>
          <w:p w14:paraId="1BAD27E0" w14:textId="77777777" w:rsidR="006B1B51" w:rsidRPr="00C7354B" w:rsidRDefault="006B1B51" w:rsidP="00CE54D1">
            <w:pPr>
              <w:widowControl w:val="0"/>
              <w:spacing w:line="240" w:lineRule="auto"/>
              <w:jc w:val="center"/>
              <w:rPr>
                <w:color w:val="000000" w:themeColor="text1"/>
                <w:kern w:val="2"/>
                <w:sz w:val="22"/>
                <w:lang w:eastAsia="zh-CN"/>
              </w:rPr>
            </w:pPr>
            <w:r w:rsidRPr="00C7354B">
              <w:rPr>
                <w:color w:val="000000" w:themeColor="text1"/>
                <w:kern w:val="2"/>
                <w:sz w:val="22"/>
                <w:lang w:eastAsia="zh-CN"/>
              </w:rPr>
              <w:t>.24</w:t>
            </w:r>
          </w:p>
          <w:p w14:paraId="5CDF8474" w14:textId="77777777" w:rsidR="006B1B51" w:rsidRPr="00C7354B" w:rsidRDefault="006B1B51" w:rsidP="00CE54D1">
            <w:pPr>
              <w:widowControl w:val="0"/>
              <w:spacing w:line="240" w:lineRule="auto"/>
              <w:jc w:val="center"/>
              <w:rPr>
                <w:color w:val="000000" w:themeColor="text1"/>
                <w:kern w:val="2"/>
                <w:sz w:val="22"/>
                <w:lang w:eastAsia="zh-CN"/>
              </w:rPr>
            </w:pPr>
            <w:r w:rsidRPr="00C7354B">
              <w:rPr>
                <w:color w:val="000000" w:themeColor="text1"/>
                <w:kern w:val="2"/>
                <w:sz w:val="22"/>
                <w:lang w:eastAsia="zh-CN"/>
              </w:rPr>
              <w:t>[.20: .27]</w:t>
            </w:r>
          </w:p>
          <w:p w14:paraId="05E94C4E" w14:textId="77777777" w:rsidR="006B1B51" w:rsidRPr="00C7354B" w:rsidRDefault="006B1B51" w:rsidP="00CE54D1">
            <w:pPr>
              <w:widowControl w:val="0"/>
              <w:spacing w:line="240" w:lineRule="auto"/>
              <w:jc w:val="center"/>
              <w:rPr>
                <w:color w:val="000000" w:themeColor="text1"/>
                <w:kern w:val="2"/>
                <w:sz w:val="22"/>
                <w:lang w:eastAsia="zh-CN"/>
              </w:rPr>
            </w:pPr>
            <w:r w:rsidRPr="00C7354B">
              <w:rPr>
                <w:color w:val="000000" w:themeColor="text1"/>
                <w:kern w:val="2"/>
                <w:sz w:val="22"/>
                <w:lang w:eastAsia="zh-CN"/>
              </w:rPr>
              <w:t>635,659 (140)</w:t>
            </w:r>
          </w:p>
        </w:tc>
        <w:tc>
          <w:tcPr>
            <w:tcW w:w="1894" w:type="dxa"/>
            <w:tcBorders>
              <w:top w:val="nil"/>
              <w:left w:val="nil"/>
              <w:right w:val="nil"/>
            </w:tcBorders>
            <w:shd w:val="clear" w:color="auto" w:fill="auto"/>
            <w:noWrap/>
          </w:tcPr>
          <w:p w14:paraId="622110F8" w14:textId="77777777" w:rsidR="006B1B51" w:rsidRPr="00C7354B" w:rsidRDefault="006B1B51" w:rsidP="00CE54D1">
            <w:pPr>
              <w:widowControl w:val="0"/>
              <w:spacing w:line="240" w:lineRule="auto"/>
              <w:jc w:val="center"/>
              <w:rPr>
                <w:color w:val="000000" w:themeColor="text1"/>
                <w:kern w:val="2"/>
                <w:sz w:val="22"/>
                <w:lang w:eastAsia="zh-CN"/>
              </w:rPr>
            </w:pPr>
            <w:r w:rsidRPr="00C7354B">
              <w:rPr>
                <w:color w:val="000000" w:themeColor="text1"/>
                <w:kern w:val="2"/>
                <w:sz w:val="22"/>
                <w:lang w:eastAsia="zh-CN"/>
              </w:rPr>
              <w:t>.10</w:t>
            </w:r>
          </w:p>
          <w:p w14:paraId="2994E29F" w14:textId="77777777" w:rsidR="006B1B51" w:rsidRPr="00C7354B" w:rsidRDefault="006B1B51" w:rsidP="00CE54D1">
            <w:pPr>
              <w:widowControl w:val="0"/>
              <w:spacing w:line="240" w:lineRule="auto"/>
              <w:jc w:val="center"/>
              <w:rPr>
                <w:color w:val="000000" w:themeColor="text1"/>
                <w:kern w:val="2"/>
                <w:sz w:val="22"/>
                <w:lang w:eastAsia="zh-CN"/>
              </w:rPr>
            </w:pPr>
            <w:r w:rsidRPr="00C7354B">
              <w:rPr>
                <w:color w:val="000000" w:themeColor="text1"/>
                <w:kern w:val="2"/>
                <w:sz w:val="22"/>
                <w:lang w:eastAsia="zh-CN"/>
              </w:rPr>
              <w:t>[.02: .18]</w:t>
            </w:r>
            <w:r w:rsidRPr="00C7354B">
              <w:rPr>
                <w:color w:val="000000" w:themeColor="text1"/>
                <w:kern w:val="2"/>
                <w:sz w:val="22"/>
                <w:lang w:eastAsia="zh-CN"/>
              </w:rPr>
              <w:br/>
              <w:t>200,477 (62)</w:t>
            </w:r>
          </w:p>
        </w:tc>
        <w:tc>
          <w:tcPr>
            <w:tcW w:w="1896" w:type="dxa"/>
            <w:tcBorders>
              <w:top w:val="nil"/>
              <w:left w:val="nil"/>
              <w:right w:val="nil"/>
            </w:tcBorders>
            <w:shd w:val="clear" w:color="auto" w:fill="auto"/>
            <w:noWrap/>
          </w:tcPr>
          <w:p w14:paraId="4FC6B026" w14:textId="77777777" w:rsidR="006B1B51" w:rsidRPr="00C7354B" w:rsidRDefault="006B1B51" w:rsidP="00CE54D1">
            <w:pPr>
              <w:widowControl w:val="0"/>
              <w:spacing w:line="240" w:lineRule="auto"/>
              <w:jc w:val="center"/>
              <w:rPr>
                <w:color w:val="000000" w:themeColor="text1"/>
                <w:kern w:val="2"/>
                <w:sz w:val="22"/>
                <w:lang w:eastAsia="zh-CN"/>
              </w:rPr>
            </w:pPr>
            <w:r w:rsidRPr="00C7354B">
              <w:rPr>
                <w:color w:val="000000" w:themeColor="text1"/>
                <w:kern w:val="2"/>
                <w:sz w:val="22"/>
                <w:lang w:eastAsia="zh-CN"/>
              </w:rPr>
              <w:t>.11</w:t>
            </w:r>
          </w:p>
          <w:p w14:paraId="14607919" w14:textId="77777777" w:rsidR="006B1B51" w:rsidRPr="00C7354B" w:rsidRDefault="006B1B51" w:rsidP="00CE54D1">
            <w:pPr>
              <w:widowControl w:val="0"/>
              <w:spacing w:line="240" w:lineRule="auto"/>
              <w:jc w:val="center"/>
              <w:rPr>
                <w:color w:val="000000" w:themeColor="text1"/>
                <w:kern w:val="2"/>
                <w:sz w:val="22"/>
                <w:lang w:eastAsia="zh-CN"/>
              </w:rPr>
            </w:pPr>
            <w:r w:rsidRPr="00C7354B">
              <w:rPr>
                <w:color w:val="000000" w:themeColor="text1"/>
                <w:kern w:val="2"/>
                <w:sz w:val="22"/>
                <w:lang w:eastAsia="zh-CN"/>
              </w:rPr>
              <w:t>[.07: .14]</w:t>
            </w:r>
            <w:r w:rsidRPr="00C7354B">
              <w:rPr>
                <w:color w:val="000000" w:themeColor="text1"/>
                <w:kern w:val="2"/>
                <w:sz w:val="22"/>
                <w:lang w:eastAsia="zh-CN"/>
              </w:rPr>
              <w:br/>
              <w:t>487,126 (114)</w:t>
            </w:r>
          </w:p>
        </w:tc>
        <w:tc>
          <w:tcPr>
            <w:tcW w:w="1894" w:type="dxa"/>
            <w:tcBorders>
              <w:top w:val="nil"/>
              <w:left w:val="nil"/>
              <w:right w:val="nil"/>
            </w:tcBorders>
          </w:tcPr>
          <w:p w14:paraId="54127F02" w14:textId="77777777" w:rsidR="006B1B51" w:rsidRPr="00C7354B" w:rsidRDefault="006B1B51" w:rsidP="00CE54D1">
            <w:pPr>
              <w:widowControl w:val="0"/>
              <w:spacing w:line="240" w:lineRule="auto"/>
              <w:jc w:val="center"/>
              <w:rPr>
                <w:color w:val="000000" w:themeColor="text1"/>
                <w:kern w:val="2"/>
                <w:sz w:val="22"/>
                <w:lang w:eastAsia="zh-CN"/>
              </w:rPr>
            </w:pPr>
          </w:p>
        </w:tc>
      </w:tr>
      <w:tr w:rsidR="006B1B51" w:rsidRPr="00C7354B" w14:paraId="62123A37" w14:textId="77777777" w:rsidTr="00846329">
        <w:trPr>
          <w:trHeight w:val="21"/>
        </w:trPr>
        <w:tc>
          <w:tcPr>
            <w:tcW w:w="2106" w:type="dxa"/>
            <w:tcBorders>
              <w:top w:val="nil"/>
              <w:left w:val="nil"/>
              <w:right w:val="nil"/>
            </w:tcBorders>
            <w:shd w:val="clear" w:color="auto" w:fill="auto"/>
            <w:noWrap/>
          </w:tcPr>
          <w:p w14:paraId="5184E6EE" w14:textId="77777777" w:rsidR="006B1B51" w:rsidRPr="00C7354B" w:rsidRDefault="006B1B51" w:rsidP="00CE54D1">
            <w:pPr>
              <w:widowControl w:val="0"/>
              <w:spacing w:line="240" w:lineRule="auto"/>
              <w:jc w:val="left"/>
              <w:rPr>
                <w:b/>
                <w:bCs/>
                <w:color w:val="000000" w:themeColor="text1"/>
                <w:kern w:val="2"/>
                <w:sz w:val="22"/>
                <w:lang w:eastAsia="zh-CN"/>
              </w:rPr>
            </w:pPr>
            <w:r w:rsidRPr="00C7354B">
              <w:rPr>
                <w:b/>
                <w:bCs/>
                <w:color w:val="000000" w:themeColor="text1"/>
                <w:kern w:val="2"/>
                <w:sz w:val="22"/>
                <w:lang w:eastAsia="zh-CN"/>
              </w:rPr>
              <w:t>(5) Performance</w:t>
            </w:r>
          </w:p>
        </w:tc>
        <w:tc>
          <w:tcPr>
            <w:tcW w:w="1552" w:type="dxa"/>
            <w:tcBorders>
              <w:top w:val="nil"/>
              <w:left w:val="nil"/>
              <w:right w:val="nil"/>
            </w:tcBorders>
            <w:shd w:val="clear" w:color="auto" w:fill="auto"/>
            <w:noWrap/>
          </w:tcPr>
          <w:p w14:paraId="729C08DB" w14:textId="77777777" w:rsidR="006B1B51" w:rsidRPr="00C7354B" w:rsidRDefault="006B1B51" w:rsidP="00CE54D1">
            <w:pPr>
              <w:widowControl w:val="0"/>
              <w:spacing w:line="240" w:lineRule="auto"/>
              <w:jc w:val="left"/>
              <w:rPr>
                <w:color w:val="000000" w:themeColor="text1"/>
                <w:kern w:val="2"/>
                <w:sz w:val="22"/>
                <w:lang w:eastAsia="zh-CN"/>
              </w:rPr>
            </w:pPr>
          </w:p>
        </w:tc>
        <w:tc>
          <w:tcPr>
            <w:tcW w:w="1894" w:type="dxa"/>
            <w:tcBorders>
              <w:top w:val="nil"/>
              <w:left w:val="nil"/>
              <w:right w:val="nil"/>
            </w:tcBorders>
            <w:shd w:val="clear" w:color="auto" w:fill="auto"/>
            <w:noWrap/>
          </w:tcPr>
          <w:p w14:paraId="670CB5F0" w14:textId="77777777" w:rsidR="006B1B51" w:rsidRPr="00C7354B" w:rsidRDefault="006B1B51" w:rsidP="00CE54D1">
            <w:pPr>
              <w:widowControl w:val="0"/>
              <w:spacing w:line="240" w:lineRule="auto"/>
              <w:jc w:val="left"/>
              <w:rPr>
                <w:color w:val="000000" w:themeColor="text1"/>
                <w:kern w:val="2"/>
                <w:sz w:val="22"/>
                <w:lang w:eastAsia="zh-CN"/>
              </w:rPr>
            </w:pPr>
          </w:p>
        </w:tc>
        <w:tc>
          <w:tcPr>
            <w:tcW w:w="1896" w:type="dxa"/>
            <w:tcBorders>
              <w:top w:val="nil"/>
              <w:left w:val="nil"/>
              <w:right w:val="nil"/>
            </w:tcBorders>
            <w:shd w:val="clear" w:color="auto" w:fill="auto"/>
            <w:noWrap/>
          </w:tcPr>
          <w:p w14:paraId="6DACA61B" w14:textId="77777777" w:rsidR="006B1B51" w:rsidRPr="00C7354B" w:rsidRDefault="006B1B51" w:rsidP="00CE54D1">
            <w:pPr>
              <w:widowControl w:val="0"/>
              <w:spacing w:line="240" w:lineRule="auto"/>
              <w:jc w:val="left"/>
              <w:rPr>
                <w:color w:val="000000" w:themeColor="text1"/>
                <w:kern w:val="2"/>
                <w:sz w:val="22"/>
                <w:lang w:eastAsia="zh-CN"/>
              </w:rPr>
            </w:pPr>
          </w:p>
        </w:tc>
        <w:tc>
          <w:tcPr>
            <w:tcW w:w="1894" w:type="dxa"/>
            <w:tcBorders>
              <w:top w:val="nil"/>
              <w:left w:val="nil"/>
              <w:right w:val="nil"/>
            </w:tcBorders>
          </w:tcPr>
          <w:p w14:paraId="136D458F" w14:textId="77777777" w:rsidR="006B1B51" w:rsidRPr="00C7354B" w:rsidRDefault="006B1B51" w:rsidP="00CE54D1">
            <w:pPr>
              <w:widowControl w:val="0"/>
              <w:spacing w:line="240" w:lineRule="auto"/>
              <w:jc w:val="left"/>
              <w:rPr>
                <w:color w:val="000000" w:themeColor="text1"/>
                <w:kern w:val="2"/>
                <w:sz w:val="22"/>
                <w:lang w:eastAsia="zh-CN"/>
              </w:rPr>
            </w:pPr>
          </w:p>
        </w:tc>
      </w:tr>
      <w:tr w:rsidR="006B1B51" w:rsidRPr="00C7354B" w14:paraId="4F8C120B" w14:textId="77777777" w:rsidTr="00846329">
        <w:trPr>
          <w:trHeight w:val="73"/>
        </w:trPr>
        <w:tc>
          <w:tcPr>
            <w:tcW w:w="2106" w:type="dxa"/>
            <w:tcBorders>
              <w:left w:val="nil"/>
              <w:bottom w:val="single" w:sz="4" w:space="0" w:color="auto"/>
              <w:right w:val="nil"/>
            </w:tcBorders>
            <w:shd w:val="clear" w:color="auto" w:fill="auto"/>
            <w:noWrap/>
          </w:tcPr>
          <w:p w14:paraId="70267B85" w14:textId="77777777" w:rsidR="002323D7" w:rsidRPr="002323D7" w:rsidRDefault="002323D7" w:rsidP="002323D7">
            <w:pPr>
              <w:widowControl w:val="0"/>
              <w:spacing w:line="240" w:lineRule="auto"/>
              <w:jc w:val="center"/>
              <w:rPr>
                <w:i/>
                <w:iCs/>
                <w:color w:val="000000" w:themeColor="text1"/>
                <w:kern w:val="2"/>
                <w:sz w:val="22"/>
                <w:lang w:eastAsia="zh-CN"/>
              </w:rPr>
            </w:pPr>
            <w:r w:rsidRPr="002323D7">
              <w:rPr>
                <w:i/>
                <w:iCs/>
                <w:color w:val="000000" w:themeColor="text1"/>
                <w:kern w:val="2"/>
                <w:sz w:val="22"/>
                <w:lang w:eastAsia="zh-CN"/>
              </w:rPr>
              <w:t>r</w:t>
            </w:r>
          </w:p>
          <w:p w14:paraId="0F5D8AB7" w14:textId="77777777" w:rsidR="002323D7" w:rsidRPr="00C7354B" w:rsidRDefault="002323D7" w:rsidP="002323D7">
            <w:pPr>
              <w:widowControl w:val="0"/>
              <w:spacing w:line="240" w:lineRule="auto"/>
              <w:jc w:val="center"/>
              <w:rPr>
                <w:color w:val="000000" w:themeColor="text1"/>
                <w:kern w:val="2"/>
                <w:sz w:val="22"/>
                <w:lang w:eastAsia="zh-CN"/>
              </w:rPr>
            </w:pPr>
            <w:r w:rsidRPr="00C7354B">
              <w:rPr>
                <w:color w:val="000000" w:themeColor="text1"/>
                <w:kern w:val="2"/>
                <w:sz w:val="22"/>
                <w:lang w:eastAsia="zh-CN"/>
              </w:rPr>
              <w:t>95% CI</w:t>
            </w:r>
          </w:p>
          <w:p w14:paraId="7AC4F4E3" w14:textId="129F4974" w:rsidR="006B1B51" w:rsidRPr="00C7354B" w:rsidRDefault="002323D7" w:rsidP="002323D7">
            <w:pPr>
              <w:widowControl w:val="0"/>
              <w:spacing w:line="240" w:lineRule="auto"/>
              <w:jc w:val="center"/>
              <w:rPr>
                <w:color w:val="000000" w:themeColor="text1"/>
                <w:kern w:val="2"/>
                <w:sz w:val="22"/>
                <w:lang w:eastAsia="zh-CN"/>
              </w:rPr>
            </w:pPr>
            <w:r w:rsidRPr="002323D7">
              <w:rPr>
                <w:i/>
                <w:iCs/>
                <w:color w:val="000000" w:themeColor="text1"/>
                <w:kern w:val="2"/>
                <w:sz w:val="22"/>
                <w:lang w:eastAsia="zh-CN"/>
              </w:rPr>
              <w:t>n</w:t>
            </w:r>
            <w:r w:rsidRPr="00C7354B">
              <w:rPr>
                <w:color w:val="000000" w:themeColor="text1"/>
                <w:kern w:val="2"/>
                <w:sz w:val="22"/>
                <w:lang w:eastAsia="zh-CN"/>
              </w:rPr>
              <w:t xml:space="preserve"> (</w:t>
            </w:r>
            <w:r w:rsidRPr="002323D7">
              <w:rPr>
                <w:i/>
                <w:iCs/>
                <w:color w:val="000000" w:themeColor="text1"/>
                <w:kern w:val="2"/>
                <w:sz w:val="22"/>
                <w:lang w:eastAsia="zh-CN"/>
              </w:rPr>
              <w:t>k</w:t>
            </w:r>
            <w:r w:rsidRPr="00C7354B">
              <w:rPr>
                <w:color w:val="000000" w:themeColor="text1"/>
                <w:kern w:val="2"/>
                <w:sz w:val="22"/>
                <w:lang w:eastAsia="zh-CN"/>
              </w:rPr>
              <w:t>)</w:t>
            </w:r>
          </w:p>
        </w:tc>
        <w:tc>
          <w:tcPr>
            <w:tcW w:w="1552" w:type="dxa"/>
            <w:tcBorders>
              <w:left w:val="nil"/>
              <w:bottom w:val="single" w:sz="4" w:space="0" w:color="auto"/>
              <w:right w:val="nil"/>
            </w:tcBorders>
            <w:shd w:val="clear" w:color="auto" w:fill="auto"/>
            <w:noWrap/>
          </w:tcPr>
          <w:p w14:paraId="70F3B2EE" w14:textId="77777777" w:rsidR="006B1B51" w:rsidRPr="00C7354B" w:rsidRDefault="006B1B51" w:rsidP="00CE54D1">
            <w:pPr>
              <w:widowControl w:val="0"/>
              <w:spacing w:line="240" w:lineRule="auto"/>
              <w:jc w:val="center"/>
              <w:rPr>
                <w:color w:val="000000" w:themeColor="text1"/>
                <w:kern w:val="2"/>
                <w:sz w:val="22"/>
                <w:lang w:eastAsia="zh-CN"/>
              </w:rPr>
            </w:pPr>
            <w:r w:rsidRPr="00C7354B">
              <w:rPr>
                <w:color w:val="000000" w:themeColor="text1"/>
                <w:kern w:val="2"/>
                <w:sz w:val="22"/>
                <w:lang w:eastAsia="zh-CN"/>
              </w:rPr>
              <w:t>.03</w:t>
            </w:r>
          </w:p>
          <w:p w14:paraId="50244813" w14:textId="77777777" w:rsidR="006B1B51" w:rsidRPr="00C7354B" w:rsidRDefault="006B1B51" w:rsidP="00CE54D1">
            <w:pPr>
              <w:widowControl w:val="0"/>
              <w:spacing w:line="240" w:lineRule="auto"/>
              <w:jc w:val="center"/>
              <w:rPr>
                <w:color w:val="000000" w:themeColor="text1"/>
                <w:kern w:val="2"/>
                <w:sz w:val="22"/>
                <w:lang w:eastAsia="zh-CN"/>
              </w:rPr>
            </w:pPr>
            <w:r w:rsidRPr="00C7354B">
              <w:rPr>
                <w:color w:val="000000" w:themeColor="text1"/>
                <w:kern w:val="2"/>
                <w:sz w:val="22"/>
                <w:lang w:eastAsia="zh-CN"/>
              </w:rPr>
              <w:t>[.01: .05]</w:t>
            </w:r>
          </w:p>
          <w:p w14:paraId="1AEDE53C" w14:textId="77777777" w:rsidR="006B1B51" w:rsidRPr="00C7354B" w:rsidRDefault="006B1B51" w:rsidP="00CE54D1">
            <w:pPr>
              <w:widowControl w:val="0"/>
              <w:spacing w:line="240" w:lineRule="auto"/>
              <w:jc w:val="center"/>
              <w:rPr>
                <w:color w:val="000000" w:themeColor="text1"/>
                <w:kern w:val="2"/>
                <w:sz w:val="22"/>
                <w:lang w:eastAsia="zh-CN"/>
              </w:rPr>
            </w:pPr>
            <w:r w:rsidRPr="00C7354B">
              <w:rPr>
                <w:color w:val="000000" w:themeColor="text1"/>
                <w:kern w:val="2"/>
                <w:sz w:val="22"/>
                <w:lang w:eastAsia="zh-CN"/>
              </w:rPr>
              <w:t>1,133,014 (191)</w:t>
            </w:r>
          </w:p>
        </w:tc>
        <w:tc>
          <w:tcPr>
            <w:tcW w:w="1894" w:type="dxa"/>
            <w:tcBorders>
              <w:left w:val="nil"/>
              <w:bottom w:val="single" w:sz="4" w:space="0" w:color="auto"/>
              <w:right w:val="nil"/>
            </w:tcBorders>
            <w:shd w:val="clear" w:color="auto" w:fill="auto"/>
            <w:noWrap/>
          </w:tcPr>
          <w:p w14:paraId="337FEA97" w14:textId="77777777" w:rsidR="006B1B51" w:rsidRPr="00C7354B" w:rsidRDefault="006B1B51" w:rsidP="00CE54D1">
            <w:pPr>
              <w:widowControl w:val="0"/>
              <w:spacing w:line="240" w:lineRule="auto"/>
              <w:jc w:val="center"/>
              <w:rPr>
                <w:color w:val="000000" w:themeColor="text1"/>
                <w:kern w:val="2"/>
                <w:sz w:val="22"/>
                <w:lang w:eastAsia="zh-CN"/>
              </w:rPr>
            </w:pPr>
            <w:r w:rsidRPr="00C7354B">
              <w:rPr>
                <w:color w:val="000000" w:themeColor="text1"/>
                <w:kern w:val="2"/>
                <w:sz w:val="22"/>
                <w:lang w:eastAsia="zh-CN"/>
              </w:rPr>
              <w:t>.05</w:t>
            </w:r>
          </w:p>
          <w:p w14:paraId="4D577ABF" w14:textId="77777777" w:rsidR="006B1B51" w:rsidRPr="00C7354B" w:rsidRDefault="006B1B51" w:rsidP="00CE54D1">
            <w:pPr>
              <w:widowControl w:val="0"/>
              <w:spacing w:line="240" w:lineRule="auto"/>
              <w:jc w:val="center"/>
              <w:rPr>
                <w:color w:val="000000" w:themeColor="text1"/>
                <w:kern w:val="2"/>
                <w:sz w:val="22"/>
                <w:lang w:eastAsia="zh-CN"/>
              </w:rPr>
            </w:pPr>
            <w:r w:rsidRPr="00C7354B">
              <w:rPr>
                <w:color w:val="000000" w:themeColor="text1"/>
                <w:kern w:val="2"/>
                <w:sz w:val="22"/>
                <w:lang w:eastAsia="zh-CN"/>
              </w:rPr>
              <w:t>[.00: .09]</w:t>
            </w:r>
            <w:r w:rsidRPr="00C7354B">
              <w:rPr>
                <w:color w:val="000000" w:themeColor="text1"/>
                <w:kern w:val="2"/>
                <w:sz w:val="22"/>
                <w:lang w:eastAsia="zh-CN"/>
              </w:rPr>
              <w:br/>
              <w:t>177,090 (68)</w:t>
            </w:r>
          </w:p>
        </w:tc>
        <w:tc>
          <w:tcPr>
            <w:tcW w:w="1896" w:type="dxa"/>
            <w:tcBorders>
              <w:left w:val="nil"/>
              <w:bottom w:val="single" w:sz="4" w:space="0" w:color="auto"/>
              <w:right w:val="nil"/>
            </w:tcBorders>
            <w:shd w:val="clear" w:color="auto" w:fill="auto"/>
            <w:noWrap/>
          </w:tcPr>
          <w:p w14:paraId="300CCDB3" w14:textId="77777777" w:rsidR="006B1B51" w:rsidRPr="00C7354B" w:rsidRDefault="006B1B51" w:rsidP="00CE54D1">
            <w:pPr>
              <w:widowControl w:val="0"/>
              <w:spacing w:line="240" w:lineRule="auto"/>
              <w:jc w:val="center"/>
              <w:rPr>
                <w:color w:val="000000" w:themeColor="text1"/>
                <w:kern w:val="2"/>
                <w:sz w:val="22"/>
                <w:lang w:eastAsia="zh-CN"/>
              </w:rPr>
            </w:pPr>
            <w:r w:rsidRPr="00C7354B">
              <w:rPr>
                <w:color w:val="000000" w:themeColor="text1"/>
                <w:kern w:val="2"/>
                <w:sz w:val="22"/>
                <w:lang w:eastAsia="zh-CN"/>
              </w:rPr>
              <w:t>-.03</w:t>
            </w:r>
          </w:p>
          <w:p w14:paraId="763C1D79" w14:textId="77777777" w:rsidR="006B1B51" w:rsidRPr="00C7354B" w:rsidRDefault="006B1B51" w:rsidP="00CE54D1">
            <w:pPr>
              <w:widowControl w:val="0"/>
              <w:spacing w:line="240" w:lineRule="auto"/>
              <w:jc w:val="center"/>
              <w:rPr>
                <w:color w:val="000000" w:themeColor="text1"/>
                <w:kern w:val="2"/>
                <w:sz w:val="22"/>
                <w:lang w:eastAsia="zh-CN"/>
              </w:rPr>
            </w:pPr>
            <w:r w:rsidRPr="00C7354B">
              <w:rPr>
                <w:color w:val="000000" w:themeColor="text1"/>
                <w:kern w:val="2"/>
                <w:sz w:val="22"/>
                <w:lang w:eastAsia="zh-CN"/>
              </w:rPr>
              <w:t>[-.08: .01]</w:t>
            </w:r>
            <w:r w:rsidRPr="00C7354B">
              <w:rPr>
                <w:color w:val="000000" w:themeColor="text1"/>
                <w:kern w:val="2"/>
                <w:sz w:val="22"/>
                <w:lang w:eastAsia="zh-CN"/>
              </w:rPr>
              <w:br/>
              <w:t>504,446 (121)</w:t>
            </w:r>
          </w:p>
        </w:tc>
        <w:tc>
          <w:tcPr>
            <w:tcW w:w="1894" w:type="dxa"/>
            <w:tcBorders>
              <w:left w:val="nil"/>
              <w:bottom w:val="single" w:sz="4" w:space="0" w:color="auto"/>
              <w:right w:val="nil"/>
            </w:tcBorders>
          </w:tcPr>
          <w:p w14:paraId="7B4395CD" w14:textId="77777777" w:rsidR="006B1B51" w:rsidRPr="00C7354B" w:rsidRDefault="006B1B51" w:rsidP="00CE54D1">
            <w:pPr>
              <w:widowControl w:val="0"/>
              <w:spacing w:line="240" w:lineRule="auto"/>
              <w:jc w:val="center"/>
              <w:rPr>
                <w:color w:val="000000" w:themeColor="text1"/>
                <w:kern w:val="2"/>
                <w:sz w:val="22"/>
                <w:lang w:eastAsia="zh-CN"/>
              </w:rPr>
            </w:pPr>
            <w:r w:rsidRPr="00C7354B">
              <w:rPr>
                <w:color w:val="000000" w:themeColor="text1"/>
                <w:kern w:val="2"/>
                <w:sz w:val="22"/>
                <w:lang w:eastAsia="zh-CN"/>
              </w:rPr>
              <w:t>.06</w:t>
            </w:r>
          </w:p>
          <w:p w14:paraId="6AD6DA92" w14:textId="77777777" w:rsidR="006B1B51" w:rsidRPr="00C7354B" w:rsidRDefault="006B1B51" w:rsidP="00CE54D1">
            <w:pPr>
              <w:widowControl w:val="0"/>
              <w:spacing w:line="240" w:lineRule="auto"/>
              <w:jc w:val="center"/>
              <w:rPr>
                <w:color w:val="000000" w:themeColor="text1"/>
                <w:kern w:val="2"/>
                <w:sz w:val="22"/>
                <w:lang w:eastAsia="zh-CN"/>
              </w:rPr>
            </w:pPr>
            <w:r w:rsidRPr="00C7354B">
              <w:rPr>
                <w:color w:val="000000" w:themeColor="text1"/>
                <w:kern w:val="2"/>
                <w:sz w:val="22"/>
                <w:lang w:eastAsia="zh-CN"/>
              </w:rPr>
              <w:t>[.03: .10]</w:t>
            </w:r>
            <w:r w:rsidRPr="00C7354B">
              <w:rPr>
                <w:color w:val="000000" w:themeColor="text1"/>
                <w:kern w:val="2"/>
                <w:sz w:val="22"/>
                <w:lang w:eastAsia="zh-CN"/>
              </w:rPr>
              <w:br/>
              <w:t>669,506 (149)</w:t>
            </w:r>
          </w:p>
        </w:tc>
      </w:tr>
    </w:tbl>
    <w:p w14:paraId="4B9D0557" w14:textId="77777777" w:rsidR="006B1B51" w:rsidRPr="00C7354B" w:rsidRDefault="006B1B51" w:rsidP="006B1B51">
      <w:pPr>
        <w:widowControl w:val="0"/>
        <w:adjustRightInd w:val="0"/>
        <w:snapToGrid w:val="0"/>
        <w:spacing w:before="60" w:after="60" w:line="240" w:lineRule="auto"/>
        <w:rPr>
          <w:rFonts w:eastAsia="SimSun"/>
          <w:color w:val="000000" w:themeColor="text1"/>
          <w:kern w:val="2"/>
          <w:sz w:val="22"/>
          <w:lang w:val="en-US" w:eastAsia="zh-CN"/>
        </w:rPr>
      </w:pPr>
      <w:r w:rsidRPr="00C7354B">
        <w:rPr>
          <w:rFonts w:eastAsia="SimSun"/>
          <w:i/>
          <w:iCs/>
          <w:color w:val="000000" w:themeColor="text1"/>
          <w:kern w:val="2"/>
          <w:sz w:val="22"/>
          <w:lang w:val="en-US" w:eastAsia="zh-CN"/>
        </w:rPr>
        <w:t>Note:</w:t>
      </w:r>
      <w:r w:rsidRPr="00C7354B">
        <w:rPr>
          <w:rFonts w:eastAsia="SimSun"/>
          <w:color w:val="000000" w:themeColor="text1"/>
          <w:kern w:val="2"/>
          <w:sz w:val="22"/>
          <w:lang w:val="en-US" w:eastAsia="zh-CN"/>
        </w:rPr>
        <w:t xml:space="preserve"> </w:t>
      </w:r>
      <w:r w:rsidRPr="00C7354B">
        <w:rPr>
          <w:rFonts w:eastAsia="SimSun"/>
          <w:i/>
          <w:iCs/>
          <w:color w:val="000000" w:themeColor="text1"/>
          <w:kern w:val="2"/>
          <w:sz w:val="22"/>
          <w:lang w:val="en-US" w:eastAsia="zh-CN"/>
        </w:rPr>
        <w:t>r</w:t>
      </w:r>
      <w:r w:rsidRPr="00C7354B">
        <w:rPr>
          <w:rFonts w:eastAsia="SimSun"/>
          <w:color w:val="000000" w:themeColor="text1"/>
          <w:kern w:val="2"/>
          <w:sz w:val="22"/>
          <w:lang w:val="en-US" w:eastAsia="zh-CN"/>
        </w:rPr>
        <w:t xml:space="preserve"> = inverse variance weighted effect size; 95% </w:t>
      </w:r>
      <w:r w:rsidRPr="00C7354B">
        <w:rPr>
          <w:rFonts w:eastAsia="SimSun"/>
          <w:i/>
          <w:iCs/>
          <w:color w:val="000000" w:themeColor="text1"/>
          <w:kern w:val="2"/>
          <w:sz w:val="22"/>
          <w:lang w:val="en-US" w:eastAsia="zh-CN"/>
        </w:rPr>
        <w:t>CI</w:t>
      </w:r>
      <w:r w:rsidRPr="00C7354B">
        <w:rPr>
          <w:rFonts w:eastAsia="SimSun"/>
          <w:color w:val="000000" w:themeColor="text1"/>
          <w:kern w:val="2"/>
          <w:sz w:val="22"/>
          <w:lang w:val="en-US" w:eastAsia="zh-CN"/>
        </w:rPr>
        <w:t xml:space="preserve"> = 95% confidence interval; </w:t>
      </w:r>
      <w:r w:rsidRPr="00C7354B">
        <w:rPr>
          <w:rFonts w:eastAsia="SimSun"/>
          <w:i/>
          <w:iCs/>
          <w:color w:val="000000" w:themeColor="text1"/>
          <w:kern w:val="2"/>
          <w:sz w:val="22"/>
          <w:lang w:val="en-US" w:eastAsia="zh-CN"/>
        </w:rPr>
        <w:t>n</w:t>
      </w:r>
      <w:r w:rsidRPr="00C7354B">
        <w:rPr>
          <w:rFonts w:eastAsia="SimSun"/>
          <w:color w:val="000000" w:themeColor="text1"/>
          <w:kern w:val="2"/>
          <w:sz w:val="22"/>
          <w:lang w:val="en-US" w:eastAsia="zh-CN"/>
        </w:rPr>
        <w:t xml:space="preserve"> = observations in primary studies (sample size); </w:t>
      </w:r>
      <w:r w:rsidRPr="00C7354B">
        <w:rPr>
          <w:rFonts w:eastAsia="SimSun"/>
          <w:i/>
          <w:iCs/>
          <w:color w:val="000000" w:themeColor="text1"/>
          <w:kern w:val="2"/>
          <w:sz w:val="22"/>
          <w:lang w:val="en-US" w:eastAsia="zh-CN"/>
        </w:rPr>
        <w:t>k</w:t>
      </w:r>
      <w:r w:rsidRPr="00C7354B">
        <w:rPr>
          <w:rFonts w:eastAsia="SimSun"/>
          <w:color w:val="000000" w:themeColor="text1"/>
          <w:kern w:val="2"/>
          <w:sz w:val="22"/>
          <w:lang w:val="en-US" w:eastAsia="zh-CN"/>
        </w:rPr>
        <w:t xml:space="preserve"> = number of effect sizes.</w:t>
      </w:r>
    </w:p>
    <w:p w14:paraId="61E2B02C" w14:textId="77777777" w:rsidR="006B1B51" w:rsidRDefault="006B1B51" w:rsidP="006B1B51">
      <w:pPr>
        <w:spacing w:after="160" w:line="259" w:lineRule="auto"/>
        <w:jc w:val="left"/>
        <w:rPr>
          <w:rFonts w:eastAsia="Times New Roman" w:cs="Times New Roman"/>
          <w:szCs w:val="24"/>
          <w:lang w:val="en-US" w:eastAsia="de-DE"/>
        </w:rPr>
      </w:pPr>
      <w:r w:rsidRPr="006B1B51">
        <w:rPr>
          <w:lang w:val="en-US"/>
        </w:rPr>
        <w:br w:type="page"/>
      </w:r>
    </w:p>
    <w:p w14:paraId="45C33417" w14:textId="77777777" w:rsidR="00406027" w:rsidRPr="004E5844" w:rsidRDefault="00406027" w:rsidP="00406027">
      <w:pPr>
        <w:pStyle w:val="1fake"/>
      </w:pPr>
      <w:r w:rsidRPr="004E5844">
        <w:lastRenderedPageBreak/>
        <w:t xml:space="preserve">Online Supplement </w:t>
      </w:r>
      <w:r>
        <w:t>3</w:t>
      </w:r>
    </w:p>
    <w:p w14:paraId="461D0D04" w14:textId="2D44E5C4" w:rsidR="003A640A" w:rsidRPr="004E5844" w:rsidRDefault="003A640A" w:rsidP="003A640A">
      <w:pPr>
        <w:pStyle w:val="Tabelle"/>
      </w:pPr>
      <w:bookmarkStart w:id="247" w:name="_Toc180964660"/>
      <w:r>
        <w:t xml:space="preserve">T - I - </w:t>
      </w:r>
      <w:r>
        <w:fldChar w:fldCharType="begin"/>
      </w:r>
      <w:r>
        <w:instrText xml:space="preserve"> SEQ T_-_I_- \* ARABIC </w:instrText>
      </w:r>
      <w:r>
        <w:fldChar w:fldCharType="separate"/>
      </w:r>
      <w:r w:rsidR="00E91088">
        <w:rPr>
          <w:noProof/>
        </w:rPr>
        <w:t>10</w:t>
      </w:r>
      <w:r>
        <w:fldChar w:fldCharType="end"/>
      </w:r>
      <w:r>
        <w:t xml:space="preserve">: </w:t>
      </w:r>
      <w:r w:rsidRPr="00895BEE">
        <w:t xml:space="preserve">TSSEM </w:t>
      </w:r>
      <w:r w:rsidR="007F2F08">
        <w:t>r</w:t>
      </w:r>
      <w:r w:rsidRPr="00895BEE">
        <w:t>esults</w:t>
      </w:r>
      <w:bookmarkEnd w:id="247"/>
    </w:p>
    <w:tbl>
      <w:tblPr>
        <w:tblW w:w="9072" w:type="dxa"/>
        <w:tblLayout w:type="fixed"/>
        <w:tblCellMar>
          <w:top w:w="14" w:type="dxa"/>
          <w:left w:w="14" w:type="dxa"/>
          <w:bottom w:w="14" w:type="dxa"/>
          <w:right w:w="14" w:type="dxa"/>
        </w:tblCellMar>
        <w:tblLook w:val="04A0" w:firstRow="1" w:lastRow="0" w:firstColumn="1" w:lastColumn="0" w:noHBand="0" w:noVBand="1"/>
      </w:tblPr>
      <w:tblGrid>
        <w:gridCol w:w="2275"/>
        <w:gridCol w:w="2274"/>
        <w:gridCol w:w="2274"/>
        <w:gridCol w:w="2249"/>
      </w:tblGrid>
      <w:tr w:rsidR="00406027" w:rsidRPr="00C7354B" w14:paraId="01794795" w14:textId="77777777" w:rsidTr="00846329">
        <w:trPr>
          <w:trHeight w:val="124"/>
        </w:trPr>
        <w:tc>
          <w:tcPr>
            <w:tcW w:w="2310" w:type="dxa"/>
            <w:tcBorders>
              <w:top w:val="single" w:sz="4" w:space="0" w:color="auto"/>
              <w:left w:val="nil"/>
              <w:bottom w:val="single" w:sz="4" w:space="0" w:color="auto"/>
              <w:right w:val="nil"/>
            </w:tcBorders>
            <w:shd w:val="clear" w:color="auto" w:fill="auto"/>
            <w:noWrap/>
            <w:hideMark/>
          </w:tcPr>
          <w:p w14:paraId="096031D1" w14:textId="0A50AD1C" w:rsidR="00406027" w:rsidRPr="00C7354B" w:rsidRDefault="003953A5" w:rsidP="006B1B51">
            <w:pPr>
              <w:widowControl w:val="0"/>
              <w:spacing w:line="240" w:lineRule="auto"/>
              <w:jc w:val="left"/>
              <w:rPr>
                <w:b/>
                <w:bCs/>
                <w:color w:val="000000" w:themeColor="text1"/>
                <w:kern w:val="2"/>
                <w:sz w:val="22"/>
                <w:lang w:eastAsia="zh-CN"/>
              </w:rPr>
            </w:pPr>
            <w:r w:rsidRPr="00C7354B">
              <w:rPr>
                <w:b/>
                <w:bCs/>
                <w:color w:val="000000" w:themeColor="text1"/>
                <w:kern w:val="2"/>
                <w:sz w:val="22"/>
                <w:lang w:eastAsia="zh-CN"/>
              </w:rPr>
              <w:t>Relationships</w:t>
            </w:r>
          </w:p>
        </w:tc>
        <w:tc>
          <w:tcPr>
            <w:tcW w:w="2310" w:type="dxa"/>
            <w:tcBorders>
              <w:top w:val="single" w:sz="4" w:space="0" w:color="auto"/>
              <w:left w:val="nil"/>
              <w:bottom w:val="single" w:sz="4" w:space="0" w:color="auto"/>
              <w:right w:val="nil"/>
            </w:tcBorders>
          </w:tcPr>
          <w:p w14:paraId="4A63CF67" w14:textId="77777777" w:rsidR="00406027" w:rsidRPr="00C7354B" w:rsidRDefault="00406027" w:rsidP="006B1B51">
            <w:pPr>
              <w:widowControl w:val="0"/>
              <w:spacing w:line="240" w:lineRule="auto"/>
              <w:jc w:val="center"/>
              <w:rPr>
                <w:b/>
                <w:bCs/>
                <w:color w:val="000000" w:themeColor="text1"/>
                <w:kern w:val="2"/>
                <w:sz w:val="22"/>
                <w:lang w:eastAsia="zh-CN"/>
              </w:rPr>
            </w:pPr>
            <w:r w:rsidRPr="00C7354B">
              <w:rPr>
                <w:b/>
                <w:bCs/>
                <w:color w:val="000000" w:themeColor="text1"/>
                <w:kern w:val="2"/>
                <w:sz w:val="22"/>
                <w:lang w:eastAsia="zh-CN"/>
              </w:rPr>
              <w:t>Resource provision</w:t>
            </w:r>
          </w:p>
        </w:tc>
        <w:tc>
          <w:tcPr>
            <w:tcW w:w="2310" w:type="dxa"/>
            <w:tcBorders>
              <w:top w:val="single" w:sz="4" w:space="0" w:color="auto"/>
              <w:left w:val="nil"/>
              <w:bottom w:val="single" w:sz="4" w:space="0" w:color="auto"/>
              <w:right w:val="nil"/>
            </w:tcBorders>
          </w:tcPr>
          <w:p w14:paraId="72189043" w14:textId="77777777" w:rsidR="00406027" w:rsidRPr="00C7354B" w:rsidRDefault="00406027" w:rsidP="006B1B51">
            <w:pPr>
              <w:widowControl w:val="0"/>
              <w:spacing w:line="240" w:lineRule="auto"/>
              <w:jc w:val="center"/>
              <w:rPr>
                <w:b/>
                <w:bCs/>
                <w:color w:val="000000" w:themeColor="text1"/>
                <w:kern w:val="2"/>
                <w:sz w:val="22"/>
                <w:lang w:eastAsia="zh-CN"/>
              </w:rPr>
            </w:pPr>
            <w:r w:rsidRPr="00C7354B">
              <w:rPr>
                <w:b/>
                <w:bCs/>
                <w:color w:val="000000" w:themeColor="text1"/>
                <w:kern w:val="2"/>
                <w:sz w:val="22"/>
                <w:lang w:eastAsia="zh-CN"/>
              </w:rPr>
              <w:t>Agency costs</w:t>
            </w:r>
          </w:p>
        </w:tc>
        <w:tc>
          <w:tcPr>
            <w:tcW w:w="2284" w:type="dxa"/>
            <w:tcBorders>
              <w:top w:val="single" w:sz="4" w:space="0" w:color="auto"/>
              <w:left w:val="nil"/>
              <w:bottom w:val="single" w:sz="4" w:space="0" w:color="auto"/>
              <w:right w:val="nil"/>
            </w:tcBorders>
          </w:tcPr>
          <w:p w14:paraId="33633F1F" w14:textId="77777777" w:rsidR="00406027" w:rsidRPr="00C7354B" w:rsidRDefault="00406027" w:rsidP="006B1B51">
            <w:pPr>
              <w:widowControl w:val="0"/>
              <w:spacing w:line="240" w:lineRule="auto"/>
              <w:jc w:val="center"/>
              <w:rPr>
                <w:b/>
                <w:bCs/>
                <w:color w:val="000000" w:themeColor="text1"/>
                <w:kern w:val="2"/>
                <w:sz w:val="22"/>
                <w:lang w:eastAsia="zh-CN"/>
              </w:rPr>
            </w:pPr>
            <w:r w:rsidRPr="00C7354B">
              <w:rPr>
                <w:b/>
                <w:bCs/>
                <w:color w:val="000000" w:themeColor="text1"/>
                <w:kern w:val="2"/>
                <w:sz w:val="22"/>
                <w:lang w:eastAsia="zh-CN"/>
              </w:rPr>
              <w:t>Performance</w:t>
            </w:r>
          </w:p>
        </w:tc>
      </w:tr>
      <w:tr w:rsidR="00406027" w:rsidRPr="00C7354B" w14:paraId="2841687A" w14:textId="77777777" w:rsidTr="00846329">
        <w:trPr>
          <w:trHeight w:val="86"/>
        </w:trPr>
        <w:tc>
          <w:tcPr>
            <w:tcW w:w="2310" w:type="dxa"/>
            <w:tcBorders>
              <w:top w:val="nil"/>
              <w:left w:val="nil"/>
              <w:bottom w:val="nil"/>
              <w:right w:val="nil"/>
            </w:tcBorders>
            <w:shd w:val="clear" w:color="auto" w:fill="auto"/>
            <w:noWrap/>
          </w:tcPr>
          <w:p w14:paraId="24BBBEE7" w14:textId="77777777" w:rsidR="00406027" w:rsidRPr="00C7354B" w:rsidRDefault="00406027" w:rsidP="006B1B51">
            <w:pPr>
              <w:widowControl w:val="0"/>
              <w:spacing w:line="240" w:lineRule="auto"/>
              <w:jc w:val="left"/>
              <w:rPr>
                <w:color w:val="000000" w:themeColor="text1"/>
                <w:kern w:val="2"/>
                <w:sz w:val="22"/>
                <w:lang w:eastAsia="zh-CN"/>
              </w:rPr>
            </w:pPr>
            <w:r w:rsidRPr="00C7354B">
              <w:rPr>
                <w:color w:val="000000" w:themeColor="text1"/>
                <w:kern w:val="2"/>
                <w:sz w:val="22"/>
                <w:lang w:eastAsia="zh-CN"/>
              </w:rPr>
              <w:t>Main Relationships</w:t>
            </w:r>
          </w:p>
        </w:tc>
        <w:tc>
          <w:tcPr>
            <w:tcW w:w="2310" w:type="dxa"/>
            <w:tcBorders>
              <w:top w:val="nil"/>
              <w:left w:val="nil"/>
              <w:bottom w:val="nil"/>
              <w:right w:val="nil"/>
            </w:tcBorders>
          </w:tcPr>
          <w:p w14:paraId="519757FE" w14:textId="77777777" w:rsidR="00406027" w:rsidRPr="00C7354B" w:rsidRDefault="00406027" w:rsidP="006B1B51">
            <w:pPr>
              <w:widowControl w:val="0"/>
              <w:spacing w:line="240" w:lineRule="auto"/>
              <w:jc w:val="center"/>
              <w:rPr>
                <w:color w:val="000000" w:themeColor="text1"/>
                <w:kern w:val="2"/>
                <w:sz w:val="22"/>
                <w:lang w:eastAsia="zh-CN"/>
              </w:rPr>
            </w:pPr>
          </w:p>
        </w:tc>
        <w:tc>
          <w:tcPr>
            <w:tcW w:w="2310" w:type="dxa"/>
            <w:tcBorders>
              <w:top w:val="nil"/>
              <w:left w:val="nil"/>
              <w:bottom w:val="nil"/>
              <w:right w:val="nil"/>
            </w:tcBorders>
          </w:tcPr>
          <w:p w14:paraId="361799D5" w14:textId="77777777" w:rsidR="00406027" w:rsidRPr="00C7354B" w:rsidRDefault="00406027" w:rsidP="006B1B51">
            <w:pPr>
              <w:widowControl w:val="0"/>
              <w:spacing w:line="240" w:lineRule="auto"/>
              <w:jc w:val="center"/>
              <w:rPr>
                <w:color w:val="000000" w:themeColor="text1"/>
                <w:kern w:val="2"/>
                <w:sz w:val="22"/>
                <w:lang w:eastAsia="zh-CN"/>
              </w:rPr>
            </w:pPr>
          </w:p>
        </w:tc>
        <w:tc>
          <w:tcPr>
            <w:tcW w:w="2284" w:type="dxa"/>
            <w:tcBorders>
              <w:top w:val="nil"/>
              <w:left w:val="nil"/>
              <w:bottom w:val="nil"/>
              <w:right w:val="nil"/>
            </w:tcBorders>
          </w:tcPr>
          <w:p w14:paraId="42754769" w14:textId="77777777" w:rsidR="00406027" w:rsidRPr="00C7354B" w:rsidRDefault="00406027" w:rsidP="006B1B51">
            <w:pPr>
              <w:widowControl w:val="0"/>
              <w:spacing w:line="240" w:lineRule="auto"/>
              <w:jc w:val="center"/>
              <w:rPr>
                <w:color w:val="000000" w:themeColor="text1"/>
                <w:kern w:val="2"/>
                <w:sz w:val="22"/>
                <w:lang w:eastAsia="zh-CN"/>
              </w:rPr>
            </w:pPr>
          </w:p>
        </w:tc>
      </w:tr>
      <w:tr w:rsidR="00406027" w:rsidRPr="00C7354B" w14:paraId="429C5AD6" w14:textId="77777777" w:rsidTr="00846329">
        <w:trPr>
          <w:trHeight w:val="86"/>
        </w:trPr>
        <w:tc>
          <w:tcPr>
            <w:tcW w:w="2310" w:type="dxa"/>
            <w:tcBorders>
              <w:top w:val="nil"/>
              <w:left w:val="nil"/>
              <w:bottom w:val="nil"/>
              <w:right w:val="nil"/>
            </w:tcBorders>
            <w:shd w:val="clear" w:color="auto" w:fill="auto"/>
            <w:noWrap/>
            <w:hideMark/>
          </w:tcPr>
          <w:p w14:paraId="7051E849" w14:textId="77777777" w:rsidR="00406027" w:rsidRPr="00C7354B" w:rsidRDefault="00406027" w:rsidP="006B1B51">
            <w:pPr>
              <w:widowControl w:val="0"/>
              <w:spacing w:line="240" w:lineRule="auto"/>
              <w:jc w:val="left"/>
              <w:rPr>
                <w:color w:val="000000" w:themeColor="text1"/>
                <w:kern w:val="2"/>
                <w:sz w:val="22"/>
                <w:lang w:eastAsia="zh-CN"/>
              </w:rPr>
            </w:pPr>
            <w:r w:rsidRPr="00C7354B">
              <w:rPr>
                <w:color w:val="000000" w:themeColor="text1"/>
                <w:kern w:val="2"/>
                <w:sz w:val="22"/>
                <w:lang w:eastAsia="zh-CN"/>
              </w:rPr>
              <w:t xml:space="preserve">   Board interlocks</w:t>
            </w:r>
          </w:p>
        </w:tc>
        <w:tc>
          <w:tcPr>
            <w:tcW w:w="2310" w:type="dxa"/>
            <w:tcBorders>
              <w:top w:val="nil"/>
              <w:left w:val="nil"/>
              <w:bottom w:val="nil"/>
              <w:right w:val="nil"/>
            </w:tcBorders>
          </w:tcPr>
          <w:p w14:paraId="11491BCD" w14:textId="77777777" w:rsidR="00406027" w:rsidRPr="00C7354B" w:rsidRDefault="00406027" w:rsidP="006B1B51">
            <w:pPr>
              <w:widowControl w:val="0"/>
              <w:spacing w:line="240" w:lineRule="auto"/>
              <w:jc w:val="center"/>
              <w:rPr>
                <w:color w:val="000000" w:themeColor="text1"/>
                <w:kern w:val="2"/>
                <w:sz w:val="22"/>
                <w:lang w:eastAsia="zh-CN"/>
              </w:rPr>
            </w:pPr>
            <w:r w:rsidRPr="00C7354B">
              <w:rPr>
                <w:color w:val="000000" w:themeColor="text1"/>
                <w:kern w:val="2"/>
                <w:sz w:val="22"/>
                <w:lang w:eastAsia="zh-CN"/>
              </w:rPr>
              <w:t>.07 (.02) [&lt;.001]</w:t>
            </w:r>
          </w:p>
        </w:tc>
        <w:tc>
          <w:tcPr>
            <w:tcW w:w="2310" w:type="dxa"/>
            <w:tcBorders>
              <w:top w:val="nil"/>
              <w:left w:val="nil"/>
              <w:bottom w:val="nil"/>
              <w:right w:val="nil"/>
            </w:tcBorders>
          </w:tcPr>
          <w:p w14:paraId="3CBC54E0" w14:textId="77777777" w:rsidR="00406027" w:rsidRPr="00C7354B" w:rsidRDefault="00406027" w:rsidP="006B1B51">
            <w:pPr>
              <w:widowControl w:val="0"/>
              <w:spacing w:line="240" w:lineRule="auto"/>
              <w:jc w:val="center"/>
              <w:rPr>
                <w:color w:val="000000" w:themeColor="text1"/>
                <w:kern w:val="2"/>
                <w:sz w:val="22"/>
                <w:lang w:eastAsia="zh-CN"/>
              </w:rPr>
            </w:pPr>
            <w:r w:rsidRPr="00C7354B">
              <w:rPr>
                <w:color w:val="000000" w:themeColor="text1"/>
                <w:kern w:val="2"/>
                <w:sz w:val="22"/>
                <w:lang w:eastAsia="zh-CN"/>
              </w:rPr>
              <w:t>.04 (.01) [&lt;.001]</w:t>
            </w:r>
          </w:p>
        </w:tc>
        <w:tc>
          <w:tcPr>
            <w:tcW w:w="2284" w:type="dxa"/>
            <w:tcBorders>
              <w:top w:val="nil"/>
              <w:left w:val="nil"/>
              <w:bottom w:val="nil"/>
              <w:right w:val="nil"/>
            </w:tcBorders>
          </w:tcPr>
          <w:p w14:paraId="2010E134" w14:textId="77777777" w:rsidR="00406027" w:rsidRPr="00C7354B" w:rsidRDefault="00406027" w:rsidP="006B1B51">
            <w:pPr>
              <w:widowControl w:val="0"/>
              <w:spacing w:line="240" w:lineRule="auto"/>
              <w:jc w:val="center"/>
              <w:rPr>
                <w:color w:val="000000" w:themeColor="text1"/>
                <w:kern w:val="2"/>
                <w:sz w:val="22"/>
                <w:lang w:eastAsia="zh-CN"/>
              </w:rPr>
            </w:pPr>
            <w:r w:rsidRPr="00C7354B">
              <w:rPr>
                <w:color w:val="000000" w:themeColor="text1"/>
                <w:kern w:val="2"/>
                <w:sz w:val="22"/>
                <w:lang w:eastAsia="zh-CN"/>
              </w:rPr>
              <w:t>.01 (.01) [.159]</w:t>
            </w:r>
          </w:p>
        </w:tc>
      </w:tr>
      <w:tr w:rsidR="00406027" w:rsidRPr="00C7354B" w14:paraId="4341B7CF" w14:textId="77777777" w:rsidTr="00846329">
        <w:trPr>
          <w:trHeight w:val="86"/>
        </w:trPr>
        <w:tc>
          <w:tcPr>
            <w:tcW w:w="2310" w:type="dxa"/>
            <w:tcBorders>
              <w:top w:val="nil"/>
              <w:left w:val="nil"/>
              <w:bottom w:val="nil"/>
              <w:right w:val="nil"/>
            </w:tcBorders>
            <w:shd w:val="clear" w:color="auto" w:fill="auto"/>
            <w:noWrap/>
          </w:tcPr>
          <w:p w14:paraId="0355A082" w14:textId="77777777" w:rsidR="00406027" w:rsidRPr="00C7354B" w:rsidRDefault="00406027" w:rsidP="006B1B51">
            <w:pPr>
              <w:widowControl w:val="0"/>
              <w:spacing w:line="240" w:lineRule="auto"/>
              <w:jc w:val="left"/>
              <w:rPr>
                <w:color w:val="000000" w:themeColor="text1"/>
                <w:kern w:val="2"/>
                <w:sz w:val="22"/>
                <w:lang w:eastAsia="zh-CN"/>
              </w:rPr>
            </w:pPr>
            <w:r w:rsidRPr="00C7354B">
              <w:rPr>
                <w:color w:val="000000" w:themeColor="text1"/>
                <w:kern w:val="2"/>
                <w:sz w:val="22"/>
                <w:lang w:eastAsia="zh-CN"/>
              </w:rPr>
              <w:t xml:space="preserve">   Resource provision</w:t>
            </w:r>
          </w:p>
        </w:tc>
        <w:tc>
          <w:tcPr>
            <w:tcW w:w="2310" w:type="dxa"/>
            <w:tcBorders>
              <w:top w:val="nil"/>
              <w:left w:val="nil"/>
              <w:bottom w:val="nil"/>
              <w:right w:val="nil"/>
            </w:tcBorders>
          </w:tcPr>
          <w:p w14:paraId="06FB49C3" w14:textId="77777777" w:rsidR="00406027" w:rsidRPr="00C7354B" w:rsidRDefault="00406027" w:rsidP="006B1B51">
            <w:pPr>
              <w:widowControl w:val="0"/>
              <w:spacing w:line="240" w:lineRule="auto"/>
              <w:jc w:val="center"/>
              <w:rPr>
                <w:color w:val="000000" w:themeColor="text1"/>
                <w:kern w:val="2"/>
                <w:sz w:val="22"/>
                <w:lang w:eastAsia="zh-CN"/>
              </w:rPr>
            </w:pPr>
          </w:p>
        </w:tc>
        <w:tc>
          <w:tcPr>
            <w:tcW w:w="2310" w:type="dxa"/>
            <w:tcBorders>
              <w:top w:val="nil"/>
              <w:left w:val="nil"/>
              <w:bottom w:val="nil"/>
              <w:right w:val="nil"/>
            </w:tcBorders>
          </w:tcPr>
          <w:p w14:paraId="71496998" w14:textId="77777777" w:rsidR="00406027" w:rsidRPr="00C7354B" w:rsidRDefault="00406027" w:rsidP="006B1B51">
            <w:pPr>
              <w:widowControl w:val="0"/>
              <w:spacing w:line="240" w:lineRule="auto"/>
              <w:jc w:val="center"/>
              <w:rPr>
                <w:color w:val="000000" w:themeColor="text1"/>
                <w:kern w:val="2"/>
                <w:sz w:val="22"/>
                <w:lang w:eastAsia="zh-CN"/>
              </w:rPr>
            </w:pPr>
          </w:p>
        </w:tc>
        <w:tc>
          <w:tcPr>
            <w:tcW w:w="2284" w:type="dxa"/>
            <w:tcBorders>
              <w:top w:val="nil"/>
              <w:left w:val="nil"/>
              <w:bottom w:val="nil"/>
              <w:right w:val="nil"/>
            </w:tcBorders>
          </w:tcPr>
          <w:p w14:paraId="2864EF6C" w14:textId="77777777" w:rsidR="00406027" w:rsidRPr="00C7354B" w:rsidRDefault="00406027" w:rsidP="006B1B51">
            <w:pPr>
              <w:widowControl w:val="0"/>
              <w:spacing w:line="240" w:lineRule="auto"/>
              <w:jc w:val="center"/>
              <w:rPr>
                <w:color w:val="000000" w:themeColor="text1"/>
                <w:kern w:val="2"/>
                <w:sz w:val="22"/>
                <w:lang w:eastAsia="zh-CN"/>
              </w:rPr>
            </w:pPr>
            <w:r w:rsidRPr="00C7354B">
              <w:rPr>
                <w:color w:val="000000" w:themeColor="text1"/>
                <w:kern w:val="2"/>
                <w:sz w:val="22"/>
                <w:lang w:eastAsia="zh-CN"/>
              </w:rPr>
              <w:t>.04 (.03) [.016]</w:t>
            </w:r>
          </w:p>
        </w:tc>
      </w:tr>
      <w:tr w:rsidR="00406027" w:rsidRPr="00C7354B" w14:paraId="058627E2" w14:textId="77777777" w:rsidTr="00846329">
        <w:trPr>
          <w:trHeight w:val="86"/>
        </w:trPr>
        <w:tc>
          <w:tcPr>
            <w:tcW w:w="2310" w:type="dxa"/>
            <w:tcBorders>
              <w:top w:val="nil"/>
              <w:left w:val="nil"/>
              <w:bottom w:val="nil"/>
              <w:right w:val="nil"/>
            </w:tcBorders>
            <w:shd w:val="clear" w:color="auto" w:fill="auto"/>
            <w:noWrap/>
          </w:tcPr>
          <w:p w14:paraId="4B35552B" w14:textId="77777777" w:rsidR="00406027" w:rsidRPr="00C7354B" w:rsidRDefault="00406027" w:rsidP="006B1B51">
            <w:pPr>
              <w:widowControl w:val="0"/>
              <w:spacing w:line="240" w:lineRule="auto"/>
              <w:jc w:val="left"/>
              <w:rPr>
                <w:color w:val="000000" w:themeColor="text1"/>
                <w:kern w:val="2"/>
                <w:sz w:val="22"/>
                <w:lang w:eastAsia="zh-CN"/>
              </w:rPr>
            </w:pPr>
            <w:r w:rsidRPr="00C7354B">
              <w:rPr>
                <w:color w:val="000000" w:themeColor="text1"/>
                <w:kern w:val="2"/>
                <w:sz w:val="22"/>
                <w:lang w:eastAsia="zh-CN"/>
              </w:rPr>
              <w:t xml:space="preserve">   Agency costs</w:t>
            </w:r>
          </w:p>
        </w:tc>
        <w:tc>
          <w:tcPr>
            <w:tcW w:w="2310" w:type="dxa"/>
            <w:tcBorders>
              <w:top w:val="nil"/>
              <w:left w:val="nil"/>
              <w:bottom w:val="nil"/>
              <w:right w:val="nil"/>
            </w:tcBorders>
          </w:tcPr>
          <w:p w14:paraId="58112BB6" w14:textId="77777777" w:rsidR="00406027" w:rsidRPr="00C7354B" w:rsidRDefault="00406027" w:rsidP="006B1B51">
            <w:pPr>
              <w:widowControl w:val="0"/>
              <w:spacing w:line="240" w:lineRule="auto"/>
              <w:jc w:val="center"/>
              <w:rPr>
                <w:color w:val="000000" w:themeColor="text1"/>
                <w:kern w:val="2"/>
                <w:sz w:val="22"/>
                <w:lang w:eastAsia="zh-CN"/>
              </w:rPr>
            </w:pPr>
          </w:p>
        </w:tc>
        <w:tc>
          <w:tcPr>
            <w:tcW w:w="2310" w:type="dxa"/>
            <w:tcBorders>
              <w:top w:val="nil"/>
              <w:left w:val="nil"/>
              <w:bottom w:val="nil"/>
              <w:right w:val="nil"/>
            </w:tcBorders>
          </w:tcPr>
          <w:p w14:paraId="25C6BDD6" w14:textId="77777777" w:rsidR="00406027" w:rsidRPr="00C7354B" w:rsidRDefault="00406027" w:rsidP="006B1B51">
            <w:pPr>
              <w:widowControl w:val="0"/>
              <w:spacing w:line="240" w:lineRule="auto"/>
              <w:jc w:val="center"/>
              <w:rPr>
                <w:color w:val="000000" w:themeColor="text1"/>
                <w:kern w:val="2"/>
                <w:sz w:val="22"/>
                <w:lang w:eastAsia="zh-CN"/>
              </w:rPr>
            </w:pPr>
          </w:p>
        </w:tc>
        <w:tc>
          <w:tcPr>
            <w:tcW w:w="2284" w:type="dxa"/>
            <w:tcBorders>
              <w:top w:val="nil"/>
              <w:left w:val="nil"/>
              <w:bottom w:val="nil"/>
              <w:right w:val="nil"/>
            </w:tcBorders>
          </w:tcPr>
          <w:p w14:paraId="546D709D" w14:textId="77777777" w:rsidR="00406027" w:rsidRPr="00C7354B" w:rsidRDefault="00406027" w:rsidP="006B1B51">
            <w:pPr>
              <w:widowControl w:val="0"/>
              <w:spacing w:line="240" w:lineRule="auto"/>
              <w:jc w:val="center"/>
              <w:rPr>
                <w:color w:val="000000" w:themeColor="text1"/>
                <w:kern w:val="2"/>
                <w:sz w:val="22"/>
                <w:lang w:eastAsia="zh-CN"/>
              </w:rPr>
            </w:pPr>
            <w:r w:rsidRPr="00C7354B">
              <w:rPr>
                <w:color w:val="000000" w:themeColor="text1"/>
                <w:kern w:val="2"/>
                <w:sz w:val="22"/>
                <w:lang w:eastAsia="zh-CN"/>
              </w:rPr>
              <w:t>-.04 (.02) [.077]</w:t>
            </w:r>
          </w:p>
        </w:tc>
      </w:tr>
      <w:tr w:rsidR="00406027" w:rsidRPr="00C7354B" w14:paraId="19C050A9" w14:textId="77777777" w:rsidTr="00846329">
        <w:trPr>
          <w:trHeight w:val="86"/>
        </w:trPr>
        <w:tc>
          <w:tcPr>
            <w:tcW w:w="2310" w:type="dxa"/>
            <w:tcBorders>
              <w:top w:val="nil"/>
              <w:left w:val="nil"/>
              <w:bottom w:val="nil"/>
              <w:right w:val="nil"/>
            </w:tcBorders>
            <w:shd w:val="clear" w:color="auto" w:fill="auto"/>
            <w:noWrap/>
          </w:tcPr>
          <w:p w14:paraId="06B4AB59" w14:textId="77777777" w:rsidR="00406027" w:rsidRPr="00C7354B" w:rsidRDefault="00406027" w:rsidP="006B1B51">
            <w:pPr>
              <w:widowControl w:val="0"/>
              <w:spacing w:line="240" w:lineRule="auto"/>
              <w:jc w:val="left"/>
              <w:rPr>
                <w:color w:val="000000" w:themeColor="text1"/>
                <w:kern w:val="2"/>
                <w:sz w:val="22"/>
                <w:lang w:eastAsia="zh-CN"/>
              </w:rPr>
            </w:pPr>
            <w:r w:rsidRPr="00C7354B">
              <w:rPr>
                <w:color w:val="000000" w:themeColor="text1"/>
                <w:kern w:val="2"/>
                <w:sz w:val="22"/>
                <w:lang w:eastAsia="zh-CN"/>
              </w:rPr>
              <w:t>Controls</w:t>
            </w:r>
          </w:p>
        </w:tc>
        <w:tc>
          <w:tcPr>
            <w:tcW w:w="2310" w:type="dxa"/>
            <w:tcBorders>
              <w:top w:val="nil"/>
              <w:left w:val="nil"/>
              <w:bottom w:val="nil"/>
              <w:right w:val="nil"/>
            </w:tcBorders>
          </w:tcPr>
          <w:p w14:paraId="5C1E292E" w14:textId="77777777" w:rsidR="00406027" w:rsidRPr="00C7354B" w:rsidRDefault="00406027" w:rsidP="006B1B51">
            <w:pPr>
              <w:widowControl w:val="0"/>
              <w:spacing w:line="240" w:lineRule="auto"/>
              <w:jc w:val="center"/>
              <w:rPr>
                <w:color w:val="000000" w:themeColor="text1"/>
                <w:kern w:val="2"/>
                <w:sz w:val="22"/>
                <w:lang w:eastAsia="zh-CN"/>
              </w:rPr>
            </w:pPr>
          </w:p>
        </w:tc>
        <w:tc>
          <w:tcPr>
            <w:tcW w:w="2310" w:type="dxa"/>
            <w:tcBorders>
              <w:top w:val="nil"/>
              <w:left w:val="nil"/>
              <w:bottom w:val="nil"/>
              <w:right w:val="nil"/>
            </w:tcBorders>
          </w:tcPr>
          <w:p w14:paraId="0C1EBE3A" w14:textId="77777777" w:rsidR="00406027" w:rsidRPr="00C7354B" w:rsidRDefault="00406027" w:rsidP="006B1B51">
            <w:pPr>
              <w:widowControl w:val="0"/>
              <w:spacing w:line="240" w:lineRule="auto"/>
              <w:jc w:val="center"/>
              <w:rPr>
                <w:color w:val="000000" w:themeColor="text1"/>
                <w:kern w:val="2"/>
                <w:sz w:val="22"/>
                <w:lang w:eastAsia="zh-CN"/>
              </w:rPr>
            </w:pPr>
          </w:p>
        </w:tc>
        <w:tc>
          <w:tcPr>
            <w:tcW w:w="2284" w:type="dxa"/>
            <w:tcBorders>
              <w:top w:val="nil"/>
              <w:left w:val="nil"/>
              <w:bottom w:val="nil"/>
              <w:right w:val="nil"/>
            </w:tcBorders>
          </w:tcPr>
          <w:p w14:paraId="12747BDC" w14:textId="77777777" w:rsidR="00406027" w:rsidRPr="00C7354B" w:rsidRDefault="00406027" w:rsidP="006B1B51">
            <w:pPr>
              <w:widowControl w:val="0"/>
              <w:spacing w:line="240" w:lineRule="auto"/>
              <w:jc w:val="center"/>
              <w:rPr>
                <w:color w:val="000000" w:themeColor="text1"/>
                <w:kern w:val="2"/>
                <w:sz w:val="22"/>
                <w:lang w:eastAsia="zh-CN"/>
              </w:rPr>
            </w:pPr>
          </w:p>
        </w:tc>
      </w:tr>
      <w:tr w:rsidR="00406027" w:rsidRPr="00C7354B" w14:paraId="0DAAD26D" w14:textId="77777777" w:rsidTr="00846329">
        <w:trPr>
          <w:trHeight w:val="86"/>
        </w:trPr>
        <w:tc>
          <w:tcPr>
            <w:tcW w:w="2310" w:type="dxa"/>
            <w:tcBorders>
              <w:top w:val="nil"/>
              <w:left w:val="nil"/>
              <w:bottom w:val="nil"/>
              <w:right w:val="nil"/>
            </w:tcBorders>
            <w:shd w:val="clear" w:color="auto" w:fill="auto"/>
            <w:noWrap/>
          </w:tcPr>
          <w:p w14:paraId="01E31D8B" w14:textId="77777777" w:rsidR="00406027" w:rsidRPr="00C7354B" w:rsidRDefault="00406027" w:rsidP="006B1B51">
            <w:pPr>
              <w:widowControl w:val="0"/>
              <w:spacing w:line="240" w:lineRule="auto"/>
              <w:jc w:val="left"/>
              <w:rPr>
                <w:color w:val="000000" w:themeColor="text1"/>
                <w:kern w:val="2"/>
                <w:sz w:val="22"/>
                <w:lang w:eastAsia="zh-CN"/>
              </w:rPr>
            </w:pPr>
            <w:r w:rsidRPr="00C7354B">
              <w:rPr>
                <w:color w:val="000000" w:themeColor="text1"/>
                <w:kern w:val="2"/>
                <w:sz w:val="22"/>
                <w:lang w:eastAsia="zh-CN"/>
              </w:rPr>
              <w:t xml:space="preserve">   Firm size</w:t>
            </w:r>
          </w:p>
        </w:tc>
        <w:tc>
          <w:tcPr>
            <w:tcW w:w="2310" w:type="dxa"/>
            <w:tcBorders>
              <w:top w:val="nil"/>
              <w:left w:val="nil"/>
              <w:bottom w:val="nil"/>
              <w:right w:val="nil"/>
            </w:tcBorders>
          </w:tcPr>
          <w:p w14:paraId="00F10F2D" w14:textId="77777777" w:rsidR="00406027" w:rsidRPr="00C7354B" w:rsidRDefault="00406027" w:rsidP="006B1B51">
            <w:pPr>
              <w:widowControl w:val="0"/>
              <w:spacing w:line="240" w:lineRule="auto"/>
              <w:jc w:val="center"/>
              <w:rPr>
                <w:color w:val="000000" w:themeColor="text1"/>
                <w:kern w:val="2"/>
                <w:sz w:val="22"/>
                <w:lang w:eastAsia="zh-CN"/>
              </w:rPr>
            </w:pPr>
            <w:r w:rsidRPr="00C7354B">
              <w:rPr>
                <w:color w:val="000000" w:themeColor="text1"/>
                <w:kern w:val="2"/>
                <w:sz w:val="22"/>
                <w:lang w:eastAsia="zh-CN"/>
              </w:rPr>
              <w:t>.09 (.04) [.032]</w:t>
            </w:r>
          </w:p>
        </w:tc>
        <w:tc>
          <w:tcPr>
            <w:tcW w:w="2310" w:type="dxa"/>
            <w:tcBorders>
              <w:top w:val="nil"/>
              <w:left w:val="nil"/>
              <w:bottom w:val="nil"/>
              <w:right w:val="nil"/>
            </w:tcBorders>
          </w:tcPr>
          <w:p w14:paraId="3ADFF53C" w14:textId="77777777" w:rsidR="00406027" w:rsidRPr="00C7354B" w:rsidRDefault="00406027" w:rsidP="006B1B51">
            <w:pPr>
              <w:widowControl w:val="0"/>
              <w:spacing w:line="240" w:lineRule="auto"/>
              <w:jc w:val="center"/>
              <w:rPr>
                <w:color w:val="000000" w:themeColor="text1"/>
                <w:kern w:val="2"/>
                <w:sz w:val="22"/>
                <w:lang w:eastAsia="zh-CN"/>
              </w:rPr>
            </w:pPr>
            <w:r w:rsidRPr="00C7354B">
              <w:rPr>
                <w:color w:val="000000" w:themeColor="text1"/>
                <w:kern w:val="2"/>
                <w:sz w:val="22"/>
                <w:lang w:eastAsia="zh-CN"/>
              </w:rPr>
              <w:t>.09 (.02) [&lt;.001]</w:t>
            </w:r>
          </w:p>
        </w:tc>
        <w:tc>
          <w:tcPr>
            <w:tcW w:w="2284" w:type="dxa"/>
            <w:tcBorders>
              <w:top w:val="nil"/>
              <w:left w:val="nil"/>
              <w:bottom w:val="nil"/>
              <w:right w:val="nil"/>
            </w:tcBorders>
          </w:tcPr>
          <w:p w14:paraId="3CCFDF00" w14:textId="77777777" w:rsidR="00406027" w:rsidRPr="00C7354B" w:rsidRDefault="00406027" w:rsidP="006B1B51">
            <w:pPr>
              <w:widowControl w:val="0"/>
              <w:spacing w:line="240" w:lineRule="auto"/>
              <w:jc w:val="center"/>
              <w:rPr>
                <w:color w:val="000000" w:themeColor="text1"/>
                <w:kern w:val="2"/>
                <w:sz w:val="22"/>
                <w:lang w:eastAsia="zh-CN"/>
              </w:rPr>
            </w:pPr>
            <w:r w:rsidRPr="00C7354B">
              <w:rPr>
                <w:color w:val="000000" w:themeColor="text1"/>
                <w:kern w:val="2"/>
                <w:sz w:val="22"/>
                <w:lang w:eastAsia="zh-CN"/>
              </w:rPr>
              <w:t>.06 (.02) [&lt;.001]</w:t>
            </w:r>
          </w:p>
        </w:tc>
      </w:tr>
      <w:tr w:rsidR="00406027" w:rsidRPr="00C7354B" w14:paraId="3CE0CBD6" w14:textId="77777777" w:rsidTr="00846329">
        <w:trPr>
          <w:trHeight w:val="86"/>
        </w:trPr>
        <w:tc>
          <w:tcPr>
            <w:tcW w:w="2310" w:type="dxa"/>
            <w:tcBorders>
              <w:top w:val="nil"/>
              <w:left w:val="nil"/>
              <w:bottom w:val="nil"/>
              <w:right w:val="nil"/>
            </w:tcBorders>
            <w:shd w:val="clear" w:color="auto" w:fill="auto"/>
            <w:noWrap/>
          </w:tcPr>
          <w:p w14:paraId="6D5767C0" w14:textId="77777777" w:rsidR="00406027" w:rsidRPr="00C7354B" w:rsidRDefault="00406027" w:rsidP="006B1B51">
            <w:pPr>
              <w:widowControl w:val="0"/>
              <w:spacing w:line="240" w:lineRule="auto"/>
              <w:jc w:val="left"/>
              <w:rPr>
                <w:color w:val="000000" w:themeColor="text1"/>
                <w:kern w:val="2"/>
                <w:sz w:val="22"/>
                <w:lang w:eastAsia="zh-CN"/>
              </w:rPr>
            </w:pPr>
            <w:r w:rsidRPr="00C7354B">
              <w:rPr>
                <w:color w:val="000000" w:themeColor="text1"/>
                <w:kern w:val="2"/>
                <w:sz w:val="22"/>
                <w:lang w:eastAsia="zh-CN"/>
              </w:rPr>
              <w:t>Model indices</w:t>
            </w:r>
          </w:p>
        </w:tc>
        <w:tc>
          <w:tcPr>
            <w:tcW w:w="2310" w:type="dxa"/>
            <w:tcBorders>
              <w:top w:val="nil"/>
              <w:left w:val="nil"/>
              <w:bottom w:val="nil"/>
              <w:right w:val="nil"/>
            </w:tcBorders>
          </w:tcPr>
          <w:p w14:paraId="4D342DE1" w14:textId="77777777" w:rsidR="00406027" w:rsidRPr="00C7354B" w:rsidRDefault="00406027" w:rsidP="006B1B51">
            <w:pPr>
              <w:widowControl w:val="0"/>
              <w:spacing w:line="240" w:lineRule="auto"/>
              <w:jc w:val="center"/>
              <w:rPr>
                <w:color w:val="000000" w:themeColor="text1"/>
                <w:kern w:val="2"/>
                <w:sz w:val="22"/>
                <w:lang w:eastAsia="zh-CN"/>
              </w:rPr>
            </w:pPr>
          </w:p>
        </w:tc>
        <w:tc>
          <w:tcPr>
            <w:tcW w:w="2310" w:type="dxa"/>
            <w:tcBorders>
              <w:top w:val="nil"/>
              <w:left w:val="nil"/>
              <w:bottom w:val="nil"/>
              <w:right w:val="nil"/>
            </w:tcBorders>
          </w:tcPr>
          <w:p w14:paraId="65D0F7C3" w14:textId="77777777" w:rsidR="00406027" w:rsidRPr="00C7354B" w:rsidRDefault="00406027" w:rsidP="006B1B51">
            <w:pPr>
              <w:widowControl w:val="0"/>
              <w:spacing w:line="240" w:lineRule="auto"/>
              <w:jc w:val="center"/>
              <w:rPr>
                <w:color w:val="000000" w:themeColor="text1"/>
                <w:kern w:val="2"/>
                <w:sz w:val="22"/>
                <w:lang w:eastAsia="zh-CN"/>
              </w:rPr>
            </w:pPr>
          </w:p>
        </w:tc>
        <w:tc>
          <w:tcPr>
            <w:tcW w:w="2284" w:type="dxa"/>
            <w:tcBorders>
              <w:top w:val="nil"/>
              <w:left w:val="nil"/>
              <w:bottom w:val="nil"/>
              <w:right w:val="nil"/>
            </w:tcBorders>
          </w:tcPr>
          <w:p w14:paraId="1CBDEAAE" w14:textId="77777777" w:rsidR="00406027" w:rsidRPr="00C7354B" w:rsidRDefault="00406027" w:rsidP="006B1B51">
            <w:pPr>
              <w:widowControl w:val="0"/>
              <w:spacing w:line="240" w:lineRule="auto"/>
              <w:jc w:val="center"/>
              <w:rPr>
                <w:color w:val="000000" w:themeColor="text1"/>
                <w:kern w:val="2"/>
                <w:sz w:val="22"/>
                <w:lang w:eastAsia="zh-CN"/>
              </w:rPr>
            </w:pPr>
          </w:p>
        </w:tc>
      </w:tr>
      <w:tr w:rsidR="00406027" w:rsidRPr="00C7354B" w14:paraId="453DFA03" w14:textId="77777777" w:rsidTr="00846329">
        <w:trPr>
          <w:trHeight w:val="86"/>
        </w:trPr>
        <w:tc>
          <w:tcPr>
            <w:tcW w:w="2310" w:type="dxa"/>
            <w:tcBorders>
              <w:top w:val="nil"/>
              <w:left w:val="nil"/>
              <w:bottom w:val="nil"/>
              <w:right w:val="nil"/>
            </w:tcBorders>
            <w:shd w:val="clear" w:color="auto" w:fill="auto"/>
            <w:noWrap/>
          </w:tcPr>
          <w:p w14:paraId="16F8942E" w14:textId="77777777" w:rsidR="00406027" w:rsidRPr="00C7354B" w:rsidRDefault="00406027" w:rsidP="006B1B51">
            <w:pPr>
              <w:widowControl w:val="0"/>
              <w:spacing w:line="240" w:lineRule="auto"/>
              <w:jc w:val="left"/>
              <w:rPr>
                <w:color w:val="000000" w:themeColor="text1"/>
                <w:kern w:val="2"/>
                <w:sz w:val="22"/>
                <w:lang w:eastAsia="zh-CN"/>
              </w:rPr>
            </w:pPr>
            <w:r w:rsidRPr="00C7354B">
              <w:rPr>
                <w:color w:val="000000" w:themeColor="text1"/>
                <w:kern w:val="2"/>
                <w:sz w:val="22"/>
                <w:lang w:eastAsia="zh-CN"/>
              </w:rPr>
              <w:t xml:space="preserve">   χ2 (df)</w:t>
            </w:r>
          </w:p>
        </w:tc>
        <w:tc>
          <w:tcPr>
            <w:tcW w:w="2310" w:type="dxa"/>
            <w:tcBorders>
              <w:top w:val="nil"/>
              <w:left w:val="nil"/>
              <w:bottom w:val="nil"/>
              <w:right w:val="nil"/>
            </w:tcBorders>
          </w:tcPr>
          <w:p w14:paraId="59596E78" w14:textId="77777777" w:rsidR="00406027" w:rsidRPr="00C7354B" w:rsidRDefault="00406027" w:rsidP="006B1B51">
            <w:pPr>
              <w:widowControl w:val="0"/>
              <w:spacing w:line="240" w:lineRule="auto"/>
              <w:jc w:val="center"/>
              <w:rPr>
                <w:color w:val="000000" w:themeColor="text1"/>
                <w:kern w:val="2"/>
                <w:sz w:val="22"/>
                <w:lang w:eastAsia="zh-CN"/>
              </w:rPr>
            </w:pPr>
            <w:r w:rsidRPr="00C7354B">
              <w:rPr>
                <w:color w:val="000000" w:themeColor="text1"/>
                <w:kern w:val="2"/>
                <w:sz w:val="22"/>
                <w:lang w:eastAsia="zh-CN"/>
              </w:rPr>
              <w:t>.05 (1)</w:t>
            </w:r>
          </w:p>
        </w:tc>
        <w:tc>
          <w:tcPr>
            <w:tcW w:w="2310" w:type="dxa"/>
            <w:tcBorders>
              <w:top w:val="nil"/>
              <w:left w:val="nil"/>
              <w:bottom w:val="nil"/>
              <w:right w:val="nil"/>
            </w:tcBorders>
          </w:tcPr>
          <w:p w14:paraId="56EFCF8E" w14:textId="77777777" w:rsidR="00406027" w:rsidRPr="00C7354B" w:rsidRDefault="00406027" w:rsidP="006B1B51">
            <w:pPr>
              <w:widowControl w:val="0"/>
              <w:spacing w:line="240" w:lineRule="auto"/>
              <w:jc w:val="center"/>
              <w:rPr>
                <w:color w:val="000000" w:themeColor="text1"/>
                <w:kern w:val="2"/>
                <w:sz w:val="22"/>
                <w:lang w:eastAsia="zh-CN"/>
              </w:rPr>
            </w:pPr>
          </w:p>
        </w:tc>
        <w:tc>
          <w:tcPr>
            <w:tcW w:w="2284" w:type="dxa"/>
            <w:tcBorders>
              <w:top w:val="nil"/>
              <w:left w:val="nil"/>
              <w:bottom w:val="nil"/>
              <w:right w:val="nil"/>
            </w:tcBorders>
          </w:tcPr>
          <w:p w14:paraId="48FA4BE2" w14:textId="77777777" w:rsidR="00406027" w:rsidRPr="00C7354B" w:rsidRDefault="00406027" w:rsidP="006B1B51">
            <w:pPr>
              <w:widowControl w:val="0"/>
              <w:spacing w:line="240" w:lineRule="auto"/>
              <w:jc w:val="center"/>
              <w:rPr>
                <w:color w:val="000000" w:themeColor="text1"/>
                <w:kern w:val="2"/>
                <w:sz w:val="22"/>
                <w:lang w:eastAsia="zh-CN"/>
              </w:rPr>
            </w:pPr>
          </w:p>
        </w:tc>
      </w:tr>
      <w:tr w:rsidR="00406027" w:rsidRPr="00C7354B" w14:paraId="76CE1936" w14:textId="77777777" w:rsidTr="00846329">
        <w:trPr>
          <w:trHeight w:val="86"/>
        </w:trPr>
        <w:tc>
          <w:tcPr>
            <w:tcW w:w="2310" w:type="dxa"/>
            <w:tcBorders>
              <w:top w:val="nil"/>
              <w:left w:val="nil"/>
              <w:bottom w:val="nil"/>
              <w:right w:val="nil"/>
            </w:tcBorders>
            <w:shd w:val="clear" w:color="auto" w:fill="auto"/>
            <w:noWrap/>
          </w:tcPr>
          <w:p w14:paraId="75AD27EB" w14:textId="77777777" w:rsidR="00406027" w:rsidRPr="00C7354B" w:rsidRDefault="00406027" w:rsidP="006B1B51">
            <w:pPr>
              <w:widowControl w:val="0"/>
              <w:spacing w:line="240" w:lineRule="auto"/>
              <w:jc w:val="left"/>
              <w:rPr>
                <w:color w:val="000000" w:themeColor="text1"/>
                <w:kern w:val="2"/>
                <w:sz w:val="22"/>
                <w:lang w:eastAsia="zh-CN"/>
              </w:rPr>
            </w:pPr>
            <w:r w:rsidRPr="00C7354B">
              <w:rPr>
                <w:color w:val="000000" w:themeColor="text1"/>
                <w:kern w:val="2"/>
                <w:sz w:val="22"/>
                <w:lang w:eastAsia="zh-CN"/>
              </w:rPr>
              <w:t xml:space="preserve">   AIC</w:t>
            </w:r>
          </w:p>
        </w:tc>
        <w:tc>
          <w:tcPr>
            <w:tcW w:w="2310" w:type="dxa"/>
            <w:tcBorders>
              <w:top w:val="nil"/>
              <w:left w:val="nil"/>
              <w:bottom w:val="nil"/>
              <w:right w:val="nil"/>
            </w:tcBorders>
          </w:tcPr>
          <w:p w14:paraId="0EE1529E" w14:textId="77777777" w:rsidR="00406027" w:rsidRPr="00C7354B" w:rsidRDefault="00406027" w:rsidP="006B1B51">
            <w:pPr>
              <w:widowControl w:val="0"/>
              <w:spacing w:line="240" w:lineRule="auto"/>
              <w:jc w:val="center"/>
              <w:rPr>
                <w:color w:val="000000" w:themeColor="text1"/>
                <w:kern w:val="2"/>
                <w:sz w:val="22"/>
                <w:lang w:eastAsia="zh-CN"/>
              </w:rPr>
            </w:pPr>
            <w:r w:rsidRPr="00C7354B">
              <w:rPr>
                <w:color w:val="000000" w:themeColor="text1"/>
                <w:kern w:val="2"/>
                <w:sz w:val="22"/>
                <w:lang w:eastAsia="zh-CN"/>
              </w:rPr>
              <w:t>-1.95</w:t>
            </w:r>
          </w:p>
        </w:tc>
        <w:tc>
          <w:tcPr>
            <w:tcW w:w="2310" w:type="dxa"/>
            <w:tcBorders>
              <w:top w:val="nil"/>
              <w:left w:val="nil"/>
              <w:bottom w:val="nil"/>
              <w:right w:val="nil"/>
            </w:tcBorders>
          </w:tcPr>
          <w:p w14:paraId="752B2EC4" w14:textId="77777777" w:rsidR="00406027" w:rsidRPr="00C7354B" w:rsidRDefault="00406027" w:rsidP="006B1B51">
            <w:pPr>
              <w:widowControl w:val="0"/>
              <w:spacing w:line="240" w:lineRule="auto"/>
              <w:jc w:val="center"/>
              <w:rPr>
                <w:color w:val="000000" w:themeColor="text1"/>
                <w:kern w:val="2"/>
                <w:sz w:val="22"/>
                <w:lang w:eastAsia="zh-CN"/>
              </w:rPr>
            </w:pPr>
          </w:p>
        </w:tc>
        <w:tc>
          <w:tcPr>
            <w:tcW w:w="2284" w:type="dxa"/>
            <w:tcBorders>
              <w:top w:val="nil"/>
              <w:left w:val="nil"/>
              <w:bottom w:val="nil"/>
              <w:right w:val="nil"/>
            </w:tcBorders>
          </w:tcPr>
          <w:p w14:paraId="14AE1E53" w14:textId="77777777" w:rsidR="00406027" w:rsidRPr="00C7354B" w:rsidRDefault="00406027" w:rsidP="006B1B51">
            <w:pPr>
              <w:widowControl w:val="0"/>
              <w:spacing w:line="240" w:lineRule="auto"/>
              <w:jc w:val="center"/>
              <w:rPr>
                <w:color w:val="000000" w:themeColor="text1"/>
                <w:kern w:val="2"/>
                <w:sz w:val="22"/>
                <w:lang w:eastAsia="zh-CN"/>
              </w:rPr>
            </w:pPr>
          </w:p>
        </w:tc>
      </w:tr>
      <w:tr w:rsidR="00406027" w:rsidRPr="00C7354B" w14:paraId="6F4A1800" w14:textId="77777777" w:rsidTr="00846329">
        <w:trPr>
          <w:trHeight w:val="86"/>
        </w:trPr>
        <w:tc>
          <w:tcPr>
            <w:tcW w:w="2310" w:type="dxa"/>
            <w:tcBorders>
              <w:top w:val="nil"/>
              <w:left w:val="nil"/>
              <w:bottom w:val="nil"/>
              <w:right w:val="nil"/>
            </w:tcBorders>
            <w:shd w:val="clear" w:color="auto" w:fill="auto"/>
            <w:noWrap/>
          </w:tcPr>
          <w:p w14:paraId="5BAA1C42" w14:textId="77777777" w:rsidR="00406027" w:rsidRPr="00C7354B" w:rsidRDefault="00406027" w:rsidP="006B1B51">
            <w:pPr>
              <w:widowControl w:val="0"/>
              <w:spacing w:line="240" w:lineRule="auto"/>
              <w:jc w:val="left"/>
              <w:rPr>
                <w:color w:val="000000" w:themeColor="text1"/>
                <w:kern w:val="2"/>
                <w:sz w:val="22"/>
                <w:lang w:eastAsia="zh-CN"/>
              </w:rPr>
            </w:pPr>
            <w:r w:rsidRPr="00C7354B">
              <w:rPr>
                <w:color w:val="000000" w:themeColor="text1"/>
                <w:kern w:val="2"/>
                <w:sz w:val="22"/>
                <w:lang w:eastAsia="zh-CN"/>
              </w:rPr>
              <w:t xml:space="preserve">   BIC</w:t>
            </w:r>
          </w:p>
        </w:tc>
        <w:tc>
          <w:tcPr>
            <w:tcW w:w="2310" w:type="dxa"/>
            <w:tcBorders>
              <w:top w:val="nil"/>
              <w:left w:val="nil"/>
              <w:bottom w:val="nil"/>
              <w:right w:val="nil"/>
            </w:tcBorders>
          </w:tcPr>
          <w:p w14:paraId="280B02B2" w14:textId="77777777" w:rsidR="00406027" w:rsidRPr="00C7354B" w:rsidRDefault="00406027" w:rsidP="006B1B51">
            <w:pPr>
              <w:widowControl w:val="0"/>
              <w:spacing w:line="240" w:lineRule="auto"/>
              <w:jc w:val="center"/>
              <w:rPr>
                <w:color w:val="000000" w:themeColor="text1"/>
                <w:kern w:val="2"/>
                <w:sz w:val="22"/>
                <w:lang w:eastAsia="zh-CN"/>
              </w:rPr>
            </w:pPr>
            <w:r w:rsidRPr="00C7354B">
              <w:rPr>
                <w:color w:val="000000" w:themeColor="text1"/>
                <w:kern w:val="2"/>
                <w:sz w:val="22"/>
                <w:lang w:eastAsia="zh-CN"/>
              </w:rPr>
              <w:t>-13.43</w:t>
            </w:r>
          </w:p>
        </w:tc>
        <w:tc>
          <w:tcPr>
            <w:tcW w:w="2310" w:type="dxa"/>
            <w:tcBorders>
              <w:top w:val="nil"/>
              <w:left w:val="nil"/>
              <w:bottom w:val="nil"/>
              <w:right w:val="nil"/>
            </w:tcBorders>
          </w:tcPr>
          <w:p w14:paraId="49731DA9" w14:textId="77777777" w:rsidR="00406027" w:rsidRPr="00C7354B" w:rsidRDefault="00406027" w:rsidP="006B1B51">
            <w:pPr>
              <w:widowControl w:val="0"/>
              <w:spacing w:line="240" w:lineRule="auto"/>
              <w:jc w:val="center"/>
              <w:rPr>
                <w:color w:val="000000" w:themeColor="text1"/>
                <w:kern w:val="2"/>
                <w:sz w:val="22"/>
                <w:lang w:eastAsia="zh-CN"/>
              </w:rPr>
            </w:pPr>
          </w:p>
        </w:tc>
        <w:tc>
          <w:tcPr>
            <w:tcW w:w="2284" w:type="dxa"/>
            <w:tcBorders>
              <w:top w:val="nil"/>
              <w:left w:val="nil"/>
              <w:bottom w:val="nil"/>
              <w:right w:val="nil"/>
            </w:tcBorders>
          </w:tcPr>
          <w:p w14:paraId="6045C2AC" w14:textId="77777777" w:rsidR="00406027" w:rsidRPr="00C7354B" w:rsidRDefault="00406027" w:rsidP="006B1B51">
            <w:pPr>
              <w:widowControl w:val="0"/>
              <w:spacing w:line="240" w:lineRule="auto"/>
              <w:jc w:val="center"/>
              <w:rPr>
                <w:color w:val="000000" w:themeColor="text1"/>
                <w:kern w:val="2"/>
                <w:sz w:val="22"/>
                <w:lang w:eastAsia="zh-CN"/>
              </w:rPr>
            </w:pPr>
          </w:p>
        </w:tc>
      </w:tr>
      <w:tr w:rsidR="00406027" w:rsidRPr="00C7354B" w14:paraId="069F7DF4" w14:textId="77777777" w:rsidTr="00846329">
        <w:trPr>
          <w:trHeight w:val="86"/>
        </w:trPr>
        <w:tc>
          <w:tcPr>
            <w:tcW w:w="2310" w:type="dxa"/>
            <w:tcBorders>
              <w:top w:val="nil"/>
              <w:left w:val="nil"/>
              <w:bottom w:val="nil"/>
              <w:right w:val="nil"/>
            </w:tcBorders>
            <w:shd w:val="clear" w:color="auto" w:fill="auto"/>
            <w:noWrap/>
          </w:tcPr>
          <w:p w14:paraId="088797D6" w14:textId="77777777" w:rsidR="00406027" w:rsidRPr="00C7354B" w:rsidRDefault="00406027" w:rsidP="006B1B51">
            <w:pPr>
              <w:widowControl w:val="0"/>
              <w:spacing w:line="240" w:lineRule="auto"/>
              <w:jc w:val="left"/>
              <w:rPr>
                <w:color w:val="000000" w:themeColor="text1"/>
                <w:kern w:val="2"/>
                <w:sz w:val="22"/>
                <w:lang w:eastAsia="zh-CN"/>
              </w:rPr>
            </w:pPr>
            <w:r w:rsidRPr="00C7354B">
              <w:rPr>
                <w:color w:val="000000" w:themeColor="text1"/>
                <w:kern w:val="2"/>
                <w:sz w:val="22"/>
                <w:lang w:eastAsia="zh-CN"/>
              </w:rPr>
              <w:t xml:space="preserve">   TLI</w:t>
            </w:r>
          </w:p>
        </w:tc>
        <w:tc>
          <w:tcPr>
            <w:tcW w:w="2310" w:type="dxa"/>
            <w:tcBorders>
              <w:top w:val="nil"/>
              <w:left w:val="nil"/>
              <w:bottom w:val="nil"/>
              <w:right w:val="nil"/>
            </w:tcBorders>
          </w:tcPr>
          <w:p w14:paraId="54D8AC81" w14:textId="77777777" w:rsidR="00406027" w:rsidRPr="00C7354B" w:rsidRDefault="00406027" w:rsidP="006B1B51">
            <w:pPr>
              <w:widowControl w:val="0"/>
              <w:spacing w:line="240" w:lineRule="auto"/>
              <w:jc w:val="center"/>
              <w:rPr>
                <w:color w:val="000000" w:themeColor="text1"/>
                <w:kern w:val="2"/>
                <w:sz w:val="22"/>
                <w:lang w:eastAsia="zh-CN"/>
              </w:rPr>
            </w:pPr>
            <w:r w:rsidRPr="00C7354B">
              <w:rPr>
                <w:color w:val="000000" w:themeColor="text1"/>
                <w:kern w:val="2"/>
                <w:sz w:val="22"/>
                <w:lang w:eastAsia="zh-CN"/>
              </w:rPr>
              <w:t>.99</w:t>
            </w:r>
          </w:p>
        </w:tc>
        <w:tc>
          <w:tcPr>
            <w:tcW w:w="2310" w:type="dxa"/>
            <w:tcBorders>
              <w:top w:val="nil"/>
              <w:left w:val="nil"/>
              <w:bottom w:val="nil"/>
              <w:right w:val="nil"/>
            </w:tcBorders>
          </w:tcPr>
          <w:p w14:paraId="175EC0CF" w14:textId="77777777" w:rsidR="00406027" w:rsidRPr="00C7354B" w:rsidRDefault="00406027" w:rsidP="006B1B51">
            <w:pPr>
              <w:widowControl w:val="0"/>
              <w:spacing w:line="240" w:lineRule="auto"/>
              <w:jc w:val="center"/>
              <w:rPr>
                <w:color w:val="000000" w:themeColor="text1"/>
                <w:kern w:val="2"/>
                <w:sz w:val="22"/>
                <w:lang w:eastAsia="zh-CN"/>
              </w:rPr>
            </w:pPr>
          </w:p>
        </w:tc>
        <w:tc>
          <w:tcPr>
            <w:tcW w:w="2284" w:type="dxa"/>
            <w:tcBorders>
              <w:top w:val="nil"/>
              <w:left w:val="nil"/>
              <w:bottom w:val="nil"/>
              <w:right w:val="nil"/>
            </w:tcBorders>
          </w:tcPr>
          <w:p w14:paraId="291786EA" w14:textId="77777777" w:rsidR="00406027" w:rsidRPr="00C7354B" w:rsidRDefault="00406027" w:rsidP="006B1B51">
            <w:pPr>
              <w:widowControl w:val="0"/>
              <w:spacing w:line="240" w:lineRule="auto"/>
              <w:jc w:val="center"/>
              <w:rPr>
                <w:color w:val="000000" w:themeColor="text1"/>
                <w:kern w:val="2"/>
                <w:sz w:val="22"/>
                <w:lang w:eastAsia="zh-CN"/>
              </w:rPr>
            </w:pPr>
          </w:p>
        </w:tc>
      </w:tr>
      <w:tr w:rsidR="00406027" w:rsidRPr="00C7354B" w14:paraId="2874DE5C" w14:textId="77777777" w:rsidTr="00846329">
        <w:trPr>
          <w:trHeight w:val="86"/>
        </w:trPr>
        <w:tc>
          <w:tcPr>
            <w:tcW w:w="2310" w:type="dxa"/>
            <w:tcBorders>
              <w:top w:val="nil"/>
              <w:left w:val="nil"/>
              <w:right w:val="nil"/>
            </w:tcBorders>
            <w:shd w:val="clear" w:color="auto" w:fill="auto"/>
            <w:noWrap/>
          </w:tcPr>
          <w:p w14:paraId="2FAF9CEF" w14:textId="77777777" w:rsidR="00406027" w:rsidRPr="00C7354B" w:rsidRDefault="00406027" w:rsidP="006B1B51">
            <w:pPr>
              <w:widowControl w:val="0"/>
              <w:spacing w:line="240" w:lineRule="auto"/>
              <w:jc w:val="left"/>
              <w:rPr>
                <w:color w:val="000000" w:themeColor="text1"/>
                <w:kern w:val="2"/>
                <w:sz w:val="22"/>
                <w:lang w:eastAsia="zh-CN"/>
              </w:rPr>
            </w:pPr>
            <w:r w:rsidRPr="00C7354B">
              <w:rPr>
                <w:color w:val="000000" w:themeColor="text1"/>
                <w:kern w:val="2"/>
                <w:sz w:val="22"/>
                <w:lang w:eastAsia="zh-CN"/>
              </w:rPr>
              <w:t xml:space="preserve">   CFI</w:t>
            </w:r>
          </w:p>
        </w:tc>
        <w:tc>
          <w:tcPr>
            <w:tcW w:w="2310" w:type="dxa"/>
            <w:tcBorders>
              <w:top w:val="nil"/>
              <w:left w:val="nil"/>
              <w:right w:val="nil"/>
            </w:tcBorders>
          </w:tcPr>
          <w:p w14:paraId="7F244580" w14:textId="77777777" w:rsidR="00406027" w:rsidRPr="00C7354B" w:rsidRDefault="00406027" w:rsidP="006B1B51">
            <w:pPr>
              <w:widowControl w:val="0"/>
              <w:spacing w:line="240" w:lineRule="auto"/>
              <w:jc w:val="center"/>
              <w:rPr>
                <w:color w:val="000000" w:themeColor="text1"/>
                <w:kern w:val="2"/>
                <w:sz w:val="22"/>
                <w:lang w:eastAsia="zh-CN"/>
              </w:rPr>
            </w:pPr>
            <w:r w:rsidRPr="00C7354B">
              <w:rPr>
                <w:color w:val="000000" w:themeColor="text1"/>
                <w:kern w:val="2"/>
                <w:sz w:val="22"/>
                <w:lang w:eastAsia="zh-CN"/>
              </w:rPr>
              <w:t>1</w:t>
            </w:r>
          </w:p>
        </w:tc>
        <w:tc>
          <w:tcPr>
            <w:tcW w:w="2310" w:type="dxa"/>
            <w:tcBorders>
              <w:top w:val="nil"/>
              <w:left w:val="nil"/>
              <w:right w:val="nil"/>
            </w:tcBorders>
          </w:tcPr>
          <w:p w14:paraId="2D8B470C" w14:textId="77777777" w:rsidR="00406027" w:rsidRPr="00C7354B" w:rsidRDefault="00406027" w:rsidP="006B1B51">
            <w:pPr>
              <w:widowControl w:val="0"/>
              <w:spacing w:line="240" w:lineRule="auto"/>
              <w:jc w:val="center"/>
              <w:rPr>
                <w:color w:val="000000" w:themeColor="text1"/>
                <w:kern w:val="2"/>
                <w:sz w:val="22"/>
                <w:lang w:eastAsia="zh-CN"/>
              </w:rPr>
            </w:pPr>
          </w:p>
        </w:tc>
        <w:tc>
          <w:tcPr>
            <w:tcW w:w="2284" w:type="dxa"/>
            <w:tcBorders>
              <w:top w:val="nil"/>
              <w:left w:val="nil"/>
              <w:right w:val="nil"/>
            </w:tcBorders>
          </w:tcPr>
          <w:p w14:paraId="53316176" w14:textId="77777777" w:rsidR="00406027" w:rsidRPr="00C7354B" w:rsidRDefault="00406027" w:rsidP="006B1B51">
            <w:pPr>
              <w:widowControl w:val="0"/>
              <w:spacing w:line="240" w:lineRule="auto"/>
              <w:jc w:val="center"/>
              <w:rPr>
                <w:color w:val="000000" w:themeColor="text1"/>
                <w:kern w:val="2"/>
                <w:sz w:val="22"/>
                <w:lang w:eastAsia="zh-CN"/>
              </w:rPr>
            </w:pPr>
          </w:p>
        </w:tc>
      </w:tr>
      <w:tr w:rsidR="00406027" w:rsidRPr="00C7354B" w14:paraId="7419E5CA" w14:textId="77777777" w:rsidTr="00846329">
        <w:trPr>
          <w:trHeight w:val="86"/>
        </w:trPr>
        <w:tc>
          <w:tcPr>
            <w:tcW w:w="2310" w:type="dxa"/>
            <w:tcBorders>
              <w:top w:val="nil"/>
              <w:left w:val="nil"/>
              <w:right w:val="nil"/>
            </w:tcBorders>
            <w:shd w:val="clear" w:color="auto" w:fill="auto"/>
            <w:noWrap/>
          </w:tcPr>
          <w:p w14:paraId="268337E1" w14:textId="77777777" w:rsidR="00406027" w:rsidRPr="00C7354B" w:rsidRDefault="00406027" w:rsidP="006B1B51">
            <w:pPr>
              <w:widowControl w:val="0"/>
              <w:spacing w:line="240" w:lineRule="auto"/>
              <w:jc w:val="left"/>
              <w:rPr>
                <w:color w:val="000000" w:themeColor="text1"/>
                <w:kern w:val="2"/>
                <w:sz w:val="22"/>
                <w:lang w:eastAsia="zh-CN"/>
              </w:rPr>
            </w:pPr>
            <w:r w:rsidRPr="00C7354B">
              <w:rPr>
                <w:color w:val="000000" w:themeColor="text1"/>
                <w:kern w:val="2"/>
                <w:sz w:val="22"/>
                <w:lang w:eastAsia="zh-CN"/>
              </w:rPr>
              <w:t xml:space="preserve">   RMSEA</w:t>
            </w:r>
          </w:p>
        </w:tc>
        <w:tc>
          <w:tcPr>
            <w:tcW w:w="2310" w:type="dxa"/>
            <w:tcBorders>
              <w:top w:val="nil"/>
              <w:left w:val="nil"/>
              <w:right w:val="nil"/>
            </w:tcBorders>
          </w:tcPr>
          <w:p w14:paraId="13037F05" w14:textId="77777777" w:rsidR="00406027" w:rsidRPr="00C7354B" w:rsidRDefault="00406027" w:rsidP="006B1B51">
            <w:pPr>
              <w:widowControl w:val="0"/>
              <w:spacing w:line="240" w:lineRule="auto"/>
              <w:jc w:val="center"/>
              <w:rPr>
                <w:color w:val="000000" w:themeColor="text1"/>
                <w:kern w:val="2"/>
                <w:sz w:val="22"/>
                <w:lang w:eastAsia="zh-CN"/>
              </w:rPr>
            </w:pPr>
            <w:r w:rsidRPr="00C7354B">
              <w:rPr>
                <w:color w:val="000000" w:themeColor="text1"/>
                <w:kern w:val="2"/>
                <w:sz w:val="22"/>
                <w:lang w:eastAsia="zh-CN"/>
              </w:rPr>
              <w:t>.00 [.00, .00]</w:t>
            </w:r>
          </w:p>
        </w:tc>
        <w:tc>
          <w:tcPr>
            <w:tcW w:w="2310" w:type="dxa"/>
            <w:tcBorders>
              <w:top w:val="nil"/>
              <w:left w:val="nil"/>
              <w:right w:val="nil"/>
            </w:tcBorders>
          </w:tcPr>
          <w:p w14:paraId="082C92D9" w14:textId="77777777" w:rsidR="00406027" w:rsidRPr="00C7354B" w:rsidRDefault="00406027" w:rsidP="006B1B51">
            <w:pPr>
              <w:widowControl w:val="0"/>
              <w:spacing w:line="240" w:lineRule="auto"/>
              <w:jc w:val="center"/>
              <w:rPr>
                <w:color w:val="000000" w:themeColor="text1"/>
                <w:kern w:val="2"/>
                <w:sz w:val="22"/>
                <w:lang w:eastAsia="zh-CN"/>
              </w:rPr>
            </w:pPr>
          </w:p>
        </w:tc>
        <w:tc>
          <w:tcPr>
            <w:tcW w:w="2284" w:type="dxa"/>
            <w:tcBorders>
              <w:top w:val="nil"/>
              <w:left w:val="nil"/>
              <w:right w:val="nil"/>
            </w:tcBorders>
          </w:tcPr>
          <w:p w14:paraId="310A52DE" w14:textId="77777777" w:rsidR="00406027" w:rsidRPr="00C7354B" w:rsidRDefault="00406027" w:rsidP="006B1B51">
            <w:pPr>
              <w:widowControl w:val="0"/>
              <w:spacing w:line="240" w:lineRule="auto"/>
              <w:jc w:val="center"/>
              <w:rPr>
                <w:color w:val="000000" w:themeColor="text1"/>
                <w:kern w:val="2"/>
                <w:sz w:val="22"/>
                <w:lang w:eastAsia="zh-CN"/>
              </w:rPr>
            </w:pPr>
          </w:p>
        </w:tc>
      </w:tr>
      <w:tr w:rsidR="00406027" w:rsidRPr="00C7354B" w14:paraId="7A414B80" w14:textId="77777777" w:rsidTr="00846329">
        <w:trPr>
          <w:trHeight w:val="86"/>
        </w:trPr>
        <w:tc>
          <w:tcPr>
            <w:tcW w:w="2310" w:type="dxa"/>
            <w:tcBorders>
              <w:left w:val="nil"/>
              <w:right w:val="nil"/>
            </w:tcBorders>
            <w:shd w:val="clear" w:color="auto" w:fill="auto"/>
            <w:noWrap/>
          </w:tcPr>
          <w:p w14:paraId="209159BD" w14:textId="77777777" w:rsidR="00406027" w:rsidRPr="00C7354B" w:rsidRDefault="00406027" w:rsidP="006B1B51">
            <w:pPr>
              <w:widowControl w:val="0"/>
              <w:spacing w:line="240" w:lineRule="auto"/>
              <w:jc w:val="left"/>
              <w:rPr>
                <w:color w:val="000000" w:themeColor="text1"/>
                <w:kern w:val="2"/>
                <w:sz w:val="22"/>
                <w:lang w:eastAsia="zh-CN"/>
              </w:rPr>
            </w:pPr>
            <w:r w:rsidRPr="00C7354B">
              <w:rPr>
                <w:color w:val="000000" w:themeColor="text1"/>
                <w:kern w:val="2"/>
                <w:sz w:val="22"/>
                <w:lang w:eastAsia="zh-CN"/>
              </w:rPr>
              <w:t xml:space="preserve">   SRMR</w:t>
            </w:r>
          </w:p>
        </w:tc>
        <w:tc>
          <w:tcPr>
            <w:tcW w:w="2310" w:type="dxa"/>
            <w:tcBorders>
              <w:left w:val="nil"/>
              <w:right w:val="nil"/>
            </w:tcBorders>
          </w:tcPr>
          <w:p w14:paraId="032C7C1C" w14:textId="77777777" w:rsidR="00406027" w:rsidRPr="00C7354B" w:rsidRDefault="00406027" w:rsidP="006B1B51">
            <w:pPr>
              <w:widowControl w:val="0"/>
              <w:spacing w:line="240" w:lineRule="auto"/>
              <w:jc w:val="center"/>
              <w:rPr>
                <w:color w:val="000000" w:themeColor="text1"/>
                <w:kern w:val="2"/>
                <w:sz w:val="22"/>
                <w:lang w:eastAsia="zh-CN"/>
              </w:rPr>
            </w:pPr>
            <w:r w:rsidRPr="00C7354B">
              <w:rPr>
                <w:color w:val="000000" w:themeColor="text1"/>
                <w:kern w:val="2"/>
                <w:sz w:val="22"/>
                <w:lang w:eastAsia="zh-CN"/>
              </w:rPr>
              <w:t>&lt; .01</w:t>
            </w:r>
          </w:p>
        </w:tc>
        <w:tc>
          <w:tcPr>
            <w:tcW w:w="2310" w:type="dxa"/>
            <w:tcBorders>
              <w:left w:val="nil"/>
              <w:right w:val="nil"/>
            </w:tcBorders>
          </w:tcPr>
          <w:p w14:paraId="5CA1E67B" w14:textId="77777777" w:rsidR="00406027" w:rsidRPr="00C7354B" w:rsidRDefault="00406027" w:rsidP="006B1B51">
            <w:pPr>
              <w:widowControl w:val="0"/>
              <w:spacing w:line="240" w:lineRule="auto"/>
              <w:jc w:val="center"/>
              <w:rPr>
                <w:color w:val="000000" w:themeColor="text1"/>
                <w:kern w:val="2"/>
                <w:sz w:val="22"/>
                <w:lang w:eastAsia="zh-CN"/>
              </w:rPr>
            </w:pPr>
          </w:p>
        </w:tc>
        <w:tc>
          <w:tcPr>
            <w:tcW w:w="2284" w:type="dxa"/>
            <w:tcBorders>
              <w:left w:val="nil"/>
              <w:right w:val="nil"/>
            </w:tcBorders>
          </w:tcPr>
          <w:p w14:paraId="4A13F240" w14:textId="77777777" w:rsidR="00406027" w:rsidRPr="00C7354B" w:rsidRDefault="00406027" w:rsidP="006B1B51">
            <w:pPr>
              <w:widowControl w:val="0"/>
              <w:spacing w:line="240" w:lineRule="auto"/>
              <w:jc w:val="center"/>
              <w:rPr>
                <w:color w:val="000000" w:themeColor="text1"/>
                <w:kern w:val="2"/>
                <w:sz w:val="22"/>
                <w:lang w:eastAsia="zh-CN"/>
              </w:rPr>
            </w:pPr>
          </w:p>
        </w:tc>
      </w:tr>
      <w:tr w:rsidR="00406027" w:rsidRPr="00C7354B" w14:paraId="7EE67129" w14:textId="77777777" w:rsidTr="00846329">
        <w:trPr>
          <w:trHeight w:val="86"/>
        </w:trPr>
        <w:tc>
          <w:tcPr>
            <w:tcW w:w="2310" w:type="dxa"/>
            <w:tcBorders>
              <w:left w:val="nil"/>
              <w:right w:val="nil"/>
            </w:tcBorders>
            <w:shd w:val="clear" w:color="auto" w:fill="auto"/>
            <w:noWrap/>
          </w:tcPr>
          <w:p w14:paraId="35FA6DEE" w14:textId="77777777" w:rsidR="00406027" w:rsidRPr="00C7354B" w:rsidRDefault="00406027" w:rsidP="006B1B51">
            <w:pPr>
              <w:widowControl w:val="0"/>
              <w:spacing w:line="240" w:lineRule="auto"/>
              <w:jc w:val="left"/>
              <w:rPr>
                <w:color w:val="000000" w:themeColor="text1"/>
                <w:kern w:val="2"/>
                <w:sz w:val="22"/>
                <w:lang w:eastAsia="zh-CN"/>
              </w:rPr>
            </w:pPr>
            <w:r w:rsidRPr="00C7354B">
              <w:rPr>
                <w:color w:val="000000" w:themeColor="text1"/>
                <w:kern w:val="2"/>
                <w:sz w:val="22"/>
                <w:lang w:eastAsia="zh-CN"/>
              </w:rPr>
              <w:t xml:space="preserve">   N</w:t>
            </w:r>
          </w:p>
        </w:tc>
        <w:tc>
          <w:tcPr>
            <w:tcW w:w="2310" w:type="dxa"/>
            <w:tcBorders>
              <w:left w:val="nil"/>
              <w:right w:val="nil"/>
            </w:tcBorders>
          </w:tcPr>
          <w:p w14:paraId="635803D3" w14:textId="77777777" w:rsidR="00406027" w:rsidRPr="00C7354B" w:rsidRDefault="00406027" w:rsidP="006B1B51">
            <w:pPr>
              <w:widowControl w:val="0"/>
              <w:spacing w:line="240" w:lineRule="auto"/>
              <w:jc w:val="center"/>
              <w:rPr>
                <w:color w:val="000000" w:themeColor="text1"/>
                <w:kern w:val="2"/>
                <w:sz w:val="22"/>
                <w:lang w:eastAsia="zh-CN"/>
              </w:rPr>
            </w:pPr>
            <w:r w:rsidRPr="00C7354B">
              <w:rPr>
                <w:color w:val="000000" w:themeColor="text1"/>
                <w:kern w:val="2"/>
                <w:sz w:val="22"/>
                <w:lang w:eastAsia="zh-CN"/>
              </w:rPr>
              <w:t>340,826</w:t>
            </w:r>
          </w:p>
        </w:tc>
        <w:tc>
          <w:tcPr>
            <w:tcW w:w="2310" w:type="dxa"/>
            <w:tcBorders>
              <w:left w:val="nil"/>
              <w:right w:val="nil"/>
            </w:tcBorders>
          </w:tcPr>
          <w:p w14:paraId="4297909E" w14:textId="77777777" w:rsidR="00406027" w:rsidRPr="00C7354B" w:rsidRDefault="00406027" w:rsidP="006B1B51">
            <w:pPr>
              <w:widowControl w:val="0"/>
              <w:spacing w:line="240" w:lineRule="auto"/>
              <w:jc w:val="center"/>
              <w:rPr>
                <w:color w:val="000000" w:themeColor="text1"/>
                <w:kern w:val="2"/>
                <w:sz w:val="22"/>
                <w:lang w:eastAsia="zh-CN"/>
              </w:rPr>
            </w:pPr>
          </w:p>
        </w:tc>
        <w:tc>
          <w:tcPr>
            <w:tcW w:w="2284" w:type="dxa"/>
            <w:tcBorders>
              <w:left w:val="nil"/>
              <w:right w:val="nil"/>
            </w:tcBorders>
          </w:tcPr>
          <w:p w14:paraId="4B93C481" w14:textId="77777777" w:rsidR="00406027" w:rsidRPr="00C7354B" w:rsidRDefault="00406027" w:rsidP="006B1B51">
            <w:pPr>
              <w:widowControl w:val="0"/>
              <w:spacing w:line="240" w:lineRule="auto"/>
              <w:jc w:val="center"/>
              <w:rPr>
                <w:color w:val="000000" w:themeColor="text1"/>
                <w:kern w:val="2"/>
                <w:sz w:val="22"/>
                <w:lang w:eastAsia="zh-CN"/>
              </w:rPr>
            </w:pPr>
          </w:p>
        </w:tc>
      </w:tr>
      <w:tr w:rsidR="00406027" w:rsidRPr="00C7354B" w14:paraId="6BDE46CA" w14:textId="77777777" w:rsidTr="00846329">
        <w:trPr>
          <w:trHeight w:val="86"/>
        </w:trPr>
        <w:tc>
          <w:tcPr>
            <w:tcW w:w="2310" w:type="dxa"/>
            <w:tcBorders>
              <w:left w:val="nil"/>
              <w:bottom w:val="single" w:sz="4" w:space="0" w:color="auto"/>
              <w:right w:val="nil"/>
            </w:tcBorders>
            <w:shd w:val="clear" w:color="auto" w:fill="auto"/>
            <w:noWrap/>
          </w:tcPr>
          <w:p w14:paraId="69902C1A" w14:textId="77777777" w:rsidR="00406027" w:rsidRPr="00C7354B" w:rsidRDefault="00406027" w:rsidP="006B1B51">
            <w:pPr>
              <w:widowControl w:val="0"/>
              <w:spacing w:line="240" w:lineRule="auto"/>
              <w:jc w:val="left"/>
              <w:rPr>
                <w:color w:val="000000" w:themeColor="text1"/>
                <w:kern w:val="2"/>
                <w:sz w:val="22"/>
                <w:lang w:eastAsia="zh-CN"/>
              </w:rPr>
            </w:pPr>
            <w:r w:rsidRPr="00C7354B">
              <w:rPr>
                <w:color w:val="000000" w:themeColor="text1"/>
                <w:kern w:val="2"/>
                <w:sz w:val="22"/>
                <w:lang w:eastAsia="zh-CN"/>
              </w:rPr>
              <w:t xml:space="preserve">   k</w:t>
            </w:r>
          </w:p>
        </w:tc>
        <w:tc>
          <w:tcPr>
            <w:tcW w:w="2310" w:type="dxa"/>
            <w:tcBorders>
              <w:left w:val="nil"/>
              <w:bottom w:val="single" w:sz="4" w:space="0" w:color="auto"/>
              <w:right w:val="nil"/>
            </w:tcBorders>
          </w:tcPr>
          <w:p w14:paraId="5AF8C52C" w14:textId="77777777" w:rsidR="00406027" w:rsidRPr="00C7354B" w:rsidRDefault="00406027" w:rsidP="006B1B51">
            <w:pPr>
              <w:widowControl w:val="0"/>
              <w:spacing w:line="240" w:lineRule="auto"/>
              <w:jc w:val="center"/>
              <w:rPr>
                <w:color w:val="000000" w:themeColor="text1"/>
                <w:kern w:val="2"/>
                <w:sz w:val="22"/>
                <w:lang w:eastAsia="zh-CN"/>
              </w:rPr>
            </w:pPr>
            <w:r w:rsidRPr="00C7354B">
              <w:rPr>
                <w:color w:val="000000" w:themeColor="text1"/>
                <w:kern w:val="2"/>
                <w:sz w:val="22"/>
                <w:lang w:eastAsia="zh-CN"/>
              </w:rPr>
              <w:t>99</w:t>
            </w:r>
          </w:p>
        </w:tc>
        <w:tc>
          <w:tcPr>
            <w:tcW w:w="2310" w:type="dxa"/>
            <w:tcBorders>
              <w:left w:val="nil"/>
              <w:bottom w:val="single" w:sz="4" w:space="0" w:color="auto"/>
              <w:right w:val="nil"/>
            </w:tcBorders>
          </w:tcPr>
          <w:p w14:paraId="14B12020" w14:textId="77777777" w:rsidR="00406027" w:rsidRPr="00C7354B" w:rsidRDefault="00406027" w:rsidP="006B1B51">
            <w:pPr>
              <w:widowControl w:val="0"/>
              <w:spacing w:line="240" w:lineRule="auto"/>
              <w:jc w:val="center"/>
              <w:rPr>
                <w:color w:val="000000" w:themeColor="text1"/>
                <w:kern w:val="2"/>
                <w:sz w:val="22"/>
                <w:lang w:eastAsia="zh-CN"/>
              </w:rPr>
            </w:pPr>
          </w:p>
        </w:tc>
        <w:tc>
          <w:tcPr>
            <w:tcW w:w="2284" w:type="dxa"/>
            <w:tcBorders>
              <w:left w:val="nil"/>
              <w:bottom w:val="single" w:sz="4" w:space="0" w:color="auto"/>
              <w:right w:val="nil"/>
            </w:tcBorders>
          </w:tcPr>
          <w:p w14:paraId="6A2A17C1" w14:textId="77777777" w:rsidR="00406027" w:rsidRPr="00C7354B" w:rsidRDefault="00406027" w:rsidP="006B1B51">
            <w:pPr>
              <w:widowControl w:val="0"/>
              <w:spacing w:line="240" w:lineRule="auto"/>
              <w:jc w:val="center"/>
              <w:rPr>
                <w:color w:val="000000" w:themeColor="text1"/>
                <w:kern w:val="2"/>
                <w:sz w:val="22"/>
                <w:lang w:eastAsia="zh-CN"/>
              </w:rPr>
            </w:pPr>
          </w:p>
        </w:tc>
      </w:tr>
    </w:tbl>
    <w:p w14:paraId="494EA101" w14:textId="77777777" w:rsidR="00406027" w:rsidRPr="00C7354B" w:rsidRDefault="00406027" w:rsidP="006B1B51">
      <w:pPr>
        <w:widowControl w:val="0"/>
        <w:adjustRightInd w:val="0"/>
        <w:snapToGrid w:val="0"/>
        <w:spacing w:before="60" w:after="60" w:line="240" w:lineRule="auto"/>
        <w:rPr>
          <w:rFonts w:eastAsia="SimSun"/>
          <w:color w:val="000000" w:themeColor="text1"/>
          <w:kern w:val="2"/>
          <w:sz w:val="22"/>
          <w:lang w:val="en-US" w:eastAsia="zh-CN"/>
        </w:rPr>
      </w:pPr>
      <w:r w:rsidRPr="002323D7">
        <w:rPr>
          <w:rFonts w:eastAsia="SimSun"/>
          <w:i/>
          <w:iCs/>
          <w:color w:val="000000" w:themeColor="text1"/>
          <w:kern w:val="2"/>
          <w:sz w:val="22"/>
          <w:lang w:val="en-US" w:eastAsia="zh-CN"/>
        </w:rPr>
        <w:t>Note</w:t>
      </w:r>
      <w:r w:rsidRPr="00C7354B">
        <w:rPr>
          <w:rFonts w:eastAsia="SimSun"/>
          <w:color w:val="000000" w:themeColor="text1"/>
          <w:kern w:val="2"/>
          <w:sz w:val="22"/>
          <w:lang w:val="en-US" w:eastAsia="zh-CN"/>
        </w:rPr>
        <w:t xml:space="preserve">: Standardized coefficients are shown with standard errors in parentheses; MASEM = meta-analytic structural equation modeling; </w:t>
      </w:r>
      <w:r w:rsidRPr="00C7354B">
        <w:rPr>
          <w:rFonts w:eastAsia="SimSun"/>
          <w:i/>
          <w:iCs/>
          <w:color w:val="000000" w:themeColor="text1"/>
          <w:kern w:val="2"/>
          <w:sz w:val="22"/>
          <w:lang w:val="en-US" w:eastAsia="zh-CN"/>
        </w:rPr>
        <w:t>N</w:t>
      </w:r>
      <w:r w:rsidRPr="00C7354B">
        <w:rPr>
          <w:rFonts w:eastAsia="SimSun"/>
          <w:color w:val="000000" w:themeColor="text1"/>
          <w:kern w:val="2"/>
          <w:sz w:val="22"/>
          <w:lang w:val="en-US" w:eastAsia="zh-CN"/>
        </w:rPr>
        <w:t xml:space="preserve"> = harmonic mean of total sample size; </w:t>
      </w:r>
      <w:r w:rsidRPr="00C7354B">
        <w:rPr>
          <w:rFonts w:eastAsia="SimSun"/>
          <w:i/>
          <w:iCs/>
          <w:color w:val="000000" w:themeColor="text1"/>
          <w:kern w:val="2"/>
          <w:sz w:val="22"/>
          <w:lang w:val="en-US" w:eastAsia="zh-CN"/>
        </w:rPr>
        <w:t>k</w:t>
      </w:r>
      <w:r w:rsidRPr="00C7354B">
        <w:rPr>
          <w:rFonts w:eastAsia="SimSun"/>
          <w:color w:val="000000" w:themeColor="text1"/>
          <w:kern w:val="2"/>
          <w:sz w:val="22"/>
          <w:lang w:val="en-US" w:eastAsia="zh-CN"/>
        </w:rPr>
        <w:t xml:space="preserve"> = harmonic mean of independent studies; </w:t>
      </w:r>
      <w:r w:rsidRPr="00C7354B">
        <w:rPr>
          <w:rFonts w:eastAsia="SimSun"/>
          <w:i/>
          <w:iCs/>
          <w:color w:val="000000" w:themeColor="text1"/>
          <w:kern w:val="2"/>
          <w:sz w:val="22"/>
          <w:lang w:val="en-US" w:eastAsia="zh-CN"/>
        </w:rPr>
        <w:t>AIC</w:t>
      </w:r>
      <w:r w:rsidRPr="00C7354B">
        <w:rPr>
          <w:rFonts w:eastAsia="SimSun"/>
          <w:color w:val="000000" w:themeColor="text1"/>
          <w:kern w:val="2"/>
          <w:sz w:val="22"/>
          <w:lang w:val="en-US" w:eastAsia="zh-CN"/>
        </w:rPr>
        <w:t xml:space="preserve"> = Akaike information criterion; </w:t>
      </w:r>
      <w:r w:rsidRPr="00C7354B">
        <w:rPr>
          <w:rFonts w:eastAsia="SimSun"/>
          <w:i/>
          <w:iCs/>
          <w:color w:val="000000" w:themeColor="text1"/>
          <w:kern w:val="2"/>
          <w:sz w:val="22"/>
          <w:lang w:val="en-US" w:eastAsia="zh-CN"/>
        </w:rPr>
        <w:t>BIC</w:t>
      </w:r>
      <w:r w:rsidRPr="00C7354B">
        <w:rPr>
          <w:rFonts w:eastAsia="SimSun"/>
          <w:color w:val="000000" w:themeColor="text1"/>
          <w:kern w:val="2"/>
          <w:sz w:val="22"/>
          <w:lang w:val="en-US" w:eastAsia="zh-CN"/>
        </w:rPr>
        <w:t xml:space="preserve"> = Bayesian information criterion; </w:t>
      </w:r>
      <w:r w:rsidRPr="00C7354B">
        <w:rPr>
          <w:rFonts w:eastAsia="SimSun"/>
          <w:i/>
          <w:iCs/>
          <w:color w:val="000000" w:themeColor="text1"/>
          <w:kern w:val="2"/>
          <w:sz w:val="22"/>
          <w:lang w:val="en-US" w:eastAsia="zh-CN"/>
        </w:rPr>
        <w:t>TLI</w:t>
      </w:r>
      <w:r w:rsidRPr="00C7354B">
        <w:rPr>
          <w:rFonts w:eastAsia="SimSun"/>
          <w:color w:val="000000" w:themeColor="text1"/>
          <w:kern w:val="2"/>
          <w:sz w:val="22"/>
          <w:lang w:val="en-US" w:eastAsia="zh-CN"/>
        </w:rPr>
        <w:t xml:space="preserve"> = Tucker-Lewis index; </w:t>
      </w:r>
      <w:r w:rsidRPr="00C7354B">
        <w:rPr>
          <w:rFonts w:eastAsia="SimSun"/>
          <w:i/>
          <w:iCs/>
          <w:color w:val="000000" w:themeColor="text1"/>
          <w:kern w:val="2"/>
          <w:sz w:val="22"/>
          <w:lang w:val="en-US" w:eastAsia="zh-CN"/>
        </w:rPr>
        <w:t>CFI</w:t>
      </w:r>
      <w:r w:rsidRPr="00C7354B">
        <w:rPr>
          <w:rFonts w:eastAsia="SimSun"/>
          <w:color w:val="000000" w:themeColor="text1"/>
          <w:kern w:val="2"/>
          <w:sz w:val="22"/>
          <w:lang w:val="en-US" w:eastAsia="zh-CN"/>
        </w:rPr>
        <w:t xml:space="preserve"> = comparative fit index; </w:t>
      </w:r>
      <w:r w:rsidRPr="00C7354B">
        <w:rPr>
          <w:rFonts w:eastAsia="SimSun"/>
          <w:i/>
          <w:iCs/>
          <w:color w:val="000000" w:themeColor="text1"/>
          <w:kern w:val="2"/>
          <w:sz w:val="22"/>
          <w:lang w:val="en-US" w:eastAsia="zh-CN"/>
        </w:rPr>
        <w:t>RMSEA</w:t>
      </w:r>
      <w:r w:rsidRPr="00C7354B">
        <w:rPr>
          <w:rFonts w:eastAsia="SimSun"/>
          <w:color w:val="000000" w:themeColor="text1"/>
          <w:kern w:val="2"/>
          <w:sz w:val="22"/>
          <w:lang w:val="en-US" w:eastAsia="zh-CN"/>
        </w:rPr>
        <w:t xml:space="preserve"> = root mean square error of approximation; </w:t>
      </w:r>
      <w:r w:rsidRPr="00C7354B">
        <w:rPr>
          <w:rFonts w:eastAsia="SimSun"/>
          <w:i/>
          <w:iCs/>
          <w:color w:val="000000" w:themeColor="text1"/>
          <w:kern w:val="2"/>
          <w:sz w:val="22"/>
          <w:lang w:val="en-US" w:eastAsia="zh-CN"/>
        </w:rPr>
        <w:t>SRMR</w:t>
      </w:r>
      <w:r w:rsidRPr="00C7354B">
        <w:rPr>
          <w:rFonts w:eastAsia="SimSun"/>
          <w:color w:val="000000" w:themeColor="text1"/>
          <w:kern w:val="2"/>
          <w:sz w:val="22"/>
          <w:lang w:val="en-US" w:eastAsia="zh-CN"/>
        </w:rPr>
        <w:t xml:space="preserve"> = standard root mean square residual.</w:t>
      </w:r>
    </w:p>
    <w:p w14:paraId="6883734F" w14:textId="77777777" w:rsidR="00406027" w:rsidRPr="00F75D8C" w:rsidRDefault="00406027" w:rsidP="00406027">
      <w:pPr>
        <w:pStyle w:val="CitaviBibliographyEntry"/>
      </w:pPr>
    </w:p>
    <w:p w14:paraId="365523AC" w14:textId="6C8F5C2B" w:rsidR="006822EF" w:rsidRDefault="006822EF">
      <w:pPr>
        <w:spacing w:after="160" w:line="259" w:lineRule="auto"/>
        <w:jc w:val="left"/>
        <w:rPr>
          <w:lang w:val="en-US"/>
        </w:rPr>
      </w:pPr>
    </w:p>
    <w:p w14:paraId="5D505B88" w14:textId="77777777" w:rsidR="00B92A09" w:rsidRDefault="00B92A09" w:rsidP="00B92A09">
      <w:pPr>
        <w:pStyle w:val="CitaviBibliographyEntry"/>
      </w:pPr>
    </w:p>
    <w:p w14:paraId="3EF73ABA" w14:textId="77777777" w:rsidR="00D03577" w:rsidRDefault="00D03577" w:rsidP="00D03577">
      <w:pPr>
        <w:spacing w:after="160" w:line="259" w:lineRule="auto"/>
        <w:jc w:val="left"/>
        <w:rPr>
          <w:lang w:val="en-US"/>
        </w:rPr>
        <w:sectPr w:rsidR="00D03577" w:rsidSect="00663110">
          <w:footerReference w:type="first" r:id="rId31"/>
          <w:endnotePr>
            <w:numFmt w:val="decimal"/>
          </w:endnotePr>
          <w:pgSz w:w="11906" w:h="16838"/>
          <w:pgMar w:top="1417" w:right="1417" w:bottom="1134" w:left="1417" w:header="709" w:footer="708" w:gutter="0"/>
          <w:cols w:space="708"/>
          <w:docGrid w:linePitch="360"/>
        </w:sectPr>
      </w:pPr>
    </w:p>
    <w:p w14:paraId="2D94C232" w14:textId="5D040C09" w:rsidR="00D03577" w:rsidRPr="00D03577" w:rsidRDefault="00D03577">
      <w:pPr>
        <w:pStyle w:val="berschrift1"/>
        <w:numPr>
          <w:ilvl w:val="0"/>
          <w:numId w:val="19"/>
        </w:numPr>
        <w:jc w:val="both"/>
        <w:rPr>
          <w:lang w:val="en-US"/>
        </w:rPr>
      </w:pPr>
      <w:bookmarkStart w:id="248" w:name="_Toc180963609"/>
      <w:r w:rsidRPr="00D03577">
        <w:rPr>
          <w:lang w:val="en-US"/>
        </w:rPr>
        <w:lastRenderedPageBreak/>
        <w:t xml:space="preserve">RESOURCE APPROPRIATION IN STRATEGIC ALLIANCES: </w:t>
      </w:r>
      <w:r w:rsidR="008D3B08">
        <w:rPr>
          <w:lang w:val="en-US"/>
        </w:rPr>
        <w:br/>
      </w:r>
      <w:r w:rsidRPr="00D03577">
        <w:rPr>
          <w:lang w:val="en-US"/>
        </w:rPr>
        <w:t>THE IMPACT OF BOARD INTERLOCKS ON DIFFERENTIAL BENEFITS</w:t>
      </w:r>
      <w:bookmarkEnd w:id="248"/>
    </w:p>
    <w:p w14:paraId="3EEABCB9" w14:textId="77777777" w:rsidR="00D03577" w:rsidRDefault="00D03577" w:rsidP="00D03577">
      <w:pPr>
        <w:rPr>
          <w:lang w:val="en-US"/>
        </w:rPr>
      </w:pPr>
    </w:p>
    <w:p w14:paraId="4E56E6C3" w14:textId="60AB1310" w:rsidR="00D03577" w:rsidRDefault="00D03577" w:rsidP="00D03577">
      <w:pPr>
        <w:spacing w:line="360" w:lineRule="auto"/>
        <w:rPr>
          <w:lang w:val="en-US"/>
        </w:rPr>
      </w:pPr>
      <w:r>
        <w:rPr>
          <w:lang w:val="en-US"/>
        </w:rPr>
        <w:t>Co-authors: Andreas Bausch</w:t>
      </w:r>
    </w:p>
    <w:p w14:paraId="76DFB3B5" w14:textId="14233DAE" w:rsidR="00D03577" w:rsidRDefault="00D03577" w:rsidP="00D03577">
      <w:pPr>
        <w:spacing w:line="360" w:lineRule="auto"/>
        <w:rPr>
          <w:lang w:val="en-US"/>
        </w:rPr>
      </w:pPr>
      <w:r>
        <w:rPr>
          <w:lang w:val="en-US"/>
        </w:rPr>
        <w:t>Own share: 90%</w:t>
      </w:r>
    </w:p>
    <w:p w14:paraId="7EFE2408" w14:textId="77777777" w:rsidR="00D03577" w:rsidRDefault="00D03577" w:rsidP="00D03577">
      <w:pPr>
        <w:rPr>
          <w:lang w:val="en-US"/>
        </w:rPr>
      </w:pPr>
    </w:p>
    <w:p w14:paraId="4C672A16" w14:textId="77777777" w:rsidR="00D03577" w:rsidRDefault="00D03577" w:rsidP="00D03577">
      <w:pPr>
        <w:spacing w:line="360" w:lineRule="auto"/>
        <w:rPr>
          <w:lang w:val="en-US"/>
        </w:rPr>
      </w:pPr>
      <w:r>
        <w:rPr>
          <w:lang w:val="en-US"/>
        </w:rPr>
        <w:t>Awaiting Reviewer Feedback from:</w:t>
      </w:r>
    </w:p>
    <w:p w14:paraId="2CC67AB7" w14:textId="032165EE" w:rsidR="00D03577" w:rsidRPr="00D03577" w:rsidRDefault="00D03577" w:rsidP="00D03577">
      <w:pPr>
        <w:spacing w:line="360" w:lineRule="auto"/>
        <w:rPr>
          <w:lang w:val="en-US"/>
        </w:rPr>
      </w:pPr>
      <w:r>
        <w:rPr>
          <w:lang w:val="en-US"/>
        </w:rPr>
        <w:tab/>
        <w:t>Strategic Management Journal, submitted October 2024</w:t>
      </w:r>
    </w:p>
    <w:p w14:paraId="555E8776" w14:textId="77777777" w:rsidR="00D03577" w:rsidRDefault="00D03577" w:rsidP="00D03577">
      <w:pPr>
        <w:spacing w:after="160" w:line="259" w:lineRule="auto"/>
        <w:jc w:val="left"/>
        <w:rPr>
          <w:rFonts w:eastAsiaTheme="majorEastAsia" w:cstheme="majorBidi"/>
          <w:b/>
          <w:caps/>
          <w:szCs w:val="32"/>
          <w:lang w:val="en-US"/>
        </w:rPr>
      </w:pPr>
      <w:r>
        <w:rPr>
          <w:rFonts w:eastAsiaTheme="majorEastAsia" w:cstheme="majorBidi"/>
          <w:b/>
          <w:caps/>
          <w:szCs w:val="32"/>
          <w:lang w:val="en-US"/>
        </w:rPr>
        <w:br w:type="page"/>
      </w:r>
    </w:p>
    <w:p w14:paraId="4591A180" w14:textId="77777777" w:rsidR="00954779" w:rsidRDefault="00954779" w:rsidP="00B92A09">
      <w:pPr>
        <w:pStyle w:val="CitaviBibliographyEntry"/>
        <w:sectPr w:rsidR="00954779" w:rsidSect="00794C6C">
          <w:pgSz w:w="11906" w:h="16838"/>
          <w:pgMar w:top="1417" w:right="1417" w:bottom="1134" w:left="1417" w:header="709" w:footer="709" w:gutter="0"/>
          <w:cols w:space="708"/>
          <w:titlePg/>
          <w:docGrid w:linePitch="360"/>
        </w:sectPr>
      </w:pPr>
    </w:p>
    <w:p w14:paraId="368EDDDD" w14:textId="5C643E10" w:rsidR="0045275D" w:rsidRPr="00D03577" w:rsidRDefault="0045275D" w:rsidP="00D03577">
      <w:pPr>
        <w:pStyle w:val="1fake"/>
      </w:pPr>
      <w:bookmarkStart w:id="249" w:name="_Hlk177505148"/>
      <w:r w:rsidRPr="00D03577">
        <w:lastRenderedPageBreak/>
        <w:t xml:space="preserve">RESOURCE APPROPRIATION IN STRATEGIC ALLIANCES: </w:t>
      </w:r>
      <w:r w:rsidRPr="00D03577">
        <w:br/>
        <w:t>THE IMPACT OF BOARD INTERLOCKS ON DIFFERENTIAL BENEFITS</w:t>
      </w:r>
    </w:p>
    <w:bookmarkEnd w:id="249"/>
    <w:p w14:paraId="21E22853" w14:textId="77777777" w:rsidR="0045275D" w:rsidRPr="000F22FC" w:rsidRDefault="0045275D" w:rsidP="0045275D">
      <w:pPr>
        <w:spacing w:line="240" w:lineRule="auto"/>
        <w:jc w:val="center"/>
        <w:rPr>
          <w:bCs/>
          <w:lang w:val="en-US"/>
        </w:rPr>
      </w:pPr>
    </w:p>
    <w:p w14:paraId="7C31C51A" w14:textId="77777777" w:rsidR="0045275D" w:rsidRPr="00EF4EE3" w:rsidRDefault="0045275D" w:rsidP="0045275D">
      <w:pPr>
        <w:spacing w:line="240" w:lineRule="auto"/>
        <w:jc w:val="center"/>
        <w:rPr>
          <w:b/>
          <w:lang w:val="en-US"/>
        </w:rPr>
      </w:pPr>
      <w:r w:rsidRPr="00EF4EE3">
        <w:rPr>
          <w:b/>
          <w:lang w:val="en-US"/>
        </w:rPr>
        <w:t>Marius Brede</w:t>
      </w:r>
    </w:p>
    <w:p w14:paraId="1C636531" w14:textId="77777777" w:rsidR="0045275D" w:rsidRPr="0045275D" w:rsidRDefault="0045275D" w:rsidP="0045275D">
      <w:pPr>
        <w:spacing w:line="240" w:lineRule="auto"/>
        <w:jc w:val="center"/>
        <w:rPr>
          <w:bCs/>
          <w:lang w:val="en-US"/>
        </w:rPr>
      </w:pPr>
      <w:r w:rsidRPr="0045275D">
        <w:rPr>
          <w:bCs/>
          <w:lang w:val="en-US"/>
        </w:rPr>
        <w:t>University of Giessen,</w:t>
      </w:r>
    </w:p>
    <w:p w14:paraId="2C2DCE43" w14:textId="77777777" w:rsidR="0045275D" w:rsidRPr="000F22FC" w:rsidRDefault="0045275D" w:rsidP="0045275D">
      <w:pPr>
        <w:spacing w:line="240" w:lineRule="auto"/>
        <w:jc w:val="center"/>
        <w:rPr>
          <w:bCs/>
        </w:rPr>
      </w:pPr>
      <w:r w:rsidRPr="000F22FC">
        <w:rPr>
          <w:bCs/>
        </w:rPr>
        <w:t>Licher Str. 62,</w:t>
      </w:r>
    </w:p>
    <w:p w14:paraId="744EA26C" w14:textId="77777777" w:rsidR="0045275D" w:rsidRPr="000F22FC" w:rsidRDefault="0045275D" w:rsidP="0045275D">
      <w:pPr>
        <w:spacing w:line="240" w:lineRule="auto"/>
        <w:jc w:val="center"/>
        <w:rPr>
          <w:bCs/>
        </w:rPr>
      </w:pPr>
      <w:r w:rsidRPr="00352475">
        <w:rPr>
          <w:bCs/>
        </w:rPr>
        <w:t xml:space="preserve">35394 </w:t>
      </w:r>
      <w:r w:rsidRPr="000F22FC">
        <w:rPr>
          <w:bCs/>
        </w:rPr>
        <w:t>Gießen, Germany</w:t>
      </w:r>
    </w:p>
    <w:p w14:paraId="07BA1162" w14:textId="77777777" w:rsidR="0045275D" w:rsidRPr="007E3F5D" w:rsidRDefault="0045275D" w:rsidP="0045275D">
      <w:pPr>
        <w:spacing w:line="240" w:lineRule="auto"/>
        <w:jc w:val="center"/>
        <w:rPr>
          <w:rStyle w:val="Hyperlink"/>
          <w:bCs/>
        </w:rPr>
      </w:pPr>
      <w:r w:rsidRPr="007E3F5D">
        <w:rPr>
          <w:lang w:eastAsia="de-AT"/>
        </w:rPr>
        <w:t>Email</w:t>
      </w:r>
      <w:r w:rsidRPr="007E3F5D">
        <w:rPr>
          <w:bCs/>
        </w:rPr>
        <w:t>: marius.brede@wirtschaft.uni-giessen.de</w:t>
      </w:r>
    </w:p>
    <w:p w14:paraId="083991BB" w14:textId="77777777" w:rsidR="0045275D" w:rsidRPr="000F22FC" w:rsidRDefault="0045275D" w:rsidP="0045275D">
      <w:pPr>
        <w:spacing w:line="240" w:lineRule="auto"/>
        <w:jc w:val="center"/>
        <w:rPr>
          <w:lang w:eastAsia="de-AT"/>
        </w:rPr>
      </w:pPr>
      <w:r w:rsidRPr="000F22FC">
        <w:rPr>
          <w:lang w:eastAsia="de-AT"/>
        </w:rPr>
        <w:t>Phone: 0049 641 22433</w:t>
      </w:r>
    </w:p>
    <w:p w14:paraId="478B39A7" w14:textId="3A464EEB" w:rsidR="0045275D" w:rsidRPr="0045275D" w:rsidRDefault="0045275D" w:rsidP="0045275D">
      <w:pPr>
        <w:spacing w:line="240" w:lineRule="auto"/>
        <w:jc w:val="center"/>
        <w:rPr>
          <w:bCs/>
          <w:color w:val="0563C1" w:themeColor="hyperlink"/>
          <w:u w:val="single"/>
        </w:rPr>
      </w:pPr>
      <w:r w:rsidRPr="000F22FC">
        <w:rPr>
          <w:bCs/>
        </w:rPr>
        <w:t>https://orcid.org/0009-0004-6831-6543</w:t>
      </w:r>
    </w:p>
    <w:p w14:paraId="432F894B" w14:textId="77777777" w:rsidR="0045275D" w:rsidRPr="00EA1BBD" w:rsidRDefault="0045275D" w:rsidP="0045275D">
      <w:pPr>
        <w:spacing w:line="240" w:lineRule="auto"/>
        <w:jc w:val="center"/>
      </w:pPr>
    </w:p>
    <w:p w14:paraId="11B2E2FB" w14:textId="77777777" w:rsidR="0045275D" w:rsidRPr="00EA1BBD" w:rsidRDefault="0045275D" w:rsidP="0045275D">
      <w:pPr>
        <w:spacing w:line="240" w:lineRule="auto"/>
        <w:jc w:val="center"/>
      </w:pPr>
    </w:p>
    <w:p w14:paraId="16BA7DC5" w14:textId="77777777" w:rsidR="0045275D" w:rsidRPr="00EF4EE3" w:rsidRDefault="0045275D" w:rsidP="0045275D">
      <w:pPr>
        <w:spacing w:line="240" w:lineRule="auto"/>
        <w:jc w:val="center"/>
        <w:rPr>
          <w:b/>
        </w:rPr>
      </w:pPr>
      <w:r w:rsidRPr="00EF4EE3">
        <w:rPr>
          <w:b/>
        </w:rPr>
        <w:t>Andreas Bausch</w:t>
      </w:r>
    </w:p>
    <w:p w14:paraId="0B77A618" w14:textId="77777777" w:rsidR="0045275D" w:rsidRPr="00EA1BBD" w:rsidRDefault="0045275D" w:rsidP="0045275D">
      <w:pPr>
        <w:spacing w:line="240" w:lineRule="auto"/>
        <w:jc w:val="center"/>
        <w:rPr>
          <w:bCs/>
        </w:rPr>
      </w:pPr>
      <w:r w:rsidRPr="00EA1BBD">
        <w:rPr>
          <w:bCs/>
        </w:rPr>
        <w:t>University of Giessen,</w:t>
      </w:r>
    </w:p>
    <w:p w14:paraId="082B8AB0" w14:textId="77777777" w:rsidR="0045275D" w:rsidRPr="000F22FC" w:rsidRDefault="0045275D" w:rsidP="0045275D">
      <w:pPr>
        <w:spacing w:line="240" w:lineRule="auto"/>
        <w:jc w:val="center"/>
        <w:rPr>
          <w:bCs/>
        </w:rPr>
      </w:pPr>
      <w:r w:rsidRPr="000F22FC">
        <w:rPr>
          <w:bCs/>
        </w:rPr>
        <w:t>Licher Str. 62,</w:t>
      </w:r>
    </w:p>
    <w:p w14:paraId="09743C9C" w14:textId="77777777" w:rsidR="0045275D" w:rsidRPr="000F22FC" w:rsidRDefault="0045275D" w:rsidP="0045275D">
      <w:pPr>
        <w:spacing w:line="240" w:lineRule="auto"/>
        <w:jc w:val="center"/>
        <w:rPr>
          <w:bCs/>
        </w:rPr>
      </w:pPr>
      <w:r w:rsidRPr="00352475">
        <w:rPr>
          <w:bCs/>
        </w:rPr>
        <w:t xml:space="preserve">35394 </w:t>
      </w:r>
      <w:r w:rsidRPr="000F22FC">
        <w:rPr>
          <w:bCs/>
        </w:rPr>
        <w:t>Gießen, Germany</w:t>
      </w:r>
    </w:p>
    <w:p w14:paraId="4B45E8C4" w14:textId="77777777" w:rsidR="0045275D" w:rsidRPr="00EA1BBD" w:rsidRDefault="0045275D" w:rsidP="0045275D">
      <w:pPr>
        <w:spacing w:line="240" w:lineRule="auto"/>
        <w:jc w:val="center"/>
        <w:rPr>
          <w:bCs/>
          <w:lang w:val="en-US"/>
        </w:rPr>
      </w:pPr>
      <w:r w:rsidRPr="00EA1BBD">
        <w:rPr>
          <w:lang w:val="en-US" w:eastAsia="de-AT"/>
        </w:rPr>
        <w:t>Email</w:t>
      </w:r>
      <w:r w:rsidRPr="00EA1BBD">
        <w:rPr>
          <w:bCs/>
          <w:lang w:val="en-US"/>
        </w:rPr>
        <w:t xml:space="preserve">: </w:t>
      </w:r>
      <w:r w:rsidRPr="00BE7B27">
        <w:rPr>
          <w:bCs/>
          <w:lang w:val="en-US"/>
        </w:rPr>
        <w:t>andreas.bausch@wirtschaft.uni-giessen.de</w:t>
      </w:r>
    </w:p>
    <w:p w14:paraId="53FF749A" w14:textId="77777777" w:rsidR="0045275D" w:rsidRPr="00352475" w:rsidRDefault="0045275D" w:rsidP="0045275D">
      <w:pPr>
        <w:spacing w:line="240" w:lineRule="auto"/>
        <w:jc w:val="center"/>
        <w:rPr>
          <w:lang w:val="en-US" w:eastAsia="de-AT"/>
        </w:rPr>
      </w:pPr>
      <w:r w:rsidRPr="00352475">
        <w:rPr>
          <w:lang w:val="en-US" w:eastAsia="de-AT"/>
        </w:rPr>
        <w:t>Phone: 0049 641 22431</w:t>
      </w:r>
    </w:p>
    <w:p w14:paraId="57D3E359" w14:textId="77777777" w:rsidR="0045275D" w:rsidRDefault="0045275D" w:rsidP="0045275D">
      <w:pPr>
        <w:pStyle w:val="CitaviBibliographyEntry"/>
        <w:ind w:left="0" w:firstLine="0"/>
      </w:pPr>
    </w:p>
    <w:p w14:paraId="17F69DA5" w14:textId="77777777" w:rsidR="00BF0E55" w:rsidRDefault="00BF0E55">
      <w:pPr>
        <w:spacing w:after="160" w:line="259" w:lineRule="auto"/>
        <w:jc w:val="left"/>
        <w:rPr>
          <w:rStyle w:val="KeinLeerraumZchn"/>
          <w:rFonts w:eastAsiaTheme="majorEastAsia" w:cs="Times New Roman"/>
          <w:b/>
          <w:caps/>
          <w:color w:val="000000" w:themeColor="text1"/>
          <w:szCs w:val="32"/>
          <w:lang w:val="en-US"/>
        </w:rPr>
      </w:pPr>
      <w:r>
        <w:rPr>
          <w:rStyle w:val="KeinLeerraumZchn"/>
          <w:lang w:val="en-US"/>
        </w:rPr>
        <w:br w:type="page"/>
      </w:r>
    </w:p>
    <w:p w14:paraId="09144135" w14:textId="72F40F29" w:rsidR="0045275D" w:rsidRPr="00D03577" w:rsidRDefault="00941A7A" w:rsidP="0005400E">
      <w:pPr>
        <w:pStyle w:val="berschrift2"/>
        <w:rPr>
          <w:rStyle w:val="KeinLeerraumZchn"/>
          <w:lang w:val="en-US"/>
        </w:rPr>
      </w:pPr>
      <w:bookmarkStart w:id="250" w:name="_Toc180963610"/>
      <w:r>
        <w:rPr>
          <w:rStyle w:val="KeinLeerraumZchn"/>
          <w:lang w:val="en-US"/>
        </w:rPr>
        <w:lastRenderedPageBreak/>
        <w:t>Abstract</w:t>
      </w:r>
      <w:bookmarkEnd w:id="250"/>
    </w:p>
    <w:p w14:paraId="7A34E40F" w14:textId="6FCEF155" w:rsidR="0032381D" w:rsidRPr="00656170" w:rsidRDefault="0032381D" w:rsidP="008411D3">
      <w:pPr>
        <w:pStyle w:val="Paragraph"/>
        <w:ind w:firstLine="708"/>
        <w:jc w:val="both"/>
        <w:rPr>
          <w:rFonts w:eastAsiaTheme="minorHAnsi"/>
          <w:lang w:eastAsia="en-US"/>
        </w:rPr>
      </w:pPr>
      <w:r w:rsidRPr="00656170">
        <w:rPr>
          <w:rFonts w:eastAsiaTheme="minorHAnsi"/>
          <w:b/>
          <w:bCs/>
          <w:i/>
          <w:iCs/>
          <w:lang w:eastAsia="en-US"/>
        </w:rPr>
        <w:t>Research summary:</w:t>
      </w:r>
      <w:r w:rsidRPr="00656170">
        <w:t xml:space="preserve"> </w:t>
      </w:r>
      <w:r w:rsidR="00092681" w:rsidRPr="00092681">
        <w:rPr>
          <w:rFonts w:eastAsiaTheme="minorHAnsi"/>
          <w:lang w:eastAsia="en-US"/>
        </w:rPr>
        <w:t>This study investigates the dual role of board interlocks in shaping the dynamics of cooperation and competition in strategic alliances. While board interlocks facilitate the diffusion of strategies and the transfer of resources between firms, they also serve as mechanisms of control. Analyzing 2,102 alliances from 2002 to 2021, we find that both direct and indirect board interlocks are associated with resource appropriation and differential benefits, indicating their function as competitive mechanisms. Additionally, we examine how a board’s openness to external information affects these outcomes, showing that factors such as relative board power and firm status shape a firm's ability to leverage board network information. The findings contribute to literature on inter-firm networks by highlighting how pluralistic ties influence resource appropriation and generate asymmetric returns.</w:t>
      </w:r>
    </w:p>
    <w:p w14:paraId="5A1E00FE" w14:textId="77777777" w:rsidR="0032381D" w:rsidRPr="00656170" w:rsidRDefault="0032381D" w:rsidP="00694090">
      <w:pPr>
        <w:pStyle w:val="Paragraph"/>
        <w:ind w:firstLine="0"/>
        <w:rPr>
          <w:rFonts w:eastAsiaTheme="minorHAnsi"/>
          <w:lang w:eastAsia="en-US"/>
        </w:rPr>
      </w:pPr>
    </w:p>
    <w:p w14:paraId="4C18FFB1" w14:textId="7D70BDEF" w:rsidR="0032381D" w:rsidRDefault="0032381D" w:rsidP="008411D3">
      <w:pPr>
        <w:pStyle w:val="Paragraph"/>
        <w:ind w:firstLine="708"/>
        <w:jc w:val="both"/>
        <w:rPr>
          <w:rFonts w:eastAsiaTheme="minorHAnsi"/>
          <w:lang w:eastAsia="en-US"/>
        </w:rPr>
      </w:pPr>
      <w:r w:rsidRPr="00656170">
        <w:rPr>
          <w:rFonts w:eastAsiaTheme="minorHAnsi"/>
          <w:b/>
          <w:bCs/>
          <w:i/>
          <w:iCs/>
          <w:lang w:eastAsia="en-US"/>
        </w:rPr>
        <w:t>Managerial summary:</w:t>
      </w:r>
      <w:r w:rsidRPr="00656170">
        <w:rPr>
          <w:rFonts w:eastAsiaTheme="minorHAnsi"/>
          <w:lang w:eastAsia="en-US"/>
        </w:rPr>
        <w:t xml:space="preserve"> </w:t>
      </w:r>
      <w:r w:rsidR="00092681" w:rsidRPr="00092681">
        <w:rPr>
          <w:rFonts w:eastAsiaTheme="minorHAnsi"/>
          <w:lang w:eastAsia="en-US"/>
        </w:rPr>
        <w:t>This study highlights the impact of board interlocks, where directors sit on multiple boards, on resource transfer and competitive dynamics in alliances. We find that both direct and indirect board interlocks can increase the risk of unintended resource leakage and lead to disproportionate benefits for some partners. For managers, this underscores the importance of carefully managing pluralistic network ties to mitigate competitive behavior and enhance joint value creation in alliances. Additionally, our findings show that a board's openness to external information significantly influences these outcomes, suggesting that managers should not underestimate how external factors shape competition and cooperation between alliance partners. Proactively addressing these dynamics can help firms better navigate the complexities of strategic alliances.</w:t>
      </w:r>
    </w:p>
    <w:p w14:paraId="29542D45" w14:textId="77777777" w:rsidR="00694090" w:rsidRPr="00656170" w:rsidRDefault="00694090" w:rsidP="00B1627F">
      <w:pPr>
        <w:pStyle w:val="Paragraph"/>
        <w:spacing w:line="240" w:lineRule="auto"/>
        <w:ind w:firstLine="0"/>
        <w:jc w:val="both"/>
        <w:rPr>
          <w:rFonts w:eastAsiaTheme="minorHAnsi"/>
          <w:lang w:eastAsia="en-US"/>
        </w:rPr>
      </w:pPr>
    </w:p>
    <w:p w14:paraId="1A45F6A8" w14:textId="5FDC4F1A" w:rsidR="00403DA7" w:rsidRDefault="0032381D" w:rsidP="00B1627F">
      <w:pPr>
        <w:rPr>
          <w:lang w:val="en-US"/>
        </w:rPr>
      </w:pPr>
      <w:r w:rsidRPr="00656170">
        <w:rPr>
          <w:b/>
          <w:lang w:val="en-US"/>
        </w:rPr>
        <w:t>Keywords</w:t>
      </w:r>
      <w:r w:rsidRPr="00656170">
        <w:rPr>
          <w:lang w:val="en-US"/>
        </w:rPr>
        <w:t>: Strategic alliances; Differential benefits; Board interlocks; Board of directors</w:t>
      </w:r>
      <w:r w:rsidR="00403DA7" w:rsidRPr="004A0528">
        <w:rPr>
          <w:lang w:val="en-US"/>
        </w:rPr>
        <w:br w:type="page"/>
      </w:r>
    </w:p>
    <w:p w14:paraId="314BB251" w14:textId="1AFCCA14" w:rsidR="00755C90" w:rsidRPr="001A0F01" w:rsidRDefault="00755C90" w:rsidP="00092681">
      <w:pPr>
        <w:pStyle w:val="berschrift2"/>
        <w:rPr>
          <w:lang w:val="en-US"/>
        </w:rPr>
      </w:pPr>
      <w:bookmarkStart w:id="251" w:name="_Toc180963611"/>
      <w:r w:rsidRPr="001A0F01">
        <w:rPr>
          <w:lang w:val="en-US"/>
        </w:rPr>
        <w:lastRenderedPageBreak/>
        <w:t>Introduction</w:t>
      </w:r>
      <w:bookmarkEnd w:id="251"/>
    </w:p>
    <w:p w14:paraId="4004A2D8" w14:textId="77777777" w:rsidR="00755C90" w:rsidRPr="001C6D7F" w:rsidRDefault="00755C90" w:rsidP="00C44B2B">
      <w:pPr>
        <w:pStyle w:val="Paragraph"/>
        <w:suppressLineNumbers/>
        <w:suppressAutoHyphens/>
        <w:ind w:firstLine="708"/>
        <w:jc w:val="both"/>
        <w:rPr>
          <w:color w:val="000000" w:themeColor="text1"/>
        </w:rPr>
      </w:pPr>
      <w:r w:rsidRPr="001C6D7F">
        <w:rPr>
          <w:color w:val="000000" w:themeColor="text1"/>
        </w:rPr>
        <w:t xml:space="preserve">Strategic alliances, including joint ventures, partnerships, and licensing agreements, represent collaborative strategies that firms use to co-develop products, exchange technologies, or share services. These alliances </w:t>
      </w:r>
      <w:r>
        <w:rPr>
          <w:color w:val="000000" w:themeColor="text1"/>
        </w:rPr>
        <w:t>enable firms</w:t>
      </w:r>
      <w:r w:rsidRPr="001C6D7F">
        <w:rPr>
          <w:color w:val="000000" w:themeColor="text1"/>
        </w:rPr>
        <w:t xml:space="preserve"> to access resources, mitigate risk, and enhance performance (Barringer &amp; Harrison, 2000; Doz, 1996; Hitt, Ireland, Camp, &amp; Sexton, 2001). However, despite these potential benefits, alliances are often characterized by inherent tensions between cooperation and competition (Arslan, 2018; Christoffersen, 2013; Das &amp; Teng, 1998, 2000b; Khanna, Gulati, &amp; Nohria, 1998; Parkhe, 1993), as alliance partners must continually balance the pursuit of shared goals with the protection of their own strategic interests. The tension created by this dynamic can adversely affect alliance stability and value creation. As a result, alliances frequently experience high termination rates (Das &amp; Teng, 2000b) and often result in differential benefits, where one partner captures a disproportionately larger share of the generated value (Arslan, 2018; Lavie, 2006).</w:t>
      </w:r>
    </w:p>
    <w:p w14:paraId="0CE81502" w14:textId="77777777" w:rsidR="00755C90" w:rsidRDefault="00755C90" w:rsidP="00C44B2B">
      <w:pPr>
        <w:pStyle w:val="Paragraph"/>
        <w:suppressLineNumbers/>
        <w:suppressAutoHyphens/>
        <w:ind w:firstLine="708"/>
        <w:jc w:val="both"/>
        <w:rPr>
          <w:color w:val="000000" w:themeColor="text1"/>
        </w:rPr>
      </w:pPr>
      <w:r w:rsidRPr="001C6D7F">
        <w:rPr>
          <w:color w:val="000000" w:themeColor="text1"/>
        </w:rPr>
        <w:t>The sources of these tensions are varied and multifaceted. For example, differences in partners' access to resources, operational efficiency, and resource endowments contribute to cooperative tensions (Dyer &amp; Singh, 1998; Gulati &amp; Wang, 2003; Kumar, 2011). In addition, differences in learning capabilities, bargaining power, and opportunistic behavior can lead to conflict between alliance partners (Hamel, 1991; Khanna et al., 1998, 1994; Kumar, 2010).</w:t>
      </w:r>
    </w:p>
    <w:p w14:paraId="3E7AADB7" w14:textId="77777777" w:rsidR="00755C90" w:rsidRPr="001C6D7F" w:rsidRDefault="00755C90" w:rsidP="00C44B2B">
      <w:pPr>
        <w:pStyle w:val="Paragraph"/>
        <w:suppressLineNumbers/>
        <w:suppressAutoHyphens/>
        <w:ind w:firstLine="708"/>
        <w:jc w:val="both"/>
        <w:rPr>
          <w:color w:val="000000" w:themeColor="text1"/>
        </w:rPr>
      </w:pPr>
      <w:r w:rsidRPr="001C6D7F">
        <w:rPr>
          <w:color w:val="000000" w:themeColor="text1"/>
        </w:rPr>
        <w:t xml:space="preserve">Traditionally, scholars have focused on dyadic relationships between partners to explain </w:t>
      </w:r>
      <w:r>
        <w:rPr>
          <w:color w:val="000000" w:themeColor="text1"/>
        </w:rPr>
        <w:t>cooperative</w:t>
      </w:r>
      <w:r w:rsidRPr="001C6D7F">
        <w:rPr>
          <w:color w:val="000000" w:themeColor="text1"/>
        </w:rPr>
        <w:t xml:space="preserve"> tensions. However, recent research highlights </w:t>
      </w:r>
      <w:r>
        <w:rPr>
          <w:color w:val="000000" w:themeColor="text1"/>
        </w:rPr>
        <w:t xml:space="preserve">the influence of </w:t>
      </w:r>
      <w:r w:rsidRPr="001C6D7F">
        <w:rPr>
          <w:color w:val="000000" w:themeColor="text1"/>
        </w:rPr>
        <w:t>the broader network context in which alliances are embedded. For instance, firms that occupy central positions within alliance networks often have privileged access to resources and greater flexibility to switch partners for more favorable opportunities. While this flexibility provides advantages, it can also exacerbate tensions with current partners, especially when central firms terminate alliances in pursuit of better opportunities (Rooks, Snijders, &amp; Duysters, 2013).</w:t>
      </w:r>
    </w:p>
    <w:p w14:paraId="036723F8" w14:textId="77777777" w:rsidR="00755C90" w:rsidRPr="001C6D7F" w:rsidRDefault="00755C90" w:rsidP="00C44B2B">
      <w:pPr>
        <w:pStyle w:val="Paragraph"/>
        <w:suppressLineNumbers/>
        <w:suppressAutoHyphens/>
        <w:ind w:firstLine="708"/>
        <w:jc w:val="both"/>
        <w:rPr>
          <w:color w:val="000000" w:themeColor="text1"/>
        </w:rPr>
      </w:pPr>
      <w:r w:rsidRPr="001C6D7F">
        <w:rPr>
          <w:color w:val="000000" w:themeColor="text1"/>
        </w:rPr>
        <w:lastRenderedPageBreak/>
        <w:t>Network ties between alliance partners also play a crucial role in shaping cooperative and competitive dynamics. For example, Liu, Mantecon, Silveri, and Sun (2020) found that prior employment and educational ties between board members of alliance partners can facilitate alliance formation, enhance cooperation, and improve alliance performance. Conversely, formal ties such as board interlocks, where a director serves on multiple boards simultaneously (Fich &amp; White, 2005; Knoben &amp; Bakker, 2019), present a more complex picture. Results from Liu et al. (2020) suggest that while board interlocks may enhance information flow</w:t>
      </w:r>
      <w:r>
        <w:rPr>
          <w:color w:val="000000" w:themeColor="text1"/>
        </w:rPr>
        <w:t xml:space="preserve"> between partners</w:t>
      </w:r>
      <w:r w:rsidRPr="001C6D7F">
        <w:rPr>
          <w:color w:val="000000" w:themeColor="text1"/>
        </w:rPr>
        <w:t xml:space="preserve">, they may also reduce </w:t>
      </w:r>
      <w:r>
        <w:rPr>
          <w:color w:val="000000" w:themeColor="text1"/>
        </w:rPr>
        <w:t xml:space="preserve">total </w:t>
      </w:r>
      <w:r w:rsidRPr="001C6D7F">
        <w:rPr>
          <w:color w:val="000000" w:themeColor="text1"/>
        </w:rPr>
        <w:t xml:space="preserve">value creation due to increased agency costs and conflicts of interest. In contrast, indirect interlocks, in which directors from each alliance partner serve on the board of an unrelated firm (Burt, 1980), tend to enhance value creation by facilitating access to richer information and mutual learning. Knoben and Bakker (2019) </w:t>
      </w:r>
      <w:r>
        <w:rPr>
          <w:color w:val="000000" w:themeColor="text1"/>
        </w:rPr>
        <w:t>also</w:t>
      </w:r>
      <w:r w:rsidRPr="001C6D7F">
        <w:rPr>
          <w:color w:val="000000" w:themeColor="text1"/>
        </w:rPr>
        <w:t xml:space="preserve"> highlight the competitive nature of direct board interlocks, noting that startups may use these ties to protect proprietary knowledge while gaining access to the resources of their alliance partners, ultimately securing a greater share of benefits.</w:t>
      </w:r>
    </w:p>
    <w:p w14:paraId="26DB9672" w14:textId="77777777" w:rsidR="00755C90" w:rsidRPr="001C6D7F" w:rsidRDefault="00755C90" w:rsidP="00C44B2B">
      <w:pPr>
        <w:pStyle w:val="Paragraph"/>
        <w:suppressLineNumbers/>
        <w:suppressAutoHyphens/>
        <w:ind w:firstLine="708"/>
        <w:jc w:val="both"/>
        <w:rPr>
          <w:color w:val="000000" w:themeColor="text1"/>
        </w:rPr>
      </w:pPr>
      <w:r w:rsidRPr="001C6D7F">
        <w:rPr>
          <w:color w:val="000000" w:themeColor="text1"/>
        </w:rPr>
        <w:t xml:space="preserve">The literature on board interlocks underscores their double-edged nature. On the one hand, board interlocks facilitate the flow of information and resources across firms, enhancing directors' ability to provide strategic insights (Beckman &amp; Haunschild, 2002; Haunschild &amp; Beckman, 1998; Mizruchi, 1996). As a result, board interlocks are often viewed as an important source of learning (Tuschke, Sanders, &amp; Hernandez, 2014) that shapes board members' perspectives and influences their decision-making processes (Carpenter &amp; Westphal, 2001). Moreover, they facilitate the diffusion of firm strategies (Davis, 1991) and have a significant impact on firm performance (Martin, Gözübüyük, &amp; Becerra, 2015; Zona, Gomez-Mejia, &amp; Withers, 2018). On the other hand, board interlocks can serve as mechanisms of influence and control, enabling firms to co-opt and exert power over connected firms (Mizruchi &amp; Stearns, 1988). This duality suggests that board interlocks between alliance partners </w:t>
      </w:r>
      <w:r>
        <w:rPr>
          <w:color w:val="000000" w:themeColor="text1"/>
        </w:rPr>
        <w:t xml:space="preserve">can </w:t>
      </w:r>
      <w:r w:rsidRPr="001C6D7F">
        <w:rPr>
          <w:color w:val="000000" w:themeColor="text1"/>
        </w:rPr>
        <w:t>function as both cooperative and competitive mechanisms.</w:t>
      </w:r>
    </w:p>
    <w:p w14:paraId="5127537A" w14:textId="77777777" w:rsidR="00755C90" w:rsidRDefault="00755C90" w:rsidP="00C44B2B">
      <w:pPr>
        <w:pStyle w:val="Paragraph"/>
        <w:suppressLineNumbers/>
        <w:suppressAutoHyphens/>
        <w:ind w:firstLine="708"/>
        <w:jc w:val="both"/>
        <w:rPr>
          <w:color w:val="000000" w:themeColor="text1"/>
        </w:rPr>
      </w:pPr>
      <w:r w:rsidRPr="001C6D7F">
        <w:rPr>
          <w:color w:val="000000" w:themeColor="text1"/>
        </w:rPr>
        <w:lastRenderedPageBreak/>
        <w:t xml:space="preserve">Despite these insights, the impact of board interlocks on the balance between cooperation and competition in strategic alliances remains underexplored. Our study addresses this gap by examining how both direct and indirect board interlocks shape this balance and contribute to differential benefits </w:t>
      </w:r>
      <w:r>
        <w:rPr>
          <w:color w:val="000000" w:themeColor="text1"/>
        </w:rPr>
        <w:t xml:space="preserve">in the context of </w:t>
      </w:r>
      <w:r w:rsidRPr="001C6D7F">
        <w:rPr>
          <w:color w:val="000000" w:themeColor="text1"/>
        </w:rPr>
        <w:t xml:space="preserve">alliances. </w:t>
      </w:r>
      <w:r w:rsidRPr="00C8737C">
        <w:rPr>
          <w:color w:val="000000" w:themeColor="text1"/>
        </w:rPr>
        <w:t xml:space="preserve">Drawing on resource dependence theory </w:t>
      </w:r>
      <w:r w:rsidRPr="001C6D7F">
        <w:rPr>
          <w:color w:val="000000" w:themeColor="text1"/>
        </w:rPr>
        <w:t>(Pfeffer &amp; Salancik, 1978), organizational learning theory (Crossan, Lane, &amp; White, 1999), and Granovetter’s (1973) theory of strong and weak ties, we propose that direct interlocks exacerbate tensions and lead to differential benefits by increasing opportunities for opportunistic behavior and resource appropriation. In contrast, indirect interlocks are expected to alleviate these tensions by fostering trust and promoting mutual learning.</w:t>
      </w:r>
    </w:p>
    <w:p w14:paraId="6CBA54C5" w14:textId="77777777" w:rsidR="00755C90" w:rsidRPr="001C6D7F" w:rsidRDefault="00755C90" w:rsidP="00C44B2B">
      <w:pPr>
        <w:pStyle w:val="Paragraph"/>
        <w:suppressLineNumbers/>
        <w:suppressAutoHyphens/>
        <w:ind w:firstLine="708"/>
        <w:jc w:val="both"/>
        <w:rPr>
          <w:color w:val="000000" w:themeColor="text1"/>
        </w:rPr>
      </w:pPr>
      <w:r w:rsidRPr="00F25C8F">
        <w:rPr>
          <w:color w:val="000000" w:themeColor="text1"/>
        </w:rPr>
        <w:t>The extant literature suggests that the existence of network connections alone is often not sufficient to induce an effect</w:t>
      </w:r>
      <w:r>
        <w:rPr>
          <w:color w:val="000000" w:themeColor="text1"/>
        </w:rPr>
        <w:t xml:space="preserve"> (Allison &amp; Potts, 1999; Lamb &amp; Roundy, 2016)</w:t>
      </w:r>
      <w:r w:rsidRPr="00F25C8F">
        <w:rPr>
          <w:color w:val="000000" w:themeColor="text1"/>
        </w:rPr>
        <w:t xml:space="preserve">, </w:t>
      </w:r>
      <w:r>
        <w:rPr>
          <w:color w:val="000000" w:themeColor="text1"/>
        </w:rPr>
        <w:t>rather</w:t>
      </w:r>
      <w:r w:rsidRPr="00F25C8F">
        <w:rPr>
          <w:color w:val="000000" w:themeColor="text1"/>
        </w:rPr>
        <w:t xml:space="preserve"> certain enablers are required for resource transfer to occur. We therefore test whether differences in board receptivity to external information, driven by factors such as board power and firm status, moderate the relationship between board interlocks and differential benefits</w:t>
      </w:r>
      <w:r w:rsidRPr="001C6D7F">
        <w:rPr>
          <w:color w:val="000000" w:themeColor="text1"/>
        </w:rPr>
        <w:t xml:space="preserve"> (Shropshire, 2010). Our research model, presented in Figure 1, illustrates the relationships explored.</w:t>
      </w:r>
    </w:p>
    <w:p w14:paraId="43530785" w14:textId="77777777" w:rsidR="00755C90" w:rsidRPr="001C6D7F" w:rsidRDefault="00755C90" w:rsidP="00C44B2B">
      <w:pPr>
        <w:pStyle w:val="Paragraph"/>
        <w:suppressLineNumbers/>
        <w:suppressAutoHyphens/>
        <w:ind w:firstLine="708"/>
        <w:jc w:val="both"/>
        <w:rPr>
          <w:color w:val="000000" w:themeColor="text1"/>
        </w:rPr>
      </w:pPr>
      <w:r w:rsidRPr="001C6D7F">
        <w:rPr>
          <w:color w:val="000000" w:themeColor="text1"/>
        </w:rPr>
        <w:t>This study makes several important contributions to the literature. First, we address the complex dynamics of cooperation and competition within alliances by examining for the first time the impact of multiplex interorganizational ties, specifically direct and indirect board interlocks between alliance partners, on differential benefits. Our findings are consistent with previous research highlighting the central role of directors' social networks as crucial channels for learning and information diffusion (Hoffmann, Lavie, Reuer, &amp; Shipilov, 2018). Contrary to our initial hypothesis, however, our results suggest that both types of interlocks</w:t>
      </w:r>
      <w:r>
        <w:rPr>
          <w:color w:val="000000" w:themeColor="text1"/>
        </w:rPr>
        <w:t>, direct and indirect,</w:t>
      </w:r>
      <w:r w:rsidRPr="001C6D7F">
        <w:rPr>
          <w:color w:val="000000" w:themeColor="text1"/>
        </w:rPr>
        <w:t xml:space="preserve"> serve as cooptative mechanisms that facilitate differential benefits. Second, our study contributes to the literature on relational pluralism (Shipilov, Gulati, Kilduff, Li, &amp; Tsai, 2014) by empirically exploring the interplay between different types of interorganizational ties</w:t>
      </w:r>
      <w:r>
        <w:rPr>
          <w:color w:val="000000" w:themeColor="text1"/>
        </w:rPr>
        <w:t xml:space="preserve">, thereby </w:t>
      </w:r>
      <w:r w:rsidRPr="001C6D7F">
        <w:rPr>
          <w:color w:val="000000" w:themeColor="text1"/>
        </w:rPr>
        <w:t>provid</w:t>
      </w:r>
      <w:r>
        <w:rPr>
          <w:color w:val="000000" w:themeColor="text1"/>
        </w:rPr>
        <w:t>ing</w:t>
      </w:r>
      <w:r w:rsidRPr="001C6D7F">
        <w:rPr>
          <w:color w:val="000000" w:themeColor="text1"/>
        </w:rPr>
        <w:t xml:space="preserve"> new insights into how social networks shape the behavior of alliance partners </w:t>
      </w:r>
      <w:r w:rsidRPr="001C6D7F">
        <w:rPr>
          <w:color w:val="000000" w:themeColor="text1"/>
        </w:rPr>
        <w:lastRenderedPageBreak/>
        <w:t xml:space="preserve">and influence the dynamics of value creation (Gulati, 1998). Our findings challenge the conventional view that pluralistic relationships among alliance partners primarily promote trust and joint value creation (Beckman, Schoonhoven, Rottner, &amp; Kim, 2014). Instead, they suggest that specific types of relationships may </w:t>
      </w:r>
      <w:r>
        <w:rPr>
          <w:color w:val="000000" w:themeColor="text1"/>
        </w:rPr>
        <w:t>represent competitive strategies that facilitate</w:t>
      </w:r>
      <w:r w:rsidRPr="001C6D7F">
        <w:rPr>
          <w:color w:val="000000" w:themeColor="text1"/>
        </w:rPr>
        <w:t xml:space="preserve"> the creation of private benefits. Third, we empirically examine the moderating role of relative board receptivity by testing whether differences in the receptivity of alliance partners' boards to external information affect information flows between alliance partners. Our findings support previous work promoting the idea that interorganizational ties alone are not sufficient for resource transfer </w:t>
      </w:r>
      <w:r>
        <w:rPr>
          <w:color w:val="000000" w:themeColor="text1"/>
        </w:rPr>
        <w:t>(Allison &amp; Potts, 1999)</w:t>
      </w:r>
      <w:r w:rsidRPr="001C6D7F">
        <w:rPr>
          <w:color w:val="000000" w:themeColor="text1"/>
        </w:rPr>
        <w:t>. Rather, internal and external conditions act as critical enablers that play an important role in facilitating information flows (Shropshire, 2010).</w:t>
      </w:r>
      <w:r>
        <w:rPr>
          <w:color w:val="000000" w:themeColor="text1"/>
        </w:rPr>
        <w:t xml:space="preserve"> Our findings have important </w:t>
      </w:r>
      <w:r w:rsidRPr="001C6D7F">
        <w:rPr>
          <w:color w:val="000000" w:themeColor="text1"/>
        </w:rPr>
        <w:t>implications for alliance management and governance practitioners, as well as for future research on the effects of board interlocks.</w:t>
      </w:r>
    </w:p>
    <w:p w14:paraId="63546031" w14:textId="77777777" w:rsidR="00755C90" w:rsidRPr="00755C90" w:rsidRDefault="00755C90" w:rsidP="00755C90">
      <w:pPr>
        <w:pStyle w:val="berschrift2"/>
        <w:rPr>
          <w:lang w:val="en-US"/>
        </w:rPr>
      </w:pPr>
      <w:bookmarkStart w:id="252" w:name="_Toc180963612"/>
      <w:r w:rsidRPr="00755C90">
        <w:rPr>
          <w:lang w:val="en-US"/>
        </w:rPr>
        <w:t>Theoretical Background</w:t>
      </w:r>
      <w:bookmarkEnd w:id="252"/>
    </w:p>
    <w:p w14:paraId="36FB20B4" w14:textId="77777777" w:rsidR="00755C90" w:rsidRPr="00755C90" w:rsidRDefault="00755C90" w:rsidP="00755C90">
      <w:pPr>
        <w:pStyle w:val="berschrift3"/>
      </w:pPr>
      <w:r w:rsidRPr="00755C90">
        <w:t>The interplay of competitive and collaborative forces in strategic alliances</w:t>
      </w:r>
    </w:p>
    <w:p w14:paraId="5B225841" w14:textId="77777777" w:rsidR="00755C90" w:rsidRPr="001C6D7F" w:rsidRDefault="00755C90" w:rsidP="00C44B2B">
      <w:pPr>
        <w:pStyle w:val="Paragraph"/>
        <w:suppressLineNumbers/>
        <w:suppressAutoHyphens/>
        <w:ind w:firstLine="708"/>
        <w:jc w:val="both"/>
        <w:rPr>
          <w:color w:val="000000" w:themeColor="text1"/>
        </w:rPr>
      </w:pPr>
      <w:r w:rsidRPr="001C6D7F">
        <w:rPr>
          <w:color w:val="000000" w:themeColor="text1"/>
        </w:rPr>
        <w:t>Strategic alliances encompass a wide range of collaborative relationships, such as joint ventures, R&amp;D partnerships, research consortia, marketing agreements, and buyer-supplier relationships (Barringer &amp; Harrison, 2000; Das &amp; Teng, 2000a). They are essential strategies for pooling and leveraging complementary resources to enhance firm performance (Das, Sen, &amp; Sengupta, 1998; Mowery, Oxley, &amp; Silverman, 1996; Stuart, 2000). Consequently, alliances play a central role for firms seeking to expand into new markets, achieve economies of scale and scope, and mitigate the financial risks associated with strategies that require significant capital investment. From a theoretical standpoint, resource dependence theory posits that alliances improve firm performance by reducing resource-related uncertainties (Pfeffer &amp; Salancik, 1978). Conversely, the relational view suggests that alliances create value through the joint development and exchange of resources (Dyer &amp; Singh, 1998).</w:t>
      </w:r>
    </w:p>
    <w:p w14:paraId="4FA09EAA" w14:textId="77777777" w:rsidR="00755C90" w:rsidRPr="001C6D7F" w:rsidRDefault="00755C90" w:rsidP="00C44B2B">
      <w:pPr>
        <w:pStyle w:val="Paragraph"/>
        <w:suppressLineNumbers/>
        <w:suppressAutoHyphens/>
        <w:jc w:val="both"/>
        <w:rPr>
          <w:color w:val="000000" w:themeColor="text1"/>
        </w:rPr>
      </w:pPr>
      <w:r w:rsidRPr="001C6D7F">
        <w:rPr>
          <w:color w:val="000000" w:themeColor="text1"/>
        </w:rPr>
        <w:lastRenderedPageBreak/>
        <w:t xml:space="preserve">The literature on strategic alliances highlights two key mechanisms through which value is created. First, common benefits arise from cooperative efforts to share knowledge and pool resources, which require repeated interactions, resource compatibility, and established routines for knowledge sharing (Lavie, 2006; Samant &amp; Kim, 2021). Second, private benefits arise when partners appropriate value by leveraging each other's resources beyond the intended scope of the alliance (Dyer, Singh, &amp; Kale, 2008; Inkpen &amp; Currall, 2004; Kale, Singh, &amp; Perlmutter, 2000; Kumar, 2010, 2011). Therefore, the intentions, characteristics, and capabilities of the firms involved play a critical role in determining the value they derive from the alliance (Samant &amp; Kim, 2021). </w:t>
      </w:r>
    </w:p>
    <w:p w14:paraId="5FF3AC8F" w14:textId="77777777" w:rsidR="00755C90" w:rsidRPr="007668A1" w:rsidRDefault="00755C90" w:rsidP="00C44B2B">
      <w:pPr>
        <w:pStyle w:val="Paragraph"/>
        <w:suppressLineNumbers/>
        <w:suppressAutoHyphens/>
        <w:jc w:val="both"/>
        <w:rPr>
          <w:color w:val="000000" w:themeColor="text1"/>
        </w:rPr>
      </w:pPr>
      <w:r w:rsidRPr="001C6D7F">
        <w:rPr>
          <w:color w:val="000000" w:themeColor="text1"/>
        </w:rPr>
        <w:t>Although alliances are expected to provide mutual benefits, research shows that the</w:t>
      </w:r>
      <w:r>
        <w:rPr>
          <w:color w:val="000000" w:themeColor="text1"/>
        </w:rPr>
        <w:t xml:space="preserve"> actual </w:t>
      </w:r>
      <w:r w:rsidRPr="001C6D7F">
        <w:rPr>
          <w:color w:val="000000" w:themeColor="text1"/>
        </w:rPr>
        <w:t>benefits</w:t>
      </w:r>
      <w:r>
        <w:rPr>
          <w:color w:val="000000" w:themeColor="text1"/>
        </w:rPr>
        <w:t xml:space="preserve"> generated</w:t>
      </w:r>
      <w:r w:rsidRPr="001C6D7F">
        <w:rPr>
          <w:color w:val="000000" w:themeColor="text1"/>
        </w:rPr>
        <w:t xml:space="preserve"> are often </w:t>
      </w:r>
      <w:r>
        <w:rPr>
          <w:color w:val="000000" w:themeColor="text1"/>
        </w:rPr>
        <w:t>asymmetric</w:t>
      </w:r>
      <w:r w:rsidRPr="001C6D7F">
        <w:rPr>
          <w:color w:val="000000" w:themeColor="text1"/>
        </w:rPr>
        <w:t xml:space="preserve">, with some partners benefiting more than others (Adegbesan &amp; Higgins, 2011; Arslan, 2018; Kumar, 2010, 2011). These differences arise from the interplay of cooperative and competitive behaviors and are often associated with tensions and conflicts between alliance partners </w:t>
      </w:r>
      <w:r w:rsidRPr="007668A1">
        <w:rPr>
          <w:color w:val="000000" w:themeColor="text1"/>
        </w:rPr>
        <w:t>(Adegbesan &amp; Higgins, 2011; Das &amp; Teng, 2000a; Hoffmann et al., 2018; Khanna et al., 1998; Kumar &amp; Nti, 1998).</w:t>
      </w:r>
    </w:p>
    <w:p w14:paraId="222FCAC2" w14:textId="77777777" w:rsidR="00755C90" w:rsidRPr="001C6D7F" w:rsidRDefault="00755C90" w:rsidP="00C44B2B">
      <w:pPr>
        <w:pStyle w:val="Paragraph"/>
        <w:suppressLineNumbers/>
        <w:suppressAutoHyphens/>
        <w:jc w:val="both"/>
        <w:rPr>
          <w:color w:val="000000" w:themeColor="text1"/>
        </w:rPr>
      </w:pPr>
      <w:r w:rsidRPr="001C6D7F">
        <w:rPr>
          <w:color w:val="000000" w:themeColor="text1"/>
        </w:rPr>
        <w:t xml:space="preserve">Two main theoretical perspectives dominate </w:t>
      </w:r>
      <w:r>
        <w:rPr>
          <w:color w:val="000000" w:themeColor="text1"/>
        </w:rPr>
        <w:t>the discussion on cooperative tensions in strategic alliances</w:t>
      </w:r>
      <w:r w:rsidRPr="001C6D7F">
        <w:rPr>
          <w:color w:val="000000" w:themeColor="text1"/>
        </w:rPr>
        <w:t>.</w:t>
      </w:r>
      <w:r>
        <w:rPr>
          <w:color w:val="000000" w:themeColor="text1"/>
        </w:rPr>
        <w:t xml:space="preserve"> </w:t>
      </w:r>
      <w:r w:rsidRPr="001C6D7F">
        <w:rPr>
          <w:color w:val="000000" w:themeColor="text1"/>
        </w:rPr>
        <w:t xml:space="preserve">First, resource dependence theory (Pfeffer &amp; Salancik, 1978) explains cooperative tensions by emphasizing how power differences between alliance partners affect the value they </w:t>
      </w:r>
      <w:r>
        <w:rPr>
          <w:color w:val="000000" w:themeColor="text1"/>
        </w:rPr>
        <w:t xml:space="preserve">can </w:t>
      </w:r>
      <w:r w:rsidRPr="001C6D7F">
        <w:rPr>
          <w:color w:val="000000" w:themeColor="text1"/>
        </w:rPr>
        <w:t xml:space="preserve">extract from </w:t>
      </w:r>
      <w:r>
        <w:rPr>
          <w:color w:val="000000" w:themeColor="text1"/>
        </w:rPr>
        <w:t>the</w:t>
      </w:r>
      <w:r w:rsidRPr="001C6D7F">
        <w:rPr>
          <w:color w:val="000000" w:themeColor="text1"/>
        </w:rPr>
        <w:t xml:space="preserve"> alliance. These power imbalances can arise from differences in resource dependence</w:t>
      </w:r>
      <w:r>
        <w:rPr>
          <w:color w:val="000000" w:themeColor="text1"/>
        </w:rPr>
        <w:t>, in resource endowments</w:t>
      </w:r>
      <w:r w:rsidRPr="001C6D7F">
        <w:rPr>
          <w:color w:val="000000" w:themeColor="text1"/>
        </w:rPr>
        <w:t xml:space="preserve">, </w:t>
      </w:r>
      <w:r>
        <w:rPr>
          <w:color w:val="000000" w:themeColor="text1"/>
        </w:rPr>
        <w:t xml:space="preserve">in </w:t>
      </w:r>
      <w:r w:rsidRPr="001C6D7F">
        <w:rPr>
          <w:color w:val="000000" w:themeColor="text1"/>
        </w:rPr>
        <w:t xml:space="preserve">access to critical resources, </w:t>
      </w:r>
      <w:r>
        <w:rPr>
          <w:color w:val="000000" w:themeColor="text1"/>
        </w:rPr>
        <w:t xml:space="preserve">in </w:t>
      </w:r>
      <w:r w:rsidRPr="001C6D7F">
        <w:rPr>
          <w:color w:val="000000" w:themeColor="text1"/>
        </w:rPr>
        <w:t>network positions, or</w:t>
      </w:r>
      <w:r>
        <w:rPr>
          <w:color w:val="000000" w:themeColor="text1"/>
        </w:rPr>
        <w:t xml:space="preserve"> in</w:t>
      </w:r>
      <w:r w:rsidRPr="001C6D7F">
        <w:rPr>
          <w:color w:val="000000" w:themeColor="text1"/>
        </w:rPr>
        <w:t xml:space="preserve"> the strategic importance of the alliance (Casciaro &amp; Piskorski, 2005; Inkpen &amp; Beamish, 1997; Xia, 2011). For example, alliances are often formed between firms of different sizes and resource needs, leading to unequal bargaining power and </w:t>
      </w:r>
      <w:r>
        <w:rPr>
          <w:color w:val="000000" w:themeColor="text1"/>
        </w:rPr>
        <w:t>consequently to</w:t>
      </w:r>
      <w:r w:rsidRPr="001C6D7F">
        <w:rPr>
          <w:color w:val="000000" w:themeColor="text1"/>
        </w:rPr>
        <w:t xml:space="preserve"> asymmetric distribution of benefits (Koh &amp; Venkatraman, 1991), as firms with stronger bargaining positions can typically secure a larger share of the benefits</w:t>
      </w:r>
      <w:r>
        <w:rPr>
          <w:color w:val="000000" w:themeColor="text1"/>
        </w:rPr>
        <w:t xml:space="preserve"> (Yan &amp; Gray, 1994)</w:t>
      </w:r>
      <w:r w:rsidRPr="001C6D7F">
        <w:rPr>
          <w:color w:val="000000" w:themeColor="text1"/>
        </w:rPr>
        <w:t xml:space="preserve">. However, resource-constrained partners may adopt strategies to improve their bargaining position, increasing the </w:t>
      </w:r>
      <w:r w:rsidRPr="001C6D7F">
        <w:rPr>
          <w:color w:val="000000" w:themeColor="text1"/>
        </w:rPr>
        <w:lastRenderedPageBreak/>
        <w:t xml:space="preserve">potential for cooperative tensions (Bucklin &amp; Sengupta, 1993). Second, organizational learning theory (Crossan et al., 1999) suggests that the pursuit of knowledge is a primary motivation for forming alliances and is essential to their success (Barringer &amp; Harrison, 2000; Das &amp; Teng, 2000b). </w:t>
      </w:r>
      <w:r w:rsidRPr="0001057F">
        <w:rPr>
          <w:color w:val="000000" w:themeColor="text1"/>
        </w:rPr>
        <w:t xml:space="preserve">Through collaboration, firms gain access to each other’s structures, processes, and strategies, sharing routines and engaging in interorganizational learning. </w:t>
      </w:r>
      <w:r w:rsidRPr="007668A1">
        <w:rPr>
          <w:color w:val="000000" w:themeColor="text1"/>
        </w:rPr>
        <w:t xml:space="preserve">This creates both common and private benefits </w:t>
      </w:r>
      <w:r w:rsidRPr="001C6D7F">
        <w:rPr>
          <w:color w:val="000000" w:themeColor="text1"/>
        </w:rPr>
        <w:t xml:space="preserve">(Hippel, 1988; Lane &amp; Lubatkin, 1998). </w:t>
      </w:r>
      <w:r w:rsidRPr="0001057F">
        <w:rPr>
          <w:color w:val="000000" w:themeColor="text1"/>
        </w:rPr>
        <w:t>However, alliances also present risks of unintended resource leakage, which can undermine a partner’s competitive p</w:t>
      </w:r>
      <w:r w:rsidRPr="001C6D7F">
        <w:rPr>
          <w:color w:val="000000" w:themeColor="text1"/>
        </w:rPr>
        <w:t xml:space="preserve">osition (Hamel, 1991; Kale et al., 2000). For instance, empirical </w:t>
      </w:r>
      <w:r w:rsidRPr="0001057F">
        <w:rPr>
          <w:color w:val="000000" w:themeColor="text1"/>
        </w:rPr>
        <w:t xml:space="preserve">evidence shows that resource-constrained firms can gain private benefits from knowledge spillovers when collaborating with resource-rich partners, potentially shifting the competitive balance </w:t>
      </w:r>
      <w:r w:rsidRPr="001C6D7F">
        <w:rPr>
          <w:color w:val="000000" w:themeColor="text1"/>
        </w:rPr>
        <w:t>(Kalaignanam, Shankar, &amp; Varadarajan, 2007; Koh &amp; Venkatraman, 1991).</w:t>
      </w:r>
      <w:r>
        <w:rPr>
          <w:color w:val="000000" w:themeColor="text1"/>
        </w:rPr>
        <w:t xml:space="preserve"> Similarly, </w:t>
      </w:r>
      <w:r w:rsidRPr="001C6D7F">
        <w:rPr>
          <w:color w:val="000000" w:themeColor="text1"/>
        </w:rPr>
        <w:t>Hamel (1991: 83) notes that "collaboration may provide an opportunity for one alliance partner to internalize the capabilities of the other and thereby improve its position both inside and outside the alliance</w:t>
      </w:r>
      <w:r>
        <w:rPr>
          <w:color w:val="000000" w:themeColor="text1"/>
        </w:rPr>
        <w:t>”</w:t>
      </w:r>
      <w:r w:rsidRPr="001C6D7F">
        <w:rPr>
          <w:color w:val="000000" w:themeColor="text1"/>
        </w:rPr>
        <w:t xml:space="preserve">. Lane and Lubatkin (1998) </w:t>
      </w:r>
      <w:r w:rsidRPr="00F2408C">
        <w:rPr>
          <w:color w:val="000000" w:themeColor="text1"/>
        </w:rPr>
        <w:t xml:space="preserve">found that this effect is particularly pronounced when partners share similar knowledge bases and organizational structures. Under these circumstances, alliances can lead to "learning races," where partners compete to absorb each other’s knowledge, reducing dependency and maximizing private benefits </w:t>
      </w:r>
      <w:r w:rsidRPr="001C6D7F">
        <w:rPr>
          <w:color w:val="000000" w:themeColor="text1"/>
        </w:rPr>
        <w:t xml:space="preserve">(Hamel, 1991). </w:t>
      </w:r>
      <w:r w:rsidRPr="00F2408C">
        <w:rPr>
          <w:color w:val="000000" w:themeColor="text1"/>
        </w:rPr>
        <w:t>Partners that "win" these learning races often enjoy higher equity returns, demonstrating the tangible benefits of outlearning an alliance partner</w:t>
      </w:r>
      <w:r>
        <w:rPr>
          <w:color w:val="000000" w:themeColor="text1"/>
        </w:rPr>
        <w:t xml:space="preserve"> </w:t>
      </w:r>
      <w:r w:rsidRPr="001C6D7F">
        <w:rPr>
          <w:color w:val="000000" w:themeColor="text1"/>
        </w:rPr>
        <w:t xml:space="preserve">(Yang, Zheng, &amp; Zaheer, 2015). However, disparities in learning rates can foster mistrust, </w:t>
      </w:r>
      <w:r w:rsidRPr="00F2408C">
        <w:rPr>
          <w:color w:val="000000" w:themeColor="text1"/>
        </w:rPr>
        <w:t>prompting the slower-learning firm to withhold information to prevent critical knowledge leakage. This dynamic fosters tension, which may lead to renegotiation or early termination of the allianc</w:t>
      </w:r>
      <w:r>
        <w:rPr>
          <w:color w:val="000000" w:themeColor="text1"/>
        </w:rPr>
        <w:t xml:space="preserve">e </w:t>
      </w:r>
      <w:r w:rsidRPr="001C6D7F">
        <w:rPr>
          <w:color w:val="000000" w:themeColor="text1"/>
        </w:rPr>
        <w:t xml:space="preserve">(Das &amp; Teng, 2000b; Kumar &amp; Nti, 1998). </w:t>
      </w:r>
    </w:p>
    <w:p w14:paraId="1E824208" w14:textId="77777777" w:rsidR="00755C90" w:rsidRPr="00755C90" w:rsidRDefault="00755C90" w:rsidP="00932F58">
      <w:pPr>
        <w:pStyle w:val="berschrift3"/>
        <w:jc w:val="both"/>
      </w:pPr>
      <w:r w:rsidRPr="00755C90">
        <w:t>Knowledge-transfer, pluralistic ties and appropriation of resources</w:t>
      </w:r>
    </w:p>
    <w:p w14:paraId="062BE050" w14:textId="77777777" w:rsidR="00755C90" w:rsidRPr="001C6D7F" w:rsidRDefault="00755C90" w:rsidP="00932F58">
      <w:pPr>
        <w:pStyle w:val="Paragraph"/>
        <w:suppressLineNumbers/>
        <w:suppressAutoHyphens/>
        <w:ind w:firstLine="708"/>
        <w:jc w:val="both"/>
        <w:rPr>
          <w:color w:val="000000" w:themeColor="text1"/>
        </w:rPr>
      </w:pPr>
      <w:r w:rsidRPr="001C6D7F">
        <w:rPr>
          <w:color w:val="000000" w:themeColor="text1"/>
        </w:rPr>
        <w:t>Both resource dependence and organizational learning theor</w:t>
      </w:r>
      <w:r>
        <w:rPr>
          <w:color w:val="000000" w:themeColor="text1"/>
        </w:rPr>
        <w:t>y</w:t>
      </w:r>
      <w:r w:rsidRPr="001C6D7F">
        <w:rPr>
          <w:color w:val="000000" w:themeColor="text1"/>
        </w:rPr>
        <w:t xml:space="preserve"> identify resources, whether </w:t>
      </w:r>
      <w:r>
        <w:rPr>
          <w:color w:val="000000" w:themeColor="text1"/>
        </w:rPr>
        <w:t>currently owned</w:t>
      </w:r>
      <w:r w:rsidRPr="001C6D7F">
        <w:rPr>
          <w:color w:val="000000" w:themeColor="text1"/>
        </w:rPr>
        <w:t xml:space="preserve"> or desired, as key drivers of cooperative tensions, making it essential to understand the dynamics of interorganizational resource transfer.</w:t>
      </w:r>
      <w:r>
        <w:rPr>
          <w:color w:val="000000" w:themeColor="text1"/>
        </w:rPr>
        <w:t xml:space="preserve"> </w:t>
      </w:r>
      <w:r w:rsidRPr="001C6D7F">
        <w:rPr>
          <w:color w:val="000000" w:themeColor="text1"/>
        </w:rPr>
        <w:t xml:space="preserve">According to Hamel (1991) </w:t>
      </w:r>
      <w:r w:rsidRPr="001C6D7F">
        <w:rPr>
          <w:color w:val="000000" w:themeColor="text1"/>
        </w:rPr>
        <w:lastRenderedPageBreak/>
        <w:t xml:space="preserve">resource transfer between firms is generally influenced by three factors: intention, receptivity, and transparency. </w:t>
      </w:r>
      <w:r w:rsidRPr="001C6D7F">
        <w:rPr>
          <w:i/>
          <w:iCs/>
          <w:color w:val="000000" w:themeColor="text1"/>
        </w:rPr>
        <w:t>Intention</w:t>
      </w:r>
      <w:r w:rsidRPr="001C6D7F">
        <w:rPr>
          <w:color w:val="000000" w:themeColor="text1"/>
        </w:rPr>
        <w:t xml:space="preserve"> refers to a partner’s deliberate effort to share knowledge, often facilitated by dedicated structures and systems, particularly in firms that rely on partners or face resource constraints (Gulati &amp; Singh, 1998). </w:t>
      </w:r>
      <w:r w:rsidRPr="001C6D7F">
        <w:rPr>
          <w:i/>
          <w:iCs/>
          <w:color w:val="000000" w:themeColor="text1"/>
        </w:rPr>
        <w:t>Receptivity</w:t>
      </w:r>
      <w:r w:rsidRPr="001C6D7F">
        <w:rPr>
          <w:color w:val="000000" w:themeColor="text1"/>
        </w:rPr>
        <w:t xml:space="preserve"> reflects a firm’s capacity to absorb new knowledge and is typically higher in firms lacking expertise in a particular area or when the knowledge gap between partners is small. </w:t>
      </w:r>
      <w:r w:rsidRPr="007668A1">
        <w:rPr>
          <w:color w:val="000000" w:themeColor="text1"/>
        </w:rPr>
        <w:t>For example</w:t>
      </w:r>
      <w:r w:rsidRPr="001C6D7F">
        <w:rPr>
          <w:color w:val="000000" w:themeColor="text1"/>
        </w:rPr>
        <w:t xml:space="preserve">, Koh and Venkatraman (1991) found that alliances within similar industries promote efficient knowledge sharing and yield greater mutual benefits due to shared expertise. </w:t>
      </w:r>
      <w:r w:rsidRPr="001C6D7F">
        <w:rPr>
          <w:i/>
          <w:iCs/>
          <w:color w:val="000000" w:themeColor="text1"/>
        </w:rPr>
        <w:t>Transparency</w:t>
      </w:r>
      <w:r w:rsidRPr="001C6D7F">
        <w:rPr>
          <w:color w:val="000000" w:themeColor="text1"/>
        </w:rPr>
        <w:t xml:space="preserve">, influenced by the frequency of interactions and the number of interfirm connections, affects how much information is exchanged. For instance, Mowery et al. (1996) showed that transparency is higher in equity joint ventures, which require closer cooperation, than in other types of alliances. However, high transparency can lead to unintended resource leakage (Hamel, 1991). Conversely, Oxley and Sampson (2004) point out that reducing transparency by reducing the scope of the alliance can mitigate the risk of unintended resource leakage. </w:t>
      </w:r>
    </w:p>
    <w:p w14:paraId="5C490167" w14:textId="77777777" w:rsidR="00755C90" w:rsidRPr="001C6D7F" w:rsidRDefault="00755C90" w:rsidP="00932F58">
      <w:pPr>
        <w:pStyle w:val="Paragraph"/>
        <w:suppressLineNumbers/>
        <w:suppressAutoHyphens/>
        <w:ind w:firstLine="708"/>
        <w:jc w:val="both"/>
        <w:rPr>
          <w:color w:val="000000" w:themeColor="text1"/>
        </w:rPr>
      </w:pPr>
      <w:r w:rsidRPr="001C6D7F">
        <w:rPr>
          <w:color w:val="000000" w:themeColor="text1"/>
        </w:rPr>
        <w:t>Building on these findings, Larsson, Bengtsson, Henriksson, and Sparks (1998) developed a model describing the dynamics of resource transfer in strategic alliances. According to this model, common benefits are more likely when both partners exhibit high levels of transparency and receptivity, fostering a cooperative dynamic. In contrast, when one partner limits transparency, adopting a more competitive approach, it can increase private benefits at the expense of the other, leading to differential benefits.</w:t>
      </w:r>
    </w:p>
    <w:p w14:paraId="77C7A9ED" w14:textId="77777777" w:rsidR="00755C90" w:rsidRPr="001C6D7F" w:rsidRDefault="00755C90" w:rsidP="00932F58">
      <w:pPr>
        <w:pStyle w:val="Paragraph"/>
        <w:suppressLineNumbers/>
        <w:suppressAutoHyphens/>
        <w:jc w:val="both"/>
        <w:rPr>
          <w:color w:val="000000" w:themeColor="text1"/>
        </w:rPr>
      </w:pPr>
      <w:r w:rsidRPr="001C6D7F">
        <w:rPr>
          <w:color w:val="000000" w:themeColor="text1"/>
        </w:rPr>
        <w:t xml:space="preserve">A firm’s transparency and receptivity are significantly influenced by its network of relationships, both internally and with external partners (Zhang, Jiang, Wu, &amp; Li, 2019). For instance, the concept of relational pluralism (Shipilov et al., 2014) highlights the effects of participating in multiple types of network ties with the same partner. Firms often engage in different networks simultaneously and assume different roles within these network interactions (Chen, Mehra, Tasselli, &amp; Borgatti, 2022; Connolly, 2005). </w:t>
      </w:r>
      <w:r>
        <w:rPr>
          <w:color w:val="000000" w:themeColor="text1"/>
        </w:rPr>
        <w:t>These p</w:t>
      </w:r>
      <w:r w:rsidRPr="001C6D7F">
        <w:rPr>
          <w:color w:val="000000" w:themeColor="text1"/>
        </w:rPr>
        <w:t xml:space="preserve">luralistic ties are associated </w:t>
      </w:r>
      <w:r w:rsidRPr="001C6D7F">
        <w:rPr>
          <w:color w:val="000000" w:themeColor="text1"/>
        </w:rPr>
        <w:lastRenderedPageBreak/>
        <w:t>with increased resource transfer, faster adoption of new strategies and practices (Da Silva &amp; Verschoore, 2021; Raffaelli &amp; Glynn, 2014), firm entry into new technologies (Aalbers &amp; Ma, 2023), and the establishment of diverse alliance portfolios (Beckman et al., 2014). In the context of alliances, relational pluralism allows firms to access a broader range of partner resources, which enhances information sharing, builds trust, and improves alliance stability (Connelly &amp; van Slyke, 2012; Granovetter, 1973; Polidoro, Ahuja, &amp; Mitchell, 2011; Shipilov et al., 2014). Furthermore, relational pluralism suggests that different types of networks are interrelated and mutually reinforcing. For example, firms may respond to sudden increases in market uncertainty by strengthening their ties and initiating new but diverse relationships with existing network contacts (Beckman, Haunschild, &amp; Phillips, 2004). Conversely, firms may reduce their networks to minimize the risk of resource leakage (Hernandez, Sanders, &amp; Tuschke, 2015). Nevertheless, pluralistic ties have been associated with an increased risk of resource leakage between alliance partners. For example, Zhang et al. (2019) find that pluralistic ties increase knowledge sharing in the context of alliances, but also increase the risk of unintended resource leakage</w:t>
      </w:r>
      <w:r>
        <w:rPr>
          <w:color w:val="000000" w:themeColor="text1"/>
        </w:rPr>
        <w:t xml:space="preserve">, which has been shown to affect </w:t>
      </w:r>
      <w:r w:rsidRPr="001C6D7F">
        <w:rPr>
          <w:color w:val="000000" w:themeColor="text1"/>
        </w:rPr>
        <w:t>firm performance (Knoben &amp; Bakker, 2019).</w:t>
      </w:r>
    </w:p>
    <w:p w14:paraId="41CEDD50" w14:textId="77777777" w:rsidR="00755C90" w:rsidRPr="00755C90" w:rsidRDefault="00755C90" w:rsidP="00932F58">
      <w:pPr>
        <w:pStyle w:val="berschrift3"/>
        <w:jc w:val="both"/>
      </w:pPr>
      <w:r w:rsidRPr="00755C90">
        <w:t>The board of directors as a source of pluralistic network ties</w:t>
      </w:r>
    </w:p>
    <w:p w14:paraId="380D156A" w14:textId="77777777" w:rsidR="00755C90" w:rsidRPr="007668A1" w:rsidRDefault="00755C90" w:rsidP="00932F58">
      <w:pPr>
        <w:pStyle w:val="Paragraph"/>
        <w:suppressLineNumbers/>
        <w:suppressAutoHyphens/>
        <w:ind w:firstLine="708"/>
        <w:jc w:val="both"/>
        <w:rPr>
          <w:color w:val="000000" w:themeColor="text1"/>
        </w:rPr>
      </w:pPr>
      <w:r w:rsidRPr="001C6D7F">
        <w:rPr>
          <w:color w:val="000000" w:themeColor="text1"/>
        </w:rPr>
        <w:t xml:space="preserve">The board of directors plays a central role as a nexus of pluralistic network ties, serving as an essential conduit for resource acquisition and influence in strategic alliances (Aalbers &amp; Ma, 2023; Beckman et al., 2014; Burt, 1980; Knoben &amp; Bakker, 2019). According to resource dependence theory, boards provide </w:t>
      </w:r>
      <w:r>
        <w:rPr>
          <w:color w:val="000000" w:themeColor="text1"/>
        </w:rPr>
        <w:t xml:space="preserve">firms with </w:t>
      </w:r>
      <w:r w:rsidRPr="001C6D7F">
        <w:rPr>
          <w:color w:val="000000" w:themeColor="text1"/>
        </w:rPr>
        <w:t xml:space="preserve">strategic guidance, legitimacy, and access to external resources, which reduces uncertainty and dependence and ultimately improves firm performance (Hillman &amp; Dalziel, 2003; Pfeffer &amp; Salancik, 1978; Zona et al., 2018). Empirical studies further demonstrate that board members play an important role in forming and maintaining inter-firm relationships, securing critical resources, and guiding strategic actions that also influence alliance dynamics </w:t>
      </w:r>
      <w:r w:rsidRPr="007668A1">
        <w:rPr>
          <w:color w:val="000000" w:themeColor="text1"/>
        </w:rPr>
        <w:t>(Beckman et al., 2014; Carpenter &amp; Westphal, 2001; Kor &amp; Sundaramurthy, 2009; Reuer, Klijn, &amp; Lioukas, 2014).</w:t>
      </w:r>
    </w:p>
    <w:p w14:paraId="68FB44B1" w14:textId="77777777" w:rsidR="00755C90" w:rsidRPr="001C6D7F" w:rsidRDefault="00755C90" w:rsidP="00932F58">
      <w:pPr>
        <w:pStyle w:val="Paragraph"/>
        <w:suppressLineNumbers/>
        <w:suppressAutoHyphens/>
        <w:ind w:firstLine="708"/>
        <w:jc w:val="both"/>
        <w:rPr>
          <w:color w:val="000000" w:themeColor="text1"/>
        </w:rPr>
      </w:pPr>
      <w:r w:rsidRPr="00F965CA">
        <w:rPr>
          <w:color w:val="000000" w:themeColor="text1"/>
        </w:rPr>
        <w:lastRenderedPageBreak/>
        <w:t>The effectiveness of boards in fulfilling these roles depends largely on the personal networks of their members</w:t>
      </w:r>
      <w:r>
        <w:rPr>
          <w:color w:val="000000" w:themeColor="text1"/>
        </w:rPr>
        <w:t xml:space="preserve"> </w:t>
      </w:r>
      <w:r w:rsidRPr="001C6D7F">
        <w:rPr>
          <w:color w:val="000000" w:themeColor="text1"/>
        </w:rPr>
        <w:t>(Carpenter &amp; Westphal, 2001), as these connections provide access to relevant and timely external information (Useem, 1984).</w:t>
      </w:r>
      <w:r>
        <w:rPr>
          <w:color w:val="000000" w:themeColor="text1"/>
        </w:rPr>
        <w:t xml:space="preserve"> </w:t>
      </w:r>
      <w:r w:rsidRPr="001C6D7F">
        <w:rPr>
          <w:color w:val="000000" w:themeColor="text1"/>
        </w:rPr>
        <w:t xml:space="preserve">A key form of connection is board interlocks, where board members simultaneously hold positions on the boards of multiple firms (Mizruchi, 1996; Pfeffer &amp; Salancik, 1978). These interlocks facilitate information exchange, foster trust, and help resolve conflicts between firms (Beckman &amp; Haunschild, 2002; Burt, 1980; Connelly &amp; van Slyke, 2012). They also enhance the legitimacy of firms and serve as a quality signal to external stakeholders (Certo, 2003; Certo, Holcomb, &amp; Holmes, 2009). Additionally, board interlocks contribute to organizational learning by providing access to new business opportunities, technologies, and strategic practices (Kalnins, Swaminathan, &amp; Mitchell, 2006; Tuschke et al., 2014). </w:t>
      </w:r>
      <w:r>
        <w:rPr>
          <w:color w:val="000000" w:themeColor="text1"/>
        </w:rPr>
        <w:t>Hence, b</w:t>
      </w:r>
      <w:r w:rsidRPr="001C6D7F">
        <w:rPr>
          <w:color w:val="000000" w:themeColor="text1"/>
        </w:rPr>
        <w:t>oard interlocks are associated with the diffusion of conglomerate structures, independent boards, and strategic measures such as poison pills and golden parachutes among firms (Davis &amp; Greve, 1997; Donaldson &amp; Davis, 1991; Granovetter, 1985; Palmer, Jennings, &amp; Zhou, 1993; Rogers, 1983).</w:t>
      </w:r>
    </w:p>
    <w:p w14:paraId="0A873B8E" w14:textId="77777777" w:rsidR="00755C90" w:rsidRPr="001C6D7F" w:rsidRDefault="00755C90" w:rsidP="00932F58">
      <w:pPr>
        <w:pStyle w:val="Paragraph"/>
        <w:suppressLineNumbers/>
        <w:suppressAutoHyphens/>
        <w:ind w:firstLine="708"/>
        <w:jc w:val="both"/>
        <w:rPr>
          <w:color w:val="000000" w:themeColor="text1"/>
        </w:rPr>
      </w:pPr>
      <w:r w:rsidRPr="001C6D7F">
        <w:rPr>
          <w:color w:val="000000" w:themeColor="text1"/>
        </w:rPr>
        <w:t xml:space="preserve">Board interlocks foster both direct and indirect learning. Direct interlocks offer immediate access to the structures, strategies, and processes of other firms, allowing board members to internalize these experiences </w:t>
      </w:r>
      <w:r>
        <w:rPr>
          <w:color w:val="000000" w:themeColor="text1"/>
        </w:rPr>
        <w:t>(Li, 2021; Lorsch &amp; MacIver, 1989)</w:t>
      </w:r>
      <w:r w:rsidRPr="001C6D7F">
        <w:rPr>
          <w:color w:val="000000" w:themeColor="text1"/>
        </w:rPr>
        <w:t>. Indirect learning occurs through interactions with other board members, enabling them to benefit from the expertise and insights of their peers (Tuschke et al., 2014). This dual learning mechanism strengthens the contributions of board members to the strategic decisions of their own firms (Carpenter &amp; Westphal, 2001). However, these mechanisms also pose the risk of unintended resource leakage, as knowledge shared within cooperative ties may be appropriated beyond the intended scope (Hernandez et al., 2015).</w:t>
      </w:r>
    </w:p>
    <w:p w14:paraId="010476BB" w14:textId="77777777" w:rsidR="00755C90" w:rsidRPr="001C6D7F" w:rsidRDefault="00755C90" w:rsidP="00932F58">
      <w:pPr>
        <w:pStyle w:val="Paragraph"/>
        <w:suppressLineNumbers/>
        <w:suppressAutoHyphens/>
        <w:ind w:firstLine="708"/>
        <w:jc w:val="both"/>
        <w:rPr>
          <w:color w:val="000000" w:themeColor="text1"/>
        </w:rPr>
      </w:pPr>
      <w:r w:rsidRPr="001C6D7F">
        <w:rPr>
          <w:color w:val="000000" w:themeColor="text1"/>
        </w:rPr>
        <w:t>According to the principle of relational pluralism, firms can engage in alliances while also establishing interlocking directorates, thereby participating in two distinct but interrelated networks that influence each other</w:t>
      </w:r>
      <w:r>
        <w:rPr>
          <w:color w:val="000000" w:themeColor="text1"/>
        </w:rPr>
        <w:t xml:space="preserve"> (Knoben &amp; Bakker, 2019)</w:t>
      </w:r>
      <w:r w:rsidRPr="001C6D7F">
        <w:rPr>
          <w:color w:val="000000" w:themeColor="text1"/>
        </w:rPr>
        <w:t xml:space="preserve">. This dual participation </w:t>
      </w:r>
      <w:r w:rsidRPr="001C6D7F">
        <w:rPr>
          <w:color w:val="000000" w:themeColor="text1"/>
        </w:rPr>
        <w:lastRenderedPageBreak/>
        <w:t>underscores the importance of the board as a source of pluralistic ties, which can affect both the cooperative potential and the competitive dynamics of alliances. Empirical findings suggest that board interlocks in the context of strategic alliances can serve as a defensive mechanism by providing insights into the strategies and intentions of affiliated firms and supporting preventive measures against potential competitive threats (Gulati &amp; Westphal, 1999; Knoben &amp; Bakker, 2019). This is particularly valuable for resource-constrained firms, as interlocks can help balance power asymmetries in alliances and prevent opportunistic behavior by monitoring partners' decisions. Moreover, resource-constrained firms benefit from resource flows when they are connected to resource-rich firms through board interlocks (Zona et al., 2018). Overall, board interlocks not only provide access to critical resources of partner firms, but also help protect a firm's own resources by reducing the risk of exploitation in alliances.</w:t>
      </w:r>
    </w:p>
    <w:p w14:paraId="234B83A1" w14:textId="77777777" w:rsidR="00755C90" w:rsidRPr="00755C90" w:rsidRDefault="00755C90" w:rsidP="00755C90">
      <w:pPr>
        <w:pStyle w:val="berschrift2"/>
        <w:rPr>
          <w:lang w:val="en-US"/>
        </w:rPr>
      </w:pPr>
      <w:bookmarkStart w:id="253" w:name="_Toc180963613"/>
      <w:r w:rsidRPr="00755C90">
        <w:rPr>
          <w:lang w:val="en-US"/>
        </w:rPr>
        <w:t>Hypothesis Development</w:t>
      </w:r>
      <w:bookmarkEnd w:id="253"/>
    </w:p>
    <w:p w14:paraId="23058AF6" w14:textId="77777777" w:rsidR="00755C90" w:rsidRPr="00755C90" w:rsidRDefault="00755C90" w:rsidP="00932F58">
      <w:pPr>
        <w:pStyle w:val="berschrift3"/>
        <w:jc w:val="both"/>
      </w:pPr>
      <w:r w:rsidRPr="00755C90">
        <w:t>Direct board interlocks and differential benefits in strategic alliances</w:t>
      </w:r>
    </w:p>
    <w:p w14:paraId="26B0CBAF" w14:textId="77777777" w:rsidR="00755C90" w:rsidRPr="001C6D7F" w:rsidRDefault="00755C90" w:rsidP="00932F58">
      <w:pPr>
        <w:pStyle w:val="Paragraph"/>
        <w:suppressLineNumbers/>
        <w:suppressAutoHyphens/>
        <w:ind w:firstLine="708"/>
        <w:jc w:val="both"/>
        <w:rPr>
          <w:color w:val="000000" w:themeColor="text1"/>
        </w:rPr>
      </w:pPr>
      <w:r w:rsidRPr="001C6D7F">
        <w:rPr>
          <w:color w:val="000000" w:themeColor="text1"/>
        </w:rPr>
        <w:t>Building on the previously discussed effects of board interlocks and cooperative tensions in alliances, we propose that pluralistic network ties, particularly in the form of direct board interlocks, can act as a cooptative mechanism, allowing one alliance partner to realize private benefits at the expense of the other (Knoben &amp; Bakker, 2019). This dynamic can lead to an increase in cooperative tensions, negatively impacting alliance performance (Liu et al., 2020). Therefore, we hypothesize a positive relationship between direct board interlocks and differential benefits in strategic alliances.</w:t>
      </w:r>
    </w:p>
    <w:p w14:paraId="6782BF44" w14:textId="77777777" w:rsidR="00755C90" w:rsidRPr="001C6D7F" w:rsidRDefault="00755C90" w:rsidP="00932F58">
      <w:pPr>
        <w:pStyle w:val="Paragraph"/>
        <w:suppressLineNumbers/>
        <w:suppressAutoHyphens/>
        <w:ind w:firstLine="708"/>
        <w:jc w:val="both"/>
        <w:rPr>
          <w:color w:val="000000" w:themeColor="text1"/>
        </w:rPr>
      </w:pPr>
      <w:r w:rsidRPr="001C6D7F">
        <w:rPr>
          <w:color w:val="000000" w:themeColor="text1"/>
        </w:rPr>
        <w:t xml:space="preserve">Our hypothesis rests on several key arguments. First, direct board interlocks, as strong interorganizational ties (Granovetter, 1973), positively influence trust and communication between alliance partners, fostering a willingness to share resources and knowledge. For example, </w:t>
      </w:r>
      <w:r w:rsidRPr="007668A1">
        <w:rPr>
          <w:color w:val="000000" w:themeColor="text1"/>
        </w:rPr>
        <w:t xml:space="preserve">Da Silva and Verschoore </w:t>
      </w:r>
      <w:r w:rsidRPr="001C6D7F">
        <w:rPr>
          <w:color w:val="000000" w:themeColor="text1"/>
        </w:rPr>
        <w:t>(2021) show that firms with pluralistic network ties adopt strategic practices more quickly, while Beckman et al. (2014) show that board interlocks help startups build diverse alliance portfolios more quickly. These findings suggest that resource-</w:t>
      </w:r>
      <w:r w:rsidRPr="001C6D7F">
        <w:rPr>
          <w:color w:val="000000" w:themeColor="text1"/>
        </w:rPr>
        <w:lastRenderedPageBreak/>
        <w:t xml:space="preserve">constrained firms in particular benefit from direct board interlocks by leveraging trust to extract greater value from alliance partners with greater resources. Second, directors who serve on the boards of both alliance partners gain direct access to sensitive alliance partner resources that are not typically shared with non-alliance partners. This increased transparency allows alliance partners to absorb valuable knowledge and convert it into private benefits, enhancing its performance and bargaining power (Inkpen &amp; Beamish, 1997). Knoben and Bakker (2019) find that resource-constrained firms, in particular, can use external resources to gain private benefits by learning efficient practices from resource-advantaged partners, while their own, often more specialized, competitive knowledge is harder to exploit. This observation is supported by the findings of Zona et al. (2018), who show that resource transfers in board interlocks typically occur from resource-advantaged firms to resource-constrained firms. Third, direct interlocks provide resource-constrained partners with greater control over the actions of resource-advantaged alliance partners, allowing resource-constrained partners to monitor, influence, and, if necessary, constrain the strategic decisions of resource-advantaged partners (Knoben &amp; Bakker, 2019). This increased control helps resource-constrained firms protect their </w:t>
      </w:r>
      <w:r>
        <w:rPr>
          <w:color w:val="000000" w:themeColor="text1"/>
        </w:rPr>
        <w:t>often more specialized</w:t>
      </w:r>
      <w:r w:rsidRPr="001C6D7F">
        <w:rPr>
          <w:color w:val="000000" w:themeColor="text1"/>
        </w:rPr>
        <w:t xml:space="preserve"> </w:t>
      </w:r>
      <w:r>
        <w:rPr>
          <w:color w:val="000000" w:themeColor="text1"/>
        </w:rPr>
        <w:t>resources</w:t>
      </w:r>
      <w:r w:rsidRPr="001C6D7F">
        <w:rPr>
          <w:color w:val="000000" w:themeColor="text1"/>
        </w:rPr>
        <w:t>.</w:t>
      </w:r>
      <w:r>
        <w:rPr>
          <w:color w:val="000000" w:themeColor="text1"/>
        </w:rPr>
        <w:t xml:space="preserve"> However, it also contributes to an asymmetric flow of resources between alliance partners.</w:t>
      </w:r>
      <w:r w:rsidRPr="001C6D7F">
        <w:rPr>
          <w:color w:val="000000" w:themeColor="text1"/>
        </w:rPr>
        <w:t xml:space="preserve"> Fourth, direct board interlocks facilitate conflict resolution, which may prolong the duration of cooperation between alliance partners. However, prolonged access to the other partner's strategic resources over time may contribute to one firm receiving more private benefits (Knoben &amp; Bakker, 2019) thereby </w:t>
      </w:r>
      <w:r>
        <w:rPr>
          <w:color w:val="000000" w:themeColor="text1"/>
        </w:rPr>
        <w:t xml:space="preserve">increasing </w:t>
      </w:r>
      <w:r w:rsidRPr="001C6D7F">
        <w:rPr>
          <w:color w:val="000000" w:themeColor="text1"/>
        </w:rPr>
        <w:t>differential benefits.</w:t>
      </w:r>
    </w:p>
    <w:p w14:paraId="1DF08F3A" w14:textId="77777777" w:rsidR="00755C90" w:rsidRPr="001C6D7F" w:rsidRDefault="00755C90" w:rsidP="00932F58">
      <w:pPr>
        <w:pStyle w:val="Paragraph"/>
        <w:suppressLineNumbers/>
        <w:suppressAutoHyphens/>
        <w:ind w:firstLine="708"/>
        <w:jc w:val="both"/>
        <w:rPr>
          <w:color w:val="000000" w:themeColor="text1"/>
        </w:rPr>
      </w:pPr>
      <w:r w:rsidRPr="001C6D7F">
        <w:rPr>
          <w:color w:val="000000" w:themeColor="text1"/>
        </w:rPr>
        <w:t xml:space="preserve">In summary, direct board interlocks allow one partner to </w:t>
      </w:r>
      <w:r>
        <w:rPr>
          <w:color w:val="000000" w:themeColor="text1"/>
        </w:rPr>
        <w:t xml:space="preserve">better </w:t>
      </w:r>
      <w:r w:rsidRPr="001C6D7F">
        <w:rPr>
          <w:color w:val="000000" w:themeColor="text1"/>
        </w:rPr>
        <w:t xml:space="preserve">access and control the resources of the other, resulting in differential benefits. This is consistent with the model of Larsson et al. (1998), which suggests that companies pursuing competitive strategies can secure more common and private benefits than their cooperative counterparts. Therefore, we propose the following hypothesis (see Figure 2 for an illustration of the proposed effects): </w:t>
      </w:r>
    </w:p>
    <w:p w14:paraId="30B35513" w14:textId="77777777" w:rsidR="00755C90" w:rsidRPr="00AD1ABE" w:rsidRDefault="00755C90" w:rsidP="00AD1ABE">
      <w:pPr>
        <w:pStyle w:val="Paragraph"/>
        <w:jc w:val="both"/>
        <w:rPr>
          <w:rStyle w:val="normaltextrun"/>
          <w:i/>
          <w:iCs/>
        </w:rPr>
      </w:pPr>
      <w:r w:rsidRPr="00AD1ABE">
        <w:rPr>
          <w:rStyle w:val="normaltextrun"/>
          <w:i/>
          <w:iCs/>
        </w:rPr>
        <w:lastRenderedPageBreak/>
        <w:t>Hypothesis 1a (H1a): Direct board interlocks between alliance partners are positively associated with differential benefits in alliances.</w:t>
      </w:r>
    </w:p>
    <w:p w14:paraId="6AD38BCC" w14:textId="77777777" w:rsidR="00755C90" w:rsidRPr="00755C90" w:rsidRDefault="00755C90" w:rsidP="00932F58">
      <w:pPr>
        <w:pStyle w:val="berschrift3"/>
        <w:jc w:val="both"/>
      </w:pPr>
      <w:r w:rsidRPr="00755C90">
        <w:t>Indirect board interlocks and differential benefits in strategic alliances</w:t>
      </w:r>
    </w:p>
    <w:p w14:paraId="50A6FF67" w14:textId="77777777" w:rsidR="00755C90" w:rsidRPr="001C6D7F" w:rsidRDefault="00755C90" w:rsidP="00932F58">
      <w:pPr>
        <w:pStyle w:val="Paragraph"/>
        <w:suppressLineNumbers/>
        <w:suppressAutoHyphens/>
        <w:ind w:firstLine="708"/>
        <w:jc w:val="both"/>
        <w:rPr>
          <w:color w:val="000000" w:themeColor="text1"/>
        </w:rPr>
      </w:pPr>
      <w:r w:rsidRPr="001C6D7F">
        <w:rPr>
          <w:color w:val="000000" w:themeColor="text1"/>
        </w:rPr>
        <w:t>We hypothesize that indirect board interlocks, where two directors from different alliance partners also serve on the board of a third firm (Burt, 1983), act as a cooperative mechanism that increases both receptivity and transparency among alliance partners. This dynamic promotes the realization of common benefits while reducing the potential for private benefits (Liu et al., 2020). Consequently, we expect a negative correlation between indirect board interlocks and differential benefits.</w:t>
      </w:r>
    </w:p>
    <w:p w14:paraId="31A0FAA5" w14:textId="77777777" w:rsidR="00755C90" w:rsidRPr="001C6D7F" w:rsidRDefault="00755C90" w:rsidP="00932F58">
      <w:pPr>
        <w:pStyle w:val="Paragraph"/>
        <w:suppressLineNumbers/>
        <w:suppressAutoHyphens/>
        <w:ind w:firstLine="708"/>
        <w:jc w:val="both"/>
        <w:rPr>
          <w:color w:val="000000" w:themeColor="text1"/>
        </w:rPr>
      </w:pPr>
      <w:r w:rsidRPr="001C6D7F">
        <w:rPr>
          <w:color w:val="000000" w:themeColor="text1"/>
        </w:rPr>
        <w:t xml:space="preserve">Our argument is based on three main points: First, indirect network ties, often referred to as "weak ties" (Granovetter, 1973), provide access to diverse, non-redundant information (Burt, 1980; Galaskiewicz &amp; Burt, 1991; Singh &amp; Delios, 2017) which has been shown to foster innovation and improve firm performance (Ahuja, 2000; Lang &amp; Lockhart, 1990; Palmer et al., 1993). However, indirect ties provide only limited direct insight into the strategies and processes of an alliance partner, as information </w:t>
      </w:r>
      <w:r>
        <w:rPr>
          <w:color w:val="000000" w:themeColor="text1"/>
        </w:rPr>
        <w:t xml:space="preserve">is </w:t>
      </w:r>
      <w:r w:rsidRPr="001C6D7F">
        <w:rPr>
          <w:color w:val="000000" w:themeColor="text1"/>
        </w:rPr>
        <w:t xml:space="preserve">filtered through the interlocking directors of each firm. This limits the potential for </w:t>
      </w:r>
      <w:r>
        <w:rPr>
          <w:color w:val="000000" w:themeColor="text1"/>
        </w:rPr>
        <w:t>resource appropriation</w:t>
      </w:r>
      <w:r w:rsidRPr="001C6D7F">
        <w:rPr>
          <w:color w:val="000000" w:themeColor="text1"/>
        </w:rPr>
        <w:t xml:space="preserve"> and the pursuit of private benefits by individual alliance partners (Khanna et al., 1998). Second, indirect board interlocks promote cooperative behavior by serving as channels for communication, knowledge exchange, and conflict resolution among alliance partners (Das &amp; Teng, 2000a). Directors linked indirectly through a third firm can use this link to share perspectives, address common concerns, and coordinate strategies without the pressure of direct cooperative tensions, helping to establish routines for processing and transferring tacit knowledge (Hansen, 1999; Uzzi, 1997) and creating a reciprocal dynamic that builds trust (Mohr &amp; Spekman, 1994). Trust-based interactions, in turn, have been shown to increase transparency and receptivity, ensuring a balanced flow of information between alliance partners, thereby reducing opportunistic behavior and promoting collaborative learning (Powell, Koput, &amp; Smith-Doerr, 1996; Salman </w:t>
      </w:r>
      <w:r w:rsidRPr="001C6D7F">
        <w:rPr>
          <w:color w:val="000000" w:themeColor="text1"/>
        </w:rPr>
        <w:lastRenderedPageBreak/>
        <w:t>&amp; Saives, 2005). Third, in line with the previous arguments, the conceptual model proposed by Larsson et al. (1998) suggests that alliance partners that are highly receptive and transparent are more likely to pursue cooperative strategies. These strategies, in turn, facilitate the creation of common benefits and reduce differential benefits (Arslan, 2018). By building trust and reducing information asymmetries, indirect board interlocks promote a cooperative approach to value creation. As a result, alliance partners are more likely to create common benefits rather than compete for a larger share of the benefits, further reducing differential benefits.</w:t>
      </w:r>
    </w:p>
    <w:p w14:paraId="07BC58D2" w14:textId="77777777" w:rsidR="00755C90" w:rsidRPr="001C6D7F" w:rsidRDefault="00755C90" w:rsidP="00932F58">
      <w:pPr>
        <w:pStyle w:val="Paragraph"/>
        <w:suppressLineNumbers/>
        <w:suppressAutoHyphens/>
        <w:ind w:firstLine="708"/>
        <w:jc w:val="both"/>
        <w:rPr>
          <w:color w:val="000000" w:themeColor="text1"/>
        </w:rPr>
      </w:pPr>
      <w:r w:rsidRPr="001C6D7F">
        <w:rPr>
          <w:color w:val="000000" w:themeColor="text1"/>
        </w:rPr>
        <w:t>In sum, we argue that indirect board interlocks create an environment conducive to joint learning and resource sharing, which promotes common benefits while minimizing the risk of resource appropriation by individual partners. We therefore propose the following hypothesis (see Figure 3 for an illustration of the proposed effects):</w:t>
      </w:r>
    </w:p>
    <w:p w14:paraId="5FA831B3" w14:textId="77777777" w:rsidR="00755C90" w:rsidRPr="00AD1ABE" w:rsidRDefault="00755C90" w:rsidP="00AD1ABE">
      <w:pPr>
        <w:pStyle w:val="Paragraph"/>
        <w:jc w:val="both"/>
        <w:rPr>
          <w:rStyle w:val="normaltextrun"/>
          <w:i/>
          <w:iCs/>
        </w:rPr>
      </w:pPr>
      <w:r w:rsidRPr="00AD1ABE">
        <w:rPr>
          <w:rStyle w:val="normaltextrun"/>
          <w:i/>
          <w:iCs/>
        </w:rPr>
        <w:t>Hypothesis 1b (H1b): Indirect board interlocks between alliance partners are negatively associated with differential benefits in alliances.</w:t>
      </w:r>
    </w:p>
    <w:p w14:paraId="52878FD2" w14:textId="77777777" w:rsidR="00755C90" w:rsidRPr="00755C90" w:rsidRDefault="00755C90" w:rsidP="00932F58">
      <w:pPr>
        <w:pStyle w:val="berschrift3"/>
        <w:jc w:val="both"/>
      </w:pPr>
      <w:r w:rsidRPr="00755C90">
        <w:t>The moderating influence of relative board receptivity</w:t>
      </w:r>
    </w:p>
    <w:p w14:paraId="35A5456E" w14:textId="77777777" w:rsidR="00755C90" w:rsidRPr="001C6D7F" w:rsidRDefault="00755C90" w:rsidP="00932F58">
      <w:pPr>
        <w:pStyle w:val="Paragraph"/>
        <w:suppressLineNumbers/>
        <w:suppressAutoHyphens/>
        <w:ind w:firstLine="708"/>
        <w:jc w:val="both"/>
        <w:rPr>
          <w:color w:val="000000" w:themeColor="text1"/>
        </w:rPr>
      </w:pPr>
      <w:r w:rsidRPr="001C6D7F">
        <w:rPr>
          <w:color w:val="000000" w:themeColor="text1"/>
        </w:rPr>
        <w:t xml:space="preserve">Studies show that the mere presence of board interlocks does not guarantee resource exchange between firms. A prerequisite for this is </w:t>
      </w:r>
      <w:r>
        <w:rPr>
          <w:color w:val="000000" w:themeColor="text1"/>
        </w:rPr>
        <w:t xml:space="preserve">receptivity, i.e. </w:t>
      </w:r>
      <w:r w:rsidRPr="001C6D7F">
        <w:rPr>
          <w:color w:val="000000" w:themeColor="text1"/>
        </w:rPr>
        <w:t>t</w:t>
      </w:r>
      <w:r>
        <w:rPr>
          <w:color w:val="000000" w:themeColor="text1"/>
        </w:rPr>
        <w:t xml:space="preserve">he </w:t>
      </w:r>
      <w:r w:rsidRPr="001C6D7F">
        <w:rPr>
          <w:color w:val="000000" w:themeColor="text1"/>
        </w:rPr>
        <w:t xml:space="preserve">openness of firms to external network information </w:t>
      </w:r>
      <w:r>
        <w:rPr>
          <w:color w:val="000000" w:themeColor="text1"/>
        </w:rPr>
        <w:t>(Allison &amp; Potts, 1999; Lamb &amp; Roundy, 2016)</w:t>
      </w:r>
      <w:r w:rsidRPr="001C6D7F">
        <w:rPr>
          <w:color w:val="000000" w:themeColor="text1"/>
        </w:rPr>
        <w:t xml:space="preserve">. </w:t>
      </w:r>
      <w:r>
        <w:rPr>
          <w:color w:val="000000" w:themeColor="text1"/>
        </w:rPr>
        <w:t>In their conceptual model</w:t>
      </w:r>
      <w:r w:rsidRPr="001C6D7F">
        <w:rPr>
          <w:color w:val="000000" w:themeColor="text1"/>
        </w:rPr>
        <w:t xml:space="preserve">, Larsson et al. (1998) </w:t>
      </w:r>
      <w:r>
        <w:rPr>
          <w:color w:val="000000" w:themeColor="text1"/>
        </w:rPr>
        <w:t xml:space="preserve">also </w:t>
      </w:r>
      <w:r w:rsidRPr="001C6D7F">
        <w:rPr>
          <w:color w:val="000000" w:themeColor="text1"/>
        </w:rPr>
        <w:t xml:space="preserve">emphasize the importance of receptivity, noting that knowledge transfer can come to a complete standstill if one of the alliance partners is not receptive to the information of the other and pursues an avoidance strategy. At the same time, differences in the receptivity of individual alliance partners can be used strategically to maximize private benefits. For example, if one partner is highly receptive while the other is transparent but not receptive, the receptive partner can absorb the other's knowledge and thus maximize private benefits (Larsson et al., 1998). To empirically examine the role of receptivity and its influence on differential benefits in strategic alliances, we analyze the effects of different levels of receptivity between alliance partners. Our study examines this dynamic by analyzing </w:t>
      </w:r>
      <w:r w:rsidRPr="001C6D7F">
        <w:rPr>
          <w:color w:val="000000" w:themeColor="text1"/>
        </w:rPr>
        <w:lastRenderedPageBreak/>
        <w:t xml:space="preserve">how </w:t>
      </w:r>
      <w:r>
        <w:rPr>
          <w:color w:val="000000" w:themeColor="text1"/>
        </w:rPr>
        <w:t>asymmetric</w:t>
      </w:r>
      <w:r w:rsidRPr="001C6D7F">
        <w:rPr>
          <w:color w:val="000000" w:themeColor="text1"/>
        </w:rPr>
        <w:t xml:space="preserve"> receptivity affects </w:t>
      </w:r>
      <w:r>
        <w:rPr>
          <w:color w:val="000000" w:themeColor="text1"/>
        </w:rPr>
        <w:t>the relationship</w:t>
      </w:r>
      <w:r w:rsidRPr="001C6D7F">
        <w:rPr>
          <w:color w:val="000000" w:themeColor="text1"/>
        </w:rPr>
        <w:t xml:space="preserve"> of direct and indirect board interlocks</w:t>
      </w:r>
      <w:r>
        <w:rPr>
          <w:color w:val="000000" w:themeColor="text1"/>
        </w:rPr>
        <w:t xml:space="preserve"> and differential benefits</w:t>
      </w:r>
      <w:r w:rsidRPr="001C6D7F">
        <w:rPr>
          <w:color w:val="000000" w:themeColor="text1"/>
        </w:rPr>
        <w:t>.</w:t>
      </w:r>
      <w:r>
        <w:rPr>
          <w:color w:val="000000" w:themeColor="text1"/>
        </w:rPr>
        <w:t xml:space="preserve"> Key e</w:t>
      </w:r>
      <w:r w:rsidRPr="001C6D7F">
        <w:rPr>
          <w:color w:val="000000" w:themeColor="text1"/>
        </w:rPr>
        <w:t>ffects are considered at the board</w:t>
      </w:r>
      <w:r>
        <w:rPr>
          <w:color w:val="000000" w:themeColor="text1"/>
        </w:rPr>
        <w:t xml:space="preserve"> and</w:t>
      </w:r>
      <w:r w:rsidRPr="001C6D7F">
        <w:rPr>
          <w:color w:val="000000" w:themeColor="text1"/>
        </w:rPr>
        <w:t xml:space="preserve"> firm level.</w:t>
      </w:r>
    </w:p>
    <w:p w14:paraId="20655425" w14:textId="77777777" w:rsidR="00755C90" w:rsidRPr="001C6D7F" w:rsidRDefault="00755C90" w:rsidP="00932F58">
      <w:pPr>
        <w:pStyle w:val="Paragraph"/>
        <w:jc w:val="both"/>
        <w:rPr>
          <w:color w:val="000000" w:themeColor="text1"/>
        </w:rPr>
      </w:pPr>
      <w:r w:rsidRPr="001C6D7F">
        <w:rPr>
          <w:b/>
          <w:bCs/>
          <w:color w:val="000000" w:themeColor="text1"/>
        </w:rPr>
        <w:t>Moderating effect of relative board power</w:t>
      </w:r>
      <w:r w:rsidRPr="001C6D7F">
        <w:rPr>
          <w:color w:val="000000" w:themeColor="text1"/>
        </w:rPr>
        <w:t xml:space="preserve">. At the board level, the extent to which information from board interlocks is reflected in firm behavior is significantly influenced by the board's decision-making authority. Studies suggest that CEOs with extensive decision-making authority may override board preferences, particularly when the board's own authority is constrained </w:t>
      </w:r>
      <w:r w:rsidRPr="001C6D7F">
        <w:rPr>
          <w:rStyle w:val="ParagraphChar"/>
          <w:color w:val="000000" w:themeColor="text1"/>
        </w:rPr>
        <w:t>(Golden &amp; Zajac, 2001; Westphal &amp; Zajac, 1997)</w:t>
      </w:r>
      <w:r w:rsidRPr="001C6D7F">
        <w:rPr>
          <w:color w:val="000000" w:themeColor="text1"/>
        </w:rPr>
        <w:t xml:space="preserve">. In contrast, a board with high decision-making power is more likely to use its members' experience in other firms to inform the focal firm's strategy and to respond to emerging industry trends and customer preferences </w:t>
      </w:r>
      <w:r w:rsidRPr="001C6D7F">
        <w:rPr>
          <w:rStyle w:val="ParagraphChar"/>
          <w:color w:val="000000" w:themeColor="text1"/>
        </w:rPr>
        <w:t>(Zahra &amp; Pearce, 1990)</w:t>
      </w:r>
      <w:r w:rsidRPr="001C6D7F">
        <w:rPr>
          <w:color w:val="000000" w:themeColor="text1"/>
        </w:rPr>
        <w:t>. In light of these findings, we expect that the efficiency of transforming external information into private benefits will differ between alliances in which the partners are linked by board interlocks but have different levels of board power. Therefore, we expect that differential benefits within an alliance will increase in proportion to relative board power.</w:t>
      </w:r>
    </w:p>
    <w:p w14:paraId="6A59D858" w14:textId="77777777" w:rsidR="00755C90" w:rsidRPr="001C6D7F" w:rsidRDefault="00755C90" w:rsidP="00932F58">
      <w:pPr>
        <w:pStyle w:val="Paragraph"/>
        <w:jc w:val="both"/>
        <w:rPr>
          <w:color w:val="000000" w:themeColor="text1"/>
        </w:rPr>
      </w:pPr>
      <w:r w:rsidRPr="001C6D7F">
        <w:rPr>
          <w:color w:val="000000" w:themeColor="text1"/>
        </w:rPr>
        <w:t>In the case of direct board interlocks, the alliance partner with greater board power and receptivity is better positioned to translate acquired knowledge into strategic initiatives. For example, resource- constrained partners with significant board power can more effectively leverage the expertise of resource-rich alliance partners. On the other hand, resource-constrained partners with significant board power may be more effective in accessing the resources of their resource-rich counterparts, while at the same time more effective in protecting their own assets through social defense mechanisms (Knoben &amp; Bakker, 2019).</w:t>
      </w:r>
    </w:p>
    <w:p w14:paraId="13CD9E0F" w14:textId="77777777" w:rsidR="00755C90" w:rsidRPr="001C6D7F" w:rsidRDefault="00755C90" w:rsidP="00932F58">
      <w:pPr>
        <w:pStyle w:val="Paragraph"/>
        <w:suppressLineNumbers/>
        <w:suppressAutoHyphens/>
        <w:ind w:firstLine="708"/>
        <w:jc w:val="both"/>
        <w:rPr>
          <w:color w:val="000000" w:themeColor="text1"/>
        </w:rPr>
      </w:pPr>
      <w:r w:rsidRPr="001C6D7F">
        <w:rPr>
          <w:color w:val="000000" w:themeColor="text1"/>
        </w:rPr>
        <w:t xml:space="preserve">In the context of indirect board interlocks, where there is a significant disparity in board power, it is likely that only one of the alliance partners will be able to effectively implement the agreements reached among the indirectly interlocking directors. This imbalance has the potential to undermine mutual trust and increase the risk of opportunistic behavior, making it more difficult to achieve common benefits. Therefore, we hypothesize that alliances linked by either direct or indirect board interlocks are more likely to result in differential benefits when </w:t>
      </w:r>
      <w:r w:rsidRPr="001C6D7F">
        <w:rPr>
          <w:color w:val="000000" w:themeColor="text1"/>
        </w:rPr>
        <w:lastRenderedPageBreak/>
        <w:t>there is high relative board power, allowing the more influential board to exert greater control over the strategic direction and resource allocation of the alliance, resulting in an unequal distribution of benefits. This provides the basis for the following hypotheses:</w:t>
      </w:r>
    </w:p>
    <w:p w14:paraId="5235631D" w14:textId="77777777" w:rsidR="00755C90" w:rsidRPr="00AD1ABE" w:rsidRDefault="00755C90" w:rsidP="00AD1ABE">
      <w:pPr>
        <w:pStyle w:val="Paragraph"/>
        <w:jc w:val="both"/>
        <w:rPr>
          <w:rStyle w:val="normaltextrun"/>
          <w:i/>
          <w:iCs/>
        </w:rPr>
      </w:pPr>
      <w:r w:rsidRPr="00AD1ABE">
        <w:rPr>
          <w:rStyle w:val="normaltextrun"/>
          <w:i/>
          <w:iCs/>
        </w:rPr>
        <w:t xml:space="preserve">Hypothesis 2a (H2a): Relative board power positively moderates the relationship between direct board interlocks and differential benefits. </w:t>
      </w:r>
    </w:p>
    <w:p w14:paraId="65283C2E" w14:textId="77777777" w:rsidR="00755C90" w:rsidRPr="00AD1ABE" w:rsidRDefault="00755C90" w:rsidP="00AD1ABE">
      <w:pPr>
        <w:pStyle w:val="Paragraph"/>
        <w:jc w:val="both"/>
        <w:rPr>
          <w:rStyle w:val="normaltextrun"/>
          <w:i/>
          <w:iCs/>
        </w:rPr>
      </w:pPr>
      <w:r w:rsidRPr="00AD1ABE">
        <w:rPr>
          <w:rStyle w:val="normaltextrun"/>
          <w:i/>
          <w:iCs/>
        </w:rPr>
        <w:t>Hypothesis 2b (H2b): Relative board power positively moderates the relationship between indirect board interlocks and differential benefits.</w:t>
      </w:r>
    </w:p>
    <w:p w14:paraId="53999916" w14:textId="77777777" w:rsidR="00755C90" w:rsidRPr="001C6D7F" w:rsidRDefault="00755C90" w:rsidP="00932F58">
      <w:pPr>
        <w:pStyle w:val="Paragraph"/>
        <w:jc w:val="both"/>
        <w:rPr>
          <w:color w:val="000000" w:themeColor="text1"/>
          <w:lang w:eastAsia="en-US"/>
        </w:rPr>
      </w:pPr>
      <w:r w:rsidRPr="001C6D7F">
        <w:rPr>
          <w:b/>
          <w:bCs/>
          <w:color w:val="000000" w:themeColor="text1"/>
        </w:rPr>
        <w:t>Moderating effect of relative firm status</w:t>
      </w:r>
      <w:r w:rsidRPr="001C6D7F">
        <w:rPr>
          <w:color w:val="000000" w:themeColor="text1"/>
        </w:rPr>
        <w:t xml:space="preserve">. Status is conceptualized as </w:t>
      </w:r>
      <w:r w:rsidRPr="001C6D7F">
        <w:rPr>
          <w:color w:val="000000" w:themeColor="text1"/>
          <w:lang w:eastAsia="en-US"/>
        </w:rPr>
        <w:t xml:space="preserve">"a socially constructed, intersubjectively agreed-upon hierarchy among individuals, groups, organizations, or activities within a social system" (Washington &amp; Zajac, 2005: 284). </w:t>
      </w:r>
      <w:r w:rsidRPr="001C6D7F">
        <w:rPr>
          <w:color w:val="000000" w:themeColor="text1"/>
        </w:rPr>
        <w:t xml:space="preserve">It has economic significance, securing not only financial and physical assets for firms, but also social resources </w:t>
      </w:r>
      <w:r w:rsidRPr="001C6D7F">
        <w:rPr>
          <w:color w:val="000000" w:themeColor="text1"/>
          <w:lang w:eastAsia="en-US"/>
        </w:rPr>
        <w:t xml:space="preserve">(Lin, Yang, &amp; Arya, 2009). </w:t>
      </w:r>
      <w:r w:rsidRPr="001C6D7F">
        <w:rPr>
          <w:color w:val="000000" w:themeColor="text1"/>
        </w:rPr>
        <w:t>Status differences often arise from different resource endowments</w:t>
      </w:r>
      <w:r w:rsidRPr="001C6D7F">
        <w:rPr>
          <w:color w:val="000000" w:themeColor="text1"/>
          <w:lang w:eastAsia="en-US"/>
        </w:rPr>
        <w:t xml:space="preserve"> (Brass &amp; Burkhardt, 1993), </w:t>
      </w:r>
      <w:r w:rsidRPr="001C6D7F">
        <w:rPr>
          <w:color w:val="000000" w:themeColor="text1"/>
        </w:rPr>
        <w:t>which typically result from access to more valuable contacts and resources</w:t>
      </w:r>
      <w:r w:rsidRPr="001C6D7F">
        <w:rPr>
          <w:color w:val="000000" w:themeColor="text1"/>
          <w:lang w:eastAsia="en-US"/>
        </w:rPr>
        <w:t xml:space="preserve"> (Chandler, Haunschild, Rhee, &amp; Beckman, 2013). </w:t>
      </w:r>
      <w:r w:rsidRPr="001C6D7F">
        <w:rPr>
          <w:color w:val="000000" w:themeColor="text1"/>
        </w:rPr>
        <w:t xml:space="preserve">As a result, high-status firms are perceived as more valuable and influential </w:t>
      </w:r>
      <w:r w:rsidRPr="001C6D7F">
        <w:rPr>
          <w:color w:val="000000" w:themeColor="text1"/>
          <w:lang w:eastAsia="en-US"/>
        </w:rPr>
        <w:t xml:space="preserve">(Cialdini, Trost, &amp; Newsom, 1995) </w:t>
      </w:r>
      <w:r w:rsidRPr="001C6D7F">
        <w:rPr>
          <w:color w:val="000000" w:themeColor="text1"/>
        </w:rPr>
        <w:t>and are preferred as alliance partners</w:t>
      </w:r>
      <w:r w:rsidRPr="001C6D7F">
        <w:rPr>
          <w:color w:val="000000" w:themeColor="text1"/>
          <w:lang w:eastAsia="en-US"/>
        </w:rPr>
        <w:t xml:space="preserve"> (Lin et al., 2009).</w:t>
      </w:r>
    </w:p>
    <w:p w14:paraId="4692BBCE" w14:textId="77777777" w:rsidR="00755C90" w:rsidRPr="001C6D7F" w:rsidRDefault="00755C90" w:rsidP="00932F58">
      <w:pPr>
        <w:pStyle w:val="Paragraph"/>
        <w:suppressLineNumbers/>
        <w:suppressAutoHyphens/>
        <w:ind w:firstLine="708"/>
        <w:jc w:val="both"/>
        <w:rPr>
          <w:color w:val="000000" w:themeColor="text1"/>
          <w:lang w:eastAsia="en-US"/>
        </w:rPr>
      </w:pPr>
      <w:r w:rsidRPr="001C6D7F">
        <w:rPr>
          <w:color w:val="000000" w:themeColor="text1"/>
        </w:rPr>
        <w:t xml:space="preserve">Collaborating with high-status firms can enhance a partner’s reputation, increase its visibility, and attract future alliances </w:t>
      </w:r>
      <w:r w:rsidRPr="001C6D7F">
        <w:rPr>
          <w:color w:val="000000" w:themeColor="text1"/>
          <w:lang w:eastAsia="en-US"/>
        </w:rPr>
        <w:t xml:space="preserve">(Eisenhardt &amp; Schoonhoven, 1996; Podolny, 1993, 1994; Stuart, 2000). </w:t>
      </w:r>
      <w:r w:rsidRPr="001C6D7F">
        <w:rPr>
          <w:color w:val="000000" w:themeColor="text1"/>
        </w:rPr>
        <w:t xml:space="preserve">This effect is particularly pronounced for low-status firms, where quality assessment is more difficult </w:t>
      </w:r>
      <w:r w:rsidRPr="001C6D7F">
        <w:rPr>
          <w:color w:val="000000" w:themeColor="text1"/>
          <w:lang w:eastAsia="en-US"/>
        </w:rPr>
        <w:t>(Benjamin &amp; Podolny, 1999), with e</w:t>
      </w:r>
      <w:r w:rsidRPr="001C6D7F">
        <w:rPr>
          <w:color w:val="000000" w:themeColor="text1"/>
        </w:rPr>
        <w:t>mpirical studies suggesting that low-status alliance partners particularly benefit from asymmetric status distributions</w:t>
      </w:r>
      <w:r w:rsidRPr="001C6D7F">
        <w:rPr>
          <w:color w:val="000000" w:themeColor="text1"/>
          <w:lang w:eastAsia="en-US"/>
        </w:rPr>
        <w:t xml:space="preserve"> (Lin et al., 2009).</w:t>
      </w:r>
    </w:p>
    <w:p w14:paraId="063BAD60" w14:textId="77777777" w:rsidR="00755C90" w:rsidRPr="001C6D7F" w:rsidRDefault="00755C90" w:rsidP="00932F58">
      <w:pPr>
        <w:pStyle w:val="Paragraph"/>
        <w:suppressLineNumbers/>
        <w:suppressAutoHyphens/>
        <w:jc w:val="both"/>
        <w:rPr>
          <w:color w:val="000000" w:themeColor="text1"/>
          <w:lang w:eastAsia="en-US"/>
        </w:rPr>
      </w:pPr>
      <w:r w:rsidRPr="001C6D7F">
        <w:rPr>
          <w:color w:val="000000" w:themeColor="text1"/>
        </w:rPr>
        <w:t xml:space="preserve">We find that status differences between alliance partners linked by board interlocks influence interorganizational resource flows and contribute to the emergence of differential benefits. When a firm is linked to a higher status alliance partner through direct board interlocks, it tends to attach greater strategic importance to the alliance and pay more attention to the </w:t>
      </w:r>
      <w:r w:rsidRPr="001C6D7F">
        <w:rPr>
          <w:color w:val="000000" w:themeColor="text1"/>
        </w:rPr>
        <w:lastRenderedPageBreak/>
        <w:t xml:space="preserve">partner's information, thereby increasing its receptivity </w:t>
      </w:r>
      <w:r w:rsidRPr="001C6D7F">
        <w:rPr>
          <w:color w:val="000000" w:themeColor="text1"/>
          <w:lang w:eastAsia="en-US"/>
        </w:rPr>
        <w:t xml:space="preserve">(Shropshire, 2010). </w:t>
      </w:r>
      <w:r w:rsidRPr="001C6D7F">
        <w:rPr>
          <w:color w:val="000000" w:themeColor="text1"/>
        </w:rPr>
        <w:t xml:space="preserve">Moreover, lower status firms often receive direct support from their higher status counterparts, demonstrating the latter's increased transparency, which disproportionately benefits the former </w:t>
      </w:r>
      <w:r w:rsidRPr="001C6D7F">
        <w:rPr>
          <w:color w:val="000000" w:themeColor="text1"/>
          <w:lang w:eastAsia="en-US"/>
        </w:rPr>
        <w:t xml:space="preserve">(Blau, 1963; Burt, 1992). </w:t>
      </w:r>
      <w:r w:rsidRPr="001C6D7F">
        <w:rPr>
          <w:color w:val="000000" w:themeColor="text1"/>
        </w:rPr>
        <w:t xml:space="preserve">Such support is particularly important for focal firms with limited resources, as it helps mitigate external dependencies while maintaining the support of influential partners </w:t>
      </w:r>
      <w:r w:rsidRPr="001C6D7F">
        <w:rPr>
          <w:color w:val="000000" w:themeColor="text1"/>
          <w:lang w:eastAsia="en-US"/>
        </w:rPr>
        <w:t xml:space="preserve">(Pfeffer &amp; Salancik, 1978; Zona et al., 2018). </w:t>
      </w:r>
      <w:r w:rsidRPr="001C6D7F">
        <w:rPr>
          <w:color w:val="000000" w:themeColor="text1"/>
        </w:rPr>
        <w:t xml:space="preserve">As a result, direct board interlocks allow low-status firms to leverage the resources and status of high-status partners, protect against opportunism, and increase their bargaining power and attractiveness as alliance partners. This, in turn, increases the probability of private gains </w:t>
      </w:r>
      <w:r w:rsidRPr="001C6D7F">
        <w:rPr>
          <w:color w:val="000000" w:themeColor="text1"/>
          <w:lang w:eastAsia="en-US"/>
        </w:rPr>
        <w:t>(Knoben &amp; Bakker, 2019).</w:t>
      </w:r>
    </w:p>
    <w:p w14:paraId="3A76DFB1" w14:textId="77777777" w:rsidR="00755C90" w:rsidRPr="001C6D7F" w:rsidRDefault="00755C90" w:rsidP="00932F58">
      <w:pPr>
        <w:pStyle w:val="Paragraph"/>
        <w:suppressLineNumbers/>
        <w:suppressAutoHyphens/>
        <w:jc w:val="both"/>
        <w:rPr>
          <w:color w:val="000000" w:themeColor="text1"/>
          <w:lang w:eastAsia="en-US"/>
        </w:rPr>
      </w:pPr>
      <w:r w:rsidRPr="001C6D7F">
        <w:rPr>
          <w:color w:val="000000" w:themeColor="text1"/>
          <w:lang w:eastAsia="en-US"/>
        </w:rPr>
        <w:t>In the context of indirect board interlocks, even without direct access to the high-status partner’s resources, the low-status firm may benefit from status spillovers, enhancing its network connections and improving its access to previously inaccessible firms. This association can lead to private benefits through increased network influence and conflict mitigation, enabling the high-status firm to prolong the alliance and secure more benefits over time. Based on these arguments, we propose:</w:t>
      </w:r>
    </w:p>
    <w:p w14:paraId="7D705C65" w14:textId="77777777" w:rsidR="00755C90" w:rsidRPr="00AD1ABE" w:rsidRDefault="00755C90" w:rsidP="00AD1ABE">
      <w:pPr>
        <w:pStyle w:val="Paragraph"/>
        <w:jc w:val="both"/>
        <w:rPr>
          <w:rStyle w:val="normaltextrun"/>
          <w:i/>
          <w:iCs/>
        </w:rPr>
      </w:pPr>
      <w:r w:rsidRPr="00AD1ABE">
        <w:rPr>
          <w:rStyle w:val="normaltextrun"/>
          <w:i/>
          <w:iCs/>
        </w:rPr>
        <w:t xml:space="preserve">Hypothesis 3a (H3a): Relative firm status positively moderates the relationship between direct board interlocks and differential benefits. </w:t>
      </w:r>
    </w:p>
    <w:p w14:paraId="5A957963" w14:textId="77777777" w:rsidR="00755C90" w:rsidRPr="00AD1ABE" w:rsidRDefault="00755C90" w:rsidP="00AD1ABE">
      <w:pPr>
        <w:pStyle w:val="Paragraph"/>
        <w:jc w:val="both"/>
        <w:rPr>
          <w:rStyle w:val="normaltextrun"/>
          <w:i/>
          <w:iCs/>
        </w:rPr>
      </w:pPr>
      <w:r w:rsidRPr="00AD1ABE">
        <w:rPr>
          <w:rStyle w:val="normaltextrun"/>
          <w:i/>
          <w:iCs/>
        </w:rPr>
        <w:t>Hypothesis 3b (H3b): Relative firm status positively moderates the relationship between indirect board interlocks and differential benefits.</w:t>
      </w:r>
    </w:p>
    <w:p w14:paraId="335EBDFB" w14:textId="77777777" w:rsidR="00755C90" w:rsidRPr="00755C90" w:rsidRDefault="00755C90" w:rsidP="00755C90">
      <w:pPr>
        <w:pStyle w:val="berschrift2"/>
        <w:rPr>
          <w:lang w:val="en-US"/>
        </w:rPr>
      </w:pPr>
      <w:bookmarkStart w:id="254" w:name="_Toc180963614"/>
      <w:r w:rsidRPr="00755C90">
        <w:rPr>
          <w:lang w:val="en-US"/>
        </w:rPr>
        <w:t>Method</w:t>
      </w:r>
      <w:bookmarkEnd w:id="254"/>
    </w:p>
    <w:p w14:paraId="54AB190E" w14:textId="77777777" w:rsidR="00755C90" w:rsidRPr="00755C90" w:rsidRDefault="00755C90" w:rsidP="00755C90">
      <w:pPr>
        <w:pStyle w:val="berschrift3"/>
      </w:pPr>
      <w:r w:rsidRPr="00755C90">
        <w:t>Sample Selection</w:t>
      </w:r>
    </w:p>
    <w:p w14:paraId="42ED03E1" w14:textId="77777777" w:rsidR="00755C90" w:rsidRPr="001C6D7F" w:rsidRDefault="00755C90" w:rsidP="00932F58">
      <w:pPr>
        <w:pStyle w:val="Paragraph"/>
        <w:suppressLineNumbers/>
        <w:suppressAutoHyphens/>
        <w:ind w:firstLine="708"/>
        <w:jc w:val="both"/>
        <w:rPr>
          <w:color w:val="000000" w:themeColor="text1"/>
        </w:rPr>
      </w:pPr>
      <w:r w:rsidRPr="001C6D7F">
        <w:rPr>
          <w:color w:val="000000" w:themeColor="text1"/>
        </w:rPr>
        <w:t xml:space="preserve">We tested our hypotheses using a sample of 2,102 alliances involving U.S., Canadian, and U.K. firms between 2002 and 2021. This sample included joint ventures, equity alliances, and non-equity alliances, all of which involved publicly traded firms. Data on alliances were obtained from S&amp;P Global's CapitalIQ database, which provides comprehensive information </w:t>
      </w:r>
      <w:r w:rsidRPr="001C6D7F">
        <w:rPr>
          <w:color w:val="000000" w:themeColor="text1"/>
        </w:rPr>
        <w:lastRenderedPageBreak/>
        <w:t xml:space="preserve">on firms' stock prices, financial data, and details of the alliances they form. The BoardEx database was used to construct the network of board interlocks. </w:t>
      </w:r>
    </w:p>
    <w:p w14:paraId="19BAA7C1" w14:textId="77777777" w:rsidR="00755C90" w:rsidRPr="001C6D7F" w:rsidRDefault="00755C90" w:rsidP="00932F58">
      <w:pPr>
        <w:pStyle w:val="Paragraph"/>
        <w:suppressLineNumbers/>
        <w:suppressAutoHyphens/>
        <w:jc w:val="both"/>
        <w:rPr>
          <w:color w:val="000000" w:themeColor="text1"/>
        </w:rPr>
      </w:pPr>
      <w:r w:rsidRPr="001C6D7F">
        <w:rPr>
          <w:color w:val="000000" w:themeColor="text1"/>
        </w:rPr>
        <w:t>To create our final dataset, we followed a multi-step process. First, we identified all alliances from the CapitalIQ database spanning the years 2002 to 2021. Following previous studies (Arslan, 2018; Gulati &amp; Wang, 2003), we then narrowed this initial sample to include only alliances involving two firms. We then matched all firms involved in these alliances with data available in the BoardEx database, retaining only those alliances in our sample for which data were available from both CapitalIQ and BoardEx. Finally, we further refined the sample to include only publicly traded firms for which stock price data was available at the time the alliance was announced. This process resulted in our final dataset of 2,102 alliances.</w:t>
      </w:r>
    </w:p>
    <w:p w14:paraId="28C268DD" w14:textId="77777777" w:rsidR="00755C90" w:rsidRPr="00755C90" w:rsidRDefault="00755C90" w:rsidP="00932F58">
      <w:pPr>
        <w:pStyle w:val="berschrift3"/>
      </w:pPr>
      <w:r w:rsidRPr="00755C90">
        <w:t>Measures</w:t>
      </w:r>
    </w:p>
    <w:p w14:paraId="453DA048" w14:textId="77777777" w:rsidR="00755C90" w:rsidRPr="00932F58" w:rsidRDefault="00755C90" w:rsidP="00932F58">
      <w:pPr>
        <w:pStyle w:val="berschrift4"/>
        <w:rPr>
          <w:b/>
          <w:bCs/>
        </w:rPr>
      </w:pPr>
      <w:r w:rsidRPr="00932F58">
        <w:rPr>
          <w:b/>
          <w:bCs/>
        </w:rPr>
        <w:t>Dependent Variable</w:t>
      </w:r>
    </w:p>
    <w:p w14:paraId="683AB442" w14:textId="77777777" w:rsidR="00755C90" w:rsidRPr="001C6D7F" w:rsidRDefault="00755C90" w:rsidP="00C44B2B">
      <w:pPr>
        <w:pStyle w:val="Paragraph"/>
        <w:suppressLineNumbers/>
        <w:suppressAutoHyphens/>
        <w:ind w:firstLine="708"/>
        <w:jc w:val="both"/>
        <w:rPr>
          <w:color w:val="000000" w:themeColor="text1"/>
        </w:rPr>
      </w:pPr>
      <w:r w:rsidRPr="001C6D7F">
        <w:rPr>
          <w:i/>
          <w:iCs/>
          <w:color w:val="000000" w:themeColor="text1"/>
        </w:rPr>
        <w:t>Differential Benefits</w:t>
      </w:r>
      <w:r w:rsidRPr="001C6D7F">
        <w:rPr>
          <w:color w:val="000000" w:themeColor="text1"/>
        </w:rPr>
        <w:t xml:space="preserve">. </w:t>
      </w:r>
      <w:r w:rsidRPr="0052157C">
        <w:rPr>
          <w:color w:val="000000" w:themeColor="text1"/>
        </w:rPr>
        <w:t>The study of differential benefits poses a significant challenge in quantifying the actual value generated by each alliance partner, primarily due to the limited availability of internal alliance data</w:t>
      </w:r>
      <w:r w:rsidRPr="001C6D7F">
        <w:rPr>
          <w:color w:val="000000" w:themeColor="text1"/>
        </w:rPr>
        <w:t xml:space="preserve">. </w:t>
      </w:r>
      <w:r w:rsidRPr="0052157C">
        <w:rPr>
          <w:color w:val="000000" w:themeColor="text1"/>
        </w:rPr>
        <w:t xml:space="preserve">To overcome this limitation, we rely on proven market measures as proxies for the distribution of value created </w:t>
      </w:r>
      <w:r w:rsidRPr="001C6D7F">
        <w:rPr>
          <w:color w:val="000000" w:themeColor="text1"/>
        </w:rPr>
        <w:t>(Christoffersen, 2013; Gulati &amp; Wang, 2003). This</w:t>
      </w:r>
      <w:r>
        <w:rPr>
          <w:color w:val="000000" w:themeColor="text1"/>
        </w:rPr>
        <w:t xml:space="preserve"> approach</w:t>
      </w:r>
      <w:r w:rsidRPr="001C6D7F">
        <w:rPr>
          <w:color w:val="000000" w:themeColor="text1"/>
        </w:rPr>
        <w:t xml:space="preserve"> is consistent with the efficient market hypothesis, which suggests that abnormal stock returns are indicative of</w:t>
      </w:r>
      <w:r>
        <w:rPr>
          <w:color w:val="000000" w:themeColor="text1"/>
        </w:rPr>
        <w:t xml:space="preserve"> the</w:t>
      </w:r>
      <w:r w:rsidRPr="001C6D7F">
        <w:rPr>
          <w:color w:val="000000" w:themeColor="text1"/>
        </w:rPr>
        <w:t xml:space="preserve"> expected future value for alliance partners (Anand &amp; Khanna, 2000). Market measures have also been used in studies of board interlocks (Basuil &amp; Datta, 2017; Harris &amp; Shimizu, 2004; Horton, Millo, &amp; Serafeim, 2012; Kiel &amp; Nicholson, 2006), particularly to assess the impact of board interlocks on alliances (Cordeiro, 1993), suggesting that directors' relational capital does indeed influence investment decisions.</w:t>
      </w:r>
    </w:p>
    <w:p w14:paraId="2F223A78" w14:textId="77777777" w:rsidR="00755C90" w:rsidRPr="001C6D7F" w:rsidRDefault="00755C90" w:rsidP="00C44B2B">
      <w:pPr>
        <w:pStyle w:val="Paragraph"/>
        <w:suppressLineNumbers/>
        <w:suppressAutoHyphens/>
        <w:ind w:firstLine="708"/>
        <w:jc w:val="both"/>
        <w:rPr>
          <w:color w:val="000000" w:themeColor="text1"/>
        </w:rPr>
      </w:pPr>
      <w:r w:rsidRPr="001C6D7F">
        <w:rPr>
          <w:color w:val="000000" w:themeColor="text1"/>
        </w:rPr>
        <w:t>Following the approach of Gulati and Wang (2003), we define differential benefits as the difference in exponential cumulative abnormal returns between alliance partners: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0"/>
        <w:gridCol w:w="682"/>
      </w:tblGrid>
      <w:tr w:rsidR="00755C90" w:rsidRPr="008A5263" w14:paraId="54993F64" w14:textId="77777777" w:rsidTr="007C051A">
        <w:trPr>
          <w:trHeight w:val="495"/>
        </w:trPr>
        <w:tc>
          <w:tcPr>
            <w:tcW w:w="4624" w:type="pct"/>
            <w:vAlign w:val="center"/>
          </w:tcPr>
          <w:p w14:paraId="4F29D60C" w14:textId="77777777" w:rsidR="00755C90" w:rsidRPr="001C6D7F" w:rsidRDefault="00000000" w:rsidP="007C051A">
            <w:pPr>
              <w:suppressLineNumbers/>
              <w:suppressAutoHyphens/>
              <w:jc w:val="center"/>
              <w:rPr>
                <w:color w:val="000000" w:themeColor="text1"/>
                <w:lang w:val="en-US"/>
              </w:rPr>
            </w:pPr>
            <m:oMathPara>
              <m:oMath>
                <m:sSub>
                  <m:sSubPr>
                    <m:ctrlPr>
                      <w:rPr>
                        <w:rFonts w:ascii="Cambria Math" w:hAnsi="Cambria Math"/>
                        <w:i/>
                        <w:color w:val="000000" w:themeColor="text1"/>
                      </w:rPr>
                    </m:ctrlPr>
                  </m:sSubPr>
                  <m:e>
                    <m:r>
                      <w:rPr>
                        <w:rFonts w:ascii="Cambria Math" w:hAnsi="Cambria Math"/>
                        <w:color w:val="000000" w:themeColor="text1"/>
                      </w:rPr>
                      <m:t>DifferentialBenefits</m:t>
                    </m:r>
                  </m:e>
                  <m:sub>
                    <m:r>
                      <w:rPr>
                        <w:rFonts w:ascii="Cambria Math" w:hAnsi="Cambria Math"/>
                        <w:color w:val="000000" w:themeColor="text1"/>
                      </w:rPr>
                      <m:t>i</m:t>
                    </m:r>
                    <m:r>
                      <w:rPr>
                        <w:rFonts w:ascii="Cambria Math" w:hAnsi="Cambria Math"/>
                        <w:color w:val="000000" w:themeColor="text1"/>
                        <w:lang w:val="en-US"/>
                      </w:rPr>
                      <m:t>,</m:t>
                    </m:r>
                    <m:r>
                      <w:rPr>
                        <w:rFonts w:ascii="Cambria Math" w:hAnsi="Cambria Math"/>
                        <w:color w:val="000000" w:themeColor="text1"/>
                      </w:rPr>
                      <m:t>j</m:t>
                    </m:r>
                  </m:sub>
                </m:sSub>
                <m:r>
                  <w:rPr>
                    <w:rFonts w:ascii="Cambria Math" w:hAnsi="Cambria Math"/>
                    <w:color w:val="000000" w:themeColor="text1"/>
                    <w:lang w:val="en-US"/>
                  </w:rPr>
                  <m:t xml:space="preserve">= </m:t>
                </m:r>
                <m:f>
                  <m:fPr>
                    <m:ctrlPr>
                      <w:rPr>
                        <w:rFonts w:ascii="Cambria Math" w:hAnsi="Cambria Math"/>
                        <w:i/>
                        <w:color w:val="000000" w:themeColor="text1"/>
                      </w:rPr>
                    </m:ctrlPr>
                  </m:fPr>
                  <m:num>
                    <m:func>
                      <m:funcPr>
                        <m:ctrlPr>
                          <w:rPr>
                            <w:rFonts w:ascii="Cambria Math" w:hAnsi="Cambria Math"/>
                            <w:i/>
                            <w:color w:val="000000" w:themeColor="text1"/>
                          </w:rPr>
                        </m:ctrlPr>
                      </m:funcPr>
                      <m:fName>
                        <m:r>
                          <m:rPr>
                            <m:sty m:val="p"/>
                          </m:rPr>
                          <w:rPr>
                            <w:rFonts w:ascii="Cambria Math" w:hAnsi="Cambria Math"/>
                            <w:color w:val="000000" w:themeColor="text1"/>
                            <w:lang w:val="en-US"/>
                          </w:rPr>
                          <m:t>exp</m:t>
                        </m:r>
                      </m:fName>
                      <m:e>
                        <m:d>
                          <m:dPr>
                            <m:ctrlPr>
                              <w:rPr>
                                <w:rFonts w:ascii="Cambria Math" w:hAnsi="Cambria Math"/>
                                <w:i/>
                                <w:color w:val="000000" w:themeColor="text1"/>
                              </w:rPr>
                            </m:ctrlPr>
                          </m:dPr>
                          <m:e>
                            <m:func>
                              <m:funcPr>
                                <m:ctrlPr>
                                  <w:rPr>
                                    <w:rFonts w:ascii="Cambria Math" w:hAnsi="Cambria Math"/>
                                    <w:i/>
                                    <w:color w:val="000000" w:themeColor="text1"/>
                                  </w:rPr>
                                </m:ctrlPr>
                              </m:funcPr>
                              <m:fName>
                                <m:r>
                                  <w:rPr>
                                    <w:rFonts w:ascii="Cambria Math" w:hAnsi="Cambria Math"/>
                                    <w:color w:val="000000" w:themeColor="text1"/>
                                  </w:rPr>
                                  <m:t>max</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CAR</m:t>
                                        </m:r>
                                      </m:e>
                                      <m:sub>
                                        <m:r>
                                          <w:rPr>
                                            <w:rFonts w:ascii="Cambria Math" w:hAnsi="Cambria Math"/>
                                            <w:color w:val="000000" w:themeColor="text1"/>
                                          </w:rPr>
                                          <m:t>i</m:t>
                                        </m:r>
                                      </m:sub>
                                    </m:sSub>
                                    <m:r>
                                      <w:rPr>
                                        <w:rFonts w:ascii="Cambria Math" w:hAnsi="Cambria Math"/>
                                        <w:color w:val="000000" w:themeColor="text1"/>
                                        <w:lang w:val="en-US"/>
                                      </w:rPr>
                                      <m:t xml:space="preserve">, </m:t>
                                    </m:r>
                                    <m:sSub>
                                      <m:sSubPr>
                                        <m:ctrlPr>
                                          <w:rPr>
                                            <w:rFonts w:ascii="Cambria Math" w:hAnsi="Cambria Math"/>
                                            <w:i/>
                                            <w:color w:val="000000" w:themeColor="text1"/>
                                          </w:rPr>
                                        </m:ctrlPr>
                                      </m:sSubPr>
                                      <m:e>
                                        <m:r>
                                          <w:rPr>
                                            <w:rFonts w:ascii="Cambria Math" w:hAnsi="Cambria Math"/>
                                            <w:color w:val="000000" w:themeColor="text1"/>
                                          </w:rPr>
                                          <m:t>CAR</m:t>
                                        </m:r>
                                      </m:e>
                                      <m:sub>
                                        <m:r>
                                          <w:rPr>
                                            <w:rFonts w:ascii="Cambria Math" w:hAnsi="Cambria Math"/>
                                            <w:color w:val="000000" w:themeColor="text1"/>
                                          </w:rPr>
                                          <m:t>j</m:t>
                                        </m:r>
                                      </m:sub>
                                    </m:sSub>
                                  </m:e>
                                </m:d>
                              </m:e>
                            </m:func>
                          </m:e>
                        </m:d>
                      </m:e>
                    </m:func>
                    <m:r>
                      <w:rPr>
                        <w:rFonts w:ascii="Cambria Math" w:hAnsi="Cambria Math"/>
                        <w:color w:val="000000" w:themeColor="text1"/>
                        <w:lang w:val="en-US"/>
                      </w:rPr>
                      <m:t>-</m:t>
                    </m:r>
                    <m:r>
                      <m:rPr>
                        <m:sty m:val="p"/>
                      </m:rPr>
                      <w:rPr>
                        <w:rFonts w:ascii="Cambria Math" w:hAnsi="Cambria Math"/>
                        <w:color w:val="000000" w:themeColor="text1"/>
                        <w:lang w:val="en-US"/>
                      </w:rPr>
                      <m:t>exp⁡</m:t>
                    </m:r>
                    <m:r>
                      <w:rPr>
                        <w:rFonts w:ascii="Cambria Math" w:hAnsi="Cambria Math"/>
                        <w:color w:val="000000" w:themeColor="text1"/>
                        <w:lang w:val="en-US"/>
                      </w:rPr>
                      <m:t>(</m:t>
                    </m:r>
                    <m:func>
                      <m:funcPr>
                        <m:ctrlPr>
                          <w:rPr>
                            <w:rFonts w:ascii="Cambria Math" w:hAnsi="Cambria Math"/>
                            <w:color w:val="000000" w:themeColor="text1"/>
                          </w:rPr>
                        </m:ctrlPr>
                      </m:funcPr>
                      <m:fName>
                        <m:r>
                          <w:rPr>
                            <w:rFonts w:ascii="Cambria Math" w:hAnsi="Cambria Math"/>
                            <w:color w:val="000000" w:themeColor="text1"/>
                            <w:lang w:val="en-US"/>
                          </w:rPr>
                          <m:t>min</m:t>
                        </m:r>
                        <m:ctrlPr>
                          <w:rPr>
                            <w:rFonts w:ascii="Cambria Math" w:hAnsi="Cambria Math"/>
                            <w:i/>
                            <w:color w:val="000000" w:themeColor="text1"/>
                          </w:rPr>
                        </m:ctrlP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CAR</m:t>
                                </m:r>
                              </m:e>
                              <m:sub>
                                <m:r>
                                  <w:rPr>
                                    <w:rFonts w:ascii="Cambria Math" w:hAnsi="Cambria Math"/>
                                    <w:color w:val="000000" w:themeColor="text1"/>
                                  </w:rPr>
                                  <m:t>i</m:t>
                                </m:r>
                              </m:sub>
                            </m:sSub>
                            <m:r>
                              <w:rPr>
                                <w:rFonts w:ascii="Cambria Math" w:hAnsi="Cambria Math"/>
                                <w:color w:val="000000" w:themeColor="text1"/>
                                <w:lang w:val="en-US"/>
                              </w:rPr>
                              <m:t xml:space="preserve">, </m:t>
                            </m:r>
                            <m:sSub>
                              <m:sSubPr>
                                <m:ctrlPr>
                                  <w:rPr>
                                    <w:rFonts w:ascii="Cambria Math" w:hAnsi="Cambria Math"/>
                                    <w:i/>
                                    <w:color w:val="000000" w:themeColor="text1"/>
                                  </w:rPr>
                                </m:ctrlPr>
                              </m:sSubPr>
                              <m:e>
                                <m:r>
                                  <w:rPr>
                                    <w:rFonts w:ascii="Cambria Math" w:hAnsi="Cambria Math"/>
                                    <w:color w:val="000000" w:themeColor="text1"/>
                                  </w:rPr>
                                  <m:t>CAR</m:t>
                                </m:r>
                              </m:e>
                              <m:sub>
                                <m:r>
                                  <w:rPr>
                                    <w:rFonts w:ascii="Cambria Math" w:hAnsi="Cambria Math"/>
                                    <w:color w:val="000000" w:themeColor="text1"/>
                                  </w:rPr>
                                  <m:t>j</m:t>
                                </m:r>
                              </m:sub>
                            </m:sSub>
                          </m:e>
                        </m:d>
                      </m:e>
                    </m:func>
                    <m:r>
                      <w:rPr>
                        <w:rFonts w:ascii="Cambria Math" w:hAnsi="Cambria Math"/>
                        <w:color w:val="000000" w:themeColor="text1"/>
                        <w:lang w:val="en-US"/>
                      </w:rPr>
                      <m:t>)</m:t>
                    </m:r>
                  </m:num>
                  <m:den>
                    <m:func>
                      <m:funcPr>
                        <m:ctrlPr>
                          <w:rPr>
                            <w:rFonts w:ascii="Cambria Math" w:hAnsi="Cambria Math"/>
                            <w:i/>
                            <w:color w:val="000000" w:themeColor="text1"/>
                          </w:rPr>
                        </m:ctrlPr>
                      </m:funcPr>
                      <m:fName>
                        <m:r>
                          <m:rPr>
                            <m:sty m:val="p"/>
                          </m:rPr>
                          <w:rPr>
                            <w:rFonts w:ascii="Cambria Math" w:hAnsi="Cambria Math"/>
                            <w:color w:val="000000" w:themeColor="text1"/>
                            <w:lang w:val="en-US"/>
                          </w:rPr>
                          <m:t>exp</m:t>
                        </m:r>
                      </m:fName>
                      <m:e>
                        <m:d>
                          <m:dPr>
                            <m:ctrlPr>
                              <w:rPr>
                                <w:rFonts w:ascii="Cambria Math" w:hAnsi="Cambria Math"/>
                                <w:i/>
                                <w:color w:val="000000" w:themeColor="text1"/>
                              </w:rPr>
                            </m:ctrlPr>
                          </m:dPr>
                          <m:e>
                            <m:func>
                              <m:funcPr>
                                <m:ctrlPr>
                                  <w:rPr>
                                    <w:rFonts w:ascii="Cambria Math" w:hAnsi="Cambria Math"/>
                                    <w:i/>
                                    <w:color w:val="000000" w:themeColor="text1"/>
                                  </w:rPr>
                                </m:ctrlPr>
                              </m:funcPr>
                              <m:fName>
                                <m:r>
                                  <w:rPr>
                                    <w:rFonts w:ascii="Cambria Math" w:hAnsi="Cambria Math"/>
                                    <w:color w:val="000000" w:themeColor="text1"/>
                                  </w:rPr>
                                  <m:t>max</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CAR</m:t>
                                        </m:r>
                                      </m:e>
                                      <m:sub>
                                        <m:r>
                                          <w:rPr>
                                            <w:rFonts w:ascii="Cambria Math" w:hAnsi="Cambria Math"/>
                                            <w:color w:val="000000" w:themeColor="text1"/>
                                          </w:rPr>
                                          <m:t>i</m:t>
                                        </m:r>
                                      </m:sub>
                                    </m:sSub>
                                    <m:r>
                                      <w:rPr>
                                        <w:rFonts w:ascii="Cambria Math" w:hAnsi="Cambria Math"/>
                                        <w:color w:val="000000" w:themeColor="text1"/>
                                        <w:lang w:val="en-US"/>
                                      </w:rPr>
                                      <m:t xml:space="preserve">, </m:t>
                                    </m:r>
                                    <m:sSub>
                                      <m:sSubPr>
                                        <m:ctrlPr>
                                          <w:rPr>
                                            <w:rFonts w:ascii="Cambria Math" w:hAnsi="Cambria Math"/>
                                            <w:i/>
                                            <w:color w:val="000000" w:themeColor="text1"/>
                                          </w:rPr>
                                        </m:ctrlPr>
                                      </m:sSubPr>
                                      <m:e>
                                        <m:r>
                                          <w:rPr>
                                            <w:rFonts w:ascii="Cambria Math" w:hAnsi="Cambria Math"/>
                                            <w:color w:val="000000" w:themeColor="text1"/>
                                          </w:rPr>
                                          <m:t>CAR</m:t>
                                        </m:r>
                                      </m:e>
                                      <m:sub>
                                        <m:r>
                                          <w:rPr>
                                            <w:rFonts w:ascii="Cambria Math" w:hAnsi="Cambria Math"/>
                                            <w:color w:val="000000" w:themeColor="text1"/>
                                          </w:rPr>
                                          <m:t>j</m:t>
                                        </m:r>
                                      </m:sub>
                                    </m:sSub>
                                  </m:e>
                                </m:d>
                              </m:e>
                            </m:func>
                          </m:e>
                        </m:d>
                      </m:e>
                    </m:func>
                    <m:r>
                      <m:rPr>
                        <m:sty m:val="p"/>
                      </m:rPr>
                      <w:rPr>
                        <w:rFonts w:ascii="Cambria Math" w:hAnsi="Cambria Math"/>
                        <w:color w:val="000000" w:themeColor="text1"/>
                        <w:lang w:val="en-US"/>
                      </w:rPr>
                      <m:t>+exp⁡</m:t>
                    </m:r>
                    <m:r>
                      <w:rPr>
                        <w:rFonts w:ascii="Cambria Math" w:hAnsi="Cambria Math"/>
                        <w:color w:val="000000" w:themeColor="text1"/>
                        <w:lang w:val="en-US"/>
                      </w:rPr>
                      <m:t>(</m:t>
                    </m:r>
                    <m:func>
                      <m:funcPr>
                        <m:ctrlPr>
                          <w:rPr>
                            <w:rFonts w:ascii="Cambria Math" w:hAnsi="Cambria Math"/>
                            <w:color w:val="000000" w:themeColor="text1"/>
                          </w:rPr>
                        </m:ctrlPr>
                      </m:funcPr>
                      <m:fName>
                        <m:r>
                          <w:rPr>
                            <w:rFonts w:ascii="Cambria Math" w:hAnsi="Cambria Math"/>
                            <w:color w:val="000000" w:themeColor="text1"/>
                            <w:lang w:val="en-US"/>
                          </w:rPr>
                          <m:t>min</m:t>
                        </m:r>
                        <m:ctrlPr>
                          <w:rPr>
                            <w:rFonts w:ascii="Cambria Math" w:hAnsi="Cambria Math"/>
                            <w:i/>
                            <w:color w:val="000000" w:themeColor="text1"/>
                          </w:rPr>
                        </m:ctrlP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CAR</m:t>
                                </m:r>
                              </m:e>
                              <m:sub>
                                <m:r>
                                  <w:rPr>
                                    <w:rFonts w:ascii="Cambria Math" w:hAnsi="Cambria Math"/>
                                    <w:color w:val="000000" w:themeColor="text1"/>
                                  </w:rPr>
                                  <m:t>i</m:t>
                                </m:r>
                              </m:sub>
                            </m:sSub>
                            <m:r>
                              <w:rPr>
                                <w:rFonts w:ascii="Cambria Math" w:hAnsi="Cambria Math"/>
                                <w:color w:val="000000" w:themeColor="text1"/>
                                <w:lang w:val="en-US"/>
                              </w:rPr>
                              <m:t xml:space="preserve">, </m:t>
                            </m:r>
                            <m:sSub>
                              <m:sSubPr>
                                <m:ctrlPr>
                                  <w:rPr>
                                    <w:rFonts w:ascii="Cambria Math" w:hAnsi="Cambria Math"/>
                                    <w:i/>
                                    <w:color w:val="000000" w:themeColor="text1"/>
                                  </w:rPr>
                                </m:ctrlPr>
                              </m:sSubPr>
                              <m:e>
                                <m:r>
                                  <w:rPr>
                                    <w:rFonts w:ascii="Cambria Math" w:hAnsi="Cambria Math"/>
                                    <w:color w:val="000000" w:themeColor="text1"/>
                                  </w:rPr>
                                  <m:t>CAR</m:t>
                                </m:r>
                              </m:e>
                              <m:sub>
                                <m:r>
                                  <w:rPr>
                                    <w:rFonts w:ascii="Cambria Math" w:hAnsi="Cambria Math"/>
                                    <w:color w:val="000000" w:themeColor="text1"/>
                                  </w:rPr>
                                  <m:t>j</m:t>
                                </m:r>
                              </m:sub>
                            </m:sSub>
                          </m:e>
                        </m:d>
                      </m:e>
                    </m:func>
                    <m:r>
                      <w:rPr>
                        <w:rFonts w:ascii="Cambria Math" w:hAnsi="Cambria Math"/>
                        <w:color w:val="000000" w:themeColor="text1"/>
                        <w:lang w:val="en-US"/>
                      </w:rPr>
                      <m:t>)</m:t>
                    </m:r>
                  </m:den>
                </m:f>
              </m:oMath>
            </m:oMathPara>
          </w:p>
        </w:tc>
        <w:tc>
          <w:tcPr>
            <w:tcW w:w="376" w:type="pct"/>
            <w:vAlign w:val="center"/>
          </w:tcPr>
          <w:p w14:paraId="13057D01" w14:textId="77777777" w:rsidR="00755C90" w:rsidRPr="001C6D7F" w:rsidRDefault="00755C90" w:rsidP="007C051A">
            <w:pPr>
              <w:keepNext/>
              <w:suppressLineNumbers/>
              <w:suppressAutoHyphens/>
              <w:jc w:val="center"/>
              <w:rPr>
                <w:color w:val="000000" w:themeColor="text1"/>
                <w:lang w:val="en-US"/>
              </w:rPr>
            </w:pPr>
            <w:r w:rsidRPr="001C6D7F">
              <w:rPr>
                <w:color w:val="000000" w:themeColor="text1"/>
                <w:lang w:val="en-US"/>
              </w:rPr>
              <w:t>(1)</w:t>
            </w:r>
          </w:p>
        </w:tc>
      </w:tr>
    </w:tbl>
    <w:p w14:paraId="1621C9BB" w14:textId="77777777" w:rsidR="00755C90" w:rsidRPr="001C6D7F" w:rsidRDefault="00755C90" w:rsidP="00932F58">
      <w:pPr>
        <w:pStyle w:val="Paragraph"/>
        <w:suppressLineNumbers/>
        <w:suppressAutoHyphens/>
        <w:jc w:val="both"/>
        <w:rPr>
          <w:color w:val="000000" w:themeColor="text1"/>
        </w:rPr>
      </w:pPr>
      <w:r w:rsidRPr="001C6D7F">
        <w:rPr>
          <w:color w:val="000000" w:themeColor="text1"/>
        </w:rPr>
        <w:lastRenderedPageBreak/>
        <w:t xml:space="preserve">where CAR is the cumulative abnormal stock return of alliance partners </w:t>
      </w:r>
      <w:r w:rsidRPr="001C6D7F">
        <w:rPr>
          <w:i/>
          <w:iCs/>
          <w:color w:val="000000" w:themeColor="text1"/>
        </w:rPr>
        <w:t>i</w:t>
      </w:r>
      <w:r w:rsidRPr="001C6D7F">
        <w:rPr>
          <w:color w:val="000000" w:themeColor="text1"/>
        </w:rPr>
        <w:t xml:space="preserve"> and </w:t>
      </w:r>
      <w:r w:rsidRPr="001C6D7F">
        <w:rPr>
          <w:i/>
          <w:iCs/>
          <w:color w:val="000000" w:themeColor="text1"/>
        </w:rPr>
        <w:t>j</w:t>
      </w:r>
      <w:r w:rsidRPr="001C6D7F">
        <w:rPr>
          <w:color w:val="000000" w:themeColor="text1"/>
        </w:rPr>
        <w:t>, respectively. This measure effectively captures the variance in relative abnormal stock returns between alliance partners and addresses the issue of potential conflation of positive and negative abnormal returns. A value of zero for this measure indicates that investors anticipate an equal distribution of benefits between the firms, implying no differential benefits. Conversely, as the value of the measure increases, it signifies a rise in differential benefits, suggesting that one alliance partner is reaping more benefits than the other.</w:t>
      </w:r>
    </w:p>
    <w:p w14:paraId="2944BBB7" w14:textId="77777777" w:rsidR="00755C90" w:rsidRPr="001C6D7F" w:rsidRDefault="00755C90" w:rsidP="00932F58">
      <w:pPr>
        <w:pStyle w:val="Paragraph"/>
        <w:suppressLineNumbers/>
        <w:suppressAutoHyphens/>
        <w:jc w:val="both"/>
        <w:rPr>
          <w:color w:val="000000" w:themeColor="text1"/>
        </w:rPr>
      </w:pPr>
      <w:r w:rsidRPr="001C6D7F">
        <w:rPr>
          <w:color w:val="000000" w:themeColor="text1"/>
        </w:rPr>
        <w:t>Abnormal returns are calculated following standard event study methodology (Brown &amp; Warner, 1985; Suk &amp; Wang, 2021):</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0"/>
        <w:gridCol w:w="682"/>
      </w:tblGrid>
      <w:tr w:rsidR="00755C90" w:rsidRPr="008A5263" w14:paraId="3F16B45A" w14:textId="77777777" w:rsidTr="007C051A">
        <w:trPr>
          <w:trHeight w:val="495"/>
        </w:trPr>
        <w:tc>
          <w:tcPr>
            <w:tcW w:w="4624" w:type="pct"/>
            <w:vAlign w:val="center"/>
          </w:tcPr>
          <w:p w14:paraId="4CE21879" w14:textId="77777777" w:rsidR="00755C90" w:rsidRPr="001C6D7F" w:rsidRDefault="00755C90" w:rsidP="007C051A">
            <w:pPr>
              <w:pStyle w:val="Paragraph"/>
              <w:suppressLineNumbers/>
              <w:suppressAutoHyphens/>
              <w:ind w:firstLine="0"/>
              <w:jc w:val="center"/>
              <w:rPr>
                <w:color w:val="000000" w:themeColor="text1"/>
                <w:sz w:val="20"/>
                <w:szCs w:val="20"/>
              </w:rPr>
            </w:pPr>
            <m:oMathPara>
              <m:oMath>
                <m:r>
                  <w:rPr>
                    <w:rFonts w:ascii="Cambria Math" w:hAnsi="Cambria Math"/>
                    <w:color w:val="000000" w:themeColor="text1"/>
                    <w:sz w:val="22"/>
                    <w:szCs w:val="22"/>
                  </w:rPr>
                  <m:t>A</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R</m:t>
                    </m:r>
                  </m:e>
                  <m:sub>
                    <m:r>
                      <w:rPr>
                        <w:rFonts w:ascii="Cambria Math" w:hAnsi="Cambria Math"/>
                        <w:color w:val="000000" w:themeColor="text1"/>
                        <w:sz w:val="22"/>
                        <w:szCs w:val="22"/>
                      </w:rPr>
                      <m:t>i,t</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R</m:t>
                    </m:r>
                  </m:e>
                  <m:sub>
                    <m:r>
                      <w:rPr>
                        <w:rFonts w:ascii="Cambria Math" w:hAnsi="Cambria Math"/>
                        <w:color w:val="000000" w:themeColor="text1"/>
                        <w:sz w:val="22"/>
                        <w:szCs w:val="22"/>
                      </w:rPr>
                      <m:t>i,t</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α</m:t>
                    </m:r>
                  </m:e>
                  <m:sub>
                    <m:r>
                      <w:rPr>
                        <w:rFonts w:ascii="Cambria Math" w:hAnsi="Cambria Math"/>
                        <w:color w:val="000000" w:themeColor="text1"/>
                        <w:sz w:val="22"/>
                        <w:szCs w:val="22"/>
                      </w:rPr>
                      <m:t>i</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β</m:t>
                    </m:r>
                  </m:e>
                  <m:sub>
                    <m:r>
                      <w:rPr>
                        <w:rFonts w:ascii="Cambria Math" w:hAnsi="Cambria Math"/>
                        <w:color w:val="000000" w:themeColor="text1"/>
                        <w:sz w:val="22"/>
                        <w:szCs w:val="22"/>
                      </w:rPr>
                      <m:t>i</m:t>
                    </m:r>
                  </m:sub>
                </m:sSub>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R</m:t>
                    </m:r>
                  </m:e>
                  <m:sub>
                    <m:r>
                      <w:rPr>
                        <w:rFonts w:ascii="Cambria Math" w:hAnsi="Cambria Math"/>
                        <w:color w:val="000000" w:themeColor="text1"/>
                        <w:sz w:val="22"/>
                        <w:szCs w:val="22"/>
                      </w:rPr>
                      <m:t>M,t</m:t>
                    </m:r>
                  </m:sub>
                </m:sSub>
                <m:r>
                  <w:rPr>
                    <w:rFonts w:ascii="Cambria Math" w:hAnsi="Cambria Math"/>
                    <w:color w:val="000000" w:themeColor="text1"/>
                    <w:sz w:val="22"/>
                    <w:szCs w:val="22"/>
                  </w:rPr>
                  <m:t>)</m:t>
                </m:r>
              </m:oMath>
            </m:oMathPara>
          </w:p>
        </w:tc>
        <w:tc>
          <w:tcPr>
            <w:tcW w:w="376" w:type="pct"/>
            <w:vAlign w:val="center"/>
          </w:tcPr>
          <w:p w14:paraId="18D1AE41" w14:textId="77777777" w:rsidR="00755C90" w:rsidRPr="001C6D7F" w:rsidRDefault="00755C90" w:rsidP="007C051A">
            <w:pPr>
              <w:keepNext/>
              <w:suppressLineNumbers/>
              <w:suppressAutoHyphens/>
              <w:jc w:val="center"/>
              <w:rPr>
                <w:color w:val="000000" w:themeColor="text1"/>
                <w:lang w:val="en-US"/>
              </w:rPr>
            </w:pPr>
            <w:r w:rsidRPr="001C6D7F">
              <w:rPr>
                <w:color w:val="000000" w:themeColor="text1"/>
                <w:lang w:val="en-US"/>
              </w:rPr>
              <w:t>(2)</w:t>
            </w:r>
          </w:p>
        </w:tc>
      </w:tr>
    </w:tbl>
    <w:p w14:paraId="6511B822" w14:textId="77777777" w:rsidR="00755C90" w:rsidRPr="001C6D7F" w:rsidRDefault="00755C90" w:rsidP="00932F58">
      <w:pPr>
        <w:pStyle w:val="Paragraph"/>
        <w:suppressLineNumbers/>
        <w:suppressAutoHyphens/>
        <w:jc w:val="both"/>
        <w:rPr>
          <w:color w:val="000000" w:themeColor="text1"/>
        </w:rPr>
      </w:pPr>
      <w:r w:rsidRPr="001C6D7F">
        <w:rPr>
          <w:color w:val="000000" w:themeColor="text1"/>
        </w:rPr>
        <w:t xml:space="preserve">where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i,t</m:t>
            </m:r>
          </m:sub>
        </m:sSub>
      </m:oMath>
      <w:r w:rsidRPr="001C6D7F">
        <w:rPr>
          <w:color w:val="000000" w:themeColor="text1"/>
        </w:rPr>
        <w:t xml:space="preserve"> is the actual stock return of firm </w:t>
      </w:r>
      <w:r w:rsidRPr="001C6D7F">
        <w:rPr>
          <w:i/>
          <w:iCs/>
          <w:color w:val="000000" w:themeColor="text1"/>
        </w:rPr>
        <w:t>i</w:t>
      </w:r>
      <w:r w:rsidRPr="001C6D7F">
        <w:rPr>
          <w:color w:val="000000" w:themeColor="text1"/>
        </w:rPr>
        <w:t xml:space="preserve"> on day </w:t>
      </w:r>
      <w:r w:rsidRPr="001C6D7F">
        <w:rPr>
          <w:i/>
          <w:iCs/>
          <w:color w:val="000000" w:themeColor="text1"/>
        </w:rPr>
        <w:t>t</w:t>
      </w:r>
      <w:r w:rsidRPr="001C6D7F">
        <w:rPr>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M,t</m:t>
            </m:r>
          </m:sub>
        </m:sSub>
      </m:oMath>
      <w:r w:rsidRPr="001C6D7F">
        <w:rPr>
          <w:color w:val="000000" w:themeColor="text1"/>
        </w:rPr>
        <w:t xml:space="preserve"> is the market return on day </w:t>
      </w:r>
      <w:r w:rsidRPr="001C6D7F">
        <w:rPr>
          <w:i/>
          <w:iCs/>
          <w:color w:val="000000" w:themeColor="text1"/>
        </w:rPr>
        <w:t>t</w:t>
      </w:r>
      <w:r w:rsidRPr="001C6D7F">
        <w:rPr>
          <w:color w:val="000000" w:themeColor="text1"/>
        </w:rPr>
        <w:t>. Alpha and beta coefficients are derived from the market model, based on data from -250 to -50 days prior to the alliance announcement. Expected returns are then predicted and subtracted from actual returns to estimate abnormal returns over a three-day event window [-1, 1] around the alliance announcement (</w:t>
      </w:r>
      <w:r w:rsidRPr="001C6D7F">
        <w:rPr>
          <w:i/>
          <w:iCs/>
          <w:color w:val="000000" w:themeColor="text1"/>
        </w:rPr>
        <w:t>DiffBenefits_1</w:t>
      </w:r>
      <w:r w:rsidRPr="001C6D7F">
        <w:rPr>
          <w:color w:val="000000" w:themeColor="text1"/>
        </w:rPr>
        <w:t>).</w:t>
      </w:r>
    </w:p>
    <w:p w14:paraId="73D1EF94" w14:textId="77777777" w:rsidR="00755C90" w:rsidRPr="001C6D7F" w:rsidRDefault="00755C90" w:rsidP="00932F58">
      <w:pPr>
        <w:pStyle w:val="Paragraph"/>
        <w:suppressLineNumbers/>
        <w:suppressAutoHyphens/>
        <w:jc w:val="both"/>
        <w:rPr>
          <w:color w:val="000000" w:themeColor="text1"/>
        </w:rPr>
      </w:pPr>
      <w:r w:rsidRPr="001C6D7F">
        <w:rPr>
          <w:color w:val="000000" w:themeColor="text1"/>
        </w:rPr>
        <w:t xml:space="preserve">Table 1 presents daily abnormal return statistics for alliance partners. Mean abnormal returns are positive and significant (.72%, </w:t>
      </w:r>
      <w:r w:rsidRPr="001C6D7F">
        <w:rPr>
          <w:i/>
          <w:iCs/>
          <w:color w:val="000000" w:themeColor="text1"/>
        </w:rPr>
        <w:t>Patell z</w:t>
      </w:r>
      <w:r>
        <w:rPr>
          <w:i/>
          <w:iCs/>
          <w:color w:val="000000" w:themeColor="text1"/>
        </w:rPr>
        <w:t xml:space="preserve"> </w:t>
      </w:r>
      <w:r w:rsidRPr="001C6D7F">
        <w:rPr>
          <w:color w:val="000000" w:themeColor="text1"/>
        </w:rPr>
        <w:t>=</w:t>
      </w:r>
      <w:r>
        <w:rPr>
          <w:color w:val="000000" w:themeColor="text1"/>
        </w:rPr>
        <w:t xml:space="preserve"> </w:t>
      </w:r>
      <w:r w:rsidRPr="001C6D7F">
        <w:rPr>
          <w:color w:val="000000" w:themeColor="text1"/>
        </w:rPr>
        <w:t xml:space="preserve">15.99, </w:t>
      </w:r>
      <w:r w:rsidRPr="001C6D7F">
        <w:rPr>
          <w:i/>
          <w:iCs/>
          <w:color w:val="000000" w:themeColor="text1"/>
        </w:rPr>
        <w:t>p</w:t>
      </w:r>
      <w:r>
        <w:rPr>
          <w:i/>
          <w:iCs/>
          <w:color w:val="000000" w:themeColor="text1"/>
        </w:rPr>
        <w:t xml:space="preserve"> </w:t>
      </w:r>
      <w:r w:rsidRPr="001C6D7F">
        <w:rPr>
          <w:color w:val="000000" w:themeColor="text1"/>
        </w:rPr>
        <w:t>&lt;</w:t>
      </w:r>
      <w:r>
        <w:rPr>
          <w:color w:val="000000" w:themeColor="text1"/>
        </w:rPr>
        <w:t xml:space="preserve"> </w:t>
      </w:r>
      <w:r w:rsidRPr="001C6D7F">
        <w:rPr>
          <w:color w:val="000000" w:themeColor="text1"/>
        </w:rPr>
        <w:t xml:space="preserve">.001) over the event window, peaking on the announcement day (.70%, </w:t>
      </w:r>
      <w:r w:rsidRPr="001C6D7F">
        <w:rPr>
          <w:i/>
          <w:iCs/>
          <w:color w:val="000000" w:themeColor="text1"/>
        </w:rPr>
        <w:t>p</w:t>
      </w:r>
      <w:r>
        <w:rPr>
          <w:i/>
          <w:iCs/>
          <w:color w:val="000000" w:themeColor="text1"/>
        </w:rPr>
        <w:t xml:space="preserve"> </w:t>
      </w:r>
      <w:r w:rsidRPr="001C6D7F">
        <w:rPr>
          <w:i/>
          <w:iCs/>
          <w:color w:val="000000" w:themeColor="text1"/>
        </w:rPr>
        <w:t>&lt;</w:t>
      </w:r>
      <w:r>
        <w:rPr>
          <w:i/>
          <w:iCs/>
          <w:color w:val="000000" w:themeColor="text1"/>
        </w:rPr>
        <w:t xml:space="preserve"> </w:t>
      </w:r>
      <w:r w:rsidRPr="001C6D7F">
        <w:rPr>
          <w:color w:val="000000" w:themeColor="text1"/>
        </w:rPr>
        <w:t>.001), aligning with findings from Arslan (2018) and others such as McConnell and Nantell (1985) and Koh and Venkatraman (1991), who report comparable market reactions to alliance announcements.</w:t>
      </w:r>
    </w:p>
    <w:p w14:paraId="57E0EAF0" w14:textId="77777777" w:rsidR="00755C90" w:rsidRPr="001C6D7F" w:rsidRDefault="00755C90" w:rsidP="00755C90">
      <w:pPr>
        <w:pStyle w:val="Paragraph"/>
        <w:suppressLineNumbers/>
        <w:suppressAutoHyphens/>
        <w:ind w:firstLine="0"/>
        <w:jc w:val="center"/>
        <w:rPr>
          <w:color w:val="000000" w:themeColor="text1"/>
        </w:rPr>
      </w:pPr>
      <w:r w:rsidRPr="001C6D7F">
        <w:rPr>
          <w:color w:val="000000" w:themeColor="text1"/>
        </w:rPr>
        <w:t>--------------------------------</w:t>
      </w:r>
    </w:p>
    <w:p w14:paraId="6AA1E1DC" w14:textId="77777777" w:rsidR="00755C90" w:rsidRPr="001C6D7F" w:rsidRDefault="00755C90" w:rsidP="00755C90">
      <w:pPr>
        <w:pStyle w:val="Paragraph"/>
        <w:suppressLineNumbers/>
        <w:suppressAutoHyphens/>
        <w:ind w:firstLine="0"/>
        <w:jc w:val="center"/>
        <w:rPr>
          <w:color w:val="000000" w:themeColor="text1"/>
        </w:rPr>
      </w:pPr>
      <w:r w:rsidRPr="001C6D7F">
        <w:rPr>
          <w:color w:val="000000" w:themeColor="text1"/>
        </w:rPr>
        <w:t>Insert Table 1 about here</w:t>
      </w:r>
    </w:p>
    <w:p w14:paraId="5F62AB9B" w14:textId="77777777" w:rsidR="00755C90" w:rsidRPr="001C6D7F" w:rsidRDefault="00755C90" w:rsidP="00755C90">
      <w:pPr>
        <w:pStyle w:val="Paragraph"/>
        <w:suppressLineNumbers/>
        <w:suppressAutoHyphens/>
        <w:ind w:firstLine="0"/>
        <w:jc w:val="center"/>
        <w:rPr>
          <w:color w:val="000000" w:themeColor="text1"/>
        </w:rPr>
      </w:pPr>
      <w:r w:rsidRPr="001C6D7F">
        <w:rPr>
          <w:color w:val="000000" w:themeColor="text1"/>
        </w:rPr>
        <w:t>--------------------------------</w:t>
      </w:r>
    </w:p>
    <w:p w14:paraId="675E4EB8" w14:textId="77777777" w:rsidR="00755C90" w:rsidRPr="00932F58" w:rsidRDefault="00755C90" w:rsidP="00932F58">
      <w:pPr>
        <w:pStyle w:val="berschrift4"/>
        <w:rPr>
          <w:b/>
          <w:bCs/>
        </w:rPr>
      </w:pPr>
      <w:r w:rsidRPr="00932F58">
        <w:rPr>
          <w:b/>
          <w:bCs/>
        </w:rPr>
        <w:t>Independent Variables</w:t>
      </w:r>
    </w:p>
    <w:p w14:paraId="27FEDAE3" w14:textId="77777777" w:rsidR="00755C90" w:rsidRPr="001C6D7F" w:rsidRDefault="00755C90" w:rsidP="00932F58">
      <w:pPr>
        <w:pStyle w:val="Paragraph"/>
        <w:suppressLineNumbers/>
        <w:suppressAutoHyphens/>
        <w:ind w:firstLine="708"/>
        <w:jc w:val="both"/>
        <w:rPr>
          <w:color w:val="000000" w:themeColor="text1"/>
        </w:rPr>
      </w:pPr>
      <w:r w:rsidRPr="001C6D7F">
        <w:rPr>
          <w:i/>
          <w:iCs/>
          <w:color w:val="000000" w:themeColor="text1"/>
        </w:rPr>
        <w:t>Direct Board Interlocks</w:t>
      </w:r>
      <w:r w:rsidRPr="001C6D7F">
        <w:rPr>
          <w:color w:val="000000" w:themeColor="text1"/>
        </w:rPr>
        <w:t>. We measure direct board interlocks using a binary indicator (</w:t>
      </w:r>
      <w:r w:rsidRPr="001C6D7F">
        <w:rPr>
          <w:i/>
          <w:iCs/>
          <w:color w:val="000000" w:themeColor="text1"/>
        </w:rPr>
        <w:t>Direct_BoardInterlocks</w:t>
      </w:r>
      <w:r w:rsidRPr="001C6D7F">
        <w:rPr>
          <w:color w:val="000000" w:themeColor="text1"/>
        </w:rPr>
        <w:t xml:space="preserve">), which identifies whether a board member of one alliance partner </w:t>
      </w:r>
      <w:r w:rsidRPr="001C6D7F">
        <w:rPr>
          <w:color w:val="000000" w:themeColor="text1"/>
        </w:rPr>
        <w:lastRenderedPageBreak/>
        <w:t>concurrently serves on the board of the other alliance partner at the time of the alliance announcement (0</w:t>
      </w:r>
      <w:r>
        <w:rPr>
          <w:color w:val="000000" w:themeColor="text1"/>
        </w:rPr>
        <w:t xml:space="preserve"> </w:t>
      </w:r>
      <w:r w:rsidRPr="001C6D7F">
        <w:rPr>
          <w:color w:val="000000" w:themeColor="text1"/>
        </w:rPr>
        <w:t>= no direct ties, 1</w:t>
      </w:r>
      <w:r>
        <w:rPr>
          <w:color w:val="000000" w:themeColor="text1"/>
        </w:rPr>
        <w:t xml:space="preserve"> </w:t>
      </w:r>
      <w:r w:rsidRPr="001C6D7F">
        <w:rPr>
          <w:color w:val="000000" w:themeColor="text1"/>
        </w:rPr>
        <w:t>= direct ties). We define two firms as directly interlocked if at least one director is a member of the boards of both alliance partners (Mizruchi, 1996).</w:t>
      </w:r>
    </w:p>
    <w:p w14:paraId="771FFB79" w14:textId="77777777" w:rsidR="00755C90" w:rsidRPr="001C6D7F" w:rsidRDefault="00755C90" w:rsidP="00932F58">
      <w:pPr>
        <w:pStyle w:val="Paragraph"/>
        <w:suppressLineNumbers/>
        <w:suppressAutoHyphens/>
        <w:ind w:firstLine="708"/>
        <w:jc w:val="both"/>
        <w:rPr>
          <w:color w:val="000000" w:themeColor="text1"/>
        </w:rPr>
      </w:pPr>
      <w:r w:rsidRPr="001C6D7F">
        <w:rPr>
          <w:i/>
          <w:iCs/>
          <w:color w:val="000000" w:themeColor="text1"/>
        </w:rPr>
        <w:t>Indirect Board Interlocks</w:t>
      </w:r>
      <w:r w:rsidRPr="001C6D7F">
        <w:rPr>
          <w:color w:val="000000" w:themeColor="text1"/>
        </w:rPr>
        <w:t>. Similarly, indirect board interlocks are represented by a binary indicator (</w:t>
      </w:r>
      <w:r w:rsidRPr="001C6D7F">
        <w:rPr>
          <w:i/>
          <w:iCs/>
          <w:color w:val="000000" w:themeColor="text1"/>
        </w:rPr>
        <w:t>Indirect_BoardInterlocks</w:t>
      </w:r>
      <w:r w:rsidRPr="001C6D7F">
        <w:rPr>
          <w:color w:val="000000" w:themeColor="text1"/>
        </w:rPr>
        <w:t>) that indicates the existence of second-degree ties between alliance partners at the time of the announcement (0</w:t>
      </w:r>
      <w:r>
        <w:rPr>
          <w:color w:val="000000" w:themeColor="text1"/>
        </w:rPr>
        <w:t xml:space="preserve"> </w:t>
      </w:r>
      <w:r w:rsidRPr="001C6D7F">
        <w:rPr>
          <w:color w:val="000000" w:themeColor="text1"/>
        </w:rPr>
        <w:t>= no indirect ties, 1</w:t>
      </w:r>
      <w:r>
        <w:rPr>
          <w:color w:val="000000" w:themeColor="text1"/>
        </w:rPr>
        <w:t xml:space="preserve"> </w:t>
      </w:r>
      <w:r w:rsidRPr="001C6D7F">
        <w:rPr>
          <w:color w:val="000000" w:themeColor="text1"/>
        </w:rPr>
        <w:t>= indirect ties). Indirect interlocks occur when directors of allied firms</w:t>
      </w:r>
      <w:r w:rsidRPr="001C6D7F">
        <w:rPr>
          <w:i/>
          <w:iCs/>
          <w:color w:val="000000" w:themeColor="text1"/>
        </w:rPr>
        <w:t xml:space="preserve"> i</w:t>
      </w:r>
      <w:r w:rsidRPr="001C6D7F">
        <w:rPr>
          <w:color w:val="000000" w:themeColor="text1"/>
        </w:rPr>
        <w:t xml:space="preserve"> and </w:t>
      </w:r>
      <w:r w:rsidRPr="001C6D7F">
        <w:rPr>
          <w:i/>
          <w:iCs/>
          <w:color w:val="000000" w:themeColor="text1"/>
        </w:rPr>
        <w:t xml:space="preserve">j </w:t>
      </w:r>
      <w:r w:rsidRPr="001C6D7F">
        <w:rPr>
          <w:color w:val="000000" w:themeColor="text1"/>
        </w:rPr>
        <w:t xml:space="preserve">each serve on the board of a separate third firm </w:t>
      </w:r>
      <w:r w:rsidRPr="001C6D7F">
        <w:rPr>
          <w:i/>
          <w:iCs/>
          <w:color w:val="000000" w:themeColor="text1"/>
        </w:rPr>
        <w:t xml:space="preserve">k </w:t>
      </w:r>
      <w:r w:rsidRPr="001C6D7F">
        <w:rPr>
          <w:color w:val="000000" w:themeColor="text1"/>
        </w:rPr>
        <w:t xml:space="preserve">that is not part of alliance </w:t>
      </w:r>
      <w:r w:rsidRPr="001C6D7F">
        <w:rPr>
          <w:i/>
          <w:iCs/>
          <w:color w:val="000000" w:themeColor="text1"/>
        </w:rPr>
        <w:t>m</w:t>
      </w:r>
      <w:r w:rsidRPr="001C6D7F">
        <w:rPr>
          <w:color w:val="000000" w:themeColor="text1"/>
        </w:rPr>
        <w:t xml:space="preserve"> (Burt, 1992).</w:t>
      </w:r>
    </w:p>
    <w:p w14:paraId="20FF35F6" w14:textId="77777777" w:rsidR="00755C90" w:rsidRPr="00932F58" w:rsidRDefault="00755C90" w:rsidP="00932F58">
      <w:pPr>
        <w:pStyle w:val="berschrift4"/>
        <w:rPr>
          <w:b/>
          <w:bCs/>
        </w:rPr>
      </w:pPr>
      <w:r w:rsidRPr="00932F58">
        <w:rPr>
          <w:b/>
          <w:bCs/>
        </w:rPr>
        <w:t>Moderating variables</w:t>
      </w:r>
    </w:p>
    <w:p w14:paraId="79C5F282" w14:textId="77777777" w:rsidR="00755C90" w:rsidRPr="001C6D7F" w:rsidRDefault="00755C90" w:rsidP="00932F58">
      <w:pPr>
        <w:pStyle w:val="Paragraph"/>
        <w:suppressLineNumbers/>
        <w:suppressAutoHyphens/>
        <w:ind w:firstLine="708"/>
        <w:jc w:val="both"/>
        <w:rPr>
          <w:color w:val="000000" w:themeColor="text1"/>
        </w:rPr>
      </w:pPr>
      <w:r w:rsidRPr="001C6D7F">
        <w:rPr>
          <w:i/>
          <w:iCs/>
          <w:color w:val="000000" w:themeColor="text1"/>
        </w:rPr>
        <w:t>Relative Board Power</w:t>
      </w:r>
      <w:r w:rsidRPr="001C6D7F">
        <w:rPr>
          <w:color w:val="000000" w:themeColor="text1"/>
        </w:rPr>
        <w:t>. We construct our measure of board power by adapting the CEO power metric developed by Haynes and Hillman (2010). This includes variables such as CEO duality (the concurrent role of the CEO as board chair), the proportion of independent directors, the ratio of CEO to board equity ownership in the firm, and the proportion of directors appointed during the CEO's tenure. These factors are standardized and then inverted to reflect board power as opposed to CEO power. Subsequently, they are aggregated into an index. For each alliance, we calculate the relative board power (</w:t>
      </w:r>
      <w:r w:rsidRPr="001C6D7F">
        <w:rPr>
          <w:i/>
          <w:iCs/>
          <w:color w:val="000000" w:themeColor="text1"/>
        </w:rPr>
        <w:t>Relative_BoardPower</w:t>
      </w:r>
      <w:r w:rsidRPr="001C6D7F">
        <w:rPr>
          <w:color w:val="000000" w:themeColor="text1"/>
        </w:rPr>
        <w:t>) by determining the ratio of the higher board power score to the lower one among the alliance partners.</w:t>
      </w:r>
    </w:p>
    <w:p w14:paraId="39F564C1" w14:textId="77777777" w:rsidR="00755C90" w:rsidRPr="001C6D7F" w:rsidRDefault="00755C90" w:rsidP="00932F58">
      <w:pPr>
        <w:pStyle w:val="Paragraph"/>
        <w:suppressLineNumbers/>
        <w:suppressAutoHyphens/>
        <w:ind w:firstLine="708"/>
        <w:jc w:val="both"/>
        <w:rPr>
          <w:color w:val="000000" w:themeColor="text1"/>
        </w:rPr>
      </w:pPr>
      <w:r w:rsidRPr="001C6D7F">
        <w:rPr>
          <w:i/>
          <w:iCs/>
          <w:color w:val="000000" w:themeColor="text1"/>
        </w:rPr>
        <w:t>Relative Firm Status</w:t>
      </w:r>
      <w:r w:rsidRPr="001C6D7F">
        <w:rPr>
          <w:color w:val="000000" w:themeColor="text1"/>
        </w:rPr>
        <w:t xml:space="preserve">. Consistent with previous studies (Arslan, 2018; Granados &amp; Knoke, 2013; Lin et al., 2009), we use the normalized </w:t>
      </w:r>
      <w:r w:rsidRPr="001C6D7F">
        <w:rPr>
          <w:rStyle w:val="lewnzc"/>
          <w:color w:val="000000" w:themeColor="text1"/>
        </w:rPr>
        <w:t xml:space="preserve">Bonacich’s </w:t>
      </w:r>
      <w:r w:rsidRPr="001C6D7F">
        <w:rPr>
          <w:color w:val="000000" w:themeColor="text1"/>
        </w:rPr>
        <w:t>eigenvector centrality measure divided by the maximum network value to estimate the status of each alliance partner (Bonacich, 1987). We then determine the relative firm status (</w:t>
      </w:r>
      <w:r w:rsidRPr="001C6D7F">
        <w:rPr>
          <w:i/>
          <w:iCs/>
          <w:color w:val="000000" w:themeColor="text1"/>
        </w:rPr>
        <w:t>Relative_FirmStatus</w:t>
      </w:r>
      <w:r w:rsidRPr="001C6D7F">
        <w:rPr>
          <w:color w:val="000000" w:themeColor="text1"/>
        </w:rPr>
        <w:t>) within each alliance by comparing the highest to the lowest status ratios.</w:t>
      </w:r>
    </w:p>
    <w:p w14:paraId="16271FF3" w14:textId="77777777" w:rsidR="00755C90" w:rsidRPr="00932F58" w:rsidRDefault="00755C90" w:rsidP="00932F58">
      <w:pPr>
        <w:pStyle w:val="berschrift4"/>
        <w:rPr>
          <w:b/>
          <w:bCs/>
        </w:rPr>
      </w:pPr>
      <w:r w:rsidRPr="00932F58">
        <w:rPr>
          <w:b/>
          <w:bCs/>
        </w:rPr>
        <w:t>Control Variables</w:t>
      </w:r>
    </w:p>
    <w:p w14:paraId="76016CF7" w14:textId="77777777" w:rsidR="00755C90" w:rsidRPr="001C6D7F" w:rsidRDefault="00755C90" w:rsidP="00932F58">
      <w:pPr>
        <w:pStyle w:val="Paragraph"/>
        <w:suppressLineNumbers/>
        <w:suppressAutoHyphens/>
        <w:ind w:firstLine="708"/>
        <w:jc w:val="both"/>
        <w:rPr>
          <w:color w:val="000000" w:themeColor="text1"/>
        </w:rPr>
      </w:pPr>
      <w:r w:rsidRPr="001C6D7F">
        <w:rPr>
          <w:color w:val="000000" w:themeColor="text1"/>
        </w:rPr>
        <w:t xml:space="preserve">Consistent with other research on differential benefits (Arslan, 2018; Gulati &amp; Wang, 2003; Kumar, 2010), we include a comprehensive set of control variables in our regression models. These variables include board, firm, dyad, and industry characteristics that may affect </w:t>
      </w:r>
      <w:r w:rsidRPr="001C6D7F">
        <w:rPr>
          <w:color w:val="000000" w:themeColor="text1"/>
        </w:rPr>
        <w:lastRenderedPageBreak/>
        <w:t>the distribution of relational rents in alliances (see online supplement for full variable description).</w:t>
      </w:r>
    </w:p>
    <w:p w14:paraId="2FBE28B5" w14:textId="77777777" w:rsidR="00755C90" w:rsidRPr="001C6D7F" w:rsidRDefault="00755C90" w:rsidP="00932F58">
      <w:pPr>
        <w:pStyle w:val="Paragraph"/>
        <w:suppressLineNumbers/>
        <w:suppressAutoHyphens/>
        <w:ind w:firstLine="708"/>
        <w:jc w:val="both"/>
        <w:rPr>
          <w:color w:val="000000" w:themeColor="text1"/>
        </w:rPr>
      </w:pPr>
      <w:r w:rsidRPr="001C6D7F">
        <w:rPr>
          <w:i/>
          <w:iCs/>
          <w:color w:val="000000" w:themeColor="text1"/>
        </w:rPr>
        <w:t>Board controls.</w:t>
      </w:r>
      <w:r w:rsidRPr="001C6D7F">
        <w:rPr>
          <w:color w:val="000000" w:themeColor="text1"/>
        </w:rPr>
        <w:t xml:space="preserve"> We include variables that capture informational advantages and network effects stemming from the personal networks of the alliance partners' board members. We measure prior board ties (</w:t>
      </w:r>
      <w:r w:rsidRPr="001C6D7F">
        <w:rPr>
          <w:i/>
          <w:iCs/>
          <w:color w:val="000000" w:themeColor="text1"/>
        </w:rPr>
        <w:t>Prior_Board_Ties</w:t>
      </w:r>
      <w:r w:rsidRPr="001C6D7F">
        <w:rPr>
          <w:color w:val="000000" w:themeColor="text1"/>
        </w:rPr>
        <w:t>) as the number of direct ties between the board members of both alliance partners that do not constitute a board interlocks. This includes, for example, common educational or professional backgrounds, or common memberships in organizations such as charities. We also consider the relative size of board networks (</w:t>
      </w:r>
      <w:r w:rsidRPr="001C6D7F">
        <w:rPr>
          <w:i/>
          <w:iCs/>
          <w:color w:val="000000" w:themeColor="text1"/>
        </w:rPr>
        <w:t>Relative_NetworkSize</w:t>
      </w:r>
      <w:r w:rsidRPr="001C6D7F">
        <w:rPr>
          <w:color w:val="000000" w:themeColor="text1"/>
        </w:rPr>
        <w:t>), which compares the total number of board members' network contacts with other firms to measure potential information advantages.</w:t>
      </w:r>
    </w:p>
    <w:p w14:paraId="2D2C6DAA" w14:textId="77777777" w:rsidR="00755C90" w:rsidRPr="001C6D7F" w:rsidRDefault="00755C90" w:rsidP="00932F58">
      <w:pPr>
        <w:pStyle w:val="Paragraph"/>
        <w:suppressLineNumbers/>
        <w:suppressAutoHyphens/>
        <w:ind w:firstLine="708"/>
        <w:jc w:val="both"/>
        <w:rPr>
          <w:color w:val="000000" w:themeColor="text1"/>
        </w:rPr>
      </w:pPr>
      <w:r w:rsidRPr="001C6D7F">
        <w:rPr>
          <w:i/>
          <w:iCs/>
          <w:color w:val="000000" w:themeColor="text1"/>
        </w:rPr>
        <w:t>Firm controls.</w:t>
      </w:r>
      <w:r w:rsidRPr="001C6D7F">
        <w:rPr>
          <w:color w:val="000000" w:themeColor="text1"/>
        </w:rPr>
        <w:t xml:space="preserve"> Recognizing the influence of firm characteristics on differential benefits, we adjust for relative firm size (</w:t>
      </w:r>
      <w:r w:rsidRPr="001C6D7F">
        <w:rPr>
          <w:i/>
          <w:iCs/>
          <w:color w:val="000000" w:themeColor="text1"/>
        </w:rPr>
        <w:t>Relative_FirmSize</w:t>
      </w:r>
      <w:r w:rsidRPr="001C6D7F">
        <w:rPr>
          <w:color w:val="000000" w:themeColor="text1"/>
        </w:rPr>
        <w:t>) based on sales ratios. We define relative firm performance (</w:t>
      </w:r>
      <w:r w:rsidRPr="001C6D7F">
        <w:rPr>
          <w:i/>
          <w:iCs/>
          <w:color w:val="000000" w:themeColor="text1"/>
        </w:rPr>
        <w:t>Relative_FirmPerformance</w:t>
      </w:r>
      <w:r w:rsidRPr="001C6D7F">
        <w:rPr>
          <w:color w:val="000000" w:themeColor="text1"/>
        </w:rPr>
        <w:t>) as the ratio of return on assets (ROA). Differences in absorptive capacity are approximated by differences in R&amp;D intensity (</w:t>
      </w:r>
      <w:r w:rsidRPr="001C6D7F">
        <w:rPr>
          <w:i/>
          <w:iCs/>
          <w:color w:val="000000" w:themeColor="text1"/>
        </w:rPr>
        <w:t>Relative_RDIntensity</w:t>
      </w:r>
      <w:r w:rsidRPr="001C6D7F">
        <w:rPr>
          <w:color w:val="000000" w:themeColor="text1"/>
        </w:rPr>
        <w:t>). All three firm controls are based on the year prior to the alliance announcement. In addition, we include the number of alliances formed in the five years prior to the current alliance to capture prior alliance experience (</w:t>
      </w:r>
      <w:r w:rsidRPr="001C6D7F">
        <w:rPr>
          <w:i/>
          <w:iCs/>
          <w:color w:val="000000" w:themeColor="text1"/>
        </w:rPr>
        <w:t>Relative_AllianceExperience</w:t>
      </w:r>
      <w:r w:rsidRPr="001C6D7F">
        <w:rPr>
          <w:color w:val="000000" w:themeColor="text1"/>
        </w:rPr>
        <w:t>).</w:t>
      </w:r>
    </w:p>
    <w:p w14:paraId="1C77D84B" w14:textId="77777777" w:rsidR="00755C90" w:rsidRPr="001C6D7F" w:rsidRDefault="00755C90" w:rsidP="00932F58">
      <w:pPr>
        <w:pStyle w:val="Paragraph"/>
        <w:suppressLineNumbers/>
        <w:suppressAutoHyphens/>
        <w:ind w:firstLine="708"/>
        <w:jc w:val="both"/>
        <w:rPr>
          <w:color w:val="000000" w:themeColor="text1"/>
        </w:rPr>
      </w:pPr>
      <w:r w:rsidRPr="001C6D7F">
        <w:rPr>
          <w:i/>
          <w:iCs/>
          <w:color w:val="000000" w:themeColor="text1"/>
        </w:rPr>
        <w:t>Alliance controls.</w:t>
      </w:r>
      <w:r w:rsidRPr="001C6D7F">
        <w:rPr>
          <w:color w:val="000000" w:themeColor="text1"/>
        </w:rPr>
        <w:t xml:space="preserve"> Recognizing that repeated interactions build trust and reduce opportunistic behavior, we include the number of previous alliances between partners (</w:t>
      </w:r>
      <w:r w:rsidRPr="001C6D7F">
        <w:rPr>
          <w:i/>
          <w:iCs/>
          <w:color w:val="000000" w:themeColor="text1"/>
        </w:rPr>
        <w:t>Alliance_RelationalEmbeddedness</w:t>
      </w:r>
      <w:r w:rsidRPr="001C6D7F">
        <w:rPr>
          <w:color w:val="000000" w:themeColor="text1"/>
        </w:rPr>
        <w:t xml:space="preserve">). We also consider the position of the alliance in the alliance network using the geometric mean of the </w:t>
      </w:r>
      <w:r w:rsidRPr="001C6D7F">
        <w:rPr>
          <w:rStyle w:val="lewnzc"/>
          <w:color w:val="000000" w:themeColor="text1"/>
        </w:rPr>
        <w:t xml:space="preserve">Bonacich </w:t>
      </w:r>
      <w:r w:rsidRPr="001C6D7F">
        <w:rPr>
          <w:color w:val="000000" w:themeColor="text1"/>
        </w:rPr>
        <w:t>eigenvector centrality (</w:t>
      </w:r>
      <w:r w:rsidRPr="001C6D7F">
        <w:rPr>
          <w:i/>
          <w:iCs/>
          <w:color w:val="000000" w:themeColor="text1"/>
        </w:rPr>
        <w:t>Alliance_StructuralEmbeddedness</w:t>
      </w:r>
      <w:r w:rsidRPr="001C6D7F">
        <w:rPr>
          <w:color w:val="000000" w:themeColor="text1"/>
        </w:rPr>
        <w:t>) and include indicator variables for the type of alliance-joint venture, equity, or non-equity (</w:t>
      </w:r>
      <w:r w:rsidRPr="001C6D7F">
        <w:rPr>
          <w:i/>
          <w:iCs/>
          <w:color w:val="000000" w:themeColor="text1"/>
        </w:rPr>
        <w:t>JV_Indicator</w:t>
      </w:r>
      <w:r w:rsidRPr="001C6D7F">
        <w:rPr>
          <w:color w:val="000000" w:themeColor="text1"/>
        </w:rPr>
        <w:t xml:space="preserve">, </w:t>
      </w:r>
      <w:r w:rsidRPr="001C6D7F">
        <w:rPr>
          <w:i/>
          <w:iCs/>
          <w:color w:val="000000" w:themeColor="text1"/>
        </w:rPr>
        <w:t>Equity_Indicator</w:t>
      </w:r>
      <w:r w:rsidRPr="001C6D7F">
        <w:rPr>
          <w:color w:val="000000" w:themeColor="text1"/>
        </w:rPr>
        <w:t>) as well as the presence of a technology component (</w:t>
      </w:r>
      <w:r w:rsidRPr="001C6D7F">
        <w:rPr>
          <w:i/>
          <w:iCs/>
          <w:color w:val="000000" w:themeColor="text1"/>
        </w:rPr>
        <w:t>TechnologyAlliance_Indicator</w:t>
      </w:r>
      <w:r w:rsidRPr="001C6D7F">
        <w:rPr>
          <w:color w:val="000000" w:themeColor="text1"/>
        </w:rPr>
        <w:t>). The strategic focus of the alliance is captured by an exploration alliance indicator (</w:t>
      </w:r>
      <w:r w:rsidRPr="001C6D7F">
        <w:rPr>
          <w:i/>
          <w:iCs/>
          <w:color w:val="000000" w:themeColor="text1"/>
        </w:rPr>
        <w:t>ExplorationAlliance_Indicator</w:t>
      </w:r>
      <w:r w:rsidRPr="001C6D7F">
        <w:rPr>
          <w:color w:val="000000" w:themeColor="text1"/>
        </w:rPr>
        <w:t xml:space="preserve">), reflecting joint </w:t>
      </w:r>
      <w:r w:rsidRPr="001C6D7F">
        <w:rPr>
          <w:color w:val="000000" w:themeColor="text1"/>
        </w:rPr>
        <w:lastRenderedPageBreak/>
        <w:t>pursuit of new development versus core competency collaboration. The international alliance indicator (</w:t>
      </w:r>
      <w:r w:rsidRPr="001C6D7F">
        <w:rPr>
          <w:i/>
          <w:iCs/>
          <w:color w:val="000000" w:themeColor="text1"/>
        </w:rPr>
        <w:t>InternationalAlliance_Indicator</w:t>
      </w:r>
      <w:r w:rsidRPr="001C6D7F">
        <w:rPr>
          <w:color w:val="000000" w:themeColor="text1"/>
        </w:rPr>
        <w:t>) captures international cooperation.</w:t>
      </w:r>
    </w:p>
    <w:p w14:paraId="3CB17E4D" w14:textId="77777777" w:rsidR="00755C90" w:rsidRPr="001C6D7F" w:rsidRDefault="00755C90" w:rsidP="00932F58">
      <w:pPr>
        <w:pStyle w:val="Paragraph"/>
        <w:suppressLineNumbers/>
        <w:suppressAutoHyphens/>
        <w:ind w:firstLine="708"/>
        <w:jc w:val="both"/>
        <w:rPr>
          <w:color w:val="000000" w:themeColor="text1"/>
        </w:rPr>
      </w:pPr>
      <w:r w:rsidRPr="001C6D7F">
        <w:rPr>
          <w:i/>
          <w:iCs/>
          <w:color w:val="000000" w:themeColor="text1"/>
        </w:rPr>
        <w:t xml:space="preserve">Industry controls. </w:t>
      </w:r>
      <w:r w:rsidRPr="001C6D7F">
        <w:rPr>
          <w:color w:val="000000" w:themeColor="text1"/>
        </w:rPr>
        <w:t>The horizontal alliance indicator (</w:t>
      </w:r>
      <w:r w:rsidRPr="001C6D7F">
        <w:rPr>
          <w:i/>
          <w:iCs/>
          <w:color w:val="000000" w:themeColor="text1"/>
        </w:rPr>
        <w:t>HorizontalAlliance_Indicator</w:t>
      </w:r>
      <w:r w:rsidRPr="001C6D7F">
        <w:rPr>
          <w:color w:val="000000" w:themeColor="text1"/>
        </w:rPr>
        <w:t>) captures the potential risk of resource appropriation between firms of the same industry while the risk of resource appropriation across related but distinct industries is captured by the related scope (</w:t>
      </w:r>
      <w:r w:rsidRPr="001C6D7F">
        <w:rPr>
          <w:i/>
          <w:iCs/>
          <w:color w:val="000000" w:themeColor="text1"/>
        </w:rPr>
        <w:t>Industry_RelatedScope</w:t>
      </w:r>
      <w:r w:rsidRPr="001C6D7F">
        <w:rPr>
          <w:color w:val="000000" w:themeColor="text1"/>
        </w:rPr>
        <w:t>), which is calculated by the common three-digit SIC codes, excluding four-digit SIC code overlaps. Resource complementarity (</w:t>
      </w:r>
      <w:r w:rsidRPr="001C6D7F">
        <w:rPr>
          <w:i/>
          <w:iCs/>
          <w:color w:val="000000" w:themeColor="text1"/>
        </w:rPr>
        <w:t>Industry_Complementarity</w:t>
      </w:r>
      <w:r w:rsidRPr="001C6D7F">
        <w:rPr>
          <w:color w:val="000000" w:themeColor="text1"/>
        </w:rPr>
        <w:t>) captures synergy potential between partners' resources based on shared industry affiliations. Finally, we include the growth rate of sales within a four-digit SIC code over the period from five to one year prior to the alliance announcement (</w:t>
      </w:r>
      <w:r w:rsidRPr="001C6D7F">
        <w:rPr>
          <w:i/>
          <w:iCs/>
          <w:color w:val="000000" w:themeColor="text1"/>
        </w:rPr>
        <w:t>Industry_Growth</w:t>
      </w:r>
      <w:r w:rsidRPr="001C6D7F">
        <w:rPr>
          <w:color w:val="000000" w:themeColor="text1"/>
        </w:rPr>
        <w:t>).</w:t>
      </w:r>
    </w:p>
    <w:p w14:paraId="00472DA3" w14:textId="77777777" w:rsidR="00755C90" w:rsidRPr="00755C90" w:rsidRDefault="00755C90" w:rsidP="00932F58">
      <w:pPr>
        <w:pStyle w:val="berschrift3"/>
      </w:pPr>
      <w:r w:rsidRPr="00755C90">
        <w:t>Measurement Model</w:t>
      </w:r>
    </w:p>
    <w:p w14:paraId="45AE7BA4" w14:textId="77777777" w:rsidR="00755C90" w:rsidRPr="001C6D7F" w:rsidRDefault="00755C90" w:rsidP="00932F58">
      <w:pPr>
        <w:pStyle w:val="Paragraph"/>
        <w:suppressLineNumbers/>
        <w:suppressAutoHyphens/>
        <w:ind w:firstLine="708"/>
        <w:jc w:val="both"/>
        <w:rPr>
          <w:color w:val="000000" w:themeColor="text1"/>
          <w:lang w:eastAsia="en-US"/>
        </w:rPr>
      </w:pPr>
      <w:r w:rsidRPr="001C6D7F">
        <w:rPr>
          <w:color w:val="000000" w:themeColor="text1"/>
        </w:rPr>
        <w:t xml:space="preserve">To test our hypotheses, we apply the following two-way fixed effects regression model: </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6"/>
        <w:gridCol w:w="496"/>
      </w:tblGrid>
      <w:tr w:rsidR="00755C90" w:rsidRPr="001C6D7F" w14:paraId="7272F07F" w14:textId="77777777" w:rsidTr="007C051A">
        <w:trPr>
          <w:trHeight w:val="794"/>
        </w:trPr>
        <w:tc>
          <w:tcPr>
            <w:tcW w:w="4869" w:type="pct"/>
          </w:tcPr>
          <w:p w14:paraId="51CA099C" w14:textId="77777777" w:rsidR="00755C90" w:rsidRPr="001C6D7F" w:rsidRDefault="00000000" w:rsidP="007C051A">
            <w:pPr>
              <w:suppressLineNumbers/>
              <w:suppressAutoHyphens/>
              <w:rPr>
                <w:color w:val="000000" w:themeColor="text1"/>
                <w:lang w:val="en-US"/>
              </w:rPr>
            </w:pPr>
            <m:oMath>
              <m:sSub>
                <m:sSubPr>
                  <m:ctrlPr>
                    <w:rPr>
                      <w:rFonts w:ascii="Cambria Math" w:hAnsi="Cambria Math"/>
                      <w:i/>
                      <w:color w:val="000000" w:themeColor="text1"/>
                      <w:lang w:val="en-US"/>
                    </w:rPr>
                  </m:ctrlPr>
                </m:sSubPr>
                <m:e>
                  <m:r>
                    <w:rPr>
                      <w:rFonts w:ascii="Cambria Math" w:hAnsi="Cambria Math"/>
                      <w:color w:val="000000" w:themeColor="text1"/>
                      <w:lang w:val="en-US"/>
                    </w:rPr>
                    <m:t>DifferentialBenefits</m:t>
                  </m:r>
                </m:e>
                <m:sub>
                  <m:r>
                    <w:rPr>
                      <w:rFonts w:ascii="Cambria Math" w:hAnsi="Cambria Math"/>
                      <w:color w:val="000000" w:themeColor="text1"/>
                      <w:lang w:val="en-US"/>
                    </w:rPr>
                    <m:t>m</m:t>
                  </m:r>
                </m:sub>
              </m:sSub>
              <m:r>
                <w:rPr>
                  <w:rFonts w:ascii="Cambria Math" w:hAnsi="Cambria Math"/>
                  <w:color w:val="000000" w:themeColor="text1"/>
                  <w:lang w:val="en-US"/>
                </w:rPr>
                <m:t xml:space="preserve">= α+ </m:t>
              </m:r>
              <m:sSub>
                <m:sSubPr>
                  <m:ctrlPr>
                    <w:rPr>
                      <w:rFonts w:ascii="Cambria Math" w:hAnsi="Cambria Math"/>
                      <w:i/>
                      <w:color w:val="000000" w:themeColor="text1"/>
                      <w:lang w:val="en-US"/>
                    </w:rPr>
                  </m:ctrlPr>
                </m:sSubPr>
                <m:e>
                  <m:r>
                    <w:rPr>
                      <w:rFonts w:ascii="Cambria Math" w:hAnsi="Cambria Math"/>
                      <w:color w:val="000000" w:themeColor="text1"/>
                      <w:lang w:val="en-US"/>
                    </w:rPr>
                    <m:t>β</m:t>
                  </m:r>
                </m:e>
                <m:sub>
                  <m:r>
                    <w:rPr>
                      <w:rFonts w:ascii="Cambria Math" w:hAnsi="Cambria Math"/>
                      <w:color w:val="000000" w:themeColor="text1"/>
                      <w:lang w:val="en-US"/>
                    </w:rPr>
                    <m:t>1</m:t>
                  </m:r>
                </m:sub>
              </m:sSub>
              <m:sSub>
                <m:sSubPr>
                  <m:ctrlPr>
                    <w:rPr>
                      <w:rFonts w:ascii="Cambria Math" w:hAnsi="Cambria Math"/>
                      <w:i/>
                      <w:color w:val="000000" w:themeColor="text1"/>
                      <w:lang w:val="en-US"/>
                    </w:rPr>
                  </m:ctrlPr>
                </m:sSubPr>
                <m:e>
                  <m:r>
                    <w:rPr>
                      <w:rFonts w:ascii="Cambria Math" w:hAnsi="Cambria Math"/>
                      <w:color w:val="000000" w:themeColor="text1"/>
                      <w:lang w:val="en-US"/>
                    </w:rPr>
                    <m:t>BoardInterlocks</m:t>
                  </m:r>
                </m:e>
                <m:sub>
                  <m:r>
                    <w:rPr>
                      <w:rFonts w:ascii="Cambria Math" w:hAnsi="Cambria Math"/>
                      <w:color w:val="000000" w:themeColor="text1"/>
                      <w:lang w:val="en-US"/>
                    </w:rPr>
                    <m:t>i,j</m:t>
                  </m:r>
                </m:sub>
              </m:sSub>
              <m:r>
                <w:rPr>
                  <w:rFonts w:ascii="Cambria Math" w:hAnsi="Cambria Math"/>
                  <w:color w:val="000000" w:themeColor="text1"/>
                  <w:lang w:val="en-US"/>
                </w:rPr>
                <m:t>+ ∑</m:t>
              </m:r>
              <m:sSub>
                <m:sSubPr>
                  <m:ctrlPr>
                    <w:rPr>
                      <w:rFonts w:ascii="Cambria Math" w:hAnsi="Cambria Math"/>
                      <w:i/>
                      <w:color w:val="000000" w:themeColor="text1"/>
                      <w:lang w:val="en-US"/>
                    </w:rPr>
                  </m:ctrlPr>
                </m:sSubPr>
                <m:e>
                  <m:r>
                    <w:rPr>
                      <w:rFonts w:ascii="Cambria Math" w:hAnsi="Cambria Math"/>
                      <w:color w:val="000000" w:themeColor="text1"/>
                      <w:lang w:val="en-US"/>
                    </w:rPr>
                    <m:t>β</m:t>
                  </m:r>
                </m:e>
                <m:sub>
                  <m:r>
                    <w:rPr>
                      <w:rFonts w:ascii="Cambria Math" w:hAnsi="Cambria Math"/>
                      <w:color w:val="000000" w:themeColor="text1"/>
                      <w:lang w:val="en-US"/>
                    </w:rPr>
                    <m:t>m</m:t>
                  </m:r>
                </m:sub>
              </m:sSub>
              <m:sSub>
                <m:sSubPr>
                  <m:ctrlPr>
                    <w:rPr>
                      <w:rFonts w:ascii="Cambria Math" w:hAnsi="Cambria Math"/>
                      <w:i/>
                      <w:color w:val="000000" w:themeColor="text1"/>
                      <w:lang w:val="en-US"/>
                    </w:rPr>
                  </m:ctrlPr>
                </m:sSubPr>
                <m:e>
                  <m:r>
                    <w:rPr>
                      <w:rFonts w:ascii="Cambria Math" w:hAnsi="Cambria Math"/>
                      <w:color w:val="000000" w:themeColor="text1"/>
                      <w:lang w:val="en-US"/>
                    </w:rPr>
                    <m:t>BoardControls</m:t>
                  </m:r>
                </m:e>
                <m:sub>
                  <m:r>
                    <w:rPr>
                      <w:rFonts w:ascii="Cambria Math" w:hAnsi="Cambria Math"/>
                      <w:color w:val="000000" w:themeColor="text1"/>
                      <w:lang w:val="en-US"/>
                    </w:rPr>
                    <m:t>m</m:t>
                  </m:r>
                </m:sub>
              </m:sSub>
              <m:r>
                <w:rPr>
                  <w:rFonts w:ascii="Cambria Math" w:hAnsi="Cambria Math"/>
                  <w:color w:val="000000" w:themeColor="text1"/>
                  <w:lang w:val="en-US"/>
                </w:rPr>
                <m:t>+ ∑</m:t>
              </m:r>
              <m:sSub>
                <m:sSubPr>
                  <m:ctrlPr>
                    <w:rPr>
                      <w:rFonts w:ascii="Cambria Math" w:hAnsi="Cambria Math"/>
                      <w:i/>
                      <w:color w:val="000000" w:themeColor="text1"/>
                      <w:lang w:val="en-US"/>
                    </w:rPr>
                  </m:ctrlPr>
                </m:sSubPr>
                <m:e>
                  <m:r>
                    <w:rPr>
                      <w:rFonts w:ascii="Cambria Math" w:hAnsi="Cambria Math"/>
                      <w:color w:val="000000" w:themeColor="text1"/>
                      <w:lang w:val="en-US"/>
                    </w:rPr>
                    <m:t>β</m:t>
                  </m:r>
                </m:e>
                <m:sub>
                  <m:r>
                    <w:rPr>
                      <w:rFonts w:ascii="Cambria Math" w:hAnsi="Cambria Math"/>
                      <w:color w:val="000000" w:themeColor="text1"/>
                      <w:lang w:val="en-US"/>
                    </w:rPr>
                    <m:t>m</m:t>
                  </m:r>
                </m:sub>
              </m:sSub>
              <m:sSub>
                <m:sSubPr>
                  <m:ctrlPr>
                    <w:rPr>
                      <w:rFonts w:ascii="Cambria Math" w:hAnsi="Cambria Math"/>
                      <w:i/>
                      <w:color w:val="000000" w:themeColor="text1"/>
                      <w:lang w:val="en-US"/>
                    </w:rPr>
                  </m:ctrlPr>
                </m:sSubPr>
                <m:e>
                  <m:r>
                    <w:rPr>
                      <w:rFonts w:ascii="Cambria Math" w:hAnsi="Cambria Math"/>
                      <w:color w:val="000000" w:themeColor="text1"/>
                      <w:lang w:val="en-US"/>
                    </w:rPr>
                    <m:t>FirmControls</m:t>
                  </m:r>
                </m:e>
                <m:sub>
                  <m:r>
                    <w:rPr>
                      <w:rFonts w:ascii="Cambria Math" w:hAnsi="Cambria Math"/>
                      <w:color w:val="000000" w:themeColor="text1"/>
                      <w:lang w:val="en-US"/>
                    </w:rPr>
                    <m:t>m</m:t>
                  </m:r>
                </m:sub>
              </m:sSub>
              <m:r>
                <w:rPr>
                  <w:rFonts w:ascii="Cambria Math" w:hAnsi="Cambria Math"/>
                  <w:color w:val="000000" w:themeColor="text1"/>
                  <w:lang w:val="en-US"/>
                </w:rPr>
                <m:t>+ ∑</m:t>
              </m:r>
              <m:sSub>
                <m:sSubPr>
                  <m:ctrlPr>
                    <w:rPr>
                      <w:rFonts w:ascii="Cambria Math" w:hAnsi="Cambria Math"/>
                      <w:i/>
                      <w:color w:val="000000" w:themeColor="text1"/>
                      <w:lang w:val="en-US"/>
                    </w:rPr>
                  </m:ctrlPr>
                </m:sSubPr>
                <m:e>
                  <m:r>
                    <w:rPr>
                      <w:rFonts w:ascii="Cambria Math" w:hAnsi="Cambria Math"/>
                      <w:color w:val="000000" w:themeColor="text1"/>
                      <w:lang w:val="en-US"/>
                    </w:rPr>
                    <m:t>β</m:t>
                  </m:r>
                </m:e>
                <m:sub>
                  <m:r>
                    <w:rPr>
                      <w:rFonts w:ascii="Cambria Math" w:hAnsi="Cambria Math"/>
                      <w:color w:val="000000" w:themeColor="text1"/>
                      <w:lang w:val="en-US"/>
                    </w:rPr>
                    <m:t>m</m:t>
                  </m:r>
                </m:sub>
              </m:sSub>
              <m:r>
                <w:rPr>
                  <w:rFonts w:ascii="Cambria Math" w:hAnsi="Cambria Math"/>
                  <w:color w:val="000000" w:themeColor="text1"/>
                  <w:lang w:val="en-US"/>
                </w:rPr>
                <m:t>AllianceControls+ ∑</m:t>
              </m:r>
              <m:sSub>
                <m:sSubPr>
                  <m:ctrlPr>
                    <w:rPr>
                      <w:rFonts w:ascii="Cambria Math" w:hAnsi="Cambria Math"/>
                      <w:i/>
                      <w:color w:val="000000" w:themeColor="text1"/>
                      <w:lang w:val="en-US"/>
                    </w:rPr>
                  </m:ctrlPr>
                </m:sSubPr>
                <m:e>
                  <m:r>
                    <w:rPr>
                      <w:rFonts w:ascii="Cambria Math" w:hAnsi="Cambria Math"/>
                      <w:color w:val="000000" w:themeColor="text1"/>
                      <w:lang w:val="en-US"/>
                    </w:rPr>
                    <m:t>β</m:t>
                  </m:r>
                </m:e>
                <m:sub>
                  <m:r>
                    <w:rPr>
                      <w:rFonts w:ascii="Cambria Math" w:hAnsi="Cambria Math"/>
                      <w:color w:val="000000" w:themeColor="text1"/>
                      <w:lang w:val="en-US"/>
                    </w:rPr>
                    <m:t>m</m:t>
                  </m:r>
                </m:sub>
              </m:sSub>
              <m:r>
                <w:rPr>
                  <w:rFonts w:ascii="Cambria Math" w:hAnsi="Cambria Math"/>
                  <w:color w:val="000000" w:themeColor="text1"/>
                  <w:lang w:val="en-US"/>
                </w:rPr>
                <m:t xml:space="preserve">IndustryControls+ </m:t>
              </m:r>
              <m:sSub>
                <m:sSubPr>
                  <m:ctrlPr>
                    <w:rPr>
                      <w:rFonts w:ascii="Cambria Math" w:hAnsi="Cambria Math"/>
                      <w:i/>
                      <w:color w:val="000000" w:themeColor="text1"/>
                      <w:lang w:val="en-US"/>
                    </w:rPr>
                  </m:ctrlPr>
                </m:sSubPr>
                <m:e>
                  <m:r>
                    <w:rPr>
                      <w:rFonts w:ascii="Cambria Math" w:hAnsi="Cambria Math"/>
                      <w:color w:val="000000" w:themeColor="text1"/>
                      <w:lang w:val="en-US"/>
                    </w:rPr>
                    <m:t>γ</m:t>
                  </m:r>
                </m:e>
                <m:sub>
                  <m:r>
                    <w:rPr>
                      <w:rFonts w:ascii="Cambria Math" w:hAnsi="Cambria Math"/>
                      <w:color w:val="000000" w:themeColor="text1"/>
                      <w:lang w:val="en-US"/>
                    </w:rPr>
                    <m:t>i</m:t>
                  </m:r>
                </m:sub>
              </m:sSub>
              <m:r>
                <w:rPr>
                  <w:rFonts w:ascii="Cambria Math" w:hAnsi="Cambria Math"/>
                  <w:color w:val="000000" w:themeColor="text1"/>
                  <w:lang w:val="en-US"/>
                </w:rPr>
                <m:t xml:space="preserve">+ </m:t>
              </m:r>
              <m:sSub>
                <m:sSubPr>
                  <m:ctrlPr>
                    <w:rPr>
                      <w:rFonts w:ascii="Cambria Math" w:hAnsi="Cambria Math"/>
                      <w:i/>
                      <w:color w:val="000000" w:themeColor="text1"/>
                      <w:lang w:val="en-US"/>
                    </w:rPr>
                  </m:ctrlPr>
                </m:sSubPr>
                <m:e>
                  <m:r>
                    <w:rPr>
                      <w:rFonts w:ascii="Cambria Math" w:hAnsi="Cambria Math"/>
                      <w:color w:val="000000" w:themeColor="text1"/>
                      <w:lang w:val="en-US"/>
                    </w:rPr>
                    <m:t>δ</m:t>
                  </m:r>
                </m:e>
                <m:sub>
                  <m:r>
                    <w:rPr>
                      <w:rFonts w:ascii="Cambria Math" w:hAnsi="Cambria Math"/>
                      <w:color w:val="000000" w:themeColor="text1"/>
                      <w:lang w:val="en-US"/>
                    </w:rPr>
                    <m:t>t</m:t>
                  </m:r>
                </m:sub>
              </m:sSub>
              <m:r>
                <w:rPr>
                  <w:rFonts w:ascii="Cambria Math" w:hAnsi="Cambria Math"/>
                  <w:color w:val="000000" w:themeColor="text1"/>
                  <w:lang w:val="en-US"/>
                </w:rPr>
                <m:t xml:space="preserve">+ </m:t>
              </m:r>
              <m:sSub>
                <m:sSubPr>
                  <m:ctrlPr>
                    <w:rPr>
                      <w:rFonts w:ascii="Cambria Math" w:hAnsi="Cambria Math"/>
                      <w:i/>
                      <w:color w:val="000000" w:themeColor="text1"/>
                      <w:lang w:val="en-US"/>
                    </w:rPr>
                  </m:ctrlPr>
                </m:sSubPr>
                <m:e>
                  <m:r>
                    <w:rPr>
                      <w:rFonts w:ascii="Cambria Math" w:hAnsi="Cambria Math"/>
                      <w:color w:val="000000" w:themeColor="text1"/>
                      <w:lang w:val="en-US"/>
                    </w:rPr>
                    <m:t>ε</m:t>
                  </m:r>
                </m:e>
                <m:sub>
                  <m:r>
                    <w:rPr>
                      <w:rFonts w:ascii="Cambria Math" w:hAnsi="Cambria Math"/>
                      <w:color w:val="000000" w:themeColor="text1"/>
                      <w:lang w:val="en-US"/>
                    </w:rPr>
                    <m:t>m</m:t>
                  </m:r>
                </m:sub>
              </m:sSub>
            </m:oMath>
            <w:r w:rsidR="00755C90" w:rsidRPr="001C6D7F">
              <w:rPr>
                <w:color w:val="000000" w:themeColor="text1"/>
                <w:lang w:val="en-US"/>
              </w:rPr>
              <w:t xml:space="preserve"> </w:t>
            </w:r>
          </w:p>
        </w:tc>
        <w:tc>
          <w:tcPr>
            <w:tcW w:w="131" w:type="pct"/>
          </w:tcPr>
          <w:p w14:paraId="4EDF9564" w14:textId="77777777" w:rsidR="00755C90" w:rsidRPr="001C6D7F" w:rsidRDefault="00755C90" w:rsidP="007C051A">
            <w:pPr>
              <w:keepNext/>
              <w:suppressLineNumbers/>
              <w:suppressAutoHyphens/>
              <w:jc w:val="center"/>
              <w:rPr>
                <w:color w:val="000000" w:themeColor="text1"/>
                <w:lang w:val="en-US"/>
              </w:rPr>
            </w:pPr>
            <w:r w:rsidRPr="001C6D7F">
              <w:rPr>
                <w:color w:val="000000" w:themeColor="text1"/>
                <w:lang w:val="en-US"/>
              </w:rPr>
              <w:t>(3)</w:t>
            </w:r>
          </w:p>
        </w:tc>
      </w:tr>
    </w:tbl>
    <w:p w14:paraId="3E8129CE" w14:textId="77777777" w:rsidR="00755C90" w:rsidRPr="001C6D7F" w:rsidRDefault="00755C90" w:rsidP="00932F58">
      <w:pPr>
        <w:pStyle w:val="Paragraph"/>
        <w:suppressLineNumbers/>
        <w:suppressAutoHyphens/>
        <w:jc w:val="both"/>
        <w:rPr>
          <w:color w:val="000000" w:themeColor="text1"/>
        </w:rPr>
      </w:pPr>
      <w:r w:rsidRPr="001C6D7F">
        <w:rPr>
          <w:color w:val="000000" w:themeColor="text1"/>
        </w:rPr>
        <w:t xml:space="preserve">where </w:t>
      </w:r>
      <m:oMath>
        <m:sSub>
          <m:sSubPr>
            <m:ctrlPr>
              <w:rPr>
                <w:rFonts w:ascii="Cambria Math" w:hAnsi="Cambria Math"/>
                <w:color w:val="000000" w:themeColor="text1"/>
              </w:rPr>
            </m:ctrlPr>
          </m:sSubPr>
          <m:e>
            <m:r>
              <w:rPr>
                <w:rFonts w:ascii="Cambria Math" w:hAnsi="Cambria Math"/>
                <w:color w:val="000000" w:themeColor="text1"/>
              </w:rPr>
              <m:t>DifferentialBenefits</m:t>
            </m:r>
          </m:e>
          <m:sub>
            <m:r>
              <m:rPr>
                <m:sty m:val="p"/>
              </m:rPr>
              <w:rPr>
                <w:rFonts w:ascii="Cambria Math" w:hAnsi="Cambria Math"/>
                <w:color w:val="000000" w:themeColor="text1"/>
              </w:rPr>
              <m:t>m</m:t>
            </m:r>
          </m:sub>
        </m:sSub>
      </m:oMath>
      <w:r w:rsidRPr="001C6D7F">
        <w:rPr>
          <w:color w:val="000000" w:themeColor="text1"/>
        </w:rPr>
        <w:t xml:space="preserve"> represents the respective dependent variable of alliance m, </w:t>
      </w:r>
      <m:oMath>
        <m:sSub>
          <m:sSubPr>
            <m:ctrlPr>
              <w:rPr>
                <w:rFonts w:ascii="Cambria Math" w:hAnsi="Cambria Math"/>
                <w:color w:val="000000" w:themeColor="text1"/>
              </w:rPr>
            </m:ctrlPr>
          </m:sSubPr>
          <m:e>
            <m:r>
              <w:rPr>
                <w:rFonts w:ascii="Cambria Math" w:hAnsi="Cambria Math"/>
                <w:color w:val="000000" w:themeColor="text1"/>
              </w:rPr>
              <m:t>BoardInterlocks</m:t>
            </m:r>
          </m:e>
          <m:sub>
            <m:r>
              <m:rPr>
                <m:sty m:val="p"/>
              </m:rPr>
              <w:rPr>
                <w:rFonts w:ascii="Cambria Math" w:hAnsi="Cambria Math"/>
                <w:color w:val="000000" w:themeColor="text1"/>
              </w:rPr>
              <m:t>i,j</m:t>
            </m:r>
          </m:sub>
        </m:sSub>
      </m:oMath>
      <w:r w:rsidRPr="001C6D7F">
        <w:rPr>
          <w:color w:val="000000" w:themeColor="text1"/>
        </w:rPr>
        <w:t xml:space="preserve"> stands for our main independent variables related to the existence of direct or indirect board interlock ties between the alliance partners </w:t>
      </w:r>
      <m:oMath>
        <m:r>
          <w:rPr>
            <w:rFonts w:ascii="Cambria Math" w:hAnsi="Cambria Math"/>
            <w:color w:val="000000" w:themeColor="text1"/>
          </w:rPr>
          <m:t xml:space="preserve">i </m:t>
        </m:r>
      </m:oMath>
      <w:r w:rsidRPr="001C6D7F">
        <w:rPr>
          <w:color w:val="000000" w:themeColor="text1"/>
        </w:rPr>
        <w:t xml:space="preserve">and </w:t>
      </w:r>
      <m:oMath>
        <m:r>
          <w:rPr>
            <w:rFonts w:ascii="Cambria Math" w:hAnsi="Cambria Math"/>
            <w:color w:val="000000" w:themeColor="text1"/>
          </w:rPr>
          <m:t>j</m:t>
        </m:r>
      </m:oMath>
      <w:r w:rsidRPr="001C6D7F">
        <w:rPr>
          <w:color w:val="000000" w:themeColor="text1"/>
        </w:rPr>
        <w:t xml:space="preserve">. </w:t>
      </w:r>
      <m:oMath>
        <m:r>
          <w:rPr>
            <w:rFonts w:ascii="Cambria Math" w:hAnsi="Cambria Math"/>
            <w:color w:val="000000" w:themeColor="text1"/>
          </w:rPr>
          <m:t>Controls</m:t>
        </m:r>
      </m:oMath>
      <w:r w:rsidRPr="001C6D7F">
        <w:rPr>
          <w:color w:val="000000" w:themeColor="text1"/>
        </w:rPr>
        <w:t xml:space="preserve"> are four vectors containing several control variables of alliance m, and firms </w:t>
      </w:r>
      <m:oMath>
        <m:r>
          <w:rPr>
            <w:rFonts w:ascii="Cambria Math" w:hAnsi="Cambria Math"/>
            <w:color w:val="000000" w:themeColor="text1"/>
          </w:rPr>
          <m:t>i</m:t>
        </m:r>
      </m:oMath>
      <w:r w:rsidRPr="001C6D7F">
        <w:rPr>
          <w:color w:val="000000" w:themeColor="text1"/>
        </w:rPr>
        <w:t xml:space="preserve"> and </w:t>
      </w:r>
      <m:oMath>
        <m:r>
          <w:rPr>
            <w:rFonts w:ascii="Cambria Math" w:hAnsi="Cambria Math"/>
            <w:color w:val="000000" w:themeColor="text1"/>
          </w:rPr>
          <m:t>j</m:t>
        </m:r>
      </m:oMath>
      <w:r w:rsidRPr="001C6D7F">
        <w:rPr>
          <w:color w:val="000000" w:themeColor="text1"/>
        </w:rPr>
        <w:t>. To reduce concerns about potential endogeneity, we introduce fixed effects for the industry group combination (measured as 2-digit-SIC code combination) of both alliance partners (</w:t>
      </w:r>
      <w:r w:rsidRPr="001C6D7F">
        <w:rPr>
          <w:rFonts w:ascii="Cambria Math" w:hAnsi="Cambria Math" w:cs="Cambria Math"/>
          <w:color w:val="000000" w:themeColor="text1"/>
        </w:rPr>
        <w:t>𝛾𝑖</w:t>
      </w:r>
      <w:r w:rsidRPr="001C6D7F">
        <w:rPr>
          <w:color w:val="000000" w:themeColor="text1"/>
        </w:rPr>
        <w:t xml:space="preserve">). </w:t>
      </w:r>
      <w:r w:rsidRPr="00CC6D55">
        <w:rPr>
          <w:color w:val="000000" w:themeColor="text1"/>
        </w:rPr>
        <w:t xml:space="preserve">This approach reduces the threat of omitted variable bias, specifically from unobserved industry-level factors that could influence both the formation of </w:t>
      </w:r>
      <w:r>
        <w:rPr>
          <w:color w:val="000000" w:themeColor="text1"/>
        </w:rPr>
        <w:t>direct and indirect board interlocks</w:t>
      </w:r>
      <w:r w:rsidRPr="00CC6D55">
        <w:rPr>
          <w:color w:val="000000" w:themeColor="text1"/>
        </w:rPr>
        <w:t xml:space="preserve"> and the distribution of </w:t>
      </w:r>
      <w:r>
        <w:rPr>
          <w:color w:val="000000" w:themeColor="text1"/>
        </w:rPr>
        <w:t>benefits</w:t>
      </w:r>
      <w:r w:rsidRPr="00CC6D55">
        <w:rPr>
          <w:color w:val="000000" w:themeColor="text1"/>
        </w:rPr>
        <w:t xml:space="preserve">. By controlling for industry-specific effects, we ensure that any variation in </w:t>
      </w:r>
      <w:r>
        <w:rPr>
          <w:color w:val="000000" w:themeColor="text1"/>
        </w:rPr>
        <w:t>differential benefits</w:t>
      </w:r>
      <w:r w:rsidRPr="00CC6D55">
        <w:rPr>
          <w:color w:val="000000" w:themeColor="text1"/>
        </w:rPr>
        <w:t xml:space="preserve"> is not driven by time-invariant characteristics </w:t>
      </w:r>
      <w:r w:rsidRPr="00CC6D55">
        <w:rPr>
          <w:color w:val="000000" w:themeColor="text1"/>
        </w:rPr>
        <w:lastRenderedPageBreak/>
        <w:t>unique to particular industries</w:t>
      </w:r>
      <w:r>
        <w:rPr>
          <w:color w:val="000000" w:themeColor="text1"/>
        </w:rPr>
        <w:t xml:space="preserve"> (Antonakis, Bendahan, Jacquart, &amp; Lalive, 2010)</w:t>
      </w:r>
      <w:r w:rsidRPr="00CC6D55">
        <w:rPr>
          <w:color w:val="000000" w:themeColor="text1"/>
        </w:rPr>
        <w:t>.</w:t>
      </w:r>
      <w:r>
        <w:rPr>
          <w:color w:val="000000" w:themeColor="text1"/>
        </w:rPr>
        <w:t xml:space="preserve"> In addition, w</w:t>
      </w:r>
      <w:r w:rsidRPr="001C6D7F">
        <w:rPr>
          <w:color w:val="000000" w:themeColor="text1"/>
        </w:rPr>
        <w:t>e apply time effects (</w:t>
      </w:r>
      <w:r w:rsidRPr="001C6D7F">
        <w:rPr>
          <w:rFonts w:ascii="Cambria Math" w:hAnsi="Cambria Math" w:cs="Cambria Math"/>
          <w:color w:val="000000" w:themeColor="text1"/>
        </w:rPr>
        <w:t>𝛿𝑡</w:t>
      </w:r>
      <w:r w:rsidRPr="001C6D7F">
        <w:rPr>
          <w:color w:val="000000" w:themeColor="text1"/>
        </w:rPr>
        <w:t>) to control for time related effects and macroeconomic trends. Standard errors are robust to heteroskedasticity within 2-digit SIC industry clusters.</w:t>
      </w:r>
    </w:p>
    <w:p w14:paraId="7C2D8C70" w14:textId="77777777" w:rsidR="00755C90" w:rsidRPr="001A0F01" w:rsidRDefault="00755C90" w:rsidP="00932F58">
      <w:pPr>
        <w:pStyle w:val="berschrift2"/>
        <w:rPr>
          <w:lang w:val="en-US"/>
        </w:rPr>
      </w:pPr>
      <w:bookmarkStart w:id="255" w:name="_Toc180963615"/>
      <w:r w:rsidRPr="001A0F01">
        <w:rPr>
          <w:lang w:val="en-US"/>
        </w:rPr>
        <w:t>Results</w:t>
      </w:r>
      <w:bookmarkEnd w:id="255"/>
    </w:p>
    <w:p w14:paraId="7A71A543" w14:textId="77777777" w:rsidR="00755C90" w:rsidRPr="001C6D7F" w:rsidRDefault="00755C90" w:rsidP="00932F58">
      <w:pPr>
        <w:pStyle w:val="Paragraph"/>
        <w:suppressLineNumbers/>
        <w:suppressAutoHyphens/>
        <w:ind w:firstLine="708"/>
        <w:jc w:val="both"/>
        <w:rPr>
          <w:color w:val="000000" w:themeColor="text1"/>
        </w:rPr>
      </w:pPr>
      <w:r w:rsidRPr="001C6D7F">
        <w:rPr>
          <w:color w:val="000000" w:themeColor="text1"/>
        </w:rPr>
        <w:t xml:space="preserve">Table 2 describes the frequency of alliances, by the year of alliance announcement. The data show a relatively even distribution of alliances across years, </w:t>
      </w:r>
      <w:r w:rsidRPr="00DB6944">
        <w:rPr>
          <w:color w:val="000000" w:themeColor="text1"/>
        </w:rPr>
        <w:t>with each year representing between 2% and 10% of the total sample</w:t>
      </w:r>
      <w:r w:rsidRPr="001C6D7F">
        <w:rPr>
          <w:color w:val="000000" w:themeColor="text1"/>
        </w:rPr>
        <w:t xml:space="preserve">. </w:t>
      </w:r>
    </w:p>
    <w:p w14:paraId="74DDEFDA" w14:textId="77777777" w:rsidR="00755C90" w:rsidRPr="001C6D7F" w:rsidRDefault="00755C90" w:rsidP="00755C90">
      <w:pPr>
        <w:pStyle w:val="Paragraph"/>
        <w:suppressLineNumbers/>
        <w:suppressAutoHyphens/>
        <w:ind w:firstLine="0"/>
        <w:jc w:val="center"/>
        <w:rPr>
          <w:color w:val="000000" w:themeColor="text1"/>
        </w:rPr>
      </w:pPr>
      <w:r w:rsidRPr="001C6D7F">
        <w:rPr>
          <w:color w:val="000000" w:themeColor="text1"/>
        </w:rPr>
        <w:t>--------------------------------</w:t>
      </w:r>
    </w:p>
    <w:p w14:paraId="0147696C" w14:textId="77777777" w:rsidR="00755C90" w:rsidRPr="001C6D7F" w:rsidRDefault="00755C90" w:rsidP="00755C90">
      <w:pPr>
        <w:pStyle w:val="Paragraph"/>
        <w:suppressLineNumbers/>
        <w:suppressAutoHyphens/>
        <w:ind w:firstLine="0"/>
        <w:jc w:val="center"/>
        <w:rPr>
          <w:color w:val="000000" w:themeColor="text1"/>
        </w:rPr>
      </w:pPr>
      <w:r w:rsidRPr="001C6D7F">
        <w:rPr>
          <w:color w:val="000000" w:themeColor="text1"/>
        </w:rPr>
        <w:t>Insert Table 2 about here</w:t>
      </w:r>
    </w:p>
    <w:p w14:paraId="2BA40504" w14:textId="77777777" w:rsidR="00755C90" w:rsidRPr="001C6D7F" w:rsidRDefault="00755C90" w:rsidP="00755C90">
      <w:pPr>
        <w:pStyle w:val="Paragraph"/>
        <w:suppressLineNumbers/>
        <w:suppressAutoHyphens/>
        <w:ind w:firstLine="0"/>
        <w:jc w:val="center"/>
        <w:rPr>
          <w:color w:val="000000" w:themeColor="text1"/>
        </w:rPr>
      </w:pPr>
      <w:r w:rsidRPr="001C6D7F">
        <w:rPr>
          <w:color w:val="000000" w:themeColor="text1"/>
        </w:rPr>
        <w:t>--------------------------------</w:t>
      </w:r>
    </w:p>
    <w:p w14:paraId="4E612772" w14:textId="77777777" w:rsidR="00755C90" w:rsidRPr="001C6D7F" w:rsidRDefault="00755C90" w:rsidP="00932F58">
      <w:pPr>
        <w:pStyle w:val="Paragraph"/>
        <w:suppressLineNumbers/>
        <w:suppressAutoHyphens/>
        <w:jc w:val="both"/>
        <w:rPr>
          <w:color w:val="000000" w:themeColor="text1"/>
        </w:rPr>
      </w:pPr>
      <w:r w:rsidRPr="001C6D7F">
        <w:rPr>
          <w:color w:val="000000" w:themeColor="text1"/>
        </w:rPr>
        <w:t>Table 3 presents descriptive statistics for the variables analyzed. The primary dependent variable, differential benefits (</w:t>
      </w:r>
      <w:r w:rsidRPr="001C6D7F">
        <w:rPr>
          <w:i/>
          <w:iCs/>
          <w:color w:val="000000" w:themeColor="text1"/>
        </w:rPr>
        <w:t>DiffBenefits_1</w:t>
      </w:r>
      <w:r w:rsidRPr="001C6D7F">
        <w:rPr>
          <w:color w:val="000000" w:themeColor="text1"/>
        </w:rPr>
        <w:t xml:space="preserve">), has a mean of </w:t>
      </w:r>
      <w:r w:rsidRPr="001C6D7F">
        <w:rPr>
          <w:i/>
          <w:iCs/>
          <w:color w:val="000000" w:themeColor="text1"/>
        </w:rPr>
        <w:t xml:space="preserve">M </w:t>
      </w:r>
      <w:r w:rsidRPr="001C6D7F">
        <w:rPr>
          <w:color w:val="000000" w:themeColor="text1"/>
        </w:rPr>
        <w:t xml:space="preserve">= .023, ranging from </w:t>
      </w:r>
      <w:r w:rsidRPr="001C6D7F">
        <w:rPr>
          <w:i/>
          <w:iCs/>
          <w:color w:val="000000" w:themeColor="text1"/>
        </w:rPr>
        <w:t xml:space="preserve">Min </w:t>
      </w:r>
      <w:r w:rsidRPr="001C6D7F">
        <w:rPr>
          <w:color w:val="000000" w:themeColor="text1"/>
        </w:rPr>
        <w:t xml:space="preserve">= .00001 to </w:t>
      </w:r>
      <w:r w:rsidRPr="001C6D7F">
        <w:rPr>
          <w:i/>
          <w:iCs/>
          <w:color w:val="000000" w:themeColor="text1"/>
        </w:rPr>
        <w:t xml:space="preserve">Max </w:t>
      </w:r>
      <w:r w:rsidRPr="001C6D7F">
        <w:rPr>
          <w:color w:val="000000" w:themeColor="text1"/>
        </w:rPr>
        <w:t xml:space="preserve">= .191, which is consistent with the findings of Gulati and Wang (2003). The values tend to increase as the event window lengthens; for example, the mean increases to </w:t>
      </w:r>
      <w:r w:rsidRPr="001C6D7F">
        <w:rPr>
          <w:i/>
          <w:iCs/>
          <w:color w:val="000000" w:themeColor="text1"/>
        </w:rPr>
        <w:t xml:space="preserve">M </w:t>
      </w:r>
      <w:r w:rsidRPr="001C6D7F">
        <w:rPr>
          <w:color w:val="000000" w:themeColor="text1"/>
        </w:rPr>
        <w:t>= .035 for an 11-day window surrounding the alliance announcement (</w:t>
      </w:r>
      <w:r w:rsidRPr="001C6D7F">
        <w:rPr>
          <w:i/>
          <w:iCs/>
          <w:color w:val="000000" w:themeColor="text1"/>
        </w:rPr>
        <w:t>DiffBenefits_5</w:t>
      </w:r>
      <w:r w:rsidRPr="001C6D7F">
        <w:rPr>
          <w:color w:val="000000" w:themeColor="text1"/>
        </w:rPr>
        <w:t>).</w:t>
      </w:r>
    </w:p>
    <w:p w14:paraId="00332037" w14:textId="77777777" w:rsidR="00755C90" w:rsidRPr="001C6D7F" w:rsidRDefault="00755C90" w:rsidP="00932F58">
      <w:pPr>
        <w:pStyle w:val="Paragraph"/>
        <w:suppressLineNumbers/>
        <w:suppressAutoHyphens/>
        <w:jc w:val="both"/>
        <w:rPr>
          <w:color w:val="000000" w:themeColor="text1"/>
        </w:rPr>
      </w:pPr>
      <w:r w:rsidRPr="001C6D7F">
        <w:rPr>
          <w:color w:val="000000" w:themeColor="text1"/>
        </w:rPr>
        <w:t xml:space="preserve">The analysis indicates that about 1.5% of the alliances in our sample have direct board interlocks, while about 10% have indirect board interlocks at the time of announcement. The control variables related to board network effects reveal frequent overlaps among alliance partners' board members in areas such as prior education, corporate affiliation, or nonprofit affiliation, with an average prior overlap of </w:t>
      </w:r>
      <w:r w:rsidRPr="001C6D7F">
        <w:rPr>
          <w:i/>
          <w:iCs/>
          <w:color w:val="000000" w:themeColor="text1"/>
        </w:rPr>
        <w:t xml:space="preserve">M </w:t>
      </w:r>
      <w:r w:rsidRPr="001C6D7F">
        <w:rPr>
          <w:color w:val="000000" w:themeColor="text1"/>
        </w:rPr>
        <w:t>= 1.32 (</w:t>
      </w:r>
      <w:r w:rsidRPr="001C6D7F">
        <w:rPr>
          <w:i/>
          <w:iCs/>
          <w:color w:val="000000" w:themeColor="text1"/>
        </w:rPr>
        <w:t xml:space="preserve">SD </w:t>
      </w:r>
      <w:r w:rsidRPr="001C6D7F">
        <w:rPr>
          <w:color w:val="000000" w:themeColor="text1"/>
        </w:rPr>
        <w:t xml:space="preserve">= 5.982). In addition, there are significant differences in network size and external connections between the boards of alliance partners, with an average network size of </w:t>
      </w:r>
      <w:r w:rsidRPr="001C6D7F">
        <w:rPr>
          <w:i/>
          <w:iCs/>
          <w:color w:val="000000" w:themeColor="text1"/>
        </w:rPr>
        <w:t xml:space="preserve">M </w:t>
      </w:r>
      <w:r w:rsidRPr="001C6D7F">
        <w:rPr>
          <w:color w:val="000000" w:themeColor="text1"/>
        </w:rPr>
        <w:t xml:space="preserve">= 24.56 and a standard deviation of </w:t>
      </w:r>
      <w:r w:rsidRPr="001C6D7F">
        <w:rPr>
          <w:i/>
          <w:iCs/>
          <w:color w:val="000000" w:themeColor="text1"/>
        </w:rPr>
        <w:t xml:space="preserve">SD </w:t>
      </w:r>
      <w:r w:rsidRPr="001C6D7F">
        <w:rPr>
          <w:color w:val="000000" w:themeColor="text1"/>
        </w:rPr>
        <w:t xml:space="preserve">= 345.45. </w:t>
      </w:r>
    </w:p>
    <w:p w14:paraId="4467870B" w14:textId="77777777" w:rsidR="00755C90" w:rsidRPr="001C6D7F" w:rsidRDefault="00755C90" w:rsidP="00932F58">
      <w:pPr>
        <w:pStyle w:val="Paragraph"/>
        <w:suppressLineNumbers/>
        <w:suppressAutoHyphens/>
        <w:ind w:firstLine="708"/>
        <w:jc w:val="both"/>
        <w:rPr>
          <w:color w:val="000000" w:themeColor="text1"/>
        </w:rPr>
      </w:pPr>
      <w:r w:rsidRPr="001C6D7F">
        <w:rPr>
          <w:color w:val="000000" w:themeColor="text1"/>
        </w:rPr>
        <w:t>Table 4 presents the Pearson product-moment correlation coefficients for all variables. We find no evidence of high linear dependence (</w:t>
      </w:r>
      <w:r w:rsidRPr="001C6D7F">
        <w:rPr>
          <w:i/>
          <w:iCs/>
          <w:color w:val="000000" w:themeColor="text1"/>
        </w:rPr>
        <w:t xml:space="preserve">r </w:t>
      </w:r>
      <w:r w:rsidRPr="001C6D7F">
        <w:rPr>
          <w:color w:val="000000" w:themeColor="text1"/>
        </w:rPr>
        <w:t xml:space="preserve">&gt; .8) between our variables, suggesting that multicollinearity is unlikely to significantly affect our regression results (Sheth, Malhotra, Sheth, &amp; Malhotra, 2011). </w:t>
      </w:r>
    </w:p>
    <w:p w14:paraId="52B47927" w14:textId="77777777" w:rsidR="00755C90" w:rsidRPr="001C6D7F" w:rsidRDefault="00755C90" w:rsidP="00755C90">
      <w:pPr>
        <w:pStyle w:val="Paragraph"/>
        <w:suppressLineNumbers/>
        <w:suppressAutoHyphens/>
        <w:ind w:firstLine="0"/>
        <w:jc w:val="center"/>
        <w:rPr>
          <w:color w:val="000000" w:themeColor="text1"/>
        </w:rPr>
      </w:pPr>
      <w:r w:rsidRPr="001C6D7F">
        <w:rPr>
          <w:color w:val="000000" w:themeColor="text1"/>
        </w:rPr>
        <w:lastRenderedPageBreak/>
        <w:t>----------------------------------------------</w:t>
      </w:r>
    </w:p>
    <w:p w14:paraId="7098B252" w14:textId="77777777" w:rsidR="00755C90" w:rsidRPr="001C6D7F" w:rsidRDefault="00755C90" w:rsidP="00755C90">
      <w:pPr>
        <w:pStyle w:val="Paragraph"/>
        <w:suppressLineNumbers/>
        <w:suppressAutoHyphens/>
        <w:ind w:firstLine="0"/>
        <w:jc w:val="center"/>
        <w:rPr>
          <w:color w:val="000000" w:themeColor="text1"/>
        </w:rPr>
      </w:pPr>
      <w:r w:rsidRPr="001C6D7F">
        <w:rPr>
          <w:color w:val="000000" w:themeColor="text1"/>
        </w:rPr>
        <w:t>Insert Table 3 and Table 4 about here</w:t>
      </w:r>
    </w:p>
    <w:p w14:paraId="2CFDD5DF" w14:textId="77777777" w:rsidR="00755C90" w:rsidRPr="001C6D7F" w:rsidRDefault="00755C90" w:rsidP="00755C90">
      <w:pPr>
        <w:pStyle w:val="Paragraph"/>
        <w:suppressLineNumbers/>
        <w:suppressAutoHyphens/>
        <w:ind w:firstLine="0"/>
        <w:jc w:val="center"/>
        <w:rPr>
          <w:color w:val="000000" w:themeColor="text1"/>
        </w:rPr>
      </w:pPr>
      <w:r w:rsidRPr="001C6D7F">
        <w:rPr>
          <w:color w:val="000000" w:themeColor="text1"/>
        </w:rPr>
        <w:t>----------------------------------------------</w:t>
      </w:r>
    </w:p>
    <w:p w14:paraId="21029D03" w14:textId="77777777" w:rsidR="00755C90" w:rsidRPr="001C6D7F" w:rsidRDefault="00755C90" w:rsidP="00932F58">
      <w:pPr>
        <w:pStyle w:val="Paragraph"/>
        <w:suppressLineNumbers/>
        <w:suppressAutoHyphens/>
        <w:ind w:firstLine="708"/>
        <w:jc w:val="both"/>
        <w:rPr>
          <w:color w:val="000000" w:themeColor="text1"/>
        </w:rPr>
      </w:pPr>
      <w:r w:rsidRPr="001C6D7F">
        <w:rPr>
          <w:color w:val="000000" w:themeColor="text1"/>
        </w:rPr>
        <w:t>For H1a we argue that alliances with direct board interlocks between partners will experience higher differential benefits. Model 2 in Table 5 presents the results of our two-way fixed effects regression analysis. The positive and statistically significant relationship (</w:t>
      </w:r>
      <w:r w:rsidRPr="001C6D7F">
        <w:rPr>
          <w:i/>
          <w:iCs/>
          <w:color w:val="000000" w:themeColor="text1"/>
        </w:rPr>
        <w:t xml:space="preserve">b </w:t>
      </w:r>
      <w:r w:rsidRPr="001C6D7F">
        <w:rPr>
          <w:color w:val="000000" w:themeColor="text1"/>
        </w:rPr>
        <w:t xml:space="preserve">= .015, </w:t>
      </w:r>
      <w:r w:rsidRPr="001C6D7F">
        <w:rPr>
          <w:i/>
          <w:iCs/>
          <w:color w:val="000000" w:themeColor="text1"/>
        </w:rPr>
        <w:t xml:space="preserve">p </w:t>
      </w:r>
      <w:r w:rsidRPr="001C6D7F">
        <w:rPr>
          <w:color w:val="000000" w:themeColor="text1"/>
        </w:rPr>
        <w:t>&lt; .05) between direct board interlocks (</w:t>
      </w:r>
      <w:r w:rsidRPr="001C6D7F">
        <w:rPr>
          <w:i/>
          <w:iCs/>
          <w:color w:val="000000" w:themeColor="text1"/>
        </w:rPr>
        <w:t>Direct_BoardInterlocks</w:t>
      </w:r>
      <w:r w:rsidRPr="001C6D7F">
        <w:rPr>
          <w:color w:val="000000" w:themeColor="text1"/>
        </w:rPr>
        <w:t>) and differential benefits (</w:t>
      </w:r>
      <w:r w:rsidRPr="001C6D7F">
        <w:rPr>
          <w:i/>
          <w:iCs/>
          <w:color w:val="000000" w:themeColor="text1"/>
        </w:rPr>
        <w:t>DiffBenefits_1</w:t>
      </w:r>
      <w:r w:rsidRPr="001C6D7F">
        <w:rPr>
          <w:color w:val="000000" w:themeColor="text1"/>
        </w:rPr>
        <w:t>) suggests that capital markets expect higher differential benefits among alliance partners with direct board interlocks, lending support to H1a. Compared to Model 1, which includes only control variables, Model 2 explains more variance, as indicated by a higher adjusted R-squared, stressing the impact of direct interlocks on differential benefits.</w:t>
      </w:r>
    </w:p>
    <w:p w14:paraId="7C4E3D20" w14:textId="77777777" w:rsidR="00755C90" w:rsidRPr="001C6D7F" w:rsidRDefault="00755C90" w:rsidP="00932F58">
      <w:pPr>
        <w:pStyle w:val="Paragraph"/>
        <w:suppressLineNumbers/>
        <w:suppressAutoHyphens/>
        <w:jc w:val="both"/>
        <w:rPr>
          <w:color w:val="000000" w:themeColor="text1"/>
        </w:rPr>
      </w:pPr>
      <w:r w:rsidRPr="001C6D7F">
        <w:rPr>
          <w:color w:val="000000" w:themeColor="text1"/>
        </w:rPr>
        <w:t>Model 3 examines the relationship between indirect board interlocks (</w:t>
      </w:r>
      <w:r w:rsidRPr="001C6D7F">
        <w:rPr>
          <w:i/>
          <w:iCs/>
          <w:color w:val="000000" w:themeColor="text1"/>
        </w:rPr>
        <w:t>Indirect_BoardInterlocks</w:t>
      </w:r>
      <w:r w:rsidRPr="001C6D7F">
        <w:rPr>
          <w:color w:val="000000" w:themeColor="text1"/>
        </w:rPr>
        <w:t>) and differential benefits (</w:t>
      </w:r>
      <w:r w:rsidRPr="001C6D7F">
        <w:rPr>
          <w:i/>
          <w:iCs/>
          <w:color w:val="000000" w:themeColor="text1"/>
        </w:rPr>
        <w:t>DiffBenefits_1</w:t>
      </w:r>
      <w:r w:rsidRPr="001C6D7F">
        <w:rPr>
          <w:color w:val="000000" w:themeColor="text1"/>
        </w:rPr>
        <w:t>), addressing H1b. Contrary to our hypothesis, we find that indirect board interlocks are positively related to differential benefits, as evidenced by a significant coefficient (</w:t>
      </w:r>
      <w:r w:rsidRPr="001C6D7F">
        <w:rPr>
          <w:i/>
          <w:iCs/>
          <w:color w:val="000000" w:themeColor="text1"/>
        </w:rPr>
        <w:t xml:space="preserve">b </w:t>
      </w:r>
      <w:r w:rsidRPr="001C6D7F">
        <w:rPr>
          <w:color w:val="000000" w:themeColor="text1"/>
        </w:rPr>
        <w:t>= .004,</w:t>
      </w:r>
      <w:r w:rsidRPr="001C6D7F">
        <w:rPr>
          <w:i/>
          <w:iCs/>
          <w:color w:val="000000" w:themeColor="text1"/>
        </w:rPr>
        <w:t xml:space="preserve"> p </w:t>
      </w:r>
      <w:r w:rsidRPr="001C6D7F">
        <w:rPr>
          <w:color w:val="000000" w:themeColor="text1"/>
        </w:rPr>
        <w:t xml:space="preserve">&lt; .05), leading us to reject H1b. Model 4 is the full model that includes both direct and indirect board interlocks. We find that the coefficients and significance levels of direct and indirect board interlocks do not change </w:t>
      </w:r>
      <w:r>
        <w:rPr>
          <w:color w:val="000000" w:themeColor="text1"/>
        </w:rPr>
        <w:t xml:space="preserve">drastically </w:t>
      </w:r>
      <w:r w:rsidRPr="001C6D7F">
        <w:rPr>
          <w:color w:val="000000" w:themeColor="text1"/>
        </w:rPr>
        <w:t>when compared to Models 2 and 3, confirming our earlier conclusions.</w:t>
      </w:r>
    </w:p>
    <w:p w14:paraId="608BE7F0" w14:textId="77777777" w:rsidR="00755C90" w:rsidRPr="001C6D7F" w:rsidRDefault="00755C90" w:rsidP="00755C90">
      <w:pPr>
        <w:pStyle w:val="Paragraph"/>
        <w:suppressLineNumbers/>
        <w:suppressAutoHyphens/>
        <w:ind w:firstLine="0"/>
        <w:jc w:val="center"/>
        <w:rPr>
          <w:color w:val="000000" w:themeColor="text1"/>
        </w:rPr>
      </w:pPr>
      <w:r w:rsidRPr="001C6D7F">
        <w:rPr>
          <w:color w:val="000000" w:themeColor="text1"/>
        </w:rPr>
        <w:t>--------------------------------</w:t>
      </w:r>
    </w:p>
    <w:p w14:paraId="724DD101" w14:textId="77777777" w:rsidR="00755C90" w:rsidRPr="001C6D7F" w:rsidRDefault="00755C90" w:rsidP="00755C90">
      <w:pPr>
        <w:pStyle w:val="Paragraph"/>
        <w:suppressLineNumbers/>
        <w:suppressAutoHyphens/>
        <w:ind w:firstLine="0"/>
        <w:jc w:val="center"/>
        <w:rPr>
          <w:color w:val="000000" w:themeColor="text1"/>
        </w:rPr>
      </w:pPr>
      <w:r w:rsidRPr="001C6D7F">
        <w:rPr>
          <w:color w:val="000000" w:themeColor="text1"/>
        </w:rPr>
        <w:t>Insert Table 5 about here</w:t>
      </w:r>
    </w:p>
    <w:p w14:paraId="2E580601" w14:textId="77777777" w:rsidR="00755C90" w:rsidRPr="001C6D7F" w:rsidRDefault="00755C90" w:rsidP="00755C90">
      <w:pPr>
        <w:pStyle w:val="Paragraph"/>
        <w:suppressLineNumbers/>
        <w:suppressAutoHyphens/>
        <w:ind w:firstLine="0"/>
        <w:jc w:val="center"/>
        <w:rPr>
          <w:color w:val="000000" w:themeColor="text1"/>
        </w:rPr>
      </w:pPr>
      <w:r w:rsidRPr="001C6D7F">
        <w:rPr>
          <w:color w:val="000000" w:themeColor="text1"/>
        </w:rPr>
        <w:t>--------------------------------</w:t>
      </w:r>
    </w:p>
    <w:p w14:paraId="01EB2AE9" w14:textId="77777777" w:rsidR="00755C90" w:rsidRPr="001C6D7F" w:rsidRDefault="00755C90" w:rsidP="00932F58">
      <w:pPr>
        <w:pStyle w:val="Paragraph"/>
        <w:suppressLineNumbers/>
        <w:suppressAutoHyphens/>
        <w:ind w:firstLine="708"/>
        <w:jc w:val="both"/>
        <w:rPr>
          <w:color w:val="000000" w:themeColor="text1"/>
        </w:rPr>
      </w:pPr>
      <w:r w:rsidRPr="001C6D7F">
        <w:rPr>
          <w:color w:val="000000" w:themeColor="text1"/>
        </w:rPr>
        <w:t>For H2a we propose that relative board power (</w:t>
      </w:r>
      <w:r w:rsidRPr="001C6D7F">
        <w:rPr>
          <w:i/>
          <w:iCs/>
          <w:color w:val="000000" w:themeColor="text1"/>
        </w:rPr>
        <w:t>Relative_BoardPower</w:t>
      </w:r>
      <w:r w:rsidRPr="001C6D7F">
        <w:rPr>
          <w:color w:val="000000" w:themeColor="text1"/>
        </w:rPr>
        <w:t xml:space="preserve">) positively moderates the relationship between direct board interlocks and differential benefits. This is based on the premise that firms high in board power can better translate direct interlock information into strategic action. In alliances where firms are linked by direct interlocks and have different levels of board power, the firm with higher board power can better use external </w:t>
      </w:r>
      <w:r w:rsidRPr="001C6D7F">
        <w:rPr>
          <w:color w:val="000000" w:themeColor="text1"/>
        </w:rPr>
        <w:lastRenderedPageBreak/>
        <w:t>information, potentially leading to increased differential benefits. The moderating effects of relative board power are shown in Table 6, Model 5, results in a positive and significant coefficient of the interaction term (</w:t>
      </w:r>
      <w:r w:rsidRPr="001C6D7F">
        <w:rPr>
          <w:i/>
          <w:iCs/>
          <w:color w:val="000000" w:themeColor="text1"/>
        </w:rPr>
        <w:t xml:space="preserve">b </w:t>
      </w:r>
      <w:r w:rsidRPr="001C6D7F">
        <w:rPr>
          <w:color w:val="000000" w:themeColor="text1"/>
        </w:rPr>
        <w:t>= .015,</w:t>
      </w:r>
      <w:r w:rsidRPr="001C6D7F">
        <w:rPr>
          <w:i/>
          <w:iCs/>
          <w:color w:val="000000" w:themeColor="text1"/>
        </w:rPr>
        <w:t xml:space="preserve"> p </w:t>
      </w:r>
      <w:r w:rsidRPr="001C6D7F">
        <w:rPr>
          <w:color w:val="000000" w:themeColor="text1"/>
        </w:rPr>
        <w:t>&lt; .001), supporting H2a.</w:t>
      </w:r>
      <w:r>
        <w:rPr>
          <w:color w:val="000000" w:themeColor="text1"/>
        </w:rPr>
        <w:t xml:space="preserve"> </w:t>
      </w:r>
      <w:r w:rsidRPr="001C6D7F">
        <w:rPr>
          <w:color w:val="000000" w:themeColor="text1"/>
        </w:rPr>
        <w:t>H2b follows a similar argument and states that relative board power positively moderates the relationship between indirect board interlocks and differential benefits. Again, the results of Model 7 show that the positive coefficient on the interaction term is statistically significant (</w:t>
      </w:r>
      <w:r w:rsidRPr="001C6D7F">
        <w:rPr>
          <w:i/>
          <w:iCs/>
          <w:color w:val="000000" w:themeColor="text1"/>
        </w:rPr>
        <w:t xml:space="preserve">b </w:t>
      </w:r>
      <w:r w:rsidRPr="001C6D7F">
        <w:rPr>
          <w:color w:val="000000" w:themeColor="text1"/>
        </w:rPr>
        <w:t>= .003,</w:t>
      </w:r>
      <w:r w:rsidRPr="001C6D7F">
        <w:rPr>
          <w:i/>
          <w:iCs/>
          <w:color w:val="000000" w:themeColor="text1"/>
        </w:rPr>
        <w:t xml:space="preserve"> p </w:t>
      </w:r>
      <w:r w:rsidRPr="001C6D7F">
        <w:rPr>
          <w:color w:val="000000" w:themeColor="text1"/>
        </w:rPr>
        <w:t xml:space="preserve">&lt; .05), leading us to support H2b. </w:t>
      </w:r>
    </w:p>
    <w:p w14:paraId="35D9D841" w14:textId="77777777" w:rsidR="00755C90" w:rsidRPr="001C6D7F" w:rsidRDefault="00755C90" w:rsidP="00932F58">
      <w:pPr>
        <w:pStyle w:val="Paragraph"/>
        <w:suppressLineNumbers/>
        <w:suppressAutoHyphens/>
        <w:ind w:firstLine="708"/>
        <w:jc w:val="both"/>
        <w:rPr>
          <w:color w:val="000000" w:themeColor="text1"/>
        </w:rPr>
      </w:pPr>
      <w:r w:rsidRPr="001C6D7F">
        <w:rPr>
          <w:color w:val="000000" w:themeColor="text1"/>
        </w:rPr>
        <w:t>H3a asserts that relative firm status (</w:t>
      </w:r>
      <w:r w:rsidRPr="001C6D7F">
        <w:rPr>
          <w:i/>
          <w:iCs/>
          <w:color w:val="000000" w:themeColor="text1"/>
        </w:rPr>
        <w:t>Relative_FirmStatus</w:t>
      </w:r>
      <w:r w:rsidRPr="001C6D7F">
        <w:rPr>
          <w:color w:val="000000" w:themeColor="text1"/>
        </w:rPr>
        <w:t>) positively moderates the effect of direct board interlocks on differential benefits, based on the argument that low-status firms stand to benefit from multiplex relationships with high-status firms. Empirical evidence suggests that board connections have a more significant positive impact on performance for smaller firms than for larger firms, a phenomenon that Zona et al. (2018) attribute to the self-serving actions of managers in resource-rich firms who seek to increase their personal influence. As a result, resource-constrained firms may benefit from these actions. Model 6 reveals a positive and statistically significant effect of relative firm status on the relationship between direct board interlocks and differential benefits term (</w:t>
      </w:r>
      <w:r w:rsidRPr="001C6D7F">
        <w:rPr>
          <w:i/>
          <w:iCs/>
          <w:color w:val="000000" w:themeColor="text1"/>
        </w:rPr>
        <w:t xml:space="preserve">b </w:t>
      </w:r>
      <w:r w:rsidRPr="001C6D7F">
        <w:rPr>
          <w:color w:val="000000" w:themeColor="text1"/>
        </w:rPr>
        <w:t>= .002,</w:t>
      </w:r>
      <w:r w:rsidRPr="001C6D7F">
        <w:rPr>
          <w:i/>
          <w:iCs/>
          <w:color w:val="000000" w:themeColor="text1"/>
        </w:rPr>
        <w:t xml:space="preserve"> p </w:t>
      </w:r>
      <w:r w:rsidRPr="001C6D7F">
        <w:rPr>
          <w:color w:val="000000" w:themeColor="text1"/>
        </w:rPr>
        <w:t>&lt; .05), supporting H3a.</w:t>
      </w:r>
      <w:r>
        <w:rPr>
          <w:color w:val="000000" w:themeColor="text1"/>
        </w:rPr>
        <w:t xml:space="preserve"> </w:t>
      </w:r>
      <w:r w:rsidRPr="001C6D7F">
        <w:rPr>
          <w:color w:val="000000" w:themeColor="text1"/>
        </w:rPr>
        <w:t>Similarly, H3b predicts that relative firm status positively moderates the relationship between indirect board interlocks and differential benefits. The results of Model 8 show a significant moderating effect of firm status (</w:t>
      </w:r>
      <w:r w:rsidRPr="001C6D7F">
        <w:rPr>
          <w:i/>
          <w:iCs/>
          <w:color w:val="000000" w:themeColor="text1"/>
        </w:rPr>
        <w:t xml:space="preserve">b </w:t>
      </w:r>
      <w:r w:rsidRPr="001C6D7F">
        <w:rPr>
          <w:color w:val="000000" w:themeColor="text1"/>
        </w:rPr>
        <w:t>= .001,</w:t>
      </w:r>
      <w:r w:rsidRPr="001C6D7F">
        <w:rPr>
          <w:i/>
          <w:iCs/>
          <w:color w:val="000000" w:themeColor="text1"/>
        </w:rPr>
        <w:t xml:space="preserve"> p </w:t>
      </w:r>
      <w:r w:rsidRPr="001C6D7F">
        <w:rPr>
          <w:color w:val="000000" w:themeColor="text1"/>
        </w:rPr>
        <w:t>&lt; .05), supporting H3b.</w:t>
      </w:r>
    </w:p>
    <w:p w14:paraId="014A0485" w14:textId="77777777" w:rsidR="00755C90" w:rsidRPr="001C6D7F" w:rsidRDefault="00755C90" w:rsidP="00755C90">
      <w:pPr>
        <w:pStyle w:val="Paragraph"/>
        <w:suppressLineNumbers/>
        <w:suppressAutoHyphens/>
        <w:ind w:firstLine="0"/>
        <w:jc w:val="center"/>
        <w:rPr>
          <w:color w:val="000000" w:themeColor="text1"/>
        </w:rPr>
      </w:pPr>
      <w:r w:rsidRPr="001C6D7F">
        <w:rPr>
          <w:color w:val="000000" w:themeColor="text1"/>
        </w:rPr>
        <w:t>--------------------------------</w:t>
      </w:r>
    </w:p>
    <w:p w14:paraId="0F9C10B3" w14:textId="77777777" w:rsidR="00755C90" w:rsidRPr="001C6D7F" w:rsidRDefault="00755C90" w:rsidP="00755C90">
      <w:pPr>
        <w:pStyle w:val="Paragraph"/>
        <w:suppressLineNumbers/>
        <w:suppressAutoHyphens/>
        <w:ind w:firstLine="0"/>
        <w:jc w:val="center"/>
        <w:rPr>
          <w:color w:val="000000" w:themeColor="text1"/>
        </w:rPr>
      </w:pPr>
      <w:r w:rsidRPr="001C6D7F">
        <w:rPr>
          <w:color w:val="000000" w:themeColor="text1"/>
        </w:rPr>
        <w:t>Insert Table 6 about here</w:t>
      </w:r>
    </w:p>
    <w:p w14:paraId="71396736" w14:textId="77777777" w:rsidR="00755C90" w:rsidRPr="001C6D7F" w:rsidRDefault="00755C90" w:rsidP="00755C90">
      <w:pPr>
        <w:pStyle w:val="Paragraph"/>
        <w:suppressLineNumbers/>
        <w:suppressAutoHyphens/>
        <w:ind w:firstLine="0"/>
        <w:jc w:val="center"/>
        <w:rPr>
          <w:color w:val="000000" w:themeColor="text1"/>
        </w:rPr>
      </w:pPr>
      <w:r w:rsidRPr="001C6D7F">
        <w:rPr>
          <w:color w:val="000000" w:themeColor="text1"/>
        </w:rPr>
        <w:t>--------------------------------</w:t>
      </w:r>
    </w:p>
    <w:p w14:paraId="42397332" w14:textId="77777777" w:rsidR="00755C90" w:rsidRPr="00755C90" w:rsidRDefault="00755C90" w:rsidP="00932F58">
      <w:pPr>
        <w:pStyle w:val="berschrift2"/>
        <w:rPr>
          <w:lang w:val="en-US"/>
        </w:rPr>
      </w:pPr>
      <w:bookmarkStart w:id="256" w:name="_Toc180963616"/>
      <w:r w:rsidRPr="00755C90">
        <w:rPr>
          <w:lang w:val="en-US"/>
        </w:rPr>
        <w:t>Robustness Checks</w:t>
      </w:r>
      <w:bookmarkEnd w:id="256"/>
    </w:p>
    <w:p w14:paraId="31052F0A" w14:textId="77777777" w:rsidR="00755C90" w:rsidRPr="001C6D7F" w:rsidRDefault="00755C90" w:rsidP="00932F58">
      <w:pPr>
        <w:pStyle w:val="Paragraph"/>
        <w:suppressLineNumbers/>
        <w:suppressAutoHyphens/>
        <w:ind w:firstLine="708"/>
        <w:jc w:val="both"/>
        <w:rPr>
          <w:color w:val="000000" w:themeColor="text1"/>
        </w:rPr>
      </w:pPr>
      <w:r w:rsidRPr="00C0223F">
        <w:rPr>
          <w:color w:val="000000" w:themeColor="text1"/>
        </w:rPr>
        <w:t>To validate our main analysis, we conducted several robustness tests, the results of which are detailed in the online supplement to this article</w:t>
      </w:r>
      <w:r w:rsidRPr="001C6D7F">
        <w:rPr>
          <w:color w:val="000000" w:themeColor="text1"/>
        </w:rPr>
        <w:t xml:space="preserve">. </w:t>
      </w:r>
      <w:r w:rsidRPr="00C0223F">
        <w:rPr>
          <w:color w:val="000000" w:themeColor="text1"/>
        </w:rPr>
        <w:t xml:space="preserve">First, we assessed the impact of using alternative event windows for our primary dependent variable, differential benefits. Consistent </w:t>
      </w:r>
      <w:r w:rsidRPr="00C0223F">
        <w:rPr>
          <w:color w:val="000000" w:themeColor="text1"/>
        </w:rPr>
        <w:lastRenderedPageBreak/>
        <w:t>with our main findings, event windows of 5 and 11 days around the alliance announcement date</w:t>
      </w:r>
      <w:r w:rsidRPr="001C6D7F">
        <w:rPr>
          <w:color w:val="000000" w:themeColor="text1"/>
        </w:rPr>
        <w:t xml:space="preserve"> (</w:t>
      </w:r>
      <w:r w:rsidRPr="001C6D7F">
        <w:rPr>
          <w:i/>
          <w:iCs/>
          <w:color w:val="000000" w:themeColor="text1"/>
        </w:rPr>
        <w:t>DiffBenefits_2; DiffBenefits_5</w:t>
      </w:r>
      <w:r w:rsidRPr="001C6D7F">
        <w:rPr>
          <w:color w:val="000000" w:themeColor="text1"/>
        </w:rPr>
        <w:t xml:space="preserve">) </w:t>
      </w:r>
      <w:r w:rsidRPr="00B6632C">
        <w:rPr>
          <w:color w:val="000000" w:themeColor="text1"/>
        </w:rPr>
        <w:t>revealed significant positive effects of both direct and indirect board interlocks on differential benefits, strengthening our main results, as shown in Online Supplement 1. Similarly, the moderation analysis supported these findings, with results available in Online Supplement 2.</w:t>
      </w:r>
    </w:p>
    <w:p w14:paraId="2EEA5F5C" w14:textId="77777777" w:rsidR="00755C90" w:rsidRDefault="00755C90" w:rsidP="00932F58">
      <w:pPr>
        <w:pStyle w:val="Paragraph"/>
        <w:suppressLineNumbers/>
        <w:suppressAutoHyphens/>
        <w:jc w:val="both"/>
        <w:rPr>
          <w:color w:val="000000" w:themeColor="text1"/>
        </w:rPr>
      </w:pPr>
      <w:r w:rsidRPr="00B6632C">
        <w:rPr>
          <w:color w:val="000000" w:themeColor="text1"/>
        </w:rPr>
        <w:t>Second, we computed an alternative measure of differential benefits, defined as the absolute difference in cumulative abnormal stock returns of alliance firms (</w:t>
      </w:r>
      <w:r w:rsidRPr="00B6632C">
        <w:rPr>
          <w:i/>
          <w:iCs/>
          <w:color w:val="000000" w:themeColor="text1"/>
        </w:rPr>
        <w:t>DiffBenefits_AD1</w:t>
      </w:r>
      <w:r w:rsidRPr="00B6632C">
        <w:rPr>
          <w:color w:val="000000" w:themeColor="text1"/>
        </w:rPr>
        <w:t>). The results of both the main and moderation analyses, presented in Online Supplements 3 and 4, confirm the robustness of our original findings to variations in the dependent variable.</w:t>
      </w:r>
    </w:p>
    <w:p w14:paraId="70592642" w14:textId="77777777" w:rsidR="00755C90" w:rsidRDefault="00755C90" w:rsidP="00932F58">
      <w:pPr>
        <w:pStyle w:val="Paragraph"/>
        <w:suppressLineNumbers/>
        <w:suppressAutoHyphens/>
        <w:jc w:val="both"/>
        <w:rPr>
          <w:color w:val="000000" w:themeColor="text1"/>
        </w:rPr>
      </w:pPr>
      <w:r w:rsidRPr="0094642E">
        <w:rPr>
          <w:color w:val="000000" w:themeColor="text1"/>
        </w:rPr>
        <w:t>Third, we tested different proxies for our moderating variables, as shown in Online Appendix 5. For relative board power, we used CEO duality as an indicator of CEO power, reverse-coded to be consistent with our hypotheses (</w:t>
      </w:r>
      <w:r w:rsidRPr="0094642E">
        <w:rPr>
          <w:i/>
          <w:iCs/>
          <w:color w:val="000000" w:themeColor="text1"/>
        </w:rPr>
        <w:t>Relative_CEODuality</w:t>
      </w:r>
      <w:r w:rsidRPr="0094642E">
        <w:rPr>
          <w:color w:val="000000" w:themeColor="text1"/>
        </w:rPr>
        <w:t>), where 1 indicates no CEO duality and 0 indicates CEO duality. The results of this moderation analysis, particularly in Model 17, show a significant positive moderating effect of relative CEO duality on the relationship between direct board interlocks (</w:t>
      </w:r>
      <w:r w:rsidRPr="0094642E">
        <w:rPr>
          <w:i/>
          <w:iCs/>
          <w:color w:val="000000" w:themeColor="text1"/>
        </w:rPr>
        <w:t>b</w:t>
      </w:r>
      <w:r w:rsidRPr="0094642E">
        <w:rPr>
          <w:color w:val="000000" w:themeColor="text1"/>
        </w:rPr>
        <w:t xml:space="preserve"> = .059, </w:t>
      </w:r>
      <w:r w:rsidRPr="0094642E">
        <w:rPr>
          <w:i/>
          <w:iCs/>
          <w:color w:val="000000" w:themeColor="text1"/>
        </w:rPr>
        <w:t>p</w:t>
      </w:r>
      <w:r w:rsidRPr="0094642E">
        <w:rPr>
          <w:color w:val="000000" w:themeColor="text1"/>
        </w:rPr>
        <w:t xml:space="preserve"> &lt; .05). The effect of indirect board interlocks remained positive and statistically significant in Model 19 (</w:t>
      </w:r>
      <w:r w:rsidRPr="0094642E">
        <w:rPr>
          <w:i/>
          <w:iCs/>
          <w:color w:val="000000" w:themeColor="text1"/>
        </w:rPr>
        <w:t>b</w:t>
      </w:r>
      <w:r w:rsidRPr="0094642E">
        <w:rPr>
          <w:color w:val="000000" w:themeColor="text1"/>
        </w:rPr>
        <w:t xml:space="preserve"> = .009, </w:t>
      </w:r>
      <w:r w:rsidRPr="0094642E">
        <w:rPr>
          <w:i/>
          <w:iCs/>
          <w:color w:val="000000" w:themeColor="text1"/>
        </w:rPr>
        <w:t>p</w:t>
      </w:r>
      <w:r w:rsidRPr="0094642E">
        <w:rPr>
          <w:color w:val="000000" w:themeColor="text1"/>
        </w:rPr>
        <w:t xml:space="preserve"> &lt; .05).</w:t>
      </w:r>
    </w:p>
    <w:p w14:paraId="271DAA03" w14:textId="77777777" w:rsidR="00755C90" w:rsidRDefault="00755C90" w:rsidP="00932F58">
      <w:pPr>
        <w:pStyle w:val="Paragraph"/>
        <w:suppressLineNumbers/>
        <w:suppressAutoHyphens/>
        <w:jc w:val="both"/>
        <w:rPr>
          <w:color w:val="000000" w:themeColor="text1"/>
        </w:rPr>
      </w:pPr>
      <w:r w:rsidRPr="0094642E">
        <w:rPr>
          <w:color w:val="000000" w:themeColor="text1"/>
        </w:rPr>
        <w:t>Finally, we examined an alternative measure of relative firm status based on the premise that higher status firms attract more analyst coverage</w:t>
      </w:r>
      <w:r>
        <w:rPr>
          <w:color w:val="000000" w:themeColor="text1"/>
        </w:rPr>
        <w:t xml:space="preserve"> </w:t>
      </w:r>
      <w:r w:rsidRPr="001C6D7F">
        <w:rPr>
          <w:color w:val="000000" w:themeColor="text1"/>
        </w:rPr>
        <w:t xml:space="preserve">(Shen, Tang, &amp; Chen, 2014). </w:t>
      </w:r>
      <w:r w:rsidRPr="0094642E">
        <w:rPr>
          <w:color w:val="000000" w:themeColor="text1"/>
        </w:rPr>
        <w:t>We calculated the ratio of analyst coverage for each firm dyad to create a relative measure (</w:t>
      </w:r>
      <w:r w:rsidRPr="0094642E">
        <w:rPr>
          <w:i/>
          <w:iCs/>
          <w:color w:val="000000" w:themeColor="text1"/>
        </w:rPr>
        <w:t>Relative_AnalystCoverage</w:t>
      </w:r>
      <w:r w:rsidRPr="0094642E">
        <w:rPr>
          <w:color w:val="000000" w:themeColor="text1"/>
        </w:rPr>
        <w:t xml:space="preserve">). Consistent with our primary moderation results, we found a significant positive moderating effect for direct board interlocks in Model 18 </w:t>
      </w:r>
      <w:r w:rsidRPr="001C6D7F">
        <w:rPr>
          <w:color w:val="000000" w:themeColor="text1"/>
        </w:rPr>
        <w:t>(</w:t>
      </w:r>
      <w:r w:rsidRPr="001C6D7F">
        <w:rPr>
          <w:i/>
          <w:iCs/>
          <w:color w:val="000000" w:themeColor="text1"/>
        </w:rPr>
        <w:t xml:space="preserve">b = </w:t>
      </w:r>
      <w:r w:rsidRPr="001C6D7F">
        <w:rPr>
          <w:color w:val="000000" w:themeColor="text1"/>
        </w:rPr>
        <w:t xml:space="preserve">.004, </w:t>
      </w:r>
      <w:r w:rsidRPr="001C6D7F">
        <w:rPr>
          <w:i/>
          <w:iCs/>
          <w:color w:val="000000" w:themeColor="text1"/>
        </w:rPr>
        <w:t xml:space="preserve">p </w:t>
      </w:r>
      <w:r w:rsidRPr="001C6D7F">
        <w:rPr>
          <w:color w:val="000000" w:themeColor="text1"/>
        </w:rPr>
        <w:t xml:space="preserve">&lt; .01) </w:t>
      </w:r>
      <w:r w:rsidRPr="0094642E">
        <w:rPr>
          <w:color w:val="000000" w:themeColor="text1"/>
        </w:rPr>
        <w:t xml:space="preserve">and a significant effect for indirect board interlocks in Model 20 </w:t>
      </w:r>
      <w:r w:rsidRPr="001C6D7F">
        <w:rPr>
          <w:color w:val="000000" w:themeColor="text1"/>
        </w:rPr>
        <w:t>(</w:t>
      </w:r>
      <w:r w:rsidRPr="001C6D7F">
        <w:rPr>
          <w:i/>
          <w:iCs/>
          <w:color w:val="000000" w:themeColor="text1"/>
        </w:rPr>
        <w:t xml:space="preserve">b = </w:t>
      </w:r>
      <w:r w:rsidRPr="001C6D7F">
        <w:rPr>
          <w:color w:val="000000" w:themeColor="text1"/>
        </w:rPr>
        <w:t xml:space="preserve">.000, </w:t>
      </w:r>
      <w:r w:rsidRPr="001C6D7F">
        <w:rPr>
          <w:i/>
          <w:iCs/>
          <w:color w:val="000000" w:themeColor="text1"/>
        </w:rPr>
        <w:t xml:space="preserve">p </w:t>
      </w:r>
      <w:r w:rsidRPr="001C6D7F">
        <w:rPr>
          <w:color w:val="000000" w:themeColor="text1"/>
        </w:rPr>
        <w:t>&lt; .05).</w:t>
      </w:r>
    </w:p>
    <w:p w14:paraId="38100EA1" w14:textId="77777777" w:rsidR="00755C90" w:rsidRPr="001C6D7F" w:rsidRDefault="00755C90" w:rsidP="00932F58">
      <w:pPr>
        <w:pStyle w:val="Paragraph"/>
        <w:suppressLineNumbers/>
        <w:suppressAutoHyphens/>
        <w:jc w:val="both"/>
        <w:rPr>
          <w:color w:val="000000" w:themeColor="text1"/>
        </w:rPr>
      </w:pPr>
      <w:r w:rsidRPr="0094642E">
        <w:rPr>
          <w:color w:val="000000" w:themeColor="text1"/>
        </w:rPr>
        <w:t>In summary, the robustness checks confirm the reliability of our main analysis and provide strong support for our initial conclusions</w:t>
      </w:r>
      <w:r w:rsidRPr="001C6D7F">
        <w:rPr>
          <w:color w:val="000000" w:themeColor="text1"/>
        </w:rPr>
        <w:t xml:space="preserve">. </w:t>
      </w:r>
    </w:p>
    <w:p w14:paraId="5B0E12A6" w14:textId="77777777" w:rsidR="00755C90" w:rsidRPr="00755C90" w:rsidRDefault="00755C90" w:rsidP="00932F58">
      <w:pPr>
        <w:pStyle w:val="berschrift2"/>
        <w:rPr>
          <w:lang w:val="en-US"/>
        </w:rPr>
      </w:pPr>
      <w:bookmarkStart w:id="257" w:name="_Toc180963617"/>
      <w:r w:rsidRPr="00755C90">
        <w:rPr>
          <w:lang w:val="en-US"/>
        </w:rPr>
        <w:lastRenderedPageBreak/>
        <w:t>Discussion</w:t>
      </w:r>
      <w:bookmarkEnd w:id="257"/>
    </w:p>
    <w:p w14:paraId="45EE542E" w14:textId="77777777" w:rsidR="00755C90" w:rsidRPr="00755C90" w:rsidRDefault="00755C90" w:rsidP="00932F58">
      <w:pPr>
        <w:pStyle w:val="berschrift3"/>
      </w:pPr>
      <w:r w:rsidRPr="00755C90">
        <w:t>Discussion of findings</w:t>
      </w:r>
    </w:p>
    <w:p w14:paraId="63203570" w14:textId="77777777" w:rsidR="00755C90" w:rsidRPr="001C6D7F" w:rsidRDefault="00755C90" w:rsidP="00932F58">
      <w:pPr>
        <w:pStyle w:val="Paragraph"/>
        <w:suppressLineNumbers/>
        <w:suppressAutoHyphens/>
        <w:ind w:firstLine="708"/>
        <w:jc w:val="both"/>
        <w:rPr>
          <w:color w:val="000000" w:themeColor="text1"/>
        </w:rPr>
      </w:pPr>
      <w:r w:rsidRPr="00AD5660">
        <w:rPr>
          <w:color w:val="000000" w:themeColor="text1"/>
        </w:rPr>
        <w:t>Board interlocks have been extensively studied as a mechanism for firms to access external resources and thereby reduce their environmental dependence</w:t>
      </w:r>
      <w:r>
        <w:rPr>
          <w:color w:val="000000" w:themeColor="text1"/>
        </w:rPr>
        <w:t xml:space="preserve"> </w:t>
      </w:r>
      <w:r w:rsidRPr="001C6D7F">
        <w:rPr>
          <w:color w:val="000000" w:themeColor="text1"/>
        </w:rPr>
        <w:t xml:space="preserve">(Lamb &amp; Roundy, 2016; Mizruchi &amp; Stearns, 1988). </w:t>
      </w:r>
      <w:r w:rsidRPr="00466C93">
        <w:rPr>
          <w:color w:val="000000" w:themeColor="text1"/>
        </w:rPr>
        <w:t xml:space="preserve">Previous research has also emphasized their role in monitoring firms, underscoring their importance as an instrument of corporate control </w:t>
      </w:r>
      <w:r w:rsidRPr="001C6D7F">
        <w:rPr>
          <w:color w:val="000000" w:themeColor="text1"/>
        </w:rPr>
        <w:t xml:space="preserve">(Mizruchi, 1996). </w:t>
      </w:r>
      <w:r w:rsidRPr="00E84811">
        <w:rPr>
          <w:color w:val="000000" w:themeColor="text1"/>
        </w:rPr>
        <w:t>However, their specific impact in the context of alliances remains underexplored. Our study addresses this gap by examining how direct and indirect board interlocks affect the dynamics of cooperation and competition in strategic alliances, focusing in particular on their association with resource appropriation and differential benefits</w:t>
      </w:r>
      <w:r w:rsidRPr="00466C93">
        <w:rPr>
          <w:color w:val="000000" w:themeColor="text1"/>
        </w:rPr>
        <w:t xml:space="preserve">. </w:t>
      </w:r>
      <w:r w:rsidRPr="00E84811">
        <w:rPr>
          <w:color w:val="000000" w:themeColor="text1"/>
        </w:rPr>
        <w:t>Our results show that both direct and indirect board interlocks are positively associated with differential benefits in alliances. These results are supported by robustness tests that are consistent with our primary analyses, providing a coherent and consistent narrative</w:t>
      </w:r>
      <w:r w:rsidRPr="00466C93">
        <w:rPr>
          <w:color w:val="000000" w:themeColor="text1"/>
        </w:rPr>
        <w:t>.</w:t>
      </w:r>
    </w:p>
    <w:p w14:paraId="65AEE386" w14:textId="77777777" w:rsidR="00755C90" w:rsidRPr="001C6D7F" w:rsidRDefault="00755C90" w:rsidP="00932F58">
      <w:pPr>
        <w:pStyle w:val="Paragraph"/>
        <w:suppressLineNumbers/>
        <w:suppressAutoHyphens/>
        <w:jc w:val="both"/>
        <w:rPr>
          <w:color w:val="000000" w:themeColor="text1"/>
        </w:rPr>
      </w:pPr>
      <w:r w:rsidRPr="008E2C57">
        <w:rPr>
          <w:color w:val="000000" w:themeColor="text1"/>
        </w:rPr>
        <w:t>For direct board interlocks, our results support the hypothesis that they facilitate resource appropriation by an alliance partner by providing unique learning opportunities for directors, leading to private benefits for alliance partners. At the same time, they act as a social defense mechanism, reducing the threat of opportunistic behavior</w:t>
      </w:r>
      <w:r>
        <w:rPr>
          <w:color w:val="000000" w:themeColor="text1"/>
        </w:rPr>
        <w:t xml:space="preserve"> </w:t>
      </w:r>
      <w:r w:rsidRPr="001C6D7F">
        <w:rPr>
          <w:color w:val="000000" w:themeColor="text1"/>
        </w:rPr>
        <w:t xml:space="preserve">(Knoben &amp; Bakker, 2019). Consistent with the conceptual framework proposed by Larsson et al. (1998), which </w:t>
      </w:r>
      <w:r w:rsidRPr="008E2C57">
        <w:rPr>
          <w:color w:val="000000" w:themeColor="text1"/>
        </w:rPr>
        <w:t>predicts unilateral resource flows in scenarios of unequal transparency, we find a positive correlation between direct interlocks and differential benefits</w:t>
      </w:r>
      <w:r w:rsidRPr="001C6D7F">
        <w:rPr>
          <w:color w:val="000000" w:themeColor="text1"/>
        </w:rPr>
        <w:t>.</w:t>
      </w:r>
    </w:p>
    <w:p w14:paraId="015B83B8" w14:textId="77777777" w:rsidR="00755C90" w:rsidRPr="001C6D7F" w:rsidRDefault="00755C90" w:rsidP="00932F58">
      <w:pPr>
        <w:pStyle w:val="Paragraph"/>
        <w:suppressLineNumbers/>
        <w:suppressAutoHyphens/>
        <w:jc w:val="both"/>
        <w:rPr>
          <w:color w:val="000000" w:themeColor="text1"/>
        </w:rPr>
      </w:pPr>
      <w:r w:rsidRPr="008E2C57">
        <w:rPr>
          <w:color w:val="000000" w:themeColor="text1"/>
        </w:rPr>
        <w:t>Contrary to our initial hypothesis, indirect board interlocks also have a positive effect on differential benefits. This suggests that competitive forces may offset the expected benefits of improved coordination and communication. One plausible explanation is that the strategic value of information exchanged through indirect interlocks varies across partners, with resource-constrained firms potentially gaining more than their resource-rich counterparts</w:t>
      </w:r>
      <w:r w:rsidRPr="001C6D7F">
        <w:rPr>
          <w:color w:val="000000" w:themeColor="text1"/>
        </w:rPr>
        <w:t xml:space="preserve"> (Zona </w:t>
      </w:r>
      <w:r w:rsidRPr="001C6D7F">
        <w:rPr>
          <w:color w:val="000000" w:themeColor="text1"/>
        </w:rPr>
        <w:lastRenderedPageBreak/>
        <w:t xml:space="preserve">et al., 2018). </w:t>
      </w:r>
      <w:r w:rsidRPr="008E2C57">
        <w:rPr>
          <w:color w:val="000000" w:themeColor="text1"/>
        </w:rPr>
        <w:t xml:space="preserve">Alternatively, indirect board interlocks may allow </w:t>
      </w:r>
      <w:r>
        <w:rPr>
          <w:color w:val="000000" w:themeColor="text1"/>
        </w:rPr>
        <w:t xml:space="preserve">one alliance partner </w:t>
      </w:r>
      <w:r w:rsidRPr="008E2C57">
        <w:rPr>
          <w:color w:val="000000" w:themeColor="text1"/>
        </w:rPr>
        <w:t>to influence its partners' decisions in a way that favors the focal firm</w:t>
      </w:r>
      <w:r w:rsidRPr="001C6D7F">
        <w:rPr>
          <w:color w:val="000000" w:themeColor="text1"/>
        </w:rPr>
        <w:t>.</w:t>
      </w:r>
    </w:p>
    <w:p w14:paraId="2ED8DCDF" w14:textId="77777777" w:rsidR="00755C90" w:rsidRPr="001C6D7F" w:rsidRDefault="00755C90" w:rsidP="00932F58">
      <w:pPr>
        <w:pStyle w:val="Paragraph"/>
        <w:suppressLineNumbers/>
        <w:suppressAutoHyphens/>
        <w:jc w:val="both"/>
        <w:rPr>
          <w:color w:val="000000" w:themeColor="text1"/>
        </w:rPr>
      </w:pPr>
      <w:r w:rsidRPr="008E2C57">
        <w:rPr>
          <w:color w:val="000000" w:themeColor="text1"/>
        </w:rPr>
        <w:t xml:space="preserve">Our moderation analysis further confirms the role of board receptivity in shaping the relationship between board interlocks and differential benefits. We find that receptivity to external information, which is influenced by board and firm-level factors, significantly affects how firms use network information for private </w:t>
      </w:r>
      <w:r>
        <w:rPr>
          <w:color w:val="000000" w:themeColor="text1"/>
        </w:rPr>
        <w:t>benefits</w:t>
      </w:r>
      <w:r w:rsidRPr="008E2C57">
        <w:rPr>
          <w:color w:val="000000" w:themeColor="text1"/>
        </w:rPr>
        <w:t xml:space="preserve"> </w:t>
      </w:r>
      <w:r w:rsidRPr="001C6D7F">
        <w:rPr>
          <w:color w:val="000000" w:themeColor="text1"/>
        </w:rPr>
        <w:t xml:space="preserve">(Shropshire, 2010). </w:t>
      </w:r>
      <w:r w:rsidRPr="008E2C57">
        <w:rPr>
          <w:color w:val="000000" w:themeColor="text1"/>
        </w:rPr>
        <w:t>In particular, we find that differences in</w:t>
      </w:r>
      <w:r>
        <w:rPr>
          <w:color w:val="000000" w:themeColor="text1"/>
        </w:rPr>
        <w:t xml:space="preserve"> </w:t>
      </w:r>
      <w:r w:rsidRPr="008E2C57">
        <w:rPr>
          <w:color w:val="000000" w:themeColor="text1"/>
        </w:rPr>
        <w:t xml:space="preserve">board power and the status of the firm positively moderate this relationship, providing empirical support for the propositions </w:t>
      </w:r>
      <w:r w:rsidRPr="001C6D7F">
        <w:rPr>
          <w:color w:val="000000" w:themeColor="text1"/>
        </w:rPr>
        <w:t>of Shropshire (2010).</w:t>
      </w:r>
    </w:p>
    <w:p w14:paraId="509E253D" w14:textId="77777777" w:rsidR="00755C90" w:rsidRPr="00755C90" w:rsidRDefault="00755C90" w:rsidP="00932F58">
      <w:pPr>
        <w:pStyle w:val="berschrift3"/>
      </w:pPr>
      <w:r w:rsidRPr="00755C90">
        <w:t>Implications for theory</w:t>
      </w:r>
    </w:p>
    <w:p w14:paraId="5E076C6A" w14:textId="77777777" w:rsidR="00755C90" w:rsidRPr="001C6D7F" w:rsidRDefault="00755C90" w:rsidP="00932F58">
      <w:pPr>
        <w:pStyle w:val="Paragraph"/>
        <w:suppressLineNumbers/>
        <w:suppressAutoHyphens/>
        <w:ind w:firstLine="708"/>
        <w:jc w:val="both"/>
        <w:rPr>
          <w:color w:val="000000" w:themeColor="text1"/>
        </w:rPr>
      </w:pPr>
      <w:r w:rsidRPr="00F2496D">
        <w:rPr>
          <w:color w:val="000000" w:themeColor="text1"/>
        </w:rPr>
        <w:t xml:space="preserve">Our results contribute to the literature in several ways. First, they extend research on board interlocks by demonstrating their influence on the distribution of benefits in alliances, consistent with studies by </w:t>
      </w:r>
      <w:r w:rsidRPr="001C6D7F">
        <w:rPr>
          <w:color w:val="000000" w:themeColor="text1"/>
        </w:rPr>
        <w:t xml:space="preserve">Tuschke et al. (2014) and Knoben and Bakker (2019). </w:t>
      </w:r>
      <w:r w:rsidRPr="00F2496D">
        <w:rPr>
          <w:color w:val="000000" w:themeColor="text1"/>
        </w:rPr>
        <w:t xml:space="preserve">Second, our findings challenge the prevailing view that pluralistic network ties primarily promote trust </w:t>
      </w:r>
      <w:r w:rsidRPr="001C6D7F">
        <w:rPr>
          <w:color w:val="000000" w:themeColor="text1"/>
        </w:rPr>
        <w:t xml:space="preserve">(Beckman et al., 2014), </w:t>
      </w:r>
      <w:r w:rsidRPr="00F2496D">
        <w:rPr>
          <w:color w:val="000000" w:themeColor="text1"/>
        </w:rPr>
        <w:t xml:space="preserve">by showing that certain ties may instead facilitate resource appropriation. Third, we provide empirical evidence supporting the role of board receptivity in assimilating external information, contributing to the discourse on board interlocks </w:t>
      </w:r>
      <w:r w:rsidRPr="001C6D7F">
        <w:rPr>
          <w:color w:val="000000" w:themeColor="text1"/>
        </w:rPr>
        <w:t xml:space="preserve">(Shropshire, 2010). </w:t>
      </w:r>
      <w:r w:rsidRPr="00F2496D">
        <w:rPr>
          <w:color w:val="000000" w:themeColor="text1"/>
        </w:rPr>
        <w:t xml:space="preserve">Finally, our results highlight the directional nature of information exchange through board interlocks, an important consideration for future research </w:t>
      </w:r>
      <w:r w:rsidRPr="001C6D7F">
        <w:rPr>
          <w:color w:val="000000" w:themeColor="text1"/>
        </w:rPr>
        <w:t>(Gulati &amp; Westphal, 1999).</w:t>
      </w:r>
    </w:p>
    <w:p w14:paraId="5DD6F92B" w14:textId="77777777" w:rsidR="00755C90" w:rsidRPr="001C6D7F" w:rsidRDefault="00755C90" w:rsidP="00932F58">
      <w:pPr>
        <w:pStyle w:val="berschrift3"/>
      </w:pPr>
      <w:r w:rsidRPr="001C6D7F">
        <w:t>Practical implications</w:t>
      </w:r>
    </w:p>
    <w:p w14:paraId="1B21DE95" w14:textId="77777777" w:rsidR="00755C90" w:rsidRPr="001C6D7F" w:rsidRDefault="00755C90" w:rsidP="00932F58">
      <w:pPr>
        <w:pStyle w:val="Paragraph"/>
        <w:suppressLineNumbers/>
        <w:suppressAutoHyphens/>
        <w:ind w:firstLine="708"/>
        <w:jc w:val="both"/>
        <w:rPr>
          <w:color w:val="000000" w:themeColor="text1"/>
        </w:rPr>
      </w:pPr>
      <w:r w:rsidRPr="00F2496D">
        <w:rPr>
          <w:color w:val="000000" w:themeColor="text1"/>
        </w:rPr>
        <w:t>This study provides several practical insights for alliance managers. First, it highlights the influence of board members' social networks on the balance between cooperation and competition in alliances, underscoring the need for effective governance structures to prevent unintended resource leakage. Second, our findings suggest that not only direct, but also second-degree network connections can lead to unintended resource leakage, consistent with previous research</w:t>
      </w:r>
      <w:r>
        <w:rPr>
          <w:color w:val="000000" w:themeColor="text1"/>
        </w:rPr>
        <w:t xml:space="preserve"> </w:t>
      </w:r>
      <w:r w:rsidRPr="001C6D7F">
        <w:rPr>
          <w:color w:val="000000" w:themeColor="text1"/>
        </w:rPr>
        <w:t>(Tuschke et al., 2014)</w:t>
      </w:r>
      <w:r>
        <w:rPr>
          <w:color w:val="000000" w:themeColor="text1"/>
        </w:rPr>
        <w:t>.</w:t>
      </w:r>
      <w:r w:rsidRPr="001C6D7F">
        <w:rPr>
          <w:color w:val="000000" w:themeColor="text1"/>
        </w:rPr>
        <w:t xml:space="preserve"> </w:t>
      </w:r>
      <w:r w:rsidRPr="00532783">
        <w:rPr>
          <w:color w:val="000000" w:themeColor="text1"/>
        </w:rPr>
        <w:t xml:space="preserve">Finally, this study highlights the strategic value of network </w:t>
      </w:r>
      <w:r w:rsidRPr="00532783">
        <w:rPr>
          <w:color w:val="000000" w:themeColor="text1"/>
        </w:rPr>
        <w:lastRenderedPageBreak/>
        <w:t>information embedded in board members' connections and the importance of boards' receptivity to external information in gaining competitive advantage</w:t>
      </w:r>
      <w:r w:rsidRPr="001C6D7F">
        <w:rPr>
          <w:color w:val="000000" w:themeColor="text1"/>
        </w:rPr>
        <w:t>.</w:t>
      </w:r>
    </w:p>
    <w:p w14:paraId="7D64CC8C" w14:textId="77777777" w:rsidR="00755C90" w:rsidRPr="00755C90" w:rsidRDefault="00755C90" w:rsidP="00932F58">
      <w:pPr>
        <w:pStyle w:val="berschrift3"/>
      </w:pPr>
      <w:r w:rsidRPr="00755C90">
        <w:t>Limitations and suggestions for future research</w:t>
      </w:r>
    </w:p>
    <w:p w14:paraId="1F080F92" w14:textId="77777777" w:rsidR="00755C90" w:rsidRPr="001C6D7F" w:rsidRDefault="00755C90" w:rsidP="00932F58">
      <w:pPr>
        <w:pStyle w:val="Paragraph"/>
        <w:suppressLineNumbers/>
        <w:suppressAutoHyphens/>
        <w:ind w:firstLine="708"/>
        <w:jc w:val="both"/>
        <w:rPr>
          <w:color w:val="000000" w:themeColor="text1"/>
        </w:rPr>
      </w:pPr>
      <w:r w:rsidRPr="001C6D7F">
        <w:rPr>
          <w:color w:val="000000" w:themeColor="text1"/>
        </w:rPr>
        <w:t xml:space="preserve">The main limitation of our study is its reliance on market data, due to the challenge of accessing authentic internal alliance data. Therefore, despite its use in previous studies (Arslan, 2018; Gulati &amp; Wang, 2003), it should be noted that the study of differential benefits assumes that the market response to alliance announcements is (almost) instantaneous, complete, and unbiased, which requires at least the semi-strong form of the efficient market hypothesis (Fama, 1970). Additionally, our data's focus on U.S., U.K., and Canadian alliance partners may limit the generalizability of our findings. </w:t>
      </w:r>
    </w:p>
    <w:p w14:paraId="134A1F7F" w14:textId="77777777" w:rsidR="00755C90" w:rsidRPr="00755C90" w:rsidRDefault="00755C90" w:rsidP="00932F58">
      <w:pPr>
        <w:pStyle w:val="berschrift2"/>
        <w:rPr>
          <w:lang w:val="en-US"/>
        </w:rPr>
      </w:pPr>
      <w:bookmarkStart w:id="258" w:name="_Toc180963618"/>
      <w:r w:rsidRPr="00755C90">
        <w:rPr>
          <w:lang w:val="en-US"/>
        </w:rPr>
        <w:t>Conclusion</w:t>
      </w:r>
      <w:bookmarkEnd w:id="258"/>
    </w:p>
    <w:p w14:paraId="1DA6FB3E" w14:textId="77777777" w:rsidR="00755C90" w:rsidRPr="00932F58" w:rsidRDefault="00755C90" w:rsidP="00932F58">
      <w:pPr>
        <w:pStyle w:val="Paragraph"/>
        <w:jc w:val="both"/>
      </w:pPr>
      <w:r w:rsidRPr="00932F58">
        <w:t>This research contributes to the understanding of competition and cooperation in alliances by illustrating how pluralistic network ties among alliance partners affect the generation of private benefits. We find that alliances with direct and indirect board interlocks experience increased differential benefits. These effects are positively moderated by high relative board power and high relative firm status. The study underscores the importance of alliance governance, particularly in leveraging external information for strategic advantage.</w:t>
      </w:r>
    </w:p>
    <w:p w14:paraId="5D43AEAD" w14:textId="2A014487" w:rsidR="006B7D20" w:rsidRDefault="006B7D20">
      <w:pPr>
        <w:spacing w:after="160" w:line="259" w:lineRule="auto"/>
        <w:jc w:val="left"/>
        <w:rPr>
          <w:rFonts w:eastAsiaTheme="majorEastAsia" w:cs="Times New Roman"/>
          <w:b/>
          <w:caps/>
          <w:color w:val="000000" w:themeColor="text1"/>
          <w:szCs w:val="32"/>
          <w:lang w:val="en-US"/>
        </w:rPr>
      </w:pPr>
    </w:p>
    <w:p w14:paraId="32591EE8" w14:textId="061AD5F8" w:rsidR="00941A7A" w:rsidRPr="00C44B2B" w:rsidRDefault="006B7D20">
      <w:pPr>
        <w:spacing w:after="160" w:line="259" w:lineRule="auto"/>
        <w:jc w:val="left"/>
        <w:rPr>
          <w:rFonts w:eastAsiaTheme="majorEastAsia" w:cs="Times New Roman"/>
          <w:b/>
          <w:caps/>
          <w:color w:val="000000" w:themeColor="text1"/>
          <w:szCs w:val="32"/>
          <w:lang w:val="en-US"/>
        </w:rPr>
      </w:pPr>
      <w:r>
        <w:rPr>
          <w:lang w:val="en-US"/>
        </w:rPr>
        <w:br w:type="page"/>
      </w:r>
      <w:bookmarkStart w:id="259" w:name="_Hlk93971435"/>
      <w:bookmarkStart w:id="260" w:name="_Hlk145676944"/>
    </w:p>
    <w:p w14:paraId="5F15E7E1" w14:textId="77777777" w:rsidR="00941A7A" w:rsidRPr="00D03577" w:rsidRDefault="00941A7A" w:rsidP="00941A7A">
      <w:pPr>
        <w:pStyle w:val="berschrift2"/>
        <w:rPr>
          <w:lang w:val="en-US"/>
        </w:rPr>
      </w:pPr>
      <w:bookmarkStart w:id="261" w:name="_Toc180963619"/>
      <w:r>
        <w:rPr>
          <w:lang w:val="en-US"/>
        </w:rPr>
        <w:lastRenderedPageBreak/>
        <w:t>References</w:t>
      </w:r>
      <w:bookmarkEnd w:id="261"/>
    </w:p>
    <w:p w14:paraId="404A0B9C" w14:textId="77777777" w:rsidR="00C44B2B" w:rsidRPr="00BC3492" w:rsidRDefault="00C44B2B" w:rsidP="00092681">
      <w:pPr>
        <w:pStyle w:val="CitaviBibliographyEntry"/>
        <w:jc w:val="both"/>
      </w:pPr>
      <w:bookmarkStart w:id="262" w:name="_CTVL0013a6b4be0ef02404cb08c63228c34620a"/>
      <w:r w:rsidRPr="00BC3492">
        <w:t>Aalbers, R., &amp; Ma, R. 2023. The Roles of Supply Networks and Board Interlocks in Firms’ Technological Entry and Exit: Evidence from the Chinese Automotive Industry.</w:t>
      </w:r>
      <w:bookmarkEnd w:id="262"/>
      <w:r w:rsidRPr="00BC3492">
        <w:t xml:space="preserve"> </w:t>
      </w:r>
      <w:r w:rsidRPr="00BC3492">
        <w:rPr>
          <w:i/>
        </w:rPr>
        <w:t>Management and Organization Review</w:t>
      </w:r>
      <w:r w:rsidRPr="00BC3492">
        <w:t>, 19: 279-315.</w:t>
      </w:r>
    </w:p>
    <w:p w14:paraId="73AC4978" w14:textId="77777777" w:rsidR="00C44B2B" w:rsidRPr="00BC3492" w:rsidRDefault="00C44B2B" w:rsidP="00092681">
      <w:pPr>
        <w:pStyle w:val="CitaviBibliographyEntry"/>
        <w:jc w:val="both"/>
      </w:pPr>
      <w:bookmarkStart w:id="263" w:name="_CTVL001116cb0ac34ce4ca5a5e1bb474a72db91"/>
      <w:r w:rsidRPr="00BC3492">
        <w:t>Adegbesan, J. A., &amp; Higgins, M. J. 2011. The intra‐alliance division of value created through collaboration.</w:t>
      </w:r>
      <w:bookmarkEnd w:id="263"/>
      <w:r w:rsidRPr="00BC3492">
        <w:t xml:space="preserve"> </w:t>
      </w:r>
      <w:r w:rsidRPr="00BC3492">
        <w:rPr>
          <w:i/>
        </w:rPr>
        <w:t>Strategic Management Journal</w:t>
      </w:r>
      <w:r w:rsidRPr="00BC3492">
        <w:t>, 32: 187-211.</w:t>
      </w:r>
    </w:p>
    <w:p w14:paraId="338B6CB7" w14:textId="77777777" w:rsidR="00C44B2B" w:rsidRPr="00BC3492" w:rsidRDefault="00C44B2B" w:rsidP="00092681">
      <w:pPr>
        <w:pStyle w:val="CitaviBibliographyEntry"/>
        <w:jc w:val="both"/>
      </w:pPr>
      <w:bookmarkStart w:id="264" w:name="_CTVL0017a8367246ed148f0bcb7dc31359a9811"/>
      <w:r w:rsidRPr="00BC3492">
        <w:t>Ahuja, G. 2000. Collaboration Networks, Structural Holes, and Innovation: A Longitudinal Study.</w:t>
      </w:r>
      <w:bookmarkEnd w:id="264"/>
      <w:r w:rsidRPr="00BC3492">
        <w:t xml:space="preserve"> </w:t>
      </w:r>
      <w:r w:rsidRPr="00BC3492">
        <w:rPr>
          <w:i/>
        </w:rPr>
        <w:t>Administrative Science Quarterly</w:t>
      </w:r>
      <w:r w:rsidRPr="00BC3492">
        <w:t>, 45: 425-455.</w:t>
      </w:r>
    </w:p>
    <w:p w14:paraId="06D68685" w14:textId="77777777" w:rsidR="00C44B2B" w:rsidRPr="00BC3492" w:rsidRDefault="00C44B2B" w:rsidP="00092681">
      <w:pPr>
        <w:pStyle w:val="CitaviBibliographyEntry"/>
        <w:jc w:val="both"/>
      </w:pPr>
      <w:bookmarkStart w:id="265" w:name="_CTVL001d269cc0d90004627901ee56c31541211"/>
      <w:r w:rsidRPr="00BC3492">
        <w:t>Allison, D. W., &amp; Potts, B. B. 1999. Wave: The Diffusion of the CEO Title throughout the US Corporate Network.</w:t>
      </w:r>
    </w:p>
    <w:p w14:paraId="6EF34E37" w14:textId="77777777" w:rsidR="00C44B2B" w:rsidRPr="00BC3492" w:rsidRDefault="00C44B2B" w:rsidP="00092681">
      <w:pPr>
        <w:pStyle w:val="CitaviBibliographyEntry"/>
        <w:jc w:val="both"/>
      </w:pPr>
      <w:bookmarkStart w:id="266" w:name="_CTVL0011744d5f8c289474298fd12c01065e373"/>
      <w:bookmarkEnd w:id="265"/>
      <w:r w:rsidRPr="00BC3492">
        <w:t>Anand, B. N., &amp; Khanna, T. 2000. Do firms learn to create value? The case of alliances.</w:t>
      </w:r>
      <w:bookmarkEnd w:id="266"/>
      <w:r w:rsidRPr="00BC3492">
        <w:t xml:space="preserve"> </w:t>
      </w:r>
      <w:r w:rsidRPr="00BC3492">
        <w:rPr>
          <w:i/>
        </w:rPr>
        <w:t>Strategic Management Journal</w:t>
      </w:r>
      <w:r w:rsidRPr="00BC3492">
        <w:t>, 21: 295-315.</w:t>
      </w:r>
    </w:p>
    <w:p w14:paraId="070C9323" w14:textId="77777777" w:rsidR="00C44B2B" w:rsidRPr="00BC3492" w:rsidRDefault="00C44B2B" w:rsidP="00092681">
      <w:pPr>
        <w:pStyle w:val="CitaviBibliographyEntry"/>
        <w:jc w:val="both"/>
      </w:pPr>
      <w:bookmarkStart w:id="267" w:name="_CTVL001669fb85c371e48618bf07ca9defc839c"/>
      <w:r w:rsidRPr="00BC3492">
        <w:t>Antonakis, J., Bendahan, S., Jacquart, P., &amp; Lalive, R. 2010. On making causal claims: A review and recommendations.</w:t>
      </w:r>
      <w:bookmarkEnd w:id="267"/>
      <w:r w:rsidRPr="00BC3492">
        <w:t xml:space="preserve"> </w:t>
      </w:r>
      <w:r w:rsidRPr="00BC3492">
        <w:rPr>
          <w:i/>
        </w:rPr>
        <w:t>The Leadership Quarterly</w:t>
      </w:r>
      <w:r w:rsidRPr="00BC3492">
        <w:t>, 21: 1086-1120.</w:t>
      </w:r>
    </w:p>
    <w:p w14:paraId="087562A3" w14:textId="77777777" w:rsidR="00C44B2B" w:rsidRPr="00BC3492" w:rsidRDefault="00C44B2B" w:rsidP="00092681">
      <w:pPr>
        <w:pStyle w:val="CitaviBibliographyEntry"/>
        <w:jc w:val="both"/>
      </w:pPr>
      <w:bookmarkStart w:id="268" w:name="_CTVL001ef1a035d034548fbb1d532af6af9ba19"/>
      <w:r w:rsidRPr="00BC3492">
        <w:t>Arslan, B. 2018. The interplay of competitive and cooperative behavior and differential benefits in alliances.</w:t>
      </w:r>
      <w:bookmarkEnd w:id="268"/>
      <w:r w:rsidRPr="00BC3492">
        <w:t xml:space="preserve"> </w:t>
      </w:r>
      <w:r w:rsidRPr="00BC3492">
        <w:rPr>
          <w:i/>
        </w:rPr>
        <w:t>Strategic Management Journal</w:t>
      </w:r>
      <w:r w:rsidRPr="00BC3492">
        <w:t>, 39: 3222-3246.</w:t>
      </w:r>
    </w:p>
    <w:p w14:paraId="1A55AE2E" w14:textId="77777777" w:rsidR="00C44B2B" w:rsidRPr="00BC3492" w:rsidRDefault="00C44B2B" w:rsidP="00092681">
      <w:pPr>
        <w:pStyle w:val="CitaviBibliographyEntry"/>
        <w:jc w:val="both"/>
      </w:pPr>
      <w:bookmarkStart w:id="269" w:name="_CTVL0014f43de03c3ea452bbeef1c1a87cb2b4c"/>
      <w:r w:rsidRPr="00BC3492">
        <w:t>Barringer, B. R., &amp; Harrison, J. S. 2000. Walking a Tightrope: Creating Value Through Interorganizational Relationships.</w:t>
      </w:r>
      <w:bookmarkEnd w:id="269"/>
      <w:r w:rsidRPr="00BC3492">
        <w:t xml:space="preserve"> </w:t>
      </w:r>
      <w:r w:rsidRPr="00BC3492">
        <w:rPr>
          <w:i/>
        </w:rPr>
        <w:t>Journal of Management</w:t>
      </w:r>
      <w:r w:rsidRPr="00BC3492">
        <w:t>, 26: 367-403.</w:t>
      </w:r>
    </w:p>
    <w:p w14:paraId="6407DF91" w14:textId="77777777" w:rsidR="00C44B2B" w:rsidRPr="00BC3492" w:rsidRDefault="00C44B2B" w:rsidP="00092681">
      <w:pPr>
        <w:pStyle w:val="CitaviBibliographyEntry"/>
        <w:jc w:val="both"/>
      </w:pPr>
      <w:bookmarkStart w:id="270" w:name="_CTVL0011927ca597bce4e9b9958ab4806fc270a"/>
      <w:r w:rsidRPr="00BC3492">
        <w:t>Basuil, D. A., &amp; Datta, D. K. 2017. Value creation in cross-border acquisitions: The role of outside directors</w:t>
      </w:r>
      <w:r>
        <w:t>’</w:t>
      </w:r>
      <w:r w:rsidRPr="00BC3492">
        <w:t xml:space="preserve"> human and social capital.</w:t>
      </w:r>
      <w:bookmarkEnd w:id="270"/>
      <w:r w:rsidRPr="00BC3492">
        <w:t xml:space="preserve"> </w:t>
      </w:r>
      <w:r w:rsidRPr="00BC3492">
        <w:rPr>
          <w:i/>
        </w:rPr>
        <w:t>Journal of Business Research</w:t>
      </w:r>
      <w:r w:rsidRPr="00BC3492">
        <w:t>, 80: 35-44.</w:t>
      </w:r>
    </w:p>
    <w:p w14:paraId="1D18BB1C" w14:textId="77777777" w:rsidR="00C44B2B" w:rsidRPr="00BC3492" w:rsidRDefault="00C44B2B" w:rsidP="00092681">
      <w:pPr>
        <w:pStyle w:val="CitaviBibliographyEntry"/>
        <w:jc w:val="both"/>
      </w:pPr>
      <w:bookmarkStart w:id="271" w:name="_CTVL001f2c8864423184cfb851b9b0ad98f3501"/>
      <w:r w:rsidRPr="00C44B2B">
        <w:t xml:space="preserve">Beckman, C. M., &amp; Haunschild, P. R. 2002. </w:t>
      </w:r>
      <w:r w:rsidRPr="00BC3492">
        <w:t>Network Learning: The Effects of Partners</w:t>
      </w:r>
      <w:r>
        <w:t>’</w:t>
      </w:r>
      <w:r w:rsidRPr="00BC3492">
        <w:t xml:space="preserve"> Heterogeneity of Experience on Corporate Acquisitions.</w:t>
      </w:r>
      <w:bookmarkEnd w:id="271"/>
      <w:r w:rsidRPr="00BC3492">
        <w:t xml:space="preserve"> </w:t>
      </w:r>
      <w:r w:rsidRPr="00BC3492">
        <w:rPr>
          <w:i/>
        </w:rPr>
        <w:t>Administrative Science Quarterly</w:t>
      </w:r>
      <w:r w:rsidRPr="00BC3492">
        <w:t>, 47: 92-124.</w:t>
      </w:r>
    </w:p>
    <w:p w14:paraId="58CED732" w14:textId="77777777" w:rsidR="00C44B2B" w:rsidRPr="00BC3492" w:rsidRDefault="00C44B2B" w:rsidP="00092681">
      <w:pPr>
        <w:pStyle w:val="CitaviBibliographyEntry"/>
        <w:jc w:val="both"/>
      </w:pPr>
      <w:bookmarkStart w:id="272" w:name="_CTVL001996e82b88a56450295c63d56c6a7b69b"/>
      <w:r w:rsidRPr="00BC3492">
        <w:lastRenderedPageBreak/>
        <w:t>Beckman, C. M., Haunschild, P. R., &amp; Phillips, D. J. 2004. Friends or Strangers? Firm-Specific Uncertainty, Market Uncertainty, and Network Partner Selection.</w:t>
      </w:r>
      <w:bookmarkEnd w:id="272"/>
      <w:r w:rsidRPr="00BC3492">
        <w:t xml:space="preserve"> </w:t>
      </w:r>
      <w:r w:rsidRPr="00BC3492">
        <w:rPr>
          <w:i/>
        </w:rPr>
        <w:t>Organization Science</w:t>
      </w:r>
      <w:r w:rsidRPr="00BC3492">
        <w:t>, 15: 259-275.</w:t>
      </w:r>
    </w:p>
    <w:p w14:paraId="12227195" w14:textId="77777777" w:rsidR="00C44B2B" w:rsidRPr="00BC3492" w:rsidRDefault="00C44B2B" w:rsidP="00092681">
      <w:pPr>
        <w:pStyle w:val="CitaviBibliographyEntry"/>
        <w:jc w:val="both"/>
      </w:pPr>
      <w:bookmarkStart w:id="273" w:name="_CTVL00165cb1ff310b5462a8e2a4aa87c0e8c70"/>
      <w:r w:rsidRPr="00C44B2B">
        <w:t xml:space="preserve">Beckman, C. M., Schoonhoven, C. B., Rottner, R. M., &amp; Kim, S.-J. 2014. </w:t>
      </w:r>
      <w:r w:rsidRPr="00BC3492">
        <w:t>Relational Pluralism in De Novo Organizations: Boards of Directors as Bridges or Barriers to Diverse Alliance Portfolios?</w:t>
      </w:r>
      <w:bookmarkEnd w:id="273"/>
      <w:r w:rsidRPr="00BC3492">
        <w:t xml:space="preserve"> </w:t>
      </w:r>
      <w:r w:rsidRPr="00BC3492">
        <w:rPr>
          <w:i/>
        </w:rPr>
        <w:t>Academy of Management Journal</w:t>
      </w:r>
      <w:r w:rsidRPr="00BC3492">
        <w:t>, 57: 460-483.</w:t>
      </w:r>
    </w:p>
    <w:p w14:paraId="4E6C217E" w14:textId="77777777" w:rsidR="00C44B2B" w:rsidRPr="00BC3492" w:rsidRDefault="00C44B2B" w:rsidP="00092681">
      <w:pPr>
        <w:pStyle w:val="CitaviBibliographyEntry"/>
        <w:jc w:val="both"/>
      </w:pPr>
      <w:bookmarkStart w:id="274" w:name="_CTVL001eadc23f483954f8697e41ae56cf77d95"/>
      <w:r w:rsidRPr="00BC3492">
        <w:t>Benjamin, B. A., &amp; Podolny, J. M. 1999. Status, Quality, and Social Order in the California Wine Industry.</w:t>
      </w:r>
      <w:bookmarkEnd w:id="274"/>
      <w:r w:rsidRPr="00BC3492">
        <w:t xml:space="preserve"> </w:t>
      </w:r>
      <w:r w:rsidRPr="00BC3492">
        <w:rPr>
          <w:i/>
        </w:rPr>
        <w:t>Administrative Science Quarterly</w:t>
      </w:r>
      <w:r w:rsidRPr="00BC3492">
        <w:t>, 44: 563-589.</w:t>
      </w:r>
    </w:p>
    <w:p w14:paraId="254DB9BD" w14:textId="77777777" w:rsidR="00C44B2B" w:rsidRPr="00BC3492" w:rsidRDefault="00C44B2B" w:rsidP="00092681">
      <w:pPr>
        <w:pStyle w:val="CitaviBibliographyEntry"/>
        <w:jc w:val="both"/>
      </w:pPr>
      <w:bookmarkStart w:id="275" w:name="_CTVL001e0128ea296114c69af7802bba252031c"/>
      <w:r w:rsidRPr="00BC3492">
        <w:t>Blau, P. M. 1963.</w:t>
      </w:r>
      <w:bookmarkEnd w:id="275"/>
      <w:r w:rsidRPr="00BC3492">
        <w:t xml:space="preserve"> </w:t>
      </w:r>
      <w:r w:rsidRPr="00BC3492">
        <w:rPr>
          <w:i/>
        </w:rPr>
        <w:t>The dynamics of bureaucracy: Study of interpersonal relations in two government agencies (Rev. ed.)</w:t>
      </w:r>
      <w:r w:rsidRPr="00BC3492">
        <w:t>. Chicago: University of Chicago Press.</w:t>
      </w:r>
    </w:p>
    <w:p w14:paraId="31DB4EC5" w14:textId="77777777" w:rsidR="00C44B2B" w:rsidRPr="00BC3492" w:rsidRDefault="00C44B2B" w:rsidP="00092681">
      <w:pPr>
        <w:pStyle w:val="CitaviBibliographyEntry"/>
        <w:jc w:val="both"/>
      </w:pPr>
      <w:bookmarkStart w:id="276" w:name="_CTVL00147509bb262ad48ac943b5548dc80a1bf"/>
      <w:r w:rsidRPr="00BC3492">
        <w:t>Bonacich, P. 1987. Power and Centrality: A Family of Measures.</w:t>
      </w:r>
      <w:bookmarkEnd w:id="276"/>
      <w:r w:rsidRPr="00BC3492">
        <w:t xml:space="preserve"> </w:t>
      </w:r>
      <w:r w:rsidRPr="00BC3492">
        <w:rPr>
          <w:i/>
        </w:rPr>
        <w:t>American Journal of Sociology</w:t>
      </w:r>
      <w:r w:rsidRPr="00BC3492">
        <w:t>, 92: 1170-1182.</w:t>
      </w:r>
    </w:p>
    <w:p w14:paraId="45699D81" w14:textId="77777777" w:rsidR="00C44B2B" w:rsidRPr="00BC3492" w:rsidRDefault="00C44B2B" w:rsidP="00092681">
      <w:pPr>
        <w:pStyle w:val="CitaviBibliographyEntry"/>
        <w:jc w:val="both"/>
      </w:pPr>
      <w:bookmarkStart w:id="277" w:name="_CTVL0018a97e7710ab84c399c741f6be212adfa"/>
      <w:r w:rsidRPr="00BC3492">
        <w:t>Brass, D. J., &amp; Burkhardt, M. E. 1993. Potential power and power use: an investigation of structure and behavior.</w:t>
      </w:r>
      <w:bookmarkEnd w:id="277"/>
      <w:r w:rsidRPr="00BC3492">
        <w:t xml:space="preserve"> </w:t>
      </w:r>
      <w:r w:rsidRPr="00BC3492">
        <w:rPr>
          <w:i/>
        </w:rPr>
        <w:t>Academy of Management Journal</w:t>
      </w:r>
      <w:r w:rsidRPr="00BC3492">
        <w:t>, 36: 441-470.</w:t>
      </w:r>
    </w:p>
    <w:p w14:paraId="7FCC31B4" w14:textId="77777777" w:rsidR="00C44B2B" w:rsidRPr="00BC3492" w:rsidRDefault="00C44B2B" w:rsidP="00092681">
      <w:pPr>
        <w:pStyle w:val="CitaviBibliographyEntry"/>
        <w:jc w:val="both"/>
      </w:pPr>
      <w:bookmarkStart w:id="278" w:name="_CTVL00164f09e6cd3e645c1ac7869779e2235c7"/>
      <w:r w:rsidRPr="00BC3492">
        <w:t>Brown, S. J., &amp; Warner, J. B. 1985. Using daily stock returns.</w:t>
      </w:r>
      <w:bookmarkEnd w:id="278"/>
      <w:r w:rsidRPr="00BC3492">
        <w:t xml:space="preserve"> </w:t>
      </w:r>
      <w:r w:rsidRPr="00BC3492">
        <w:rPr>
          <w:i/>
        </w:rPr>
        <w:t>Journal of Financial Economics</w:t>
      </w:r>
      <w:r w:rsidRPr="00BC3492">
        <w:t>, 14: 3-31.</w:t>
      </w:r>
    </w:p>
    <w:p w14:paraId="579BD068" w14:textId="77777777" w:rsidR="00C44B2B" w:rsidRPr="00BC3492" w:rsidRDefault="00C44B2B" w:rsidP="00092681">
      <w:pPr>
        <w:pStyle w:val="CitaviBibliographyEntry"/>
        <w:jc w:val="both"/>
      </w:pPr>
      <w:bookmarkStart w:id="279" w:name="_CTVL001064afd57555c42beb4817fa19cef82c3"/>
      <w:r w:rsidRPr="00C44B2B">
        <w:rPr>
          <w:lang w:val="de-DE"/>
        </w:rPr>
        <w:t xml:space="preserve">Bucklin, L. P., &amp; Sengupta, S. 1993. </w:t>
      </w:r>
      <w:r w:rsidRPr="00BC3492">
        <w:t>Organizing Successful Co-Marketing Alliances.</w:t>
      </w:r>
      <w:bookmarkEnd w:id="279"/>
      <w:r w:rsidRPr="00BC3492">
        <w:t xml:space="preserve"> </w:t>
      </w:r>
      <w:r w:rsidRPr="00BC3492">
        <w:rPr>
          <w:i/>
        </w:rPr>
        <w:t>Journal of Marketing</w:t>
      </w:r>
      <w:r w:rsidRPr="00BC3492">
        <w:t>, 57: 32.</w:t>
      </w:r>
    </w:p>
    <w:p w14:paraId="0F97161A" w14:textId="77777777" w:rsidR="00C44B2B" w:rsidRPr="00BC3492" w:rsidRDefault="00C44B2B" w:rsidP="00092681">
      <w:pPr>
        <w:pStyle w:val="CitaviBibliographyEntry"/>
        <w:jc w:val="both"/>
      </w:pPr>
      <w:bookmarkStart w:id="280" w:name="_CTVL0016682c71241ce4c998c3d6424338c7a1b"/>
      <w:r w:rsidRPr="00BC3492">
        <w:t>Burt, R. S. 1980. Cooptive Corporate Actor Networks: A Reconsideration of Interlocking Directorates Involving American Manufacturing.</w:t>
      </w:r>
      <w:bookmarkEnd w:id="280"/>
      <w:r w:rsidRPr="00BC3492">
        <w:t xml:space="preserve"> </w:t>
      </w:r>
      <w:r w:rsidRPr="00BC3492">
        <w:rPr>
          <w:i/>
        </w:rPr>
        <w:t>Administrative Science Quarterly</w:t>
      </w:r>
      <w:r w:rsidRPr="00BC3492">
        <w:t>, 25: 557.</w:t>
      </w:r>
    </w:p>
    <w:p w14:paraId="3237A1A3" w14:textId="77777777" w:rsidR="00C44B2B" w:rsidRPr="00BC3492" w:rsidRDefault="00C44B2B" w:rsidP="00092681">
      <w:pPr>
        <w:pStyle w:val="CitaviBibliographyEntry"/>
        <w:jc w:val="both"/>
      </w:pPr>
      <w:bookmarkStart w:id="281" w:name="_CTVL0010b0985584d484281bd91418ce43d5891"/>
      <w:r w:rsidRPr="00BC3492">
        <w:t>Burt, R. S. 1983. Firms, directors and time in the directorate tie market.</w:t>
      </w:r>
      <w:bookmarkEnd w:id="281"/>
      <w:r w:rsidRPr="00BC3492">
        <w:t xml:space="preserve"> </w:t>
      </w:r>
      <w:r w:rsidRPr="00BC3492">
        <w:rPr>
          <w:i/>
        </w:rPr>
        <w:t>Social Networks</w:t>
      </w:r>
      <w:r w:rsidRPr="00BC3492">
        <w:t>, 5: 13-49.</w:t>
      </w:r>
    </w:p>
    <w:p w14:paraId="1B40BAEA" w14:textId="77777777" w:rsidR="00C44B2B" w:rsidRPr="00BC3492" w:rsidRDefault="00C44B2B" w:rsidP="00092681">
      <w:pPr>
        <w:pStyle w:val="CitaviBibliographyEntry"/>
        <w:jc w:val="both"/>
      </w:pPr>
      <w:bookmarkStart w:id="282" w:name="_CTVL001ab7ba8d5beb446619e9f0c166f3b7fba"/>
      <w:r w:rsidRPr="00BC3492">
        <w:t>Burt, R. S. 1992.</w:t>
      </w:r>
      <w:bookmarkEnd w:id="282"/>
      <w:r w:rsidRPr="00BC3492">
        <w:t xml:space="preserve"> </w:t>
      </w:r>
      <w:r w:rsidRPr="00BC3492">
        <w:rPr>
          <w:i/>
        </w:rPr>
        <w:t>Structural Holes: The Social Structure of Competition</w:t>
      </w:r>
      <w:r w:rsidRPr="00BC3492">
        <w:t>. Cambridge, MA: Harvard University Press.</w:t>
      </w:r>
    </w:p>
    <w:p w14:paraId="1D4F6E8A" w14:textId="77777777" w:rsidR="00C44B2B" w:rsidRPr="00BC3492" w:rsidRDefault="00C44B2B" w:rsidP="00092681">
      <w:pPr>
        <w:pStyle w:val="CitaviBibliographyEntry"/>
        <w:jc w:val="both"/>
      </w:pPr>
      <w:bookmarkStart w:id="283" w:name="_CTVL0015fcf5de87c094e698a4bba9da33f28d6"/>
      <w:r w:rsidRPr="00BC3492">
        <w:lastRenderedPageBreak/>
        <w:t>Carpenter, M. A., &amp; Westphal, J. D. 2001. The Strategic Context of External Network Ties: Examining the Impact of Director Appointments on Board Involvement in Strategic Decision Making.</w:t>
      </w:r>
      <w:bookmarkEnd w:id="283"/>
      <w:r w:rsidRPr="00BC3492">
        <w:t xml:space="preserve"> </w:t>
      </w:r>
      <w:r w:rsidRPr="00BC3492">
        <w:rPr>
          <w:i/>
        </w:rPr>
        <w:t>Academy of Management Journal</w:t>
      </w:r>
      <w:r w:rsidRPr="00BC3492">
        <w:t>, 44: 639-660.</w:t>
      </w:r>
    </w:p>
    <w:p w14:paraId="0B505B35" w14:textId="77777777" w:rsidR="00C44B2B" w:rsidRPr="00BC3492" w:rsidRDefault="00C44B2B" w:rsidP="00092681">
      <w:pPr>
        <w:pStyle w:val="CitaviBibliographyEntry"/>
        <w:jc w:val="both"/>
      </w:pPr>
      <w:bookmarkStart w:id="284" w:name="_CTVL001cf9209b5dd484095a2ccf14e0a8d6229"/>
      <w:r w:rsidRPr="00BC3492">
        <w:t>Casciaro, T., &amp; Piskorski, M. J. 2005. Power Imbalance, Mutual Dependence, and Constraint Absorption: A Closer Look at Resource Dependence Theory.</w:t>
      </w:r>
      <w:bookmarkEnd w:id="284"/>
      <w:r w:rsidRPr="00BC3492">
        <w:t xml:space="preserve"> </w:t>
      </w:r>
      <w:r w:rsidRPr="00BC3492">
        <w:rPr>
          <w:i/>
        </w:rPr>
        <w:t>Administrative Science Quarterly</w:t>
      </w:r>
      <w:r w:rsidRPr="00BC3492">
        <w:t>, 50: 167-199.</w:t>
      </w:r>
    </w:p>
    <w:p w14:paraId="24C7C723" w14:textId="77777777" w:rsidR="00C44B2B" w:rsidRPr="00BC3492" w:rsidRDefault="00C44B2B" w:rsidP="00092681">
      <w:pPr>
        <w:pStyle w:val="CitaviBibliographyEntry"/>
        <w:jc w:val="both"/>
      </w:pPr>
      <w:bookmarkStart w:id="285" w:name="_CTVL0019f503b8cba4f47c8a3ffc38d3a030fbd"/>
      <w:r w:rsidRPr="00BC3492">
        <w:t>Certo, S. T. 2003. Influencing Initial Public Offering Investors with Prestige: Signaling with Board Structures.</w:t>
      </w:r>
      <w:bookmarkEnd w:id="285"/>
      <w:r w:rsidRPr="00BC3492">
        <w:t xml:space="preserve"> </w:t>
      </w:r>
      <w:r w:rsidRPr="00BC3492">
        <w:rPr>
          <w:i/>
        </w:rPr>
        <w:t>Academy of Management Review</w:t>
      </w:r>
      <w:r w:rsidRPr="00BC3492">
        <w:t>, 28: 432.</w:t>
      </w:r>
    </w:p>
    <w:p w14:paraId="1F2F5D1D" w14:textId="77777777" w:rsidR="00C44B2B" w:rsidRPr="00BC3492" w:rsidRDefault="00C44B2B" w:rsidP="00092681">
      <w:pPr>
        <w:pStyle w:val="CitaviBibliographyEntry"/>
        <w:jc w:val="both"/>
      </w:pPr>
      <w:bookmarkStart w:id="286" w:name="_CTVL00148e9d5266f264553b7ac7ec8f4ae1483"/>
      <w:r w:rsidRPr="00BC3492">
        <w:t>Certo, S. T., Holcomb, T. R., &amp; Holmes, R. M. 2009. IPO Research in Management and Entrepreneurship: Moving the Agenda Forward.</w:t>
      </w:r>
      <w:bookmarkEnd w:id="286"/>
      <w:r w:rsidRPr="00BC3492">
        <w:t xml:space="preserve"> </w:t>
      </w:r>
      <w:r w:rsidRPr="00BC3492">
        <w:rPr>
          <w:i/>
        </w:rPr>
        <w:t>Journal of Management</w:t>
      </w:r>
      <w:r w:rsidRPr="00BC3492">
        <w:t>, 35: 1340-1378.</w:t>
      </w:r>
    </w:p>
    <w:p w14:paraId="7713DB60" w14:textId="77777777" w:rsidR="00C44B2B" w:rsidRPr="00BC3492" w:rsidRDefault="00C44B2B" w:rsidP="00092681">
      <w:pPr>
        <w:pStyle w:val="CitaviBibliographyEntry"/>
        <w:jc w:val="both"/>
      </w:pPr>
      <w:bookmarkStart w:id="287" w:name="_CTVL0017de728a86b5b44b5a8e0b8c88f5ccf6d"/>
      <w:r w:rsidRPr="00BC3492">
        <w:t>Chandler, D., Haunschild, P. R., Rhee, M., &amp; Beckman, C. M. 2013. The effects of firm reputation and status on interorganizational network structure.</w:t>
      </w:r>
      <w:bookmarkEnd w:id="287"/>
      <w:r w:rsidRPr="00BC3492">
        <w:t xml:space="preserve"> </w:t>
      </w:r>
      <w:r w:rsidRPr="00BC3492">
        <w:rPr>
          <w:i/>
        </w:rPr>
        <w:t>Strategic Organization</w:t>
      </w:r>
      <w:r w:rsidRPr="00BC3492">
        <w:t>, 11: 217-244.</w:t>
      </w:r>
    </w:p>
    <w:p w14:paraId="4FD3FAC5" w14:textId="77777777" w:rsidR="00C44B2B" w:rsidRPr="00BC3492" w:rsidRDefault="00C44B2B" w:rsidP="00092681">
      <w:pPr>
        <w:pStyle w:val="CitaviBibliographyEntry"/>
        <w:jc w:val="both"/>
      </w:pPr>
      <w:bookmarkStart w:id="288" w:name="_CTVL001e5c14e1212fc4bf8b672035a24672d80"/>
      <w:r w:rsidRPr="00BC3492">
        <w:t>Chen, H., Mehra, A., Tasselli, S., &amp; Borgatti, S. P. 2022. Network Dynamics and Organizations: A Review and Research Agenda.</w:t>
      </w:r>
      <w:bookmarkEnd w:id="288"/>
      <w:r w:rsidRPr="00BC3492">
        <w:t xml:space="preserve"> </w:t>
      </w:r>
      <w:r w:rsidRPr="00BC3492">
        <w:rPr>
          <w:i/>
        </w:rPr>
        <w:t>Journal of Management</w:t>
      </w:r>
      <w:r w:rsidRPr="00BC3492">
        <w:t>, 48: 1602-1660.</w:t>
      </w:r>
    </w:p>
    <w:p w14:paraId="12482C04" w14:textId="77777777" w:rsidR="00C44B2B" w:rsidRPr="00BC3492" w:rsidRDefault="00C44B2B" w:rsidP="00092681">
      <w:pPr>
        <w:pStyle w:val="CitaviBibliographyEntry"/>
        <w:jc w:val="both"/>
      </w:pPr>
      <w:bookmarkStart w:id="289" w:name="_CTVL00173813d383b0147aea032dfb096b939de"/>
      <w:r w:rsidRPr="00BC3492">
        <w:t>Christoffersen, J. 2013. A Review of Antecedents of International Strategic Alliance Performance: Synthesized Evidence and New Directions for Core Constructs.</w:t>
      </w:r>
      <w:bookmarkEnd w:id="289"/>
      <w:r w:rsidRPr="00BC3492">
        <w:t xml:space="preserve"> </w:t>
      </w:r>
      <w:r w:rsidRPr="00BC3492">
        <w:rPr>
          <w:i/>
        </w:rPr>
        <w:t>International Journal of Management Reviews</w:t>
      </w:r>
      <w:r w:rsidRPr="00BC3492">
        <w:t>, 15: 66-85.</w:t>
      </w:r>
    </w:p>
    <w:p w14:paraId="75CD3DC3" w14:textId="77777777" w:rsidR="00C44B2B" w:rsidRPr="00BC3492" w:rsidRDefault="00C44B2B" w:rsidP="00092681">
      <w:pPr>
        <w:pStyle w:val="CitaviBibliographyEntry"/>
        <w:jc w:val="both"/>
      </w:pPr>
      <w:bookmarkStart w:id="290" w:name="_CTVL001c3e8b81bcb824541b92bdb62f3c200dd"/>
      <w:r w:rsidRPr="00BC3492">
        <w:t>Cialdini, R. B., Trost, M. R., &amp; Newsom, J. T. 1995. Preference for consistency: The development of a valid measure and the discovery of surprising behavioral implications.</w:t>
      </w:r>
      <w:bookmarkEnd w:id="290"/>
      <w:r w:rsidRPr="00BC3492">
        <w:t xml:space="preserve"> </w:t>
      </w:r>
      <w:r w:rsidRPr="00BC3492">
        <w:rPr>
          <w:i/>
        </w:rPr>
        <w:t>Journal of Personality and Social Psychology</w:t>
      </w:r>
      <w:r w:rsidRPr="00BC3492">
        <w:t>, 69: 318-328.</w:t>
      </w:r>
    </w:p>
    <w:p w14:paraId="5DC75767" w14:textId="77777777" w:rsidR="00C44B2B" w:rsidRPr="00BC3492" w:rsidRDefault="00C44B2B" w:rsidP="00092681">
      <w:pPr>
        <w:pStyle w:val="CitaviBibliographyEntry"/>
        <w:jc w:val="both"/>
      </w:pPr>
      <w:bookmarkStart w:id="291" w:name="_CTVL00106d837c13f8d408487c1c2a1ce408f37"/>
      <w:r w:rsidRPr="00BC3492">
        <w:t>Connelly, B. L., &amp; van Slyke, E. J. 2012. The power and peril of board interlocks.</w:t>
      </w:r>
      <w:bookmarkEnd w:id="291"/>
      <w:r w:rsidRPr="00BC3492">
        <w:t xml:space="preserve"> </w:t>
      </w:r>
      <w:r w:rsidRPr="00BC3492">
        <w:rPr>
          <w:i/>
        </w:rPr>
        <w:t>Business Horizons</w:t>
      </w:r>
      <w:r w:rsidRPr="00BC3492">
        <w:t>, 55: 403-408.</w:t>
      </w:r>
    </w:p>
    <w:p w14:paraId="4370E41B" w14:textId="77777777" w:rsidR="00C44B2B" w:rsidRPr="00BC3492" w:rsidRDefault="00C44B2B" w:rsidP="00092681">
      <w:pPr>
        <w:pStyle w:val="CitaviBibliographyEntry"/>
        <w:jc w:val="both"/>
      </w:pPr>
      <w:bookmarkStart w:id="292" w:name="_CTVL0019d4c93cdcf8a4b5fb63d4ec8e3d244c6"/>
      <w:r w:rsidRPr="00BC3492">
        <w:t>Connolly, W. E. 2005.</w:t>
      </w:r>
      <w:bookmarkEnd w:id="292"/>
      <w:r w:rsidRPr="00BC3492">
        <w:t xml:space="preserve"> </w:t>
      </w:r>
      <w:r w:rsidRPr="00BC3492">
        <w:rPr>
          <w:i/>
        </w:rPr>
        <w:t>Pluralism</w:t>
      </w:r>
      <w:r w:rsidRPr="00BC3492">
        <w:t>: Duke University Press.</w:t>
      </w:r>
    </w:p>
    <w:p w14:paraId="5CEBC9E8" w14:textId="77777777" w:rsidR="00C44B2B" w:rsidRPr="00BC3492" w:rsidRDefault="00C44B2B" w:rsidP="00092681">
      <w:pPr>
        <w:pStyle w:val="CitaviBibliographyEntry"/>
        <w:jc w:val="both"/>
      </w:pPr>
      <w:bookmarkStart w:id="293" w:name="_CTVL001dd89072164464d6aa61e7f634f4d2ac5"/>
      <w:r w:rsidRPr="00BC3492">
        <w:lastRenderedPageBreak/>
        <w:t>Cordeiro, J. J. 1993. The role of director interlocks, governance, and management incentives in explaining stockholder gains from joint ventures.</w:t>
      </w:r>
      <w:bookmarkEnd w:id="293"/>
      <w:r w:rsidRPr="00BC3492">
        <w:t xml:space="preserve"> </w:t>
      </w:r>
      <w:r w:rsidRPr="00BC3492">
        <w:rPr>
          <w:i/>
        </w:rPr>
        <w:t>Academy of Management Proceedings</w:t>
      </w:r>
      <w:r w:rsidRPr="00BC3492">
        <w:t>, 1993: 12-16.</w:t>
      </w:r>
    </w:p>
    <w:p w14:paraId="5CADAAE9" w14:textId="77777777" w:rsidR="00C44B2B" w:rsidRPr="00BC3492" w:rsidRDefault="00C44B2B" w:rsidP="00092681">
      <w:pPr>
        <w:pStyle w:val="CitaviBibliographyEntry"/>
        <w:jc w:val="both"/>
      </w:pPr>
      <w:bookmarkStart w:id="294" w:name="_CTVL001fa98c91a50a24d6d8bdf24af29ccdd41"/>
      <w:r w:rsidRPr="00BC3492">
        <w:t>Crossan, M. M., Lane, H. W., &amp; White, R. E. 1999. An Organizational Learning Framework: From Intuition to Institution.</w:t>
      </w:r>
      <w:bookmarkEnd w:id="294"/>
      <w:r w:rsidRPr="00BC3492">
        <w:t xml:space="preserve"> </w:t>
      </w:r>
      <w:r w:rsidRPr="00BC3492">
        <w:rPr>
          <w:i/>
        </w:rPr>
        <w:t>Academy of Management Review</w:t>
      </w:r>
      <w:r w:rsidRPr="00BC3492">
        <w:t>, 24: 522.</w:t>
      </w:r>
    </w:p>
    <w:p w14:paraId="0D82A07D" w14:textId="77777777" w:rsidR="00C44B2B" w:rsidRPr="00BC3492" w:rsidRDefault="00C44B2B" w:rsidP="00092681">
      <w:pPr>
        <w:pStyle w:val="CitaviBibliographyEntry"/>
        <w:jc w:val="both"/>
      </w:pPr>
      <w:bookmarkStart w:id="295" w:name="_CTVL0017937f2ee1e1143a4b840f565ab422584"/>
      <w:r w:rsidRPr="00C44B2B">
        <w:t xml:space="preserve">Da Silva, P. M., &amp; Verschoore, J. R. 2021. </w:t>
      </w:r>
      <w:r w:rsidRPr="00BC3492">
        <w:t>The influence of relational pluralism in developing collective corporate social responsibility strategies.</w:t>
      </w:r>
      <w:bookmarkEnd w:id="295"/>
      <w:r w:rsidRPr="00BC3492">
        <w:t xml:space="preserve"> </w:t>
      </w:r>
      <w:r w:rsidRPr="00BC3492">
        <w:rPr>
          <w:i/>
        </w:rPr>
        <w:t>Social Responsibility Journal</w:t>
      </w:r>
      <w:r w:rsidRPr="00BC3492">
        <w:t>, 17: 1028-1043.</w:t>
      </w:r>
    </w:p>
    <w:p w14:paraId="675387D7" w14:textId="77777777" w:rsidR="00C44B2B" w:rsidRPr="00BC3492" w:rsidRDefault="00C44B2B" w:rsidP="00092681">
      <w:pPr>
        <w:pStyle w:val="CitaviBibliographyEntry"/>
        <w:jc w:val="both"/>
      </w:pPr>
      <w:bookmarkStart w:id="296" w:name="_CTVL0010e982bd0fba04efc905928f152cb549d"/>
      <w:r w:rsidRPr="00C44B2B">
        <w:t xml:space="preserve">Das, S., Sen, P. K., &amp; Sengupta, S. 1998. </w:t>
      </w:r>
      <w:r w:rsidRPr="00BC3492">
        <w:t>Impact of strategic alliances on firm valuation.</w:t>
      </w:r>
      <w:bookmarkEnd w:id="296"/>
      <w:r w:rsidRPr="00BC3492">
        <w:t xml:space="preserve"> </w:t>
      </w:r>
      <w:r w:rsidRPr="00BC3492">
        <w:rPr>
          <w:i/>
        </w:rPr>
        <w:t>Academy of Management Journal</w:t>
      </w:r>
      <w:r w:rsidRPr="00BC3492">
        <w:t>, 41: 27-41.</w:t>
      </w:r>
    </w:p>
    <w:p w14:paraId="0A8F384C" w14:textId="77777777" w:rsidR="00C44B2B" w:rsidRPr="00BC3492" w:rsidRDefault="00C44B2B" w:rsidP="00092681">
      <w:pPr>
        <w:pStyle w:val="CitaviBibliographyEntry"/>
        <w:jc w:val="both"/>
      </w:pPr>
      <w:bookmarkStart w:id="297" w:name="_CTVL00113380531fbfb4bb0a2b890fe902e173c"/>
      <w:r w:rsidRPr="00C44B2B">
        <w:t xml:space="preserve">Das, T. K., &amp; Teng, B.-S. 1998. </w:t>
      </w:r>
      <w:r w:rsidRPr="00BC3492">
        <w:t>Between Trust and Control: Developing Confidence in Partner Cooperation in Alliances.</w:t>
      </w:r>
      <w:bookmarkEnd w:id="297"/>
      <w:r w:rsidRPr="00BC3492">
        <w:t xml:space="preserve"> </w:t>
      </w:r>
      <w:r w:rsidRPr="00BC3492">
        <w:rPr>
          <w:i/>
        </w:rPr>
        <w:t>Academy of Management Review</w:t>
      </w:r>
      <w:r w:rsidRPr="00BC3492">
        <w:t>, 23: 491.</w:t>
      </w:r>
    </w:p>
    <w:p w14:paraId="336F7262" w14:textId="77777777" w:rsidR="00C44B2B" w:rsidRPr="004D2D8B" w:rsidRDefault="00C44B2B" w:rsidP="00092681">
      <w:pPr>
        <w:pStyle w:val="CitaviBibliographyEntry"/>
        <w:jc w:val="both"/>
      </w:pPr>
      <w:bookmarkStart w:id="298" w:name="_CTVL001914b6d8435404946baaf5a01ac6fa21e"/>
      <w:r w:rsidRPr="00BC3492">
        <w:t>Das, T. K., &amp; Teng, B.-S. 2000a. A Resource-Based Theory of Strategic Alliances.</w:t>
      </w:r>
      <w:bookmarkEnd w:id="298"/>
      <w:r w:rsidRPr="00BC3492">
        <w:t xml:space="preserve"> </w:t>
      </w:r>
      <w:r w:rsidRPr="004D2D8B">
        <w:rPr>
          <w:i/>
        </w:rPr>
        <w:t>Journal of Management</w:t>
      </w:r>
      <w:r w:rsidRPr="004D2D8B">
        <w:t>, 26: 31-61.</w:t>
      </w:r>
    </w:p>
    <w:p w14:paraId="5583EAF9" w14:textId="77777777" w:rsidR="00C44B2B" w:rsidRPr="00BC3492" w:rsidRDefault="00C44B2B" w:rsidP="00092681">
      <w:pPr>
        <w:pStyle w:val="CitaviBibliographyEntry"/>
        <w:jc w:val="both"/>
      </w:pPr>
      <w:bookmarkStart w:id="299" w:name="_CTVL0015a178e59a47b4eb4b0b340019b577d61"/>
      <w:r w:rsidRPr="004D2D8B">
        <w:t>Das, T. K., &amp; Teng, B.-S. 2000b. Instabilities of Strategic Alliances: An Internal Tensions Perspective.</w:t>
      </w:r>
      <w:bookmarkEnd w:id="299"/>
      <w:r w:rsidRPr="004D2D8B">
        <w:t xml:space="preserve"> </w:t>
      </w:r>
      <w:r w:rsidRPr="00BC3492">
        <w:rPr>
          <w:i/>
        </w:rPr>
        <w:t>Organization Science</w:t>
      </w:r>
      <w:r w:rsidRPr="00BC3492">
        <w:t>, 11: 77-101.</w:t>
      </w:r>
    </w:p>
    <w:p w14:paraId="40DA3656" w14:textId="77777777" w:rsidR="00C44B2B" w:rsidRPr="00BC3492" w:rsidRDefault="00C44B2B" w:rsidP="00092681">
      <w:pPr>
        <w:pStyle w:val="CitaviBibliographyEntry"/>
        <w:jc w:val="both"/>
      </w:pPr>
      <w:bookmarkStart w:id="300" w:name="_CTVL001c9c8c0f112694c38a7d9945145d1d4de"/>
      <w:r w:rsidRPr="00BC3492">
        <w:t>Davis, G. F. 1991. Agents without Principles? The Spread of the Poison Pill through the Intercorporate Network.</w:t>
      </w:r>
      <w:bookmarkEnd w:id="300"/>
      <w:r w:rsidRPr="00BC3492">
        <w:t xml:space="preserve"> </w:t>
      </w:r>
      <w:r w:rsidRPr="00BC3492">
        <w:rPr>
          <w:i/>
        </w:rPr>
        <w:t>Administrative Science Quarterly</w:t>
      </w:r>
      <w:r w:rsidRPr="00BC3492">
        <w:t>, 36: 583.</w:t>
      </w:r>
    </w:p>
    <w:p w14:paraId="0E635FF4" w14:textId="77777777" w:rsidR="00C44B2B" w:rsidRDefault="00C44B2B" w:rsidP="00092681">
      <w:pPr>
        <w:pStyle w:val="CitaviBibliographyEntry"/>
        <w:jc w:val="both"/>
      </w:pPr>
      <w:bookmarkStart w:id="301" w:name="_CTVL00154ad58a4d9af4e7a92a3d9c8a62e54aa"/>
      <w:r w:rsidRPr="00BC3492">
        <w:t>Davis, G. F., &amp; Greve, H. R. 1997. Corporate Elite Networks and Governance Changes in the 1980s.</w:t>
      </w:r>
      <w:bookmarkEnd w:id="301"/>
      <w:r w:rsidRPr="00BC3492">
        <w:t xml:space="preserve"> </w:t>
      </w:r>
      <w:r w:rsidRPr="00BC3492">
        <w:rPr>
          <w:i/>
        </w:rPr>
        <w:t>American Journal of Sociology</w:t>
      </w:r>
      <w:r w:rsidRPr="00BC3492">
        <w:t>, 103: 1-37.</w:t>
      </w:r>
    </w:p>
    <w:p w14:paraId="1564DDE6" w14:textId="77777777" w:rsidR="00C44B2B" w:rsidRPr="00BC3492" w:rsidRDefault="00C44B2B" w:rsidP="00092681">
      <w:pPr>
        <w:pStyle w:val="CitaviBibliographyEntry"/>
        <w:jc w:val="both"/>
      </w:pPr>
      <w:bookmarkStart w:id="302" w:name="_CTVL001e89ed58ace6d41a2ba7752fb2b2a59d7"/>
      <w:r w:rsidRPr="00BC3492">
        <w:t>Donaldson, L., &amp; Davis, J. H. 1991. Stewardship Theory or Agency Theory: CEO Governance and Shareholder Returns.</w:t>
      </w:r>
      <w:bookmarkEnd w:id="302"/>
      <w:r w:rsidRPr="00BC3492">
        <w:t xml:space="preserve"> </w:t>
      </w:r>
      <w:r w:rsidRPr="00BC3492">
        <w:rPr>
          <w:i/>
        </w:rPr>
        <w:t>Australian Journal of Management</w:t>
      </w:r>
      <w:r w:rsidRPr="00BC3492">
        <w:t>, 16: 49-64.</w:t>
      </w:r>
    </w:p>
    <w:p w14:paraId="59A17441" w14:textId="77777777" w:rsidR="00C44B2B" w:rsidRPr="00BC3492" w:rsidRDefault="00C44B2B" w:rsidP="00092681">
      <w:pPr>
        <w:pStyle w:val="CitaviBibliographyEntry"/>
        <w:jc w:val="both"/>
      </w:pPr>
      <w:bookmarkStart w:id="303" w:name="_CTVL001b8ac4348f9054acda7ce9eebd0e0191a"/>
      <w:r w:rsidRPr="00BC3492">
        <w:t>Doz, Y. L. 1996. The evolution of cooperation in strategic alliances: Initial conditions or learning processes?</w:t>
      </w:r>
      <w:bookmarkEnd w:id="303"/>
      <w:r w:rsidRPr="00BC3492">
        <w:t xml:space="preserve"> </w:t>
      </w:r>
      <w:r w:rsidRPr="00BC3492">
        <w:rPr>
          <w:i/>
        </w:rPr>
        <w:t>Strategic Management Journal</w:t>
      </w:r>
      <w:r w:rsidRPr="00BC3492">
        <w:t>, 17: 55-83.</w:t>
      </w:r>
    </w:p>
    <w:p w14:paraId="21F5C831" w14:textId="77777777" w:rsidR="00C44B2B" w:rsidRPr="00BC3492" w:rsidRDefault="00C44B2B" w:rsidP="00092681">
      <w:pPr>
        <w:pStyle w:val="CitaviBibliographyEntry"/>
        <w:jc w:val="both"/>
      </w:pPr>
      <w:bookmarkStart w:id="304" w:name="_CTVL001b7a70199d0a749e0ba3e69f93a3c1948"/>
      <w:r w:rsidRPr="00BC3492">
        <w:lastRenderedPageBreak/>
        <w:t>Dyer, J. H., &amp; Singh, H. 1998. The Relational View: Cooperative Strategy and Sources of Interorganizational Competitive Advantage.</w:t>
      </w:r>
      <w:bookmarkEnd w:id="304"/>
      <w:r w:rsidRPr="00BC3492">
        <w:t xml:space="preserve"> </w:t>
      </w:r>
      <w:r w:rsidRPr="00BC3492">
        <w:rPr>
          <w:i/>
        </w:rPr>
        <w:t>Academy of Management Review</w:t>
      </w:r>
      <w:r w:rsidRPr="00BC3492">
        <w:t>, 23: 660.</w:t>
      </w:r>
    </w:p>
    <w:p w14:paraId="6D0DCCD3" w14:textId="77777777" w:rsidR="00C44B2B" w:rsidRPr="00BC3492" w:rsidRDefault="00C44B2B" w:rsidP="00092681">
      <w:pPr>
        <w:pStyle w:val="CitaviBibliographyEntry"/>
        <w:jc w:val="both"/>
      </w:pPr>
      <w:bookmarkStart w:id="305" w:name="_CTVL0012b2c893b618844ab91ebb2bcc8d5bb5f"/>
      <w:r w:rsidRPr="00BC3492">
        <w:t>Dyer, J. H., Singh, H., &amp; Kale, P. 2008. Splitting the pie: rent distribution in alliances and networks.</w:t>
      </w:r>
      <w:bookmarkEnd w:id="305"/>
      <w:r w:rsidRPr="00BC3492">
        <w:t xml:space="preserve"> </w:t>
      </w:r>
      <w:r w:rsidRPr="00BC3492">
        <w:rPr>
          <w:i/>
        </w:rPr>
        <w:t>Managerial and Decision Economics</w:t>
      </w:r>
      <w:r w:rsidRPr="00BC3492">
        <w:t>, 29: 137-148.</w:t>
      </w:r>
    </w:p>
    <w:p w14:paraId="4577B05D" w14:textId="77777777" w:rsidR="00C44B2B" w:rsidRPr="00BC3492" w:rsidRDefault="00C44B2B" w:rsidP="00092681">
      <w:pPr>
        <w:pStyle w:val="CitaviBibliographyEntry"/>
        <w:jc w:val="both"/>
      </w:pPr>
      <w:bookmarkStart w:id="306" w:name="_CTVL001e99e21eecd5e4fc699b2d14acb91dc6b"/>
      <w:r w:rsidRPr="00C44B2B">
        <w:t xml:space="preserve">Eisenhardt, K. M., &amp; Schoonhoven, C. B. 1996. </w:t>
      </w:r>
      <w:r w:rsidRPr="00BC3492">
        <w:t>Resource-based View of Strategic Alliance Formation: Strategic and Social Effects in Entrepreneurial Firms.</w:t>
      </w:r>
      <w:bookmarkEnd w:id="306"/>
      <w:r w:rsidRPr="00BC3492">
        <w:t xml:space="preserve"> </w:t>
      </w:r>
      <w:r w:rsidRPr="00BC3492">
        <w:rPr>
          <w:i/>
        </w:rPr>
        <w:t>Organization Science</w:t>
      </w:r>
      <w:r w:rsidRPr="00BC3492">
        <w:t>, 7: 136-150.</w:t>
      </w:r>
    </w:p>
    <w:p w14:paraId="1BB5C76A" w14:textId="77777777" w:rsidR="00C44B2B" w:rsidRPr="00BC3492" w:rsidRDefault="00C44B2B" w:rsidP="00092681">
      <w:pPr>
        <w:pStyle w:val="CitaviBibliographyEntry"/>
        <w:jc w:val="both"/>
      </w:pPr>
      <w:bookmarkStart w:id="307" w:name="_CTVL001c8ebc76ac3134981a157fdc67e2723d1"/>
      <w:r w:rsidRPr="00BC3492">
        <w:t>Fama, E. F. 1970. Efficient Capital Markets: A Review of Theory and Empirical Work.</w:t>
      </w:r>
      <w:bookmarkEnd w:id="307"/>
      <w:r w:rsidRPr="00BC3492">
        <w:t xml:space="preserve"> </w:t>
      </w:r>
      <w:r w:rsidRPr="00BC3492">
        <w:rPr>
          <w:i/>
        </w:rPr>
        <w:t>The Journal of Finance</w:t>
      </w:r>
      <w:r w:rsidRPr="00BC3492">
        <w:t>, 25: 383.</w:t>
      </w:r>
    </w:p>
    <w:p w14:paraId="27AFE901" w14:textId="77777777" w:rsidR="00C44B2B" w:rsidRPr="00BC3492" w:rsidRDefault="00C44B2B" w:rsidP="00092681">
      <w:pPr>
        <w:pStyle w:val="CitaviBibliographyEntry"/>
        <w:jc w:val="both"/>
      </w:pPr>
      <w:bookmarkStart w:id="308" w:name="_CTVL001b1e5b896f9fe4248a4f303a0da9d2881"/>
      <w:r w:rsidRPr="00BC3492">
        <w:t>Fich, E. M., &amp; White, L. J. 2005. Why do CEOs reciprocally sit on each other</w:t>
      </w:r>
      <w:r>
        <w:t>’</w:t>
      </w:r>
      <w:r w:rsidRPr="00BC3492">
        <w:t>s boards?</w:t>
      </w:r>
      <w:bookmarkEnd w:id="308"/>
      <w:r w:rsidRPr="00BC3492">
        <w:t xml:space="preserve"> </w:t>
      </w:r>
      <w:r w:rsidRPr="00BC3492">
        <w:rPr>
          <w:i/>
        </w:rPr>
        <w:t>Journal of Corporate Finance</w:t>
      </w:r>
      <w:r w:rsidRPr="00BC3492">
        <w:t>, 11: 175-195.</w:t>
      </w:r>
    </w:p>
    <w:p w14:paraId="228A8762" w14:textId="77777777" w:rsidR="00C44B2B" w:rsidRPr="00BC3492" w:rsidRDefault="00C44B2B" w:rsidP="00092681">
      <w:pPr>
        <w:pStyle w:val="CitaviBibliographyEntry"/>
        <w:jc w:val="both"/>
      </w:pPr>
      <w:bookmarkStart w:id="309" w:name="_CTVL0018d613eedb53246d5a3e40bec1795897b"/>
      <w:r w:rsidRPr="00BC3492">
        <w:t>Galaskiewicz, J., &amp; Burt, R. S. 1991. Interorganization Contagion in Corporate Philanthropy.</w:t>
      </w:r>
      <w:bookmarkEnd w:id="309"/>
      <w:r w:rsidRPr="00BC3492">
        <w:t xml:space="preserve"> </w:t>
      </w:r>
      <w:r w:rsidRPr="00BC3492">
        <w:rPr>
          <w:i/>
        </w:rPr>
        <w:t>Administrative Science Quarterly</w:t>
      </w:r>
      <w:r w:rsidRPr="00BC3492">
        <w:t>, 36: 88.</w:t>
      </w:r>
    </w:p>
    <w:p w14:paraId="37788109" w14:textId="77777777" w:rsidR="00C44B2B" w:rsidRPr="00BC3492" w:rsidRDefault="00C44B2B" w:rsidP="00092681">
      <w:pPr>
        <w:pStyle w:val="CitaviBibliographyEntry"/>
        <w:jc w:val="both"/>
      </w:pPr>
      <w:bookmarkStart w:id="310" w:name="_CTVL001f2d6220e11a144cda9b209d0716cd3ec"/>
      <w:r w:rsidRPr="00BC3492">
        <w:t>Golden, B. R., &amp; Zajac, E. J. 2001. When will boards influence strategy? inclination × power = strategic change.</w:t>
      </w:r>
      <w:bookmarkEnd w:id="310"/>
      <w:r w:rsidRPr="00BC3492">
        <w:t xml:space="preserve"> </w:t>
      </w:r>
      <w:r w:rsidRPr="00BC3492">
        <w:rPr>
          <w:i/>
        </w:rPr>
        <w:t>Strategic Management Journal</w:t>
      </w:r>
      <w:r w:rsidRPr="00BC3492">
        <w:t>, 22: 1087-1111.</w:t>
      </w:r>
    </w:p>
    <w:p w14:paraId="24FB0638" w14:textId="77777777" w:rsidR="00C44B2B" w:rsidRPr="00BC3492" w:rsidRDefault="00C44B2B" w:rsidP="00092681">
      <w:pPr>
        <w:pStyle w:val="CitaviBibliographyEntry"/>
        <w:jc w:val="both"/>
      </w:pPr>
      <w:bookmarkStart w:id="311" w:name="_CTVL00175d540c669ea45bbbf35f4107ba4cc91"/>
      <w:r w:rsidRPr="00BC3492">
        <w:t>Granados, F. J., &amp; Knoke, D. 2013. Organizational status growth and structure: An alliance network analysis.</w:t>
      </w:r>
      <w:bookmarkEnd w:id="311"/>
      <w:r w:rsidRPr="00BC3492">
        <w:t xml:space="preserve"> </w:t>
      </w:r>
      <w:r w:rsidRPr="00BC3492">
        <w:rPr>
          <w:i/>
        </w:rPr>
        <w:t>Social Networks</w:t>
      </w:r>
      <w:r w:rsidRPr="00BC3492">
        <w:t>, 35: 62-74.</w:t>
      </w:r>
    </w:p>
    <w:p w14:paraId="4D2A64EA" w14:textId="77777777" w:rsidR="00C44B2B" w:rsidRPr="00BC3492" w:rsidRDefault="00C44B2B" w:rsidP="00092681">
      <w:pPr>
        <w:pStyle w:val="CitaviBibliographyEntry"/>
        <w:jc w:val="both"/>
      </w:pPr>
      <w:bookmarkStart w:id="312" w:name="_CTVL00140869caffaed44c6b9f9a590af15ea66"/>
      <w:r w:rsidRPr="00BC3492">
        <w:t>Granovetter, M. S. 1973. The Strength of Weak Ties.</w:t>
      </w:r>
      <w:bookmarkEnd w:id="312"/>
      <w:r w:rsidRPr="00BC3492">
        <w:t xml:space="preserve"> </w:t>
      </w:r>
      <w:r w:rsidRPr="00BC3492">
        <w:rPr>
          <w:i/>
        </w:rPr>
        <w:t>American Journal of Sociology</w:t>
      </w:r>
      <w:r w:rsidRPr="00BC3492">
        <w:t>, 78: 1360-1380.</w:t>
      </w:r>
    </w:p>
    <w:p w14:paraId="6E6E454A" w14:textId="77777777" w:rsidR="00C44B2B" w:rsidRPr="00BC3492" w:rsidRDefault="00C44B2B" w:rsidP="00092681">
      <w:pPr>
        <w:pStyle w:val="CitaviBibliographyEntry"/>
        <w:jc w:val="both"/>
      </w:pPr>
      <w:bookmarkStart w:id="313" w:name="_CTVL0011b3d1b50f5604deabe4f5f6e3f6a6942"/>
      <w:r w:rsidRPr="00BC3492">
        <w:t>Granovetter, M. S. 1985. Economic Action and Social Structure: The Problem of Embeddedness.</w:t>
      </w:r>
      <w:bookmarkEnd w:id="313"/>
      <w:r w:rsidRPr="00BC3492">
        <w:t xml:space="preserve"> </w:t>
      </w:r>
      <w:r w:rsidRPr="00BC3492">
        <w:rPr>
          <w:i/>
        </w:rPr>
        <w:t>American Journal of Sociology</w:t>
      </w:r>
      <w:r w:rsidRPr="00BC3492">
        <w:t>, 91: 481-510.</w:t>
      </w:r>
    </w:p>
    <w:p w14:paraId="17651162" w14:textId="77777777" w:rsidR="00C44B2B" w:rsidRPr="00BC3492" w:rsidRDefault="00C44B2B" w:rsidP="00092681">
      <w:pPr>
        <w:pStyle w:val="CitaviBibliographyEntry"/>
        <w:jc w:val="both"/>
      </w:pPr>
      <w:bookmarkStart w:id="314" w:name="_CTVL001ee454c11ac5c4254854d354c5c6060e3"/>
      <w:r w:rsidRPr="00BC3492">
        <w:t>Gulati, R. 1998. Alliances and networks.</w:t>
      </w:r>
      <w:bookmarkEnd w:id="314"/>
      <w:r w:rsidRPr="00BC3492">
        <w:t xml:space="preserve"> </w:t>
      </w:r>
      <w:r w:rsidRPr="00BC3492">
        <w:rPr>
          <w:i/>
        </w:rPr>
        <w:t>Strategic Management Journal</w:t>
      </w:r>
      <w:r w:rsidRPr="00BC3492">
        <w:t>, 19: 293-317.</w:t>
      </w:r>
    </w:p>
    <w:p w14:paraId="1B58ACDA" w14:textId="77777777" w:rsidR="00C44B2B" w:rsidRPr="00BC3492" w:rsidRDefault="00C44B2B" w:rsidP="00092681">
      <w:pPr>
        <w:pStyle w:val="CitaviBibliographyEntry"/>
        <w:jc w:val="both"/>
      </w:pPr>
      <w:bookmarkStart w:id="315" w:name="_CTVL001eb33d26f700249509f44cdd3a14d79ae"/>
      <w:r w:rsidRPr="00BC3492">
        <w:t>Gulati, R., &amp; Singh, H. 1998. The Architecture of Cooperation: Managing Coordination Costs and Appropriation Concerns in Strategic Alliances.</w:t>
      </w:r>
      <w:bookmarkEnd w:id="315"/>
      <w:r w:rsidRPr="00BC3492">
        <w:t xml:space="preserve"> </w:t>
      </w:r>
      <w:r w:rsidRPr="00BC3492">
        <w:rPr>
          <w:i/>
        </w:rPr>
        <w:t>Administrative Science Quarterly</w:t>
      </w:r>
      <w:r w:rsidRPr="00BC3492">
        <w:t>, 43: 781.</w:t>
      </w:r>
    </w:p>
    <w:p w14:paraId="33EBEF47" w14:textId="77777777" w:rsidR="00C44B2B" w:rsidRPr="004D2D8B" w:rsidRDefault="00C44B2B" w:rsidP="00092681">
      <w:pPr>
        <w:pStyle w:val="CitaviBibliographyEntry"/>
        <w:jc w:val="both"/>
      </w:pPr>
      <w:bookmarkStart w:id="316" w:name="_CTVL00143faed102f784240b260a2d30e688871"/>
      <w:r w:rsidRPr="00BC3492">
        <w:lastRenderedPageBreak/>
        <w:t xml:space="preserve">Gulati, R., &amp; Wang, L. O. 2003. Size of the pie and share of the pie: Implications of network embeddedness and business relatedness for value creation and value appropriation in joint ventures. </w:t>
      </w:r>
      <w:r w:rsidRPr="004D2D8B">
        <w:t>In</w:t>
      </w:r>
      <w:bookmarkEnd w:id="316"/>
      <w:r w:rsidRPr="004D2D8B">
        <w:t xml:space="preserve"> </w:t>
      </w:r>
      <w:r w:rsidRPr="004D2D8B">
        <w:rPr>
          <w:i/>
        </w:rPr>
        <w:t xml:space="preserve">The Governance of Relations in Markets and Organizations: </w:t>
      </w:r>
      <w:r w:rsidRPr="004D2D8B">
        <w:t>209-242. Bingley: Emerald (MCB UP ).</w:t>
      </w:r>
    </w:p>
    <w:p w14:paraId="7D474697" w14:textId="77777777" w:rsidR="00C44B2B" w:rsidRPr="00BC3492" w:rsidRDefault="00C44B2B" w:rsidP="00092681">
      <w:pPr>
        <w:pStyle w:val="CitaviBibliographyEntry"/>
        <w:jc w:val="both"/>
      </w:pPr>
      <w:bookmarkStart w:id="317" w:name="_CTVL001bc4f3bc938034edb979a80403c392bd4"/>
      <w:r w:rsidRPr="00BC3492">
        <w:t>Gulati, R., &amp; Westphal, J. D. 1999. Cooperative or Controlling? The Effects of CEO-Board Relations and the Content of Interlocks on the Formation of Joint Ventures.</w:t>
      </w:r>
      <w:bookmarkEnd w:id="317"/>
      <w:r w:rsidRPr="00BC3492">
        <w:t xml:space="preserve"> </w:t>
      </w:r>
      <w:r w:rsidRPr="00BC3492">
        <w:rPr>
          <w:i/>
        </w:rPr>
        <w:t>Administrative Science Quarterly</w:t>
      </w:r>
      <w:r w:rsidRPr="00BC3492">
        <w:t>, 44: 473-506.</w:t>
      </w:r>
    </w:p>
    <w:p w14:paraId="326BF9DB" w14:textId="77777777" w:rsidR="00C44B2B" w:rsidRPr="00BC3492" w:rsidRDefault="00C44B2B" w:rsidP="00092681">
      <w:pPr>
        <w:pStyle w:val="CitaviBibliographyEntry"/>
        <w:jc w:val="both"/>
      </w:pPr>
      <w:bookmarkStart w:id="318" w:name="_CTVL001a0060320daa24cc6b1e3f69d8e08c348"/>
      <w:r w:rsidRPr="00BC3492">
        <w:t>Hamel, G. 1991. Competition for competence and interpartner learning within international strategic alliances.</w:t>
      </w:r>
      <w:bookmarkEnd w:id="318"/>
      <w:r w:rsidRPr="00BC3492">
        <w:t xml:space="preserve"> </w:t>
      </w:r>
      <w:r w:rsidRPr="00BC3492">
        <w:rPr>
          <w:i/>
        </w:rPr>
        <w:t>Strategic Management Journal</w:t>
      </w:r>
      <w:r w:rsidRPr="00BC3492">
        <w:t>, 12: 83-103.</w:t>
      </w:r>
    </w:p>
    <w:p w14:paraId="735D08B8" w14:textId="77777777" w:rsidR="00C44B2B" w:rsidRPr="00BC3492" w:rsidRDefault="00C44B2B" w:rsidP="00092681">
      <w:pPr>
        <w:pStyle w:val="CitaviBibliographyEntry"/>
        <w:jc w:val="both"/>
      </w:pPr>
      <w:bookmarkStart w:id="319" w:name="_CTVL0015e8d12b0b5484fe2aba5ab20b8529d98"/>
      <w:r w:rsidRPr="00BC3492">
        <w:t>Hansen, M. T. 1999. The Search-Transfer Problem: The Role of Weak Ties in Sharing Knowledge across Organization Subunits.</w:t>
      </w:r>
      <w:bookmarkEnd w:id="319"/>
      <w:r w:rsidRPr="00BC3492">
        <w:t xml:space="preserve"> </w:t>
      </w:r>
      <w:r w:rsidRPr="00BC3492">
        <w:rPr>
          <w:i/>
        </w:rPr>
        <w:t>Administrative Science Quarterly</w:t>
      </w:r>
      <w:r w:rsidRPr="00BC3492">
        <w:t>, 44: 82-111.</w:t>
      </w:r>
    </w:p>
    <w:p w14:paraId="53246398" w14:textId="77777777" w:rsidR="00C44B2B" w:rsidRPr="00BC3492" w:rsidRDefault="00C44B2B" w:rsidP="00092681">
      <w:pPr>
        <w:pStyle w:val="CitaviBibliographyEntry"/>
        <w:jc w:val="both"/>
      </w:pPr>
      <w:bookmarkStart w:id="320" w:name="_CTVL001352431876ff6407395a9956c70905174"/>
      <w:r w:rsidRPr="00BC3492">
        <w:t>Harris, I. C., &amp; Shimizu, K. 2004. Too Busy To Serve? An Examination of the Influence of Overboarded Directors.</w:t>
      </w:r>
      <w:bookmarkEnd w:id="320"/>
      <w:r w:rsidRPr="00BC3492">
        <w:t xml:space="preserve"> </w:t>
      </w:r>
      <w:r w:rsidRPr="00BC3492">
        <w:rPr>
          <w:i/>
        </w:rPr>
        <w:t>Journal of Management Studies</w:t>
      </w:r>
      <w:r w:rsidRPr="00BC3492">
        <w:t>, 41: 775-798.</w:t>
      </w:r>
    </w:p>
    <w:p w14:paraId="360D95A9" w14:textId="77777777" w:rsidR="00C44B2B" w:rsidRPr="00BC3492" w:rsidRDefault="00C44B2B" w:rsidP="00092681">
      <w:pPr>
        <w:pStyle w:val="CitaviBibliographyEntry"/>
        <w:jc w:val="both"/>
      </w:pPr>
      <w:bookmarkStart w:id="321" w:name="_CTVL0016e4c288162ec4eceb7630c16fbcc32a3"/>
      <w:r w:rsidRPr="007E3F5D">
        <w:t xml:space="preserve">Haunschild, P. R., &amp; Beckman, C. M. 1998. </w:t>
      </w:r>
      <w:r w:rsidRPr="00BC3492">
        <w:t>When Do Interlocks Matter?: Alternate Sources of Information and Interlock Influence.</w:t>
      </w:r>
      <w:bookmarkEnd w:id="321"/>
      <w:r w:rsidRPr="00BC3492">
        <w:t xml:space="preserve"> </w:t>
      </w:r>
      <w:r w:rsidRPr="00BC3492">
        <w:rPr>
          <w:i/>
        </w:rPr>
        <w:t>Administrative Science Quarterly</w:t>
      </w:r>
      <w:r w:rsidRPr="00BC3492">
        <w:t>, 43: 815.</w:t>
      </w:r>
    </w:p>
    <w:p w14:paraId="42334D42" w14:textId="77777777" w:rsidR="00C44B2B" w:rsidRPr="00BC3492" w:rsidRDefault="00C44B2B" w:rsidP="00092681">
      <w:pPr>
        <w:pStyle w:val="CitaviBibliographyEntry"/>
        <w:jc w:val="both"/>
      </w:pPr>
      <w:bookmarkStart w:id="322" w:name="_CTVL001bca3744f1ec24833bcbf93790993c4c6"/>
      <w:r w:rsidRPr="00BC3492">
        <w:t>Haynes, K. T., &amp; Hillman, A. J. 2010. The effect of board capital and CEO power on strategic change.</w:t>
      </w:r>
      <w:bookmarkEnd w:id="322"/>
      <w:r w:rsidRPr="00BC3492">
        <w:t xml:space="preserve"> </w:t>
      </w:r>
      <w:r w:rsidRPr="00BC3492">
        <w:rPr>
          <w:i/>
        </w:rPr>
        <w:t>Strategic Management Journal</w:t>
      </w:r>
      <w:r w:rsidRPr="00BC3492">
        <w:t>, 31: 1145-1163.</w:t>
      </w:r>
    </w:p>
    <w:p w14:paraId="4527C726" w14:textId="77777777" w:rsidR="00C44B2B" w:rsidRPr="00BC3492" w:rsidRDefault="00C44B2B" w:rsidP="00092681">
      <w:pPr>
        <w:pStyle w:val="CitaviBibliographyEntry"/>
        <w:jc w:val="both"/>
      </w:pPr>
      <w:bookmarkStart w:id="323" w:name="_CTVL001953ed9194dc74f708ad195ddc097d3bc"/>
      <w:r w:rsidRPr="00BC3492">
        <w:t>Hernandez, E., Sanders, W. G., &amp; Tuschke, A. 2015. Network Defense: Pruning, Grafting, and Closing to Prevent Leakage of Strategic Knowledge to Rivals.</w:t>
      </w:r>
      <w:bookmarkEnd w:id="323"/>
      <w:r w:rsidRPr="00BC3492">
        <w:t xml:space="preserve"> </w:t>
      </w:r>
      <w:r w:rsidRPr="00BC3492">
        <w:rPr>
          <w:i/>
        </w:rPr>
        <w:t>Academy of Management Journal</w:t>
      </w:r>
      <w:r w:rsidRPr="00BC3492">
        <w:t>, 58: 1233-1260.</w:t>
      </w:r>
    </w:p>
    <w:p w14:paraId="220FE568" w14:textId="77777777" w:rsidR="00C44B2B" w:rsidRPr="004D2D8B" w:rsidRDefault="00C44B2B" w:rsidP="00092681">
      <w:pPr>
        <w:pStyle w:val="CitaviBibliographyEntry"/>
        <w:jc w:val="both"/>
      </w:pPr>
      <w:bookmarkStart w:id="324" w:name="_CTVL0011973826dc94f4937b35ac172e493a4fa"/>
      <w:r w:rsidRPr="007E3F5D">
        <w:t xml:space="preserve">Hillman, A. J., &amp; Dalziel, T. 2003. </w:t>
      </w:r>
      <w:r w:rsidRPr="00BC3492">
        <w:t>Boards of Directors and Firm Performance: Integrating Agency and Resource Dependence Perspectives.</w:t>
      </w:r>
      <w:bookmarkEnd w:id="324"/>
      <w:r w:rsidRPr="00BC3492">
        <w:t xml:space="preserve"> </w:t>
      </w:r>
      <w:r w:rsidRPr="004D2D8B">
        <w:rPr>
          <w:i/>
        </w:rPr>
        <w:t>Academy of Management Review</w:t>
      </w:r>
      <w:r w:rsidRPr="004D2D8B">
        <w:t>, 28: 383.</w:t>
      </w:r>
    </w:p>
    <w:p w14:paraId="56E09023" w14:textId="77777777" w:rsidR="00C44B2B" w:rsidRPr="00BC3492" w:rsidRDefault="00C44B2B" w:rsidP="00092681">
      <w:pPr>
        <w:pStyle w:val="CitaviBibliographyEntry"/>
        <w:jc w:val="both"/>
      </w:pPr>
      <w:bookmarkStart w:id="325" w:name="_CTVL0015e5f894c48a840278ba7c31e0b1cabce"/>
      <w:r w:rsidRPr="004D2D8B">
        <w:t>Hippel, E. von. 1988.</w:t>
      </w:r>
      <w:bookmarkEnd w:id="325"/>
      <w:r w:rsidRPr="004D2D8B">
        <w:t xml:space="preserve"> </w:t>
      </w:r>
      <w:r w:rsidRPr="004D2D8B">
        <w:rPr>
          <w:i/>
        </w:rPr>
        <w:t xml:space="preserve">The sources of innovation </w:t>
      </w:r>
      <w:r w:rsidRPr="004D2D8B">
        <w:t xml:space="preserve">(1. issued as paperback). </w:t>
      </w:r>
      <w:r w:rsidRPr="00BC3492">
        <w:t>New York, Oxford: Oxford University Press.</w:t>
      </w:r>
    </w:p>
    <w:p w14:paraId="000661E4" w14:textId="77777777" w:rsidR="00C44B2B" w:rsidRPr="00BC3492" w:rsidRDefault="00C44B2B" w:rsidP="00092681">
      <w:pPr>
        <w:pStyle w:val="CitaviBibliographyEntry"/>
        <w:jc w:val="both"/>
      </w:pPr>
      <w:bookmarkStart w:id="326" w:name="_CTVL001362ac5207f4c4306a5614c8cda3a332a"/>
      <w:r w:rsidRPr="00BC3492">
        <w:lastRenderedPageBreak/>
        <w:t>Hitt, M. A., Ireland, R. D., Camp, S. M., &amp; Sexton, D. L. 2001. Strategic entrepreneurship: entrepreneurial strategies for wealth creation.</w:t>
      </w:r>
      <w:bookmarkEnd w:id="326"/>
      <w:r w:rsidRPr="00BC3492">
        <w:t xml:space="preserve"> </w:t>
      </w:r>
      <w:r w:rsidRPr="00BC3492">
        <w:rPr>
          <w:i/>
        </w:rPr>
        <w:t>Strategic Management Journal</w:t>
      </w:r>
      <w:r w:rsidRPr="00BC3492">
        <w:t>, 22: 479-491.</w:t>
      </w:r>
    </w:p>
    <w:p w14:paraId="0FE60CC5" w14:textId="77777777" w:rsidR="00C44B2B" w:rsidRPr="00BC3492" w:rsidRDefault="00C44B2B" w:rsidP="00092681">
      <w:pPr>
        <w:pStyle w:val="CitaviBibliographyEntry"/>
        <w:jc w:val="both"/>
      </w:pPr>
      <w:bookmarkStart w:id="327" w:name="_CTVL001914b686bcda14c3691d0fe32b51c2d42"/>
      <w:r w:rsidRPr="00CE03DC">
        <w:t xml:space="preserve">Hoffmann, W., Lavie, D., Reuer, J. J., &amp; Shipilov, A. 2018. </w:t>
      </w:r>
      <w:r w:rsidRPr="00BC3492">
        <w:t>The interplay of competition and cooperation.</w:t>
      </w:r>
      <w:bookmarkEnd w:id="327"/>
      <w:r w:rsidRPr="00BC3492">
        <w:t xml:space="preserve"> </w:t>
      </w:r>
      <w:r w:rsidRPr="00BC3492">
        <w:rPr>
          <w:i/>
        </w:rPr>
        <w:t>Strategic Management Journal</w:t>
      </w:r>
      <w:r w:rsidRPr="00BC3492">
        <w:t>, 39: 3033-3052.</w:t>
      </w:r>
    </w:p>
    <w:p w14:paraId="0784AA1A" w14:textId="77777777" w:rsidR="00C44B2B" w:rsidRPr="00BC3492" w:rsidRDefault="00C44B2B" w:rsidP="00092681">
      <w:pPr>
        <w:pStyle w:val="CitaviBibliographyEntry"/>
        <w:jc w:val="both"/>
      </w:pPr>
      <w:bookmarkStart w:id="328" w:name="_CTVL001bac5d16830864faeb8a4dd845b0387ac"/>
      <w:r w:rsidRPr="00BC3492">
        <w:t>Horton, J., Millo, Y., &amp; Serafeim, G. 2012. Resources or Power? Implications of Social Networks on Compensation and Firm Performance.</w:t>
      </w:r>
      <w:bookmarkEnd w:id="328"/>
      <w:r w:rsidRPr="00BC3492">
        <w:t xml:space="preserve"> </w:t>
      </w:r>
      <w:r w:rsidRPr="00BC3492">
        <w:rPr>
          <w:i/>
        </w:rPr>
        <w:t>Journal of Business Finance &amp; Accounting</w:t>
      </w:r>
      <w:r w:rsidRPr="00BC3492">
        <w:t>, 39: 399-426.</w:t>
      </w:r>
    </w:p>
    <w:p w14:paraId="077E61FD" w14:textId="77777777" w:rsidR="00C44B2B" w:rsidRPr="00BC3492" w:rsidRDefault="00C44B2B" w:rsidP="00092681">
      <w:pPr>
        <w:pStyle w:val="CitaviBibliographyEntry"/>
        <w:jc w:val="both"/>
      </w:pPr>
      <w:bookmarkStart w:id="329" w:name="_CTVL001dff0a5733d65448287af1d15930a3502"/>
      <w:r w:rsidRPr="00BC3492">
        <w:t>Inkpen, A. C., &amp; Beamish, P. W. 1997. Knowledge, Bargaining Power, and the Instability of International Joint Ventures.</w:t>
      </w:r>
      <w:bookmarkEnd w:id="329"/>
      <w:r w:rsidRPr="00BC3492">
        <w:t xml:space="preserve"> </w:t>
      </w:r>
      <w:r w:rsidRPr="00BC3492">
        <w:rPr>
          <w:i/>
        </w:rPr>
        <w:t>Academy of Management Review</w:t>
      </w:r>
      <w:r w:rsidRPr="00BC3492">
        <w:t>, 22: 177.</w:t>
      </w:r>
    </w:p>
    <w:p w14:paraId="1681CD38" w14:textId="77777777" w:rsidR="00C44B2B" w:rsidRPr="00BC3492" w:rsidRDefault="00C44B2B" w:rsidP="00092681">
      <w:pPr>
        <w:pStyle w:val="CitaviBibliographyEntry"/>
        <w:jc w:val="both"/>
      </w:pPr>
      <w:bookmarkStart w:id="330" w:name="_CTVL001e2719021539f4beb86804aa3740625f7"/>
      <w:r w:rsidRPr="00BC3492">
        <w:t>Inkpen, A. C., &amp; Currall, S. C. 2004. The Coevolution of Trust, Control, and Learning in Joint Ventures.</w:t>
      </w:r>
      <w:bookmarkEnd w:id="330"/>
      <w:r w:rsidRPr="00BC3492">
        <w:t xml:space="preserve"> </w:t>
      </w:r>
      <w:r w:rsidRPr="00BC3492">
        <w:rPr>
          <w:i/>
        </w:rPr>
        <w:t>Organization Science</w:t>
      </w:r>
      <w:r w:rsidRPr="00BC3492">
        <w:t>, 15: 586-599.</w:t>
      </w:r>
    </w:p>
    <w:p w14:paraId="0CAAA85F" w14:textId="77777777" w:rsidR="00C44B2B" w:rsidRPr="00BC3492" w:rsidRDefault="00C44B2B" w:rsidP="00092681">
      <w:pPr>
        <w:pStyle w:val="CitaviBibliographyEntry"/>
        <w:jc w:val="both"/>
      </w:pPr>
      <w:bookmarkStart w:id="331" w:name="_CTVL001a1a3b62720394ce1a4c2854769132c6f"/>
      <w:r w:rsidRPr="00BC3492">
        <w:t>Kalaignanam, K., Shankar, V., &amp; Varadarajan, R. 2007. Asymmetric New Product Development Alliances: Win-Win or Win-Lose Partnerships?</w:t>
      </w:r>
      <w:bookmarkEnd w:id="331"/>
      <w:r w:rsidRPr="00BC3492">
        <w:t xml:space="preserve"> </w:t>
      </w:r>
      <w:r w:rsidRPr="00BC3492">
        <w:rPr>
          <w:i/>
        </w:rPr>
        <w:t>Management Science</w:t>
      </w:r>
      <w:r w:rsidRPr="00BC3492">
        <w:t>, 53: 357-374.</w:t>
      </w:r>
    </w:p>
    <w:p w14:paraId="0A09E953" w14:textId="77777777" w:rsidR="00C44B2B" w:rsidRPr="00BC3492" w:rsidRDefault="00C44B2B" w:rsidP="00092681">
      <w:pPr>
        <w:pStyle w:val="CitaviBibliographyEntry"/>
        <w:jc w:val="both"/>
      </w:pPr>
      <w:bookmarkStart w:id="332" w:name="_CTVL0010c28f52d65524da0ab46d58548f9393f"/>
      <w:r w:rsidRPr="00BC3492">
        <w:t>Kale, P., Singh, H., &amp; Perlmutter, H. 2000. Learning and protection of proprietary assets in strategic alliances: building relational capital.</w:t>
      </w:r>
      <w:bookmarkEnd w:id="332"/>
      <w:r w:rsidRPr="00BC3492">
        <w:t xml:space="preserve"> </w:t>
      </w:r>
      <w:r w:rsidRPr="00BC3492">
        <w:rPr>
          <w:i/>
        </w:rPr>
        <w:t>Strategic Management Journal</w:t>
      </w:r>
      <w:r w:rsidRPr="00BC3492">
        <w:t>, 21: 217-237.</w:t>
      </w:r>
    </w:p>
    <w:p w14:paraId="3948C7E6" w14:textId="77777777" w:rsidR="00C44B2B" w:rsidRPr="00BC3492" w:rsidRDefault="00C44B2B" w:rsidP="00092681">
      <w:pPr>
        <w:pStyle w:val="CitaviBibliographyEntry"/>
        <w:jc w:val="both"/>
      </w:pPr>
      <w:bookmarkStart w:id="333" w:name="_CTVL001727710b05d9d42c2bdbd1a81a90eab31"/>
      <w:r w:rsidRPr="00BC3492">
        <w:t>Kalnins, A., Swaminathan, A., &amp; Mitchell, W. 2006. Turnover Events, Vicarious Information, and the Reduced Likelihood of Outlet-Level Exit Among Small Multiunit Organizations.</w:t>
      </w:r>
      <w:bookmarkEnd w:id="333"/>
      <w:r w:rsidRPr="00BC3492">
        <w:t xml:space="preserve"> </w:t>
      </w:r>
      <w:r w:rsidRPr="00BC3492">
        <w:rPr>
          <w:i/>
        </w:rPr>
        <w:t>Organization Science</w:t>
      </w:r>
      <w:r w:rsidRPr="00BC3492">
        <w:t>, 17: 118-131.</w:t>
      </w:r>
    </w:p>
    <w:p w14:paraId="3829936C" w14:textId="77777777" w:rsidR="00C44B2B" w:rsidRPr="00BC3492" w:rsidRDefault="00C44B2B" w:rsidP="00092681">
      <w:pPr>
        <w:pStyle w:val="CitaviBibliographyEntry"/>
        <w:jc w:val="both"/>
      </w:pPr>
      <w:bookmarkStart w:id="334" w:name="_CTVL001ab00d31d95574146ba66dddcbeff78b4"/>
      <w:r w:rsidRPr="00BC3492">
        <w:t>Khanna, T., Gulati, R., &amp; Nohria, N. 1994. Alliances as learning races.</w:t>
      </w:r>
      <w:bookmarkEnd w:id="334"/>
      <w:r w:rsidRPr="00BC3492">
        <w:t xml:space="preserve"> </w:t>
      </w:r>
      <w:r w:rsidRPr="00BC3492">
        <w:rPr>
          <w:i/>
        </w:rPr>
        <w:t>Academy of Management Proceedings</w:t>
      </w:r>
      <w:r w:rsidRPr="00BC3492">
        <w:t>, 1994: 42-46.</w:t>
      </w:r>
    </w:p>
    <w:p w14:paraId="2E0967D5" w14:textId="77777777" w:rsidR="00C44B2B" w:rsidRPr="00BC3492" w:rsidRDefault="00C44B2B" w:rsidP="00092681">
      <w:pPr>
        <w:pStyle w:val="CitaviBibliographyEntry"/>
        <w:jc w:val="both"/>
      </w:pPr>
      <w:bookmarkStart w:id="335" w:name="_CTVL0013667f7e4428c4427910564dd1ec0cc95"/>
      <w:r w:rsidRPr="00BC3492">
        <w:t>Khanna, T., Gulati, R., &amp; Nohria, N. 1998. The dynamics of learning alliances: competition, cooperation, and relative scope.</w:t>
      </w:r>
      <w:bookmarkEnd w:id="335"/>
      <w:r w:rsidRPr="00BC3492">
        <w:t xml:space="preserve"> </w:t>
      </w:r>
      <w:r w:rsidRPr="00BC3492">
        <w:rPr>
          <w:i/>
        </w:rPr>
        <w:t>Strategic Management Journal</w:t>
      </w:r>
      <w:r w:rsidRPr="00BC3492">
        <w:t>, 19: 193-210.</w:t>
      </w:r>
    </w:p>
    <w:p w14:paraId="39E128CD" w14:textId="77777777" w:rsidR="00C44B2B" w:rsidRPr="00BC3492" w:rsidRDefault="00C44B2B" w:rsidP="00092681">
      <w:pPr>
        <w:pStyle w:val="CitaviBibliographyEntry"/>
        <w:jc w:val="both"/>
      </w:pPr>
      <w:bookmarkStart w:id="336" w:name="_CTVL001b14d04d5191a4e8f8aabfb19628bdaf2"/>
      <w:r w:rsidRPr="007E3F5D">
        <w:lastRenderedPageBreak/>
        <w:t xml:space="preserve">Kiel, G. C., &amp; Nicholson, G. J. 2006. </w:t>
      </w:r>
      <w:r w:rsidRPr="00BC3492">
        <w:t xml:space="preserve">Multiple Directorships and Corporate Performance in Australian Listed Companies </w:t>
      </w:r>
      <w:bookmarkEnd w:id="336"/>
      <w:r w:rsidRPr="00BC3492">
        <w:t xml:space="preserve"> </w:t>
      </w:r>
      <w:r w:rsidRPr="00BC3492">
        <w:rPr>
          <w:i/>
        </w:rPr>
        <w:t>Corporate Governance: An International Review</w:t>
      </w:r>
      <w:r w:rsidRPr="00BC3492">
        <w:t>, 14: 530-546.</w:t>
      </w:r>
    </w:p>
    <w:p w14:paraId="0DE712D2" w14:textId="77777777" w:rsidR="00C44B2B" w:rsidRPr="00BC3492" w:rsidRDefault="00C44B2B" w:rsidP="00092681">
      <w:pPr>
        <w:pStyle w:val="CitaviBibliographyEntry"/>
        <w:jc w:val="both"/>
      </w:pPr>
      <w:bookmarkStart w:id="337" w:name="_CTVL001ad6d181ea87c4412a4ea2c18da865895"/>
      <w:r w:rsidRPr="00C44B2B">
        <w:rPr>
          <w:lang w:val="de-DE"/>
        </w:rPr>
        <w:t xml:space="preserve">Knoben, J., &amp; Bakker, R. M. 2019. </w:t>
      </w:r>
      <w:r w:rsidRPr="00BC3492">
        <w:t>The guppy and the whale: Relational pluralism and start-ups</w:t>
      </w:r>
      <w:r>
        <w:t>’</w:t>
      </w:r>
      <w:r w:rsidRPr="00BC3492">
        <w:t xml:space="preserve"> expropriation dilemma in partnership formation.</w:t>
      </w:r>
      <w:bookmarkEnd w:id="337"/>
      <w:r w:rsidRPr="00BC3492">
        <w:t xml:space="preserve"> </w:t>
      </w:r>
      <w:r w:rsidRPr="00BC3492">
        <w:rPr>
          <w:i/>
        </w:rPr>
        <w:t>Journal of Business Venturing</w:t>
      </w:r>
      <w:r w:rsidRPr="00BC3492">
        <w:t>, 34: 103-121.</w:t>
      </w:r>
    </w:p>
    <w:p w14:paraId="74C9CDAA" w14:textId="77777777" w:rsidR="00C44B2B" w:rsidRPr="00BC3492" w:rsidRDefault="00C44B2B" w:rsidP="00092681">
      <w:pPr>
        <w:pStyle w:val="CitaviBibliographyEntry"/>
        <w:jc w:val="both"/>
      </w:pPr>
      <w:bookmarkStart w:id="338" w:name="_CTVL0017b46606696cb407bb09063c16aefbe4a"/>
      <w:r w:rsidRPr="00BC3492">
        <w:t>Koh, J., &amp; Venkatraman, N. 1991. Joint venture formations and stock market reactions: An assessment in the information technology sector.</w:t>
      </w:r>
      <w:bookmarkEnd w:id="338"/>
      <w:r w:rsidRPr="00BC3492">
        <w:t xml:space="preserve"> </w:t>
      </w:r>
      <w:r w:rsidRPr="00BC3492">
        <w:rPr>
          <w:i/>
        </w:rPr>
        <w:t>Academy of Management Journal</w:t>
      </w:r>
      <w:r w:rsidRPr="00BC3492">
        <w:t>, 34: 869-892.</w:t>
      </w:r>
    </w:p>
    <w:p w14:paraId="7CE3E89E" w14:textId="77777777" w:rsidR="00C44B2B" w:rsidRPr="00BC3492" w:rsidRDefault="00C44B2B" w:rsidP="00092681">
      <w:pPr>
        <w:pStyle w:val="CitaviBibliographyEntry"/>
        <w:jc w:val="both"/>
      </w:pPr>
      <w:bookmarkStart w:id="339" w:name="_CTVL001117d86a8e492411b876a2da11e5bf566"/>
      <w:r w:rsidRPr="00BC3492">
        <w:t>Kor, Y. Y., &amp; Sundaramurthy, C. 2009. Experience-Based Human Capital and Social Capital of Outside Directors.</w:t>
      </w:r>
      <w:bookmarkEnd w:id="339"/>
      <w:r w:rsidRPr="00BC3492">
        <w:t xml:space="preserve"> </w:t>
      </w:r>
      <w:r w:rsidRPr="00BC3492">
        <w:rPr>
          <w:i/>
        </w:rPr>
        <w:t>Journal of Management</w:t>
      </w:r>
      <w:r w:rsidRPr="00BC3492">
        <w:t>, 35: 981-1006.</w:t>
      </w:r>
    </w:p>
    <w:p w14:paraId="4E5FEAF6" w14:textId="77777777" w:rsidR="00C44B2B" w:rsidRPr="00BC3492" w:rsidRDefault="00C44B2B" w:rsidP="00092681">
      <w:pPr>
        <w:pStyle w:val="CitaviBibliographyEntry"/>
        <w:jc w:val="both"/>
      </w:pPr>
      <w:bookmarkStart w:id="340" w:name="_CTVL001ef812c5a3e4b407b95c3516a44e50569"/>
      <w:r w:rsidRPr="00BC3492">
        <w:t>Kumar, M. V. S. 2010. Differential Gains Between Partners in Joint Ventures: Role of Resource Appropriation and Private Benefits.</w:t>
      </w:r>
      <w:bookmarkEnd w:id="340"/>
      <w:r w:rsidRPr="00BC3492">
        <w:t xml:space="preserve"> </w:t>
      </w:r>
      <w:r w:rsidRPr="00BC3492">
        <w:rPr>
          <w:i/>
        </w:rPr>
        <w:t>Organization Science</w:t>
      </w:r>
      <w:r w:rsidRPr="00BC3492">
        <w:t>, 21: 232-248.</w:t>
      </w:r>
    </w:p>
    <w:p w14:paraId="50C5B90E" w14:textId="77777777" w:rsidR="00C44B2B" w:rsidRPr="00BC3492" w:rsidRDefault="00C44B2B" w:rsidP="00092681">
      <w:pPr>
        <w:pStyle w:val="CitaviBibliographyEntry"/>
        <w:jc w:val="both"/>
      </w:pPr>
      <w:bookmarkStart w:id="341" w:name="_CTVL00104e4b86b27ac4e9e83c2e954a16e09cc"/>
      <w:r w:rsidRPr="00BC3492">
        <w:t>Kumar, M. V. S. 2011. Are joint ventures positive sum games? The relative effects of cooperative and noncooperative behavior.</w:t>
      </w:r>
      <w:bookmarkEnd w:id="341"/>
      <w:r w:rsidRPr="00BC3492">
        <w:t xml:space="preserve"> </w:t>
      </w:r>
      <w:r w:rsidRPr="00BC3492">
        <w:rPr>
          <w:i/>
        </w:rPr>
        <w:t>Strategic Management Journal</w:t>
      </w:r>
      <w:r w:rsidRPr="00BC3492">
        <w:t>, 32: 32-54.</w:t>
      </w:r>
    </w:p>
    <w:p w14:paraId="4C59382F" w14:textId="77777777" w:rsidR="00C44B2B" w:rsidRPr="00BC3492" w:rsidRDefault="00C44B2B" w:rsidP="00092681">
      <w:pPr>
        <w:pStyle w:val="CitaviBibliographyEntry"/>
        <w:jc w:val="both"/>
      </w:pPr>
      <w:bookmarkStart w:id="342" w:name="_CTVL001a3c792a866224afca3aeb288aec110d2"/>
      <w:r w:rsidRPr="00BC3492">
        <w:t>Kumar, R., &amp; Nti, K. O. 1998. Differential Learning and Interaction in Alliance Dynamics: A Process and Outcome Discrepancy Model.</w:t>
      </w:r>
      <w:bookmarkEnd w:id="342"/>
      <w:r w:rsidRPr="00BC3492">
        <w:t xml:space="preserve"> </w:t>
      </w:r>
      <w:r w:rsidRPr="00BC3492">
        <w:rPr>
          <w:i/>
        </w:rPr>
        <w:t>Organization Science</w:t>
      </w:r>
      <w:r w:rsidRPr="00BC3492">
        <w:t>, 9: 356-367.</w:t>
      </w:r>
    </w:p>
    <w:p w14:paraId="15CD44B5" w14:textId="77777777" w:rsidR="00C44B2B" w:rsidRPr="00BC3492" w:rsidRDefault="00C44B2B" w:rsidP="00092681">
      <w:pPr>
        <w:pStyle w:val="CitaviBibliographyEntry"/>
        <w:jc w:val="both"/>
      </w:pPr>
      <w:bookmarkStart w:id="343" w:name="_CTVL001fb490c16c0e14b21b01edca3d4e06535"/>
      <w:r w:rsidRPr="00BC3492">
        <w:t>Lamb, N. H., &amp; Roundy, P. 2016. The “ties that bind” board interlocks research: a systematic review.</w:t>
      </w:r>
      <w:bookmarkEnd w:id="343"/>
      <w:r w:rsidRPr="00BC3492">
        <w:t xml:space="preserve"> </w:t>
      </w:r>
      <w:r w:rsidRPr="00BC3492">
        <w:rPr>
          <w:i/>
        </w:rPr>
        <w:t>Management Research Review</w:t>
      </w:r>
      <w:r w:rsidRPr="00BC3492">
        <w:t>, 39: 1516-1542.</w:t>
      </w:r>
    </w:p>
    <w:p w14:paraId="7ED1A13A" w14:textId="77777777" w:rsidR="00C44B2B" w:rsidRPr="00BC3492" w:rsidRDefault="00C44B2B" w:rsidP="00092681">
      <w:pPr>
        <w:pStyle w:val="CitaviBibliographyEntry"/>
        <w:jc w:val="both"/>
      </w:pPr>
      <w:bookmarkStart w:id="344" w:name="_CTVL0016391afe9ffd847ebb685e852fbccf66f"/>
      <w:r w:rsidRPr="00BC3492">
        <w:t>Lane, P. J., &amp; Lubatkin, M. 1998. Relative absorptive capacity and interorganizational learning.</w:t>
      </w:r>
      <w:bookmarkEnd w:id="344"/>
      <w:r w:rsidRPr="00BC3492">
        <w:t xml:space="preserve"> </w:t>
      </w:r>
      <w:r w:rsidRPr="00BC3492">
        <w:rPr>
          <w:i/>
        </w:rPr>
        <w:t>Strategic Management Journal</w:t>
      </w:r>
      <w:r w:rsidRPr="00BC3492">
        <w:t>, 19: 461-477.</w:t>
      </w:r>
    </w:p>
    <w:p w14:paraId="4B23273B" w14:textId="77777777" w:rsidR="00C44B2B" w:rsidRPr="00BC3492" w:rsidRDefault="00C44B2B" w:rsidP="00092681">
      <w:pPr>
        <w:pStyle w:val="CitaviBibliographyEntry"/>
        <w:jc w:val="both"/>
      </w:pPr>
      <w:bookmarkStart w:id="345" w:name="_CTVL001b48024c6863c4e3bba6bcea48a2920aa"/>
      <w:r w:rsidRPr="00CE03DC">
        <w:t xml:space="preserve">Lang, J. R., &amp; Lockhart, D. E. 1990. </w:t>
      </w:r>
      <w:r w:rsidRPr="00BC3492">
        <w:t>Increased Environmental Uncertainty and Changes in Board Linkage Patterns.</w:t>
      </w:r>
      <w:bookmarkEnd w:id="345"/>
      <w:r w:rsidRPr="00BC3492">
        <w:t xml:space="preserve"> </w:t>
      </w:r>
      <w:r w:rsidRPr="00BC3492">
        <w:rPr>
          <w:i/>
        </w:rPr>
        <w:t>Academy of Management Journal</w:t>
      </w:r>
      <w:r w:rsidRPr="00BC3492">
        <w:t>, 33: 106-128.</w:t>
      </w:r>
    </w:p>
    <w:p w14:paraId="1EA4D156" w14:textId="77777777" w:rsidR="00C44B2B" w:rsidRPr="00BC3492" w:rsidRDefault="00C44B2B" w:rsidP="00092681">
      <w:pPr>
        <w:pStyle w:val="CitaviBibliographyEntry"/>
        <w:jc w:val="both"/>
      </w:pPr>
      <w:bookmarkStart w:id="346" w:name="_CTVL0014dc5af9492764990bd92d3ba7db7cab5"/>
      <w:r w:rsidRPr="00BC3492">
        <w:lastRenderedPageBreak/>
        <w:t>Larsson, R., Bengtsson, L., Henriksson, K., &amp; Sparks, J. 1998. The Interorganizational Learning Dilemma: Collective Knowledge Development in Strategic Alliances.</w:t>
      </w:r>
      <w:bookmarkEnd w:id="346"/>
      <w:r w:rsidRPr="00BC3492">
        <w:t xml:space="preserve"> </w:t>
      </w:r>
      <w:r w:rsidRPr="00BC3492">
        <w:rPr>
          <w:i/>
        </w:rPr>
        <w:t>Organization Science</w:t>
      </w:r>
      <w:r w:rsidRPr="00BC3492">
        <w:t>, 9: 285-305.</w:t>
      </w:r>
    </w:p>
    <w:p w14:paraId="33FF8DFC" w14:textId="77777777" w:rsidR="00C44B2B" w:rsidRPr="00BC3492" w:rsidRDefault="00C44B2B" w:rsidP="00092681">
      <w:pPr>
        <w:pStyle w:val="CitaviBibliographyEntry"/>
        <w:jc w:val="both"/>
      </w:pPr>
      <w:bookmarkStart w:id="347" w:name="_CTVL001b50fd2858cd343679fa33a66ef49a93d"/>
      <w:r w:rsidRPr="00BC3492">
        <w:t>Lavie, D. 2006. The Competitive Advantage of Interconnected Firms: An Extension of the Resource-Based View.</w:t>
      </w:r>
      <w:bookmarkEnd w:id="347"/>
      <w:r w:rsidRPr="00BC3492">
        <w:t xml:space="preserve"> </w:t>
      </w:r>
      <w:r w:rsidRPr="00BC3492">
        <w:rPr>
          <w:i/>
        </w:rPr>
        <w:t>Academy of Management Review</w:t>
      </w:r>
      <w:r w:rsidRPr="00BC3492">
        <w:t>, 31: 638-658.</w:t>
      </w:r>
    </w:p>
    <w:p w14:paraId="6DF6C9CC" w14:textId="77777777" w:rsidR="00C44B2B" w:rsidRPr="00BC3492" w:rsidRDefault="00C44B2B" w:rsidP="00092681">
      <w:pPr>
        <w:pStyle w:val="CitaviBibliographyEntry"/>
        <w:jc w:val="both"/>
      </w:pPr>
      <w:bookmarkStart w:id="348" w:name="_CTVL001073a0273265d4e9dbe1a24e52d226d0e"/>
      <w:r w:rsidRPr="00BC3492">
        <w:t>Li, M. 2021. Exploring novel technologies through board interlocks: Spillover vs. broad exploration.</w:t>
      </w:r>
      <w:bookmarkEnd w:id="348"/>
      <w:r w:rsidRPr="00BC3492">
        <w:t xml:space="preserve"> </w:t>
      </w:r>
      <w:r w:rsidRPr="00BC3492">
        <w:rPr>
          <w:i/>
        </w:rPr>
        <w:t>Research Policy</w:t>
      </w:r>
      <w:r w:rsidRPr="00BC3492">
        <w:t>, 50: 104337.</w:t>
      </w:r>
    </w:p>
    <w:p w14:paraId="2FA87B5D" w14:textId="77777777" w:rsidR="00C44B2B" w:rsidRPr="00BC3492" w:rsidRDefault="00C44B2B" w:rsidP="00092681">
      <w:pPr>
        <w:pStyle w:val="CitaviBibliographyEntry"/>
        <w:jc w:val="both"/>
      </w:pPr>
      <w:bookmarkStart w:id="349" w:name="_CTVL00115b1a1c620b24d45848cc43ab5d9f847"/>
      <w:r w:rsidRPr="00BC3492">
        <w:t>Lin, Z., Yang, H., &amp; Arya, B. 2009. Alliance partners and firm performance: resource complementarity and status association.</w:t>
      </w:r>
      <w:bookmarkEnd w:id="349"/>
      <w:r w:rsidRPr="00BC3492">
        <w:t xml:space="preserve"> </w:t>
      </w:r>
      <w:r w:rsidRPr="00BC3492">
        <w:rPr>
          <w:i/>
        </w:rPr>
        <w:t>Strategic Management Journal</w:t>
      </w:r>
      <w:r w:rsidRPr="00BC3492">
        <w:t>, 30: 921-940.</w:t>
      </w:r>
    </w:p>
    <w:p w14:paraId="6D917A1F" w14:textId="77777777" w:rsidR="00C44B2B" w:rsidRPr="00BC3492" w:rsidRDefault="00C44B2B" w:rsidP="00092681">
      <w:pPr>
        <w:pStyle w:val="CitaviBibliographyEntry"/>
        <w:jc w:val="both"/>
      </w:pPr>
      <w:bookmarkStart w:id="350" w:name="_CTVL00129286453d15e4dbca41afada615c4c92"/>
      <w:r w:rsidRPr="00BC3492">
        <w:t>Liu, Y., Mantecon, T., Silveri, S. D., &amp; Sun, W. 2020. Inter-Firm Connections, Alliance Formation and the Value Created by Alliances.</w:t>
      </w:r>
      <w:bookmarkEnd w:id="350"/>
      <w:r w:rsidRPr="00BC3492">
        <w:t xml:space="preserve"> </w:t>
      </w:r>
      <w:r w:rsidRPr="00BC3492">
        <w:rPr>
          <w:i/>
        </w:rPr>
        <w:t>Quarterly Journal of Finance</w:t>
      </w:r>
      <w:r w:rsidRPr="00BC3492">
        <w:t>, 10: 2050019.</w:t>
      </w:r>
    </w:p>
    <w:p w14:paraId="0106E137" w14:textId="77777777" w:rsidR="00C44B2B" w:rsidRPr="00BC3492" w:rsidRDefault="00C44B2B" w:rsidP="00092681">
      <w:pPr>
        <w:pStyle w:val="CitaviBibliographyEntry"/>
        <w:jc w:val="both"/>
      </w:pPr>
      <w:bookmarkStart w:id="351" w:name="_CTVL001ca19a3de5068491bb5cd3c88c2c7738a"/>
      <w:r w:rsidRPr="00CE03DC">
        <w:t>Lorsch, J. W., &amp; MacIver, E. 1989.</w:t>
      </w:r>
      <w:bookmarkEnd w:id="351"/>
      <w:r w:rsidRPr="00CE03DC">
        <w:t xml:space="preserve"> </w:t>
      </w:r>
      <w:r w:rsidRPr="00BC3492">
        <w:rPr>
          <w:i/>
        </w:rPr>
        <w:t>Pawns or Potentates: The Reality of America’s Corporate Boards</w:t>
      </w:r>
      <w:r w:rsidRPr="00BC3492">
        <w:t>. Boston: Harvard University Graduate School of Business Administration.</w:t>
      </w:r>
    </w:p>
    <w:p w14:paraId="7FFAA875" w14:textId="77777777" w:rsidR="00C44B2B" w:rsidRPr="00BC3492" w:rsidRDefault="00C44B2B" w:rsidP="00092681">
      <w:pPr>
        <w:pStyle w:val="CitaviBibliographyEntry"/>
        <w:jc w:val="both"/>
      </w:pPr>
      <w:bookmarkStart w:id="352" w:name="_CTVL0014752ed0d81c94fc2b9fdc1270d7c3dc0"/>
      <w:r w:rsidRPr="00BC3492">
        <w:t>Martin, G., Gözübüyük, R., &amp; Becerra, M. 2015. Interlocks and firm performance: The role of uncertainty in the directorate interlock-performance relationship.</w:t>
      </w:r>
      <w:bookmarkEnd w:id="352"/>
      <w:r w:rsidRPr="00BC3492">
        <w:t xml:space="preserve"> </w:t>
      </w:r>
      <w:r w:rsidRPr="00BC3492">
        <w:rPr>
          <w:i/>
        </w:rPr>
        <w:t>Strategic Management Journal</w:t>
      </w:r>
      <w:r w:rsidRPr="00BC3492">
        <w:t>, 36: 235-253.</w:t>
      </w:r>
    </w:p>
    <w:p w14:paraId="4E1D9A86" w14:textId="77777777" w:rsidR="00C44B2B" w:rsidRPr="00BC3492" w:rsidRDefault="00C44B2B" w:rsidP="00092681">
      <w:pPr>
        <w:pStyle w:val="CitaviBibliographyEntry"/>
        <w:jc w:val="both"/>
      </w:pPr>
      <w:bookmarkStart w:id="353" w:name="_CTVL001647994d2ca22450cb1757dc745ef5310"/>
      <w:r w:rsidRPr="00BC3492">
        <w:t>McConnell, J. J., &amp; Nantell, T. J. 1985. Corporate Combinations and Common Stock Returns: The Case of Joint Ventures.</w:t>
      </w:r>
      <w:bookmarkEnd w:id="353"/>
      <w:r w:rsidRPr="00BC3492">
        <w:t xml:space="preserve"> </w:t>
      </w:r>
      <w:r w:rsidRPr="00BC3492">
        <w:rPr>
          <w:i/>
        </w:rPr>
        <w:t>The Journal of Finance</w:t>
      </w:r>
      <w:r w:rsidRPr="00BC3492">
        <w:t>, 40: 519-536.</w:t>
      </w:r>
    </w:p>
    <w:p w14:paraId="60BDDC05" w14:textId="77777777" w:rsidR="00C44B2B" w:rsidRPr="004D2D8B" w:rsidRDefault="00C44B2B" w:rsidP="00092681">
      <w:pPr>
        <w:pStyle w:val="CitaviBibliographyEntry"/>
        <w:jc w:val="both"/>
      </w:pPr>
      <w:bookmarkStart w:id="354" w:name="_CTVL00194e86db225b548c68714fe81b3956110"/>
      <w:r w:rsidRPr="00BC3492">
        <w:t>Mizruchi, M. S. 1996. What Do Interlocks Do? An Analysis, Critique, and Assessment of Research on Interlocking Directorates.</w:t>
      </w:r>
      <w:bookmarkEnd w:id="354"/>
      <w:r w:rsidRPr="00BC3492">
        <w:t xml:space="preserve"> </w:t>
      </w:r>
      <w:r w:rsidRPr="004D2D8B">
        <w:rPr>
          <w:i/>
        </w:rPr>
        <w:t>Annual Review of Sociology</w:t>
      </w:r>
      <w:r w:rsidRPr="004D2D8B">
        <w:t>, 22: 271-298.</w:t>
      </w:r>
    </w:p>
    <w:p w14:paraId="6EAEA7BF" w14:textId="77777777" w:rsidR="00C44B2B" w:rsidRPr="004D2D8B" w:rsidRDefault="00C44B2B" w:rsidP="00092681">
      <w:pPr>
        <w:pStyle w:val="CitaviBibliographyEntry"/>
        <w:jc w:val="both"/>
      </w:pPr>
      <w:bookmarkStart w:id="355" w:name="_CTVL0013bac1a47bc6a4d2a90fec38b88af49a0"/>
      <w:r w:rsidRPr="004D2D8B">
        <w:t>Mizruchi, M. S., &amp; Stearns, L. B. 1988. A Longitudinal Study of the Formation of Interlocking Directorates.</w:t>
      </w:r>
      <w:bookmarkEnd w:id="355"/>
      <w:r w:rsidRPr="004D2D8B">
        <w:t xml:space="preserve"> </w:t>
      </w:r>
      <w:r w:rsidRPr="004D2D8B">
        <w:rPr>
          <w:i/>
        </w:rPr>
        <w:t>Administrative Science Quarterly</w:t>
      </w:r>
      <w:r w:rsidRPr="004D2D8B">
        <w:t>, 33: 194.</w:t>
      </w:r>
    </w:p>
    <w:p w14:paraId="3D6634DC" w14:textId="77777777" w:rsidR="00C44B2B" w:rsidRPr="004D2D8B" w:rsidRDefault="00C44B2B" w:rsidP="00092681">
      <w:pPr>
        <w:pStyle w:val="CitaviBibliographyEntry"/>
        <w:jc w:val="both"/>
      </w:pPr>
      <w:bookmarkStart w:id="356" w:name="_CTVL001e8f10a841f7b445897b39dd308ef4dbe"/>
      <w:r w:rsidRPr="004D2D8B">
        <w:t>Mohr, J., &amp; Spekman, R. 1994. Characteristics of partnership success: Partnership attributes, communication behavior, and conflict resolution techniques.</w:t>
      </w:r>
      <w:bookmarkEnd w:id="356"/>
      <w:r w:rsidRPr="004D2D8B">
        <w:t xml:space="preserve"> </w:t>
      </w:r>
      <w:r w:rsidRPr="004D2D8B">
        <w:rPr>
          <w:i/>
        </w:rPr>
        <w:t>Strategic Management Journal</w:t>
      </w:r>
      <w:r w:rsidRPr="004D2D8B">
        <w:t>, 15: 135-152.</w:t>
      </w:r>
    </w:p>
    <w:p w14:paraId="1506BA1C" w14:textId="77777777" w:rsidR="00C44B2B" w:rsidRPr="004D2D8B" w:rsidRDefault="00C44B2B" w:rsidP="00092681">
      <w:pPr>
        <w:pStyle w:val="CitaviBibliographyEntry"/>
        <w:jc w:val="both"/>
      </w:pPr>
      <w:bookmarkStart w:id="357" w:name="_CTVL001967f57ed12354ab1b640524beeded8d0"/>
      <w:r w:rsidRPr="004D2D8B">
        <w:lastRenderedPageBreak/>
        <w:t>Mowery, D. C., Oxley, J. E., &amp; Silverman, B. S. 1996. Strategic alliances and interfirm knowledge transfer.</w:t>
      </w:r>
      <w:bookmarkEnd w:id="357"/>
      <w:r w:rsidRPr="004D2D8B">
        <w:t xml:space="preserve"> </w:t>
      </w:r>
      <w:r w:rsidRPr="004D2D8B">
        <w:rPr>
          <w:i/>
        </w:rPr>
        <w:t>Strategic Management Journal</w:t>
      </w:r>
      <w:r w:rsidRPr="004D2D8B">
        <w:t>, 17: 77-91.</w:t>
      </w:r>
    </w:p>
    <w:p w14:paraId="3E1E8403" w14:textId="77777777" w:rsidR="00C44B2B" w:rsidRPr="004D2D8B" w:rsidRDefault="00C44B2B" w:rsidP="00092681">
      <w:pPr>
        <w:pStyle w:val="CitaviBibliographyEntry"/>
        <w:jc w:val="both"/>
      </w:pPr>
      <w:bookmarkStart w:id="358" w:name="_CTVL00124c39a4ee1454069a4f47642c3db2694"/>
      <w:r w:rsidRPr="004D2D8B">
        <w:t>Oxley, J. E., &amp; Sampson, R. C. 2004. The scope and governance of international R&amp;D alliances.</w:t>
      </w:r>
      <w:bookmarkEnd w:id="358"/>
      <w:r w:rsidRPr="004D2D8B">
        <w:t xml:space="preserve"> </w:t>
      </w:r>
      <w:r w:rsidRPr="004D2D8B">
        <w:rPr>
          <w:i/>
        </w:rPr>
        <w:t>Strategic Management Journal</w:t>
      </w:r>
      <w:r w:rsidRPr="004D2D8B">
        <w:t>, 25: 723-749.</w:t>
      </w:r>
    </w:p>
    <w:p w14:paraId="33BB37A4" w14:textId="77777777" w:rsidR="00C44B2B" w:rsidRPr="004D2D8B" w:rsidRDefault="00C44B2B" w:rsidP="00092681">
      <w:pPr>
        <w:pStyle w:val="CitaviBibliographyEntry"/>
        <w:jc w:val="both"/>
      </w:pPr>
      <w:bookmarkStart w:id="359" w:name="_CTVL0019965bf344d1f46e8b06ed9ad070987ed"/>
      <w:r w:rsidRPr="004D2D8B">
        <w:t>Palmer, D. A., Jennings, P. D., &amp; Zhou, X. 1993. Late Adoption of the Multidivisional Form by Large U.S. Corporations: Institutional, Political, and Economic Accounts.</w:t>
      </w:r>
      <w:bookmarkEnd w:id="359"/>
      <w:r w:rsidRPr="004D2D8B">
        <w:t xml:space="preserve"> </w:t>
      </w:r>
      <w:r w:rsidRPr="004D2D8B">
        <w:rPr>
          <w:i/>
        </w:rPr>
        <w:t>Administrative Science Quarterly</w:t>
      </w:r>
      <w:r w:rsidRPr="004D2D8B">
        <w:t>, 38: 100.</w:t>
      </w:r>
    </w:p>
    <w:p w14:paraId="30524C2C" w14:textId="77777777" w:rsidR="00C44B2B" w:rsidRPr="004D2D8B" w:rsidRDefault="00C44B2B" w:rsidP="00092681">
      <w:pPr>
        <w:pStyle w:val="CitaviBibliographyEntry"/>
        <w:jc w:val="both"/>
      </w:pPr>
      <w:bookmarkStart w:id="360" w:name="_CTVL0019900e4013f2a4a1595cb1fb32544fd75"/>
      <w:r w:rsidRPr="004D2D8B">
        <w:t>Parkhe, A. 1993. Strategic alliance structuring: A game theoretic and transaction cost examination of interfirm cooperation.</w:t>
      </w:r>
      <w:bookmarkEnd w:id="360"/>
      <w:r w:rsidRPr="004D2D8B">
        <w:t xml:space="preserve"> </w:t>
      </w:r>
      <w:r w:rsidRPr="004D2D8B">
        <w:rPr>
          <w:i/>
        </w:rPr>
        <w:t>Academy of Management Journal</w:t>
      </w:r>
      <w:r w:rsidRPr="004D2D8B">
        <w:t>, 36: 794-829.</w:t>
      </w:r>
    </w:p>
    <w:p w14:paraId="6040F34C" w14:textId="77777777" w:rsidR="00C44B2B" w:rsidRPr="004D2D8B" w:rsidRDefault="00C44B2B" w:rsidP="00092681">
      <w:pPr>
        <w:pStyle w:val="CitaviBibliographyEntry"/>
        <w:jc w:val="both"/>
      </w:pPr>
      <w:bookmarkStart w:id="361" w:name="_CTVL0012eb1025a5a08465c8ce268e2003620f2"/>
      <w:r w:rsidRPr="004D2D8B">
        <w:t>Pfeffer, J., &amp; Salancik, G. R. 1978.</w:t>
      </w:r>
      <w:bookmarkEnd w:id="361"/>
      <w:r w:rsidRPr="004D2D8B">
        <w:t xml:space="preserve"> </w:t>
      </w:r>
      <w:r w:rsidRPr="004D2D8B">
        <w:rPr>
          <w:i/>
        </w:rPr>
        <w:t>The external control of organizations: A resource dependence perspective</w:t>
      </w:r>
      <w:r w:rsidRPr="004D2D8B">
        <w:t>. New York, Hagerstown, San Francisco, London: Harper &amp; Row Publishers.</w:t>
      </w:r>
    </w:p>
    <w:p w14:paraId="36C2971B" w14:textId="77777777" w:rsidR="00C44B2B" w:rsidRPr="004D2D8B" w:rsidRDefault="00C44B2B" w:rsidP="00092681">
      <w:pPr>
        <w:pStyle w:val="CitaviBibliographyEntry"/>
        <w:jc w:val="both"/>
      </w:pPr>
      <w:bookmarkStart w:id="362" w:name="_CTVL001ae8fb18c3716494ca8f47b9cc4b622ca"/>
      <w:r w:rsidRPr="004D2D8B">
        <w:t>Podolny, J. M. 1993. A Status-Based Model of Market Competition.</w:t>
      </w:r>
      <w:bookmarkEnd w:id="362"/>
      <w:r w:rsidRPr="004D2D8B">
        <w:t xml:space="preserve"> </w:t>
      </w:r>
      <w:r w:rsidRPr="004D2D8B">
        <w:rPr>
          <w:i/>
        </w:rPr>
        <w:t>American Journal of Sociology</w:t>
      </w:r>
      <w:r w:rsidRPr="004D2D8B">
        <w:t>, 98: 829-872.</w:t>
      </w:r>
    </w:p>
    <w:p w14:paraId="622BC13F" w14:textId="77777777" w:rsidR="00C44B2B" w:rsidRPr="004D2D8B" w:rsidRDefault="00C44B2B" w:rsidP="00092681">
      <w:pPr>
        <w:pStyle w:val="CitaviBibliographyEntry"/>
        <w:jc w:val="both"/>
      </w:pPr>
      <w:bookmarkStart w:id="363" w:name="_CTVL001287617ce50b7457b9a948023af585af4"/>
      <w:r w:rsidRPr="004D2D8B">
        <w:t>Podolny, J. M. 1994. Market Uncertainty and the Social Character of Economic Exchange.</w:t>
      </w:r>
      <w:bookmarkEnd w:id="363"/>
      <w:r w:rsidRPr="004D2D8B">
        <w:t xml:space="preserve"> </w:t>
      </w:r>
      <w:r w:rsidRPr="004D2D8B">
        <w:rPr>
          <w:i/>
        </w:rPr>
        <w:t>Administrative Science Quarterly</w:t>
      </w:r>
      <w:r w:rsidRPr="004D2D8B">
        <w:t>, 39: 458.</w:t>
      </w:r>
    </w:p>
    <w:p w14:paraId="43A170F1" w14:textId="77777777" w:rsidR="00C44B2B" w:rsidRPr="004D2D8B" w:rsidRDefault="00C44B2B" w:rsidP="00092681">
      <w:pPr>
        <w:pStyle w:val="CitaviBibliographyEntry"/>
        <w:jc w:val="both"/>
      </w:pPr>
      <w:bookmarkStart w:id="364" w:name="_CTVL0015af84d928bc3402ca56ab67a45958a01"/>
      <w:r w:rsidRPr="004D2D8B">
        <w:t>Polidoro, F., Ahuja, G., &amp; Mitchell, W. 2011. When the Social Structure Overshadows Competitive Incentives: The Effects of Network Embeddedness on Joint Venture Dissolution.</w:t>
      </w:r>
      <w:bookmarkEnd w:id="364"/>
      <w:r w:rsidRPr="004D2D8B">
        <w:t xml:space="preserve"> </w:t>
      </w:r>
      <w:r w:rsidRPr="004D2D8B">
        <w:rPr>
          <w:i/>
        </w:rPr>
        <w:t>Academy of Management Journal</w:t>
      </w:r>
      <w:r w:rsidRPr="004D2D8B">
        <w:t>, 54: 203-223.</w:t>
      </w:r>
    </w:p>
    <w:p w14:paraId="2376AC56" w14:textId="77777777" w:rsidR="00C44B2B" w:rsidRPr="004D2D8B" w:rsidRDefault="00C44B2B" w:rsidP="00092681">
      <w:pPr>
        <w:pStyle w:val="CitaviBibliographyEntry"/>
        <w:jc w:val="both"/>
      </w:pPr>
      <w:bookmarkStart w:id="365" w:name="_CTVL001a3d4e4d083a040feae71f3a4495faf16"/>
      <w:r w:rsidRPr="004D2D8B">
        <w:t>Powell, W. W., Koput, K. W., &amp; Smith-Doerr, L. 1996. Interorganizational Collaboration and the Locus of Innovation: Networks of Learning in Biotechnology.</w:t>
      </w:r>
      <w:bookmarkEnd w:id="365"/>
      <w:r w:rsidRPr="004D2D8B">
        <w:t xml:space="preserve"> </w:t>
      </w:r>
      <w:r w:rsidRPr="004D2D8B">
        <w:rPr>
          <w:i/>
        </w:rPr>
        <w:t>Administrative Science Quarterly</w:t>
      </w:r>
      <w:r w:rsidRPr="004D2D8B">
        <w:t>, 41: 116.</w:t>
      </w:r>
    </w:p>
    <w:p w14:paraId="1ABE3078" w14:textId="77777777" w:rsidR="00C44B2B" w:rsidRPr="004D2D8B" w:rsidRDefault="00C44B2B" w:rsidP="00092681">
      <w:pPr>
        <w:pStyle w:val="CitaviBibliographyEntry"/>
        <w:jc w:val="both"/>
      </w:pPr>
      <w:bookmarkStart w:id="366" w:name="_CTVL0013467dfe8a3fe4eefb60e30697c80b9da"/>
      <w:r w:rsidRPr="004D2D8B">
        <w:t>Raffaelli, R., &amp; Glynn, M. A. 2014. Turnkey or Tailored? Relational Pluralism, Institutional Complexity, and the Organizational Adoption of More or Less Customized Practices.</w:t>
      </w:r>
      <w:bookmarkEnd w:id="366"/>
      <w:r w:rsidRPr="004D2D8B">
        <w:t xml:space="preserve"> </w:t>
      </w:r>
      <w:r w:rsidRPr="004D2D8B">
        <w:rPr>
          <w:i/>
        </w:rPr>
        <w:t>Academy of Management Journal</w:t>
      </w:r>
      <w:r w:rsidRPr="004D2D8B">
        <w:t>, 57: 541-562.</w:t>
      </w:r>
    </w:p>
    <w:p w14:paraId="0D561B2D" w14:textId="77777777" w:rsidR="00C44B2B" w:rsidRPr="004D2D8B" w:rsidRDefault="00C44B2B" w:rsidP="00092681">
      <w:pPr>
        <w:pStyle w:val="CitaviBibliographyEntry"/>
        <w:jc w:val="both"/>
      </w:pPr>
      <w:bookmarkStart w:id="367" w:name="_CTVL0013b082cbccfb04350aae4ad98ff692aab"/>
      <w:r w:rsidRPr="00CE03DC">
        <w:lastRenderedPageBreak/>
        <w:t xml:space="preserve">Reuer, J. J., Klijn, E., &amp; Lioukas, C. S. 2014. </w:t>
      </w:r>
      <w:r w:rsidRPr="004D2D8B">
        <w:t>Board involvement in international joint ventures.</w:t>
      </w:r>
      <w:bookmarkEnd w:id="367"/>
      <w:r w:rsidRPr="004D2D8B">
        <w:t xml:space="preserve"> </w:t>
      </w:r>
      <w:r w:rsidRPr="004D2D8B">
        <w:rPr>
          <w:i/>
        </w:rPr>
        <w:t>Strategic Management Journal</w:t>
      </w:r>
      <w:r w:rsidRPr="004D2D8B">
        <w:t>, 35: 1626-1644.</w:t>
      </w:r>
    </w:p>
    <w:p w14:paraId="3B5D4DF0" w14:textId="77777777" w:rsidR="00C44B2B" w:rsidRPr="004D2D8B" w:rsidRDefault="00C44B2B" w:rsidP="00092681">
      <w:pPr>
        <w:pStyle w:val="CitaviBibliographyEntry"/>
        <w:jc w:val="both"/>
      </w:pPr>
      <w:bookmarkStart w:id="368" w:name="_CTVL0010a2a1e229c284117adbdcbbec5a54a2e"/>
      <w:r w:rsidRPr="004D2D8B">
        <w:t>Rogers, E. M. 1983.</w:t>
      </w:r>
      <w:bookmarkEnd w:id="368"/>
      <w:r w:rsidRPr="004D2D8B">
        <w:t xml:space="preserve"> </w:t>
      </w:r>
      <w:r w:rsidRPr="004D2D8B">
        <w:rPr>
          <w:i/>
        </w:rPr>
        <w:t>Diffusion of Innovations</w:t>
      </w:r>
      <w:r w:rsidRPr="004D2D8B">
        <w:t>. New York: Free Press.</w:t>
      </w:r>
    </w:p>
    <w:p w14:paraId="0583B9B2" w14:textId="77777777" w:rsidR="00C44B2B" w:rsidRPr="004D2D8B" w:rsidRDefault="00C44B2B" w:rsidP="00092681">
      <w:pPr>
        <w:pStyle w:val="CitaviBibliographyEntry"/>
        <w:jc w:val="both"/>
      </w:pPr>
      <w:bookmarkStart w:id="369" w:name="_CTVL0014cfd404654cc4281b4974e8d6d79cc21"/>
      <w:r w:rsidRPr="004D2D8B">
        <w:t>Rooks, G., Snijders, C., &amp; Duysters, G. 2013. Ties that tear apart: The social embeddedness of strategic alliance termination.</w:t>
      </w:r>
      <w:bookmarkEnd w:id="369"/>
      <w:r w:rsidRPr="004D2D8B">
        <w:t xml:space="preserve"> </w:t>
      </w:r>
      <w:r w:rsidRPr="004D2D8B">
        <w:rPr>
          <w:i/>
        </w:rPr>
        <w:t>The Social Science Journal</w:t>
      </w:r>
      <w:r w:rsidRPr="004D2D8B">
        <w:t>, 50: 359-366.</w:t>
      </w:r>
    </w:p>
    <w:p w14:paraId="29779C69" w14:textId="77777777" w:rsidR="00C44B2B" w:rsidRPr="004D2D8B" w:rsidRDefault="00C44B2B" w:rsidP="00092681">
      <w:pPr>
        <w:pStyle w:val="CitaviBibliographyEntry"/>
        <w:jc w:val="both"/>
      </w:pPr>
      <w:bookmarkStart w:id="370" w:name="_CTVL0017f0a436126284005b37e0b026c0c727f"/>
      <w:r w:rsidRPr="004D2D8B">
        <w:t>Salman, N., &amp; Saives, A.-L. 2005. Indirect networks: an intangible resource for biotechnology innovation.</w:t>
      </w:r>
      <w:bookmarkEnd w:id="370"/>
      <w:r w:rsidRPr="004D2D8B">
        <w:t xml:space="preserve"> </w:t>
      </w:r>
      <w:r w:rsidRPr="004D2D8B">
        <w:rPr>
          <w:i/>
        </w:rPr>
        <w:t>R and D Management</w:t>
      </w:r>
      <w:r w:rsidRPr="004D2D8B">
        <w:t>, 35: 203-215.</w:t>
      </w:r>
    </w:p>
    <w:p w14:paraId="6CB82B34" w14:textId="77777777" w:rsidR="00C44B2B" w:rsidRPr="004D2D8B" w:rsidRDefault="00C44B2B" w:rsidP="00092681">
      <w:pPr>
        <w:pStyle w:val="CitaviBibliographyEntry"/>
        <w:jc w:val="both"/>
      </w:pPr>
      <w:bookmarkStart w:id="371" w:name="_CTVL0011624f4be6cea425bbd43ffff26f0f448"/>
      <w:r w:rsidRPr="004D2D8B">
        <w:t>Samant, S., &amp; Kim, J. 2021. Determinants of common benefits and private benefits in innovation alliances.</w:t>
      </w:r>
      <w:bookmarkEnd w:id="371"/>
      <w:r w:rsidRPr="004D2D8B">
        <w:t xml:space="preserve"> </w:t>
      </w:r>
      <w:r w:rsidRPr="004D2D8B">
        <w:rPr>
          <w:i/>
        </w:rPr>
        <w:t>Managerial and Decision Economics</w:t>
      </w:r>
      <w:r w:rsidRPr="004D2D8B">
        <w:t>, 42: 294-307.</w:t>
      </w:r>
    </w:p>
    <w:p w14:paraId="705E5988" w14:textId="77777777" w:rsidR="00C44B2B" w:rsidRPr="004D2D8B" w:rsidRDefault="00C44B2B" w:rsidP="00092681">
      <w:pPr>
        <w:pStyle w:val="CitaviBibliographyEntry"/>
        <w:jc w:val="both"/>
      </w:pPr>
      <w:bookmarkStart w:id="372" w:name="_CTVL001f56a4fbe316942a6867b3f559408fa28"/>
      <w:r w:rsidRPr="004D2D8B">
        <w:t>Shen, R., Tang, Y., &amp; Chen, G. 2014. When the role fits: How firm status differentials affect corporate takeovers.</w:t>
      </w:r>
      <w:bookmarkEnd w:id="372"/>
      <w:r w:rsidRPr="004D2D8B">
        <w:t xml:space="preserve"> </w:t>
      </w:r>
      <w:r w:rsidRPr="004D2D8B">
        <w:rPr>
          <w:i/>
        </w:rPr>
        <w:t>Strategic Management Journal</w:t>
      </w:r>
      <w:r w:rsidRPr="004D2D8B">
        <w:t>, 35: 2012-2030.</w:t>
      </w:r>
    </w:p>
    <w:p w14:paraId="6E9DA91E" w14:textId="77777777" w:rsidR="00C44B2B" w:rsidRPr="004D2D8B" w:rsidRDefault="00C44B2B" w:rsidP="00092681">
      <w:pPr>
        <w:pStyle w:val="CitaviBibliographyEntry"/>
        <w:jc w:val="both"/>
      </w:pPr>
      <w:bookmarkStart w:id="373" w:name="_CTVL001196ea4d616da4a7f94040058da67718b"/>
      <w:r w:rsidRPr="004D2D8B">
        <w:t xml:space="preserve">Sheth, J., Malhotra, N., Sheth, J. N., &amp; Malhotra, N. K. (Eds.). </w:t>
      </w:r>
      <w:r>
        <w:t>2011.</w:t>
      </w:r>
      <w:bookmarkEnd w:id="373"/>
      <w:r>
        <w:t xml:space="preserve"> </w:t>
      </w:r>
      <w:r w:rsidRPr="00BC3492">
        <w:rPr>
          <w:i/>
        </w:rPr>
        <w:t>Wiley international encyclopedia of marketing</w:t>
      </w:r>
      <w:r w:rsidRPr="00BC3492">
        <w:t xml:space="preserve">. </w:t>
      </w:r>
      <w:r w:rsidRPr="004D2D8B">
        <w:t>Chichester: Wiley-Blackwell.</w:t>
      </w:r>
    </w:p>
    <w:p w14:paraId="316DE7B3" w14:textId="77777777" w:rsidR="00C44B2B" w:rsidRPr="004D2D8B" w:rsidRDefault="00C44B2B" w:rsidP="00092681">
      <w:pPr>
        <w:pStyle w:val="CitaviBibliographyEntry"/>
        <w:jc w:val="both"/>
      </w:pPr>
      <w:bookmarkStart w:id="374" w:name="_CTVL0017b977c00bcfa4744baa466879782215c"/>
      <w:r w:rsidRPr="004D2D8B">
        <w:t>Shipilov, A., Gulati, R., Kilduff, M., Li, S., &amp; Tsai, W. 2014. Relational Pluralism Within and Between Organizations.</w:t>
      </w:r>
      <w:bookmarkEnd w:id="374"/>
      <w:r w:rsidRPr="004D2D8B">
        <w:t xml:space="preserve"> </w:t>
      </w:r>
      <w:r w:rsidRPr="004D2D8B">
        <w:rPr>
          <w:i/>
        </w:rPr>
        <w:t>Academy of Management Journal</w:t>
      </w:r>
      <w:r w:rsidRPr="004D2D8B">
        <w:t>, 57: 449-459.</w:t>
      </w:r>
    </w:p>
    <w:p w14:paraId="605E84FC" w14:textId="77777777" w:rsidR="00C44B2B" w:rsidRPr="004D2D8B" w:rsidRDefault="00C44B2B" w:rsidP="00092681">
      <w:pPr>
        <w:pStyle w:val="CitaviBibliographyEntry"/>
        <w:jc w:val="both"/>
      </w:pPr>
      <w:bookmarkStart w:id="375" w:name="_CTVL001585b1494d1d1458c865231665b063b67"/>
      <w:r w:rsidRPr="004D2D8B">
        <w:t>Shropshire, C. 2010. The role of the interlocking director and board receptivity in the diffusion of practices.</w:t>
      </w:r>
      <w:bookmarkEnd w:id="375"/>
      <w:r w:rsidRPr="004D2D8B">
        <w:t xml:space="preserve"> </w:t>
      </w:r>
      <w:r w:rsidRPr="004D2D8B">
        <w:rPr>
          <w:i/>
        </w:rPr>
        <w:t>Academy of Management Review</w:t>
      </w:r>
      <w:r w:rsidRPr="004D2D8B">
        <w:t>, 35: 246-264.</w:t>
      </w:r>
    </w:p>
    <w:p w14:paraId="252091EA" w14:textId="77777777" w:rsidR="00C44B2B" w:rsidRPr="004D2D8B" w:rsidRDefault="00C44B2B" w:rsidP="00092681">
      <w:pPr>
        <w:pStyle w:val="CitaviBibliographyEntry"/>
        <w:jc w:val="both"/>
      </w:pPr>
      <w:bookmarkStart w:id="376" w:name="_CTVL001fa73c096b7544a2bbedc680c720341e8"/>
      <w:r w:rsidRPr="004D2D8B">
        <w:t>Singh, D., &amp; Delios, A. 2017. Corporate governance, board networks and growth in domestic and international markets: Evidence from India.</w:t>
      </w:r>
      <w:bookmarkEnd w:id="376"/>
      <w:r w:rsidRPr="004D2D8B">
        <w:t xml:space="preserve"> </w:t>
      </w:r>
      <w:r w:rsidRPr="004D2D8B">
        <w:rPr>
          <w:i/>
        </w:rPr>
        <w:t>Journal of World Business</w:t>
      </w:r>
      <w:r w:rsidRPr="004D2D8B">
        <w:t>, 52: 615-627.</w:t>
      </w:r>
    </w:p>
    <w:p w14:paraId="6D8A73BB" w14:textId="77777777" w:rsidR="00C44B2B" w:rsidRPr="004D2D8B" w:rsidRDefault="00C44B2B" w:rsidP="00092681">
      <w:pPr>
        <w:pStyle w:val="CitaviBibliographyEntry"/>
        <w:jc w:val="both"/>
      </w:pPr>
      <w:bookmarkStart w:id="377" w:name="_CTVL001c6794adc8ac94a3a9508b766e3a68328"/>
      <w:r w:rsidRPr="004D2D8B">
        <w:t>Stuart, T. E. 2000. Interorganizational alliances and the performance of firms: a study of growth and innovation rates in a high-technology industry.</w:t>
      </w:r>
      <w:bookmarkEnd w:id="377"/>
      <w:r w:rsidRPr="004D2D8B">
        <w:t xml:space="preserve"> </w:t>
      </w:r>
      <w:r w:rsidRPr="004D2D8B">
        <w:rPr>
          <w:i/>
        </w:rPr>
        <w:t>Strategic Management Journal</w:t>
      </w:r>
      <w:r w:rsidRPr="004D2D8B">
        <w:t>, 21: 791-811.</w:t>
      </w:r>
    </w:p>
    <w:p w14:paraId="7386AFD6" w14:textId="77777777" w:rsidR="00C44B2B" w:rsidRPr="004D2D8B" w:rsidRDefault="00C44B2B" w:rsidP="00092681">
      <w:pPr>
        <w:pStyle w:val="CitaviBibliographyEntry"/>
        <w:jc w:val="both"/>
      </w:pPr>
      <w:bookmarkStart w:id="378" w:name="_CTVL001de448497b36d43f48dbdf118b07905a9"/>
      <w:r w:rsidRPr="004D2D8B">
        <w:t>Suk, I., &amp; Wang, M. 2021. Does target firm insider trading signal the target</w:t>
      </w:r>
      <w:r>
        <w:t>’</w:t>
      </w:r>
      <w:r w:rsidRPr="004D2D8B">
        <w:t>s synergy potential in mergers and acquisitions?</w:t>
      </w:r>
      <w:bookmarkEnd w:id="378"/>
      <w:r w:rsidRPr="004D2D8B">
        <w:t xml:space="preserve"> </w:t>
      </w:r>
      <w:r w:rsidRPr="004D2D8B">
        <w:rPr>
          <w:i/>
        </w:rPr>
        <w:t>Journal of Financial Economics</w:t>
      </w:r>
      <w:r w:rsidRPr="004D2D8B">
        <w:t>, 142: 1155-1185.</w:t>
      </w:r>
    </w:p>
    <w:p w14:paraId="11149BF5" w14:textId="77777777" w:rsidR="00C44B2B" w:rsidRPr="004D2D8B" w:rsidRDefault="00C44B2B" w:rsidP="00092681">
      <w:pPr>
        <w:pStyle w:val="CitaviBibliographyEntry"/>
        <w:jc w:val="both"/>
      </w:pPr>
      <w:bookmarkStart w:id="379" w:name="_CTVL00136983803df1c48778b01808926a83f16"/>
      <w:r w:rsidRPr="00CE03DC">
        <w:lastRenderedPageBreak/>
        <w:t xml:space="preserve">Tuschke, A., Sanders, W. G., &amp; Hernandez, E. 2014. </w:t>
      </w:r>
      <w:r w:rsidRPr="004D2D8B">
        <w:t>Whose experience matters in the boardroom? The effects of experiential and vicarious learning on emerging market entry.</w:t>
      </w:r>
      <w:bookmarkEnd w:id="379"/>
      <w:r w:rsidRPr="004D2D8B">
        <w:t xml:space="preserve"> </w:t>
      </w:r>
      <w:r w:rsidRPr="004D2D8B">
        <w:rPr>
          <w:i/>
        </w:rPr>
        <w:t>Strategic Management Journal</w:t>
      </w:r>
      <w:r w:rsidRPr="004D2D8B">
        <w:t>, 35: 398-418.</w:t>
      </w:r>
    </w:p>
    <w:p w14:paraId="5EAFB92E" w14:textId="77777777" w:rsidR="00C44B2B" w:rsidRPr="004D2D8B" w:rsidRDefault="00C44B2B" w:rsidP="00092681">
      <w:pPr>
        <w:pStyle w:val="CitaviBibliographyEntry"/>
        <w:jc w:val="both"/>
      </w:pPr>
      <w:bookmarkStart w:id="380" w:name="_CTVL00133cf165ffe3f4f2f9b93976d24ad49a9"/>
      <w:r w:rsidRPr="004D2D8B">
        <w:t>Useem, M. 1984.</w:t>
      </w:r>
      <w:bookmarkEnd w:id="380"/>
      <w:r w:rsidRPr="004D2D8B">
        <w:t xml:space="preserve"> </w:t>
      </w:r>
      <w:r w:rsidRPr="004D2D8B">
        <w:rPr>
          <w:i/>
        </w:rPr>
        <w:t>The Inner Circle: Large corporations and the rise of business political activity in the U.S. and U.K</w:t>
      </w:r>
      <w:r w:rsidRPr="004D2D8B">
        <w:t>. New York: Oxford University Press.</w:t>
      </w:r>
    </w:p>
    <w:p w14:paraId="165FF5E0" w14:textId="77777777" w:rsidR="00C44B2B" w:rsidRPr="004D2D8B" w:rsidRDefault="00C44B2B" w:rsidP="00092681">
      <w:pPr>
        <w:pStyle w:val="CitaviBibliographyEntry"/>
        <w:jc w:val="both"/>
      </w:pPr>
      <w:bookmarkStart w:id="381" w:name="_CTVL001b1a2784317cc4342af854ae7ac5a80ac"/>
      <w:r w:rsidRPr="004D2D8B">
        <w:t>Uzzi, B. 1997. Social Structure and Competition in Interfirm Networks: The Paradox of Embeddedness.</w:t>
      </w:r>
      <w:bookmarkEnd w:id="381"/>
      <w:r w:rsidRPr="004D2D8B">
        <w:t xml:space="preserve"> </w:t>
      </w:r>
      <w:r w:rsidRPr="004D2D8B">
        <w:rPr>
          <w:i/>
        </w:rPr>
        <w:t>Administrative Science Quarterly</w:t>
      </w:r>
      <w:r w:rsidRPr="004D2D8B">
        <w:t>, 42: 35.</w:t>
      </w:r>
    </w:p>
    <w:p w14:paraId="7A6855E2" w14:textId="77777777" w:rsidR="00C44B2B" w:rsidRPr="004D2D8B" w:rsidRDefault="00C44B2B" w:rsidP="00092681">
      <w:pPr>
        <w:pStyle w:val="CitaviBibliographyEntry"/>
        <w:jc w:val="both"/>
      </w:pPr>
      <w:bookmarkStart w:id="382" w:name="_CTVL0015f678866f176468cbdbc1f7079076c02"/>
      <w:r w:rsidRPr="004D2D8B">
        <w:t>Washington, M., &amp; Zajac, E. J. 2005. Status Evolution and Competition: Theory and Evidence.</w:t>
      </w:r>
      <w:bookmarkEnd w:id="382"/>
      <w:r w:rsidRPr="004D2D8B">
        <w:t xml:space="preserve"> </w:t>
      </w:r>
      <w:r w:rsidRPr="004D2D8B">
        <w:rPr>
          <w:i/>
        </w:rPr>
        <w:t>Academy of Management Journal</w:t>
      </w:r>
      <w:r w:rsidRPr="004D2D8B">
        <w:t>, 48: 282-296.</w:t>
      </w:r>
    </w:p>
    <w:p w14:paraId="0FB3B232" w14:textId="77777777" w:rsidR="00C44B2B" w:rsidRPr="004D2D8B" w:rsidRDefault="00C44B2B" w:rsidP="00092681">
      <w:pPr>
        <w:pStyle w:val="CitaviBibliographyEntry"/>
        <w:jc w:val="both"/>
      </w:pPr>
      <w:bookmarkStart w:id="383" w:name="_CTVL00111252d6f47dc412f9342fe0668f7ee8f"/>
      <w:r w:rsidRPr="001A0F01">
        <w:t xml:space="preserve">Westphal, J. D., &amp; Zajac, E. J. 1997. </w:t>
      </w:r>
      <w:r w:rsidRPr="004D2D8B">
        <w:t>Defections from the Inner Circle: Social Exchange, Reciprocity, and the Diffusion of Board Independence in U.S. Corporations.</w:t>
      </w:r>
      <w:bookmarkEnd w:id="383"/>
      <w:r w:rsidRPr="004D2D8B">
        <w:t xml:space="preserve"> </w:t>
      </w:r>
      <w:r w:rsidRPr="004D2D8B">
        <w:rPr>
          <w:i/>
        </w:rPr>
        <w:t>Administrative Science Quarterly</w:t>
      </w:r>
      <w:r w:rsidRPr="004D2D8B">
        <w:t>, 42: 161.</w:t>
      </w:r>
    </w:p>
    <w:p w14:paraId="7BC7DBA3" w14:textId="77777777" w:rsidR="00C44B2B" w:rsidRPr="004D2D8B" w:rsidRDefault="00C44B2B" w:rsidP="00092681">
      <w:pPr>
        <w:pStyle w:val="CitaviBibliographyEntry"/>
        <w:jc w:val="both"/>
      </w:pPr>
      <w:bookmarkStart w:id="384" w:name="_CTVL001c3081910049e4e3d9a86ef00b5aa9897"/>
      <w:r w:rsidRPr="004D2D8B">
        <w:t>Xia, J. 2011. Mutual dependence, partner substitutability, and repeated partnership: the survival of cross‐border alliances.</w:t>
      </w:r>
      <w:bookmarkEnd w:id="384"/>
      <w:r w:rsidRPr="004D2D8B">
        <w:t xml:space="preserve"> </w:t>
      </w:r>
      <w:r w:rsidRPr="004D2D8B">
        <w:rPr>
          <w:i/>
        </w:rPr>
        <w:t>Strategic Management Journal</w:t>
      </w:r>
      <w:r w:rsidRPr="004D2D8B">
        <w:t>, 32: 229-253.</w:t>
      </w:r>
    </w:p>
    <w:p w14:paraId="3D41F440" w14:textId="77777777" w:rsidR="00C44B2B" w:rsidRPr="004D2D8B" w:rsidRDefault="00C44B2B" w:rsidP="00092681">
      <w:pPr>
        <w:pStyle w:val="CitaviBibliographyEntry"/>
        <w:jc w:val="both"/>
      </w:pPr>
      <w:bookmarkStart w:id="385" w:name="_CTVL001ff110f48b53b42f78835f5833eaf294e"/>
      <w:r w:rsidRPr="004D2D8B">
        <w:t>Yan, A., &amp; Gray, B. 1994. Bargaining power, management control, and performance in united states-china joint ventures: A comparative case study.</w:t>
      </w:r>
      <w:bookmarkEnd w:id="385"/>
      <w:r w:rsidRPr="004D2D8B">
        <w:t xml:space="preserve"> </w:t>
      </w:r>
      <w:r w:rsidRPr="004D2D8B">
        <w:rPr>
          <w:i/>
        </w:rPr>
        <w:t>Academy of Management Journal</w:t>
      </w:r>
      <w:r w:rsidRPr="004D2D8B">
        <w:t>, 37: 1478-1517.</w:t>
      </w:r>
    </w:p>
    <w:p w14:paraId="264414CB" w14:textId="77777777" w:rsidR="00C44B2B" w:rsidRPr="004D2D8B" w:rsidRDefault="00C44B2B" w:rsidP="00092681">
      <w:pPr>
        <w:pStyle w:val="CitaviBibliographyEntry"/>
        <w:jc w:val="both"/>
      </w:pPr>
      <w:r w:rsidRPr="00C44B2B">
        <w:t xml:space="preserve">Yang, H., Zheng, Y., &amp; Zaheer, A. 2015. </w:t>
      </w:r>
      <w:r w:rsidRPr="004D2D8B">
        <w:t xml:space="preserve">Asymmetric Learning Capabilities and Stock Market Returns. </w:t>
      </w:r>
      <w:r w:rsidRPr="004D2D8B">
        <w:rPr>
          <w:i/>
        </w:rPr>
        <w:t>Academy of Management Journal</w:t>
      </w:r>
      <w:r w:rsidRPr="004D2D8B">
        <w:t>, 58: 356-374.</w:t>
      </w:r>
    </w:p>
    <w:p w14:paraId="1CDE658C" w14:textId="77777777" w:rsidR="00C44B2B" w:rsidRPr="004D2D8B" w:rsidRDefault="00C44B2B" w:rsidP="00092681">
      <w:pPr>
        <w:pStyle w:val="CitaviBibliographyEntry"/>
        <w:jc w:val="both"/>
      </w:pPr>
      <w:bookmarkStart w:id="386" w:name="_CTVL0013733d8dbd90f4839a3f93a0e9673de7f"/>
      <w:r w:rsidRPr="004D2D8B">
        <w:t>Zahra, S. A., &amp; Pearce, J. A. 1990. Determinants of board directors</w:t>
      </w:r>
      <w:r>
        <w:t>’</w:t>
      </w:r>
      <w:r w:rsidRPr="004D2D8B">
        <w:t xml:space="preserve"> strategic involvement.</w:t>
      </w:r>
      <w:bookmarkEnd w:id="386"/>
      <w:r w:rsidRPr="004D2D8B">
        <w:t xml:space="preserve"> </w:t>
      </w:r>
      <w:r w:rsidRPr="004D2D8B">
        <w:rPr>
          <w:i/>
        </w:rPr>
        <w:t>European Management Journal</w:t>
      </w:r>
      <w:r w:rsidRPr="004D2D8B">
        <w:t>, 8: 164-173.</w:t>
      </w:r>
    </w:p>
    <w:p w14:paraId="1AEA6F5F" w14:textId="77777777" w:rsidR="00C44B2B" w:rsidRPr="004D2D8B" w:rsidRDefault="00C44B2B" w:rsidP="00092681">
      <w:pPr>
        <w:pStyle w:val="CitaviBibliographyEntry"/>
        <w:jc w:val="both"/>
      </w:pPr>
      <w:bookmarkStart w:id="387" w:name="_CTVL00196e7c24498eb4b59aa411b3b1a60dc80"/>
      <w:r w:rsidRPr="004D2D8B">
        <w:t>Zhang, J., Jiang, H., Wu, R., &amp; Li, J. 2019. Reconciling the Dilemma of Knowledge Sharing: A Network Pluralism Framework of Firms’ R&amp;D Alliance Network and Innovation Performance.</w:t>
      </w:r>
      <w:bookmarkEnd w:id="387"/>
      <w:r w:rsidRPr="004D2D8B">
        <w:t xml:space="preserve"> </w:t>
      </w:r>
      <w:r w:rsidRPr="004D2D8B">
        <w:rPr>
          <w:i/>
        </w:rPr>
        <w:t>Journal of Management</w:t>
      </w:r>
      <w:r w:rsidRPr="004D2D8B">
        <w:t>, 45: 2635-2665.</w:t>
      </w:r>
    </w:p>
    <w:p w14:paraId="2EBF5C3D" w14:textId="77777777" w:rsidR="00C44B2B" w:rsidRPr="001C6D7F" w:rsidRDefault="00C44B2B" w:rsidP="00092681">
      <w:pPr>
        <w:pStyle w:val="CitaviBibliographyEntry"/>
        <w:jc w:val="both"/>
      </w:pPr>
      <w:bookmarkStart w:id="388" w:name="_CTVL00167a4205f35f64d569498503517469ad6"/>
      <w:r w:rsidRPr="004D2D8B">
        <w:lastRenderedPageBreak/>
        <w:t>Zona, F., Gomez-Mejia, L. R., &amp; Withers, M. C. 2018. Board Interlocks and Firm Performance: Toward a Combined Agency–Resource Dependence Perspective.</w:t>
      </w:r>
      <w:bookmarkEnd w:id="388"/>
      <w:r w:rsidRPr="004D2D8B">
        <w:t xml:space="preserve"> </w:t>
      </w:r>
      <w:r w:rsidRPr="00BC3492">
        <w:rPr>
          <w:i/>
        </w:rPr>
        <w:t>Journal of Management</w:t>
      </w:r>
      <w:r w:rsidRPr="00BC3492">
        <w:t>, 44: 589-618.</w:t>
      </w:r>
    </w:p>
    <w:p w14:paraId="428E83D2" w14:textId="77777777" w:rsidR="00403DA7" w:rsidRPr="00EB137B" w:rsidRDefault="00403DA7" w:rsidP="00403DA7">
      <w:pPr>
        <w:pStyle w:val="Paragraph"/>
        <w:ind w:firstLine="0"/>
        <w:rPr>
          <w:color w:val="000000" w:themeColor="text1"/>
        </w:rPr>
        <w:sectPr w:rsidR="00403DA7" w:rsidRPr="00EB137B" w:rsidSect="00794C6C">
          <w:headerReference w:type="even" r:id="rId32"/>
          <w:headerReference w:type="default" r:id="rId33"/>
          <w:footerReference w:type="default" r:id="rId34"/>
          <w:headerReference w:type="first" r:id="rId35"/>
          <w:footerReference w:type="first" r:id="rId36"/>
          <w:pgSz w:w="11906" w:h="16838"/>
          <w:pgMar w:top="1417" w:right="1417" w:bottom="1134" w:left="1417" w:header="709" w:footer="709" w:gutter="0"/>
          <w:cols w:space="708"/>
          <w:titlePg/>
          <w:docGrid w:linePitch="360"/>
        </w:sectPr>
      </w:pPr>
    </w:p>
    <w:p w14:paraId="4199DF1C" w14:textId="2C20450B" w:rsidR="0005400E" w:rsidRPr="00EC432A" w:rsidRDefault="00941A7A" w:rsidP="0005400E">
      <w:pPr>
        <w:pStyle w:val="berschrift2"/>
        <w:rPr>
          <w:lang w:val="en-US"/>
        </w:rPr>
      </w:pPr>
      <w:bookmarkStart w:id="389" w:name="_Toc180963620"/>
      <w:bookmarkEnd w:id="259"/>
      <w:bookmarkEnd w:id="260"/>
      <w:r w:rsidRPr="00EC432A">
        <w:rPr>
          <w:lang w:val="en-US"/>
        </w:rPr>
        <w:lastRenderedPageBreak/>
        <w:t>Appendix</w:t>
      </w:r>
      <w:bookmarkEnd w:id="389"/>
    </w:p>
    <w:p w14:paraId="4734A1AF" w14:textId="3C010BB8" w:rsidR="005E57A0" w:rsidRDefault="00403DA7" w:rsidP="005E57A0">
      <w:pPr>
        <w:pStyle w:val="1fake"/>
      </w:pPr>
      <w:r w:rsidRPr="0082138A">
        <w:t>TABLE 1</w:t>
      </w:r>
    </w:p>
    <w:p w14:paraId="0F1132C9" w14:textId="1049FC1A" w:rsidR="005E57A0" w:rsidRPr="0082138A" w:rsidRDefault="005E57A0" w:rsidP="005E57A0">
      <w:pPr>
        <w:pStyle w:val="Tabelle"/>
      </w:pPr>
      <w:bookmarkStart w:id="390" w:name="_Toc180594813"/>
      <w:r>
        <w:t xml:space="preserve">T - II - </w:t>
      </w:r>
      <w:r>
        <w:fldChar w:fldCharType="begin"/>
      </w:r>
      <w:r>
        <w:instrText xml:space="preserve"> SEQ T_-_II_- \* ARABIC </w:instrText>
      </w:r>
      <w:r>
        <w:fldChar w:fldCharType="separate"/>
      </w:r>
      <w:r w:rsidR="00E91088">
        <w:rPr>
          <w:noProof/>
        </w:rPr>
        <w:t>1</w:t>
      </w:r>
      <w:r>
        <w:fldChar w:fldCharType="end"/>
      </w:r>
      <w:r>
        <w:t xml:space="preserve">: </w:t>
      </w:r>
      <w:r w:rsidRPr="00F7432A">
        <w:t>Daily abnormal returns to alliance announcements</w:t>
      </w:r>
      <w:bookmarkEnd w:id="390"/>
    </w:p>
    <w:tbl>
      <w:tblPr>
        <w:tblW w:w="9072" w:type="dxa"/>
        <w:tblLayout w:type="fixed"/>
        <w:tblCellMar>
          <w:top w:w="11" w:type="dxa"/>
          <w:left w:w="0" w:type="dxa"/>
          <w:bottom w:w="11" w:type="dxa"/>
          <w:right w:w="0" w:type="dxa"/>
        </w:tblCellMar>
        <w:tblLook w:val="0000" w:firstRow="0" w:lastRow="0" w:firstColumn="0" w:lastColumn="0" w:noHBand="0" w:noVBand="0"/>
      </w:tblPr>
      <w:tblGrid>
        <w:gridCol w:w="534"/>
        <w:gridCol w:w="2268"/>
        <w:gridCol w:w="2186"/>
        <w:gridCol w:w="1359"/>
        <w:gridCol w:w="1358"/>
        <w:gridCol w:w="1367"/>
      </w:tblGrid>
      <w:tr w:rsidR="00A71058" w:rsidRPr="00A7726F" w14:paraId="72024D7D" w14:textId="77777777" w:rsidTr="00BB280B">
        <w:trPr>
          <w:trHeight w:val="56"/>
        </w:trPr>
        <w:tc>
          <w:tcPr>
            <w:tcW w:w="567" w:type="dxa"/>
            <w:tcBorders>
              <w:top w:val="single" w:sz="4" w:space="0" w:color="auto"/>
              <w:left w:val="nil"/>
              <w:bottom w:val="single" w:sz="4" w:space="0" w:color="auto"/>
              <w:right w:val="nil"/>
            </w:tcBorders>
            <w:vAlign w:val="center"/>
          </w:tcPr>
          <w:p w14:paraId="62CE74F0" w14:textId="77777777" w:rsidR="00A71058" w:rsidRPr="00A7726F" w:rsidRDefault="00A71058" w:rsidP="007C051A">
            <w:pPr>
              <w:widowControl w:val="0"/>
              <w:suppressLineNumbers/>
              <w:suppressAutoHyphens/>
              <w:autoSpaceDE w:val="0"/>
              <w:autoSpaceDN w:val="0"/>
              <w:adjustRightInd w:val="0"/>
              <w:spacing w:line="240" w:lineRule="auto"/>
              <w:jc w:val="left"/>
              <w:rPr>
                <w:b/>
                <w:bCs/>
                <w:color w:val="000000" w:themeColor="text1"/>
                <w:sz w:val="22"/>
                <w:lang w:val="en-US"/>
              </w:rPr>
            </w:pPr>
            <w:r w:rsidRPr="00A7726F">
              <w:rPr>
                <w:b/>
                <w:bCs/>
                <w:color w:val="000000" w:themeColor="text1"/>
                <w:sz w:val="22"/>
                <w:lang w:val="en-US"/>
              </w:rPr>
              <w:t>Day</w:t>
            </w:r>
          </w:p>
        </w:tc>
        <w:tc>
          <w:tcPr>
            <w:tcW w:w="2410" w:type="dxa"/>
            <w:tcBorders>
              <w:top w:val="single" w:sz="4" w:space="0" w:color="auto"/>
              <w:left w:val="nil"/>
              <w:bottom w:val="single" w:sz="4" w:space="0" w:color="auto"/>
              <w:right w:val="nil"/>
            </w:tcBorders>
            <w:vAlign w:val="center"/>
          </w:tcPr>
          <w:p w14:paraId="2568F76D" w14:textId="5A5B4BB3" w:rsidR="00A71058" w:rsidRPr="00A7726F" w:rsidRDefault="00A71058" w:rsidP="007C051A">
            <w:pPr>
              <w:widowControl w:val="0"/>
              <w:suppressLineNumbers/>
              <w:suppressAutoHyphens/>
              <w:autoSpaceDE w:val="0"/>
              <w:autoSpaceDN w:val="0"/>
              <w:adjustRightInd w:val="0"/>
              <w:spacing w:line="240" w:lineRule="auto"/>
              <w:jc w:val="center"/>
              <w:rPr>
                <w:b/>
                <w:bCs/>
                <w:color w:val="000000" w:themeColor="text1"/>
                <w:sz w:val="22"/>
                <w:lang w:val="en-US"/>
              </w:rPr>
            </w:pPr>
            <w:r w:rsidRPr="00A7726F">
              <w:rPr>
                <w:b/>
                <w:bCs/>
                <w:color w:val="000000" w:themeColor="text1"/>
                <w:sz w:val="22"/>
                <w:lang w:val="en-US"/>
              </w:rPr>
              <w:t>Mean abnormal</w:t>
            </w:r>
            <w:r w:rsidR="00640871">
              <w:rPr>
                <w:b/>
                <w:bCs/>
                <w:color w:val="000000" w:themeColor="text1"/>
                <w:sz w:val="22"/>
                <w:lang w:val="en-US"/>
              </w:rPr>
              <w:br/>
            </w:r>
            <w:r w:rsidRPr="00A7726F">
              <w:rPr>
                <w:b/>
                <w:bCs/>
                <w:color w:val="000000" w:themeColor="text1"/>
                <w:sz w:val="22"/>
                <w:lang w:val="en-US"/>
              </w:rPr>
              <w:t>return (%)</w:t>
            </w:r>
          </w:p>
        </w:tc>
        <w:tc>
          <w:tcPr>
            <w:tcW w:w="2323" w:type="dxa"/>
            <w:tcBorders>
              <w:top w:val="single" w:sz="4" w:space="0" w:color="auto"/>
              <w:left w:val="nil"/>
              <w:bottom w:val="single" w:sz="4" w:space="0" w:color="auto"/>
              <w:right w:val="nil"/>
            </w:tcBorders>
            <w:vAlign w:val="center"/>
          </w:tcPr>
          <w:p w14:paraId="46E8DB14" w14:textId="77777777" w:rsidR="00A71058" w:rsidRPr="00A7726F" w:rsidRDefault="00A71058" w:rsidP="007C051A">
            <w:pPr>
              <w:widowControl w:val="0"/>
              <w:suppressLineNumbers/>
              <w:suppressAutoHyphens/>
              <w:autoSpaceDE w:val="0"/>
              <w:autoSpaceDN w:val="0"/>
              <w:adjustRightInd w:val="0"/>
              <w:spacing w:line="240" w:lineRule="auto"/>
              <w:jc w:val="center"/>
              <w:rPr>
                <w:b/>
                <w:bCs/>
                <w:color w:val="000000" w:themeColor="text1"/>
                <w:sz w:val="22"/>
                <w:lang w:val="en-US"/>
              </w:rPr>
            </w:pPr>
            <w:r w:rsidRPr="00A7726F">
              <w:rPr>
                <w:b/>
                <w:bCs/>
                <w:color w:val="000000" w:themeColor="text1"/>
                <w:sz w:val="22"/>
                <w:lang w:val="en-US"/>
              </w:rPr>
              <w:t>Standardized t-statistic</w:t>
            </w:r>
          </w:p>
        </w:tc>
        <w:tc>
          <w:tcPr>
            <w:tcW w:w="1444" w:type="dxa"/>
            <w:tcBorders>
              <w:top w:val="single" w:sz="4" w:space="0" w:color="auto"/>
              <w:left w:val="nil"/>
              <w:bottom w:val="single" w:sz="4" w:space="0" w:color="auto"/>
              <w:right w:val="nil"/>
            </w:tcBorders>
            <w:vAlign w:val="center"/>
          </w:tcPr>
          <w:p w14:paraId="6E2956DE" w14:textId="77777777" w:rsidR="00A71058" w:rsidRPr="00A7726F" w:rsidRDefault="00A71058" w:rsidP="007C051A">
            <w:pPr>
              <w:widowControl w:val="0"/>
              <w:suppressLineNumbers/>
              <w:suppressAutoHyphens/>
              <w:autoSpaceDE w:val="0"/>
              <w:autoSpaceDN w:val="0"/>
              <w:adjustRightInd w:val="0"/>
              <w:spacing w:line="240" w:lineRule="auto"/>
              <w:jc w:val="center"/>
              <w:rPr>
                <w:b/>
                <w:bCs/>
                <w:color w:val="000000" w:themeColor="text1"/>
                <w:sz w:val="22"/>
                <w:lang w:val="en-US"/>
              </w:rPr>
            </w:pPr>
            <w:r w:rsidRPr="00A7726F">
              <w:rPr>
                <w:b/>
                <w:bCs/>
                <w:color w:val="000000" w:themeColor="text1"/>
                <w:sz w:val="22"/>
                <w:lang w:val="en-US"/>
              </w:rPr>
              <w:t>p-value</w:t>
            </w:r>
          </w:p>
        </w:tc>
        <w:tc>
          <w:tcPr>
            <w:tcW w:w="1443" w:type="dxa"/>
            <w:tcBorders>
              <w:top w:val="single" w:sz="4" w:space="0" w:color="auto"/>
              <w:left w:val="nil"/>
              <w:bottom w:val="single" w:sz="4" w:space="0" w:color="auto"/>
              <w:right w:val="nil"/>
            </w:tcBorders>
            <w:vAlign w:val="center"/>
          </w:tcPr>
          <w:p w14:paraId="42F6833A" w14:textId="77777777" w:rsidR="00A71058" w:rsidRPr="00A7726F" w:rsidRDefault="00A71058" w:rsidP="007C051A">
            <w:pPr>
              <w:widowControl w:val="0"/>
              <w:suppressLineNumbers/>
              <w:suppressAutoHyphens/>
              <w:autoSpaceDE w:val="0"/>
              <w:autoSpaceDN w:val="0"/>
              <w:adjustRightInd w:val="0"/>
              <w:spacing w:line="240" w:lineRule="auto"/>
              <w:jc w:val="center"/>
              <w:rPr>
                <w:b/>
                <w:bCs/>
                <w:color w:val="000000" w:themeColor="text1"/>
                <w:sz w:val="22"/>
                <w:lang w:val="en-US"/>
              </w:rPr>
            </w:pPr>
            <w:r w:rsidRPr="00A7726F">
              <w:rPr>
                <w:b/>
                <w:bCs/>
                <w:color w:val="000000" w:themeColor="text1"/>
                <w:sz w:val="22"/>
                <w:lang w:val="en-US"/>
              </w:rPr>
              <w:t>Patell Z</w:t>
            </w:r>
          </w:p>
        </w:tc>
        <w:tc>
          <w:tcPr>
            <w:tcW w:w="1452" w:type="dxa"/>
            <w:tcBorders>
              <w:top w:val="single" w:sz="4" w:space="0" w:color="auto"/>
              <w:left w:val="nil"/>
              <w:bottom w:val="single" w:sz="4" w:space="0" w:color="auto"/>
              <w:right w:val="nil"/>
            </w:tcBorders>
            <w:vAlign w:val="center"/>
          </w:tcPr>
          <w:p w14:paraId="06151639" w14:textId="77777777" w:rsidR="00A71058" w:rsidRPr="00A7726F" w:rsidRDefault="00A71058" w:rsidP="007C051A">
            <w:pPr>
              <w:widowControl w:val="0"/>
              <w:suppressLineNumbers/>
              <w:suppressAutoHyphens/>
              <w:autoSpaceDE w:val="0"/>
              <w:autoSpaceDN w:val="0"/>
              <w:adjustRightInd w:val="0"/>
              <w:spacing w:line="240" w:lineRule="auto"/>
              <w:jc w:val="center"/>
              <w:rPr>
                <w:b/>
                <w:bCs/>
                <w:color w:val="000000" w:themeColor="text1"/>
                <w:sz w:val="22"/>
                <w:lang w:val="en-US"/>
              </w:rPr>
            </w:pPr>
            <w:r w:rsidRPr="00A7726F">
              <w:rPr>
                <w:b/>
                <w:bCs/>
                <w:color w:val="000000" w:themeColor="text1"/>
                <w:sz w:val="22"/>
                <w:lang w:val="en-US"/>
              </w:rPr>
              <w:t>p-value</w:t>
            </w:r>
          </w:p>
        </w:tc>
      </w:tr>
      <w:tr w:rsidR="00A71058" w:rsidRPr="00A7726F" w14:paraId="06BCEA69" w14:textId="77777777" w:rsidTr="00BB280B">
        <w:trPr>
          <w:trHeight w:val="231"/>
        </w:trPr>
        <w:tc>
          <w:tcPr>
            <w:tcW w:w="567" w:type="dxa"/>
            <w:tcBorders>
              <w:top w:val="single" w:sz="4" w:space="0" w:color="auto"/>
              <w:left w:val="nil"/>
              <w:bottom w:val="nil"/>
              <w:right w:val="nil"/>
            </w:tcBorders>
            <w:vAlign w:val="center"/>
          </w:tcPr>
          <w:p w14:paraId="5D63AADF" w14:textId="77777777" w:rsidR="00A71058" w:rsidRPr="00A7726F" w:rsidRDefault="00A71058" w:rsidP="007C051A">
            <w:pPr>
              <w:widowControl w:val="0"/>
              <w:suppressLineNumbers/>
              <w:suppressAutoHyphens/>
              <w:autoSpaceDE w:val="0"/>
              <w:autoSpaceDN w:val="0"/>
              <w:adjustRightInd w:val="0"/>
              <w:spacing w:line="240" w:lineRule="auto"/>
              <w:jc w:val="left"/>
              <w:rPr>
                <w:color w:val="000000" w:themeColor="text1"/>
                <w:sz w:val="22"/>
                <w:lang w:val="en-US"/>
              </w:rPr>
            </w:pPr>
            <w:r w:rsidRPr="00A7726F">
              <w:rPr>
                <w:color w:val="000000" w:themeColor="text1"/>
                <w:sz w:val="22"/>
                <w:lang w:val="en-US"/>
              </w:rPr>
              <w:t>-5</w:t>
            </w:r>
          </w:p>
        </w:tc>
        <w:tc>
          <w:tcPr>
            <w:tcW w:w="2410" w:type="dxa"/>
            <w:tcBorders>
              <w:top w:val="single" w:sz="4" w:space="0" w:color="auto"/>
              <w:left w:val="nil"/>
              <w:bottom w:val="nil"/>
              <w:right w:val="nil"/>
            </w:tcBorders>
            <w:shd w:val="clear" w:color="auto" w:fill="auto"/>
            <w:vAlign w:val="center"/>
          </w:tcPr>
          <w:p w14:paraId="539F0D98"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0.00</w:t>
            </w:r>
          </w:p>
        </w:tc>
        <w:tc>
          <w:tcPr>
            <w:tcW w:w="2323" w:type="dxa"/>
            <w:tcBorders>
              <w:top w:val="single" w:sz="4" w:space="0" w:color="auto"/>
              <w:left w:val="nil"/>
              <w:bottom w:val="nil"/>
              <w:right w:val="nil"/>
            </w:tcBorders>
            <w:shd w:val="clear" w:color="auto" w:fill="auto"/>
            <w:vAlign w:val="center"/>
          </w:tcPr>
          <w:p w14:paraId="17D95F3B"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0.500</w:t>
            </w:r>
          </w:p>
        </w:tc>
        <w:tc>
          <w:tcPr>
            <w:tcW w:w="1444" w:type="dxa"/>
            <w:tcBorders>
              <w:top w:val="single" w:sz="4" w:space="0" w:color="auto"/>
              <w:left w:val="nil"/>
              <w:bottom w:val="nil"/>
              <w:right w:val="nil"/>
            </w:tcBorders>
            <w:shd w:val="clear" w:color="auto" w:fill="auto"/>
            <w:vAlign w:val="center"/>
          </w:tcPr>
          <w:p w14:paraId="09271A34"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0.618</w:t>
            </w:r>
          </w:p>
        </w:tc>
        <w:tc>
          <w:tcPr>
            <w:tcW w:w="1443" w:type="dxa"/>
            <w:tcBorders>
              <w:top w:val="single" w:sz="4" w:space="0" w:color="auto"/>
              <w:left w:val="nil"/>
              <w:bottom w:val="nil"/>
              <w:right w:val="nil"/>
            </w:tcBorders>
            <w:vAlign w:val="center"/>
          </w:tcPr>
          <w:p w14:paraId="3C24E01C"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-0.772</w:t>
            </w:r>
          </w:p>
        </w:tc>
        <w:tc>
          <w:tcPr>
            <w:tcW w:w="1452" w:type="dxa"/>
            <w:tcBorders>
              <w:top w:val="single" w:sz="4" w:space="0" w:color="auto"/>
              <w:left w:val="nil"/>
              <w:bottom w:val="nil"/>
              <w:right w:val="nil"/>
            </w:tcBorders>
            <w:vAlign w:val="center"/>
          </w:tcPr>
          <w:p w14:paraId="6DB653E2"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0.440</w:t>
            </w:r>
          </w:p>
        </w:tc>
      </w:tr>
      <w:tr w:rsidR="00A71058" w:rsidRPr="00A7726F" w14:paraId="1E19466A" w14:textId="77777777" w:rsidTr="00BB280B">
        <w:trPr>
          <w:trHeight w:val="231"/>
        </w:trPr>
        <w:tc>
          <w:tcPr>
            <w:tcW w:w="567" w:type="dxa"/>
            <w:tcBorders>
              <w:top w:val="nil"/>
              <w:left w:val="nil"/>
              <w:bottom w:val="nil"/>
              <w:right w:val="nil"/>
            </w:tcBorders>
            <w:vAlign w:val="center"/>
          </w:tcPr>
          <w:p w14:paraId="18796170" w14:textId="77777777" w:rsidR="00A71058" w:rsidRPr="00A7726F" w:rsidRDefault="00A71058" w:rsidP="007C051A">
            <w:pPr>
              <w:widowControl w:val="0"/>
              <w:suppressLineNumbers/>
              <w:suppressAutoHyphens/>
              <w:autoSpaceDE w:val="0"/>
              <w:autoSpaceDN w:val="0"/>
              <w:adjustRightInd w:val="0"/>
              <w:spacing w:line="240" w:lineRule="auto"/>
              <w:jc w:val="left"/>
              <w:rPr>
                <w:color w:val="000000" w:themeColor="text1"/>
                <w:sz w:val="22"/>
                <w:lang w:val="en-US"/>
              </w:rPr>
            </w:pPr>
            <w:r w:rsidRPr="00A7726F">
              <w:rPr>
                <w:color w:val="000000" w:themeColor="text1"/>
                <w:sz w:val="22"/>
                <w:lang w:val="en-US"/>
              </w:rPr>
              <w:t>-4</w:t>
            </w:r>
          </w:p>
        </w:tc>
        <w:tc>
          <w:tcPr>
            <w:tcW w:w="2410" w:type="dxa"/>
            <w:tcBorders>
              <w:top w:val="nil"/>
              <w:left w:val="nil"/>
              <w:bottom w:val="nil"/>
              <w:right w:val="nil"/>
            </w:tcBorders>
            <w:shd w:val="clear" w:color="auto" w:fill="auto"/>
            <w:vAlign w:val="center"/>
          </w:tcPr>
          <w:p w14:paraId="039BCE5F"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0.00</w:t>
            </w:r>
          </w:p>
        </w:tc>
        <w:tc>
          <w:tcPr>
            <w:tcW w:w="2323" w:type="dxa"/>
            <w:tcBorders>
              <w:top w:val="nil"/>
              <w:left w:val="nil"/>
              <w:bottom w:val="nil"/>
              <w:right w:val="nil"/>
            </w:tcBorders>
            <w:shd w:val="clear" w:color="auto" w:fill="auto"/>
            <w:vAlign w:val="center"/>
          </w:tcPr>
          <w:p w14:paraId="0B48CD55"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-0.476</w:t>
            </w:r>
          </w:p>
        </w:tc>
        <w:tc>
          <w:tcPr>
            <w:tcW w:w="1444" w:type="dxa"/>
            <w:tcBorders>
              <w:top w:val="nil"/>
              <w:left w:val="nil"/>
              <w:bottom w:val="nil"/>
              <w:right w:val="nil"/>
            </w:tcBorders>
            <w:shd w:val="clear" w:color="auto" w:fill="auto"/>
            <w:vAlign w:val="center"/>
          </w:tcPr>
          <w:p w14:paraId="02F9FFEA"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0.634</w:t>
            </w:r>
          </w:p>
        </w:tc>
        <w:tc>
          <w:tcPr>
            <w:tcW w:w="1443" w:type="dxa"/>
            <w:tcBorders>
              <w:top w:val="nil"/>
              <w:left w:val="nil"/>
              <w:bottom w:val="nil"/>
              <w:right w:val="nil"/>
            </w:tcBorders>
            <w:vAlign w:val="center"/>
          </w:tcPr>
          <w:p w14:paraId="4BDB52CE"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-2.415</w:t>
            </w:r>
          </w:p>
        </w:tc>
        <w:tc>
          <w:tcPr>
            <w:tcW w:w="1452" w:type="dxa"/>
            <w:tcBorders>
              <w:top w:val="nil"/>
              <w:left w:val="nil"/>
              <w:bottom w:val="nil"/>
              <w:right w:val="nil"/>
            </w:tcBorders>
            <w:vAlign w:val="center"/>
          </w:tcPr>
          <w:p w14:paraId="3804756A"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0.016</w:t>
            </w:r>
          </w:p>
        </w:tc>
      </w:tr>
      <w:tr w:rsidR="00A71058" w:rsidRPr="00A7726F" w14:paraId="03D96868" w14:textId="77777777" w:rsidTr="00BB280B">
        <w:trPr>
          <w:trHeight w:val="231"/>
        </w:trPr>
        <w:tc>
          <w:tcPr>
            <w:tcW w:w="567" w:type="dxa"/>
            <w:tcBorders>
              <w:top w:val="nil"/>
              <w:left w:val="nil"/>
              <w:bottom w:val="nil"/>
              <w:right w:val="nil"/>
            </w:tcBorders>
            <w:vAlign w:val="center"/>
          </w:tcPr>
          <w:p w14:paraId="4AAF215B" w14:textId="77777777" w:rsidR="00A71058" w:rsidRPr="00A7726F" w:rsidRDefault="00A71058" w:rsidP="007C051A">
            <w:pPr>
              <w:widowControl w:val="0"/>
              <w:suppressLineNumbers/>
              <w:suppressAutoHyphens/>
              <w:autoSpaceDE w:val="0"/>
              <w:autoSpaceDN w:val="0"/>
              <w:adjustRightInd w:val="0"/>
              <w:spacing w:line="240" w:lineRule="auto"/>
              <w:jc w:val="left"/>
              <w:rPr>
                <w:color w:val="000000" w:themeColor="text1"/>
                <w:sz w:val="22"/>
                <w:lang w:val="en-US"/>
              </w:rPr>
            </w:pPr>
            <w:r w:rsidRPr="00A7726F">
              <w:rPr>
                <w:color w:val="000000" w:themeColor="text1"/>
                <w:sz w:val="22"/>
                <w:lang w:val="en-US"/>
              </w:rPr>
              <w:t>-3</w:t>
            </w:r>
          </w:p>
        </w:tc>
        <w:tc>
          <w:tcPr>
            <w:tcW w:w="2410" w:type="dxa"/>
            <w:tcBorders>
              <w:top w:val="nil"/>
              <w:left w:val="nil"/>
              <w:bottom w:val="nil"/>
              <w:right w:val="nil"/>
            </w:tcBorders>
            <w:shd w:val="clear" w:color="auto" w:fill="auto"/>
            <w:vAlign w:val="center"/>
          </w:tcPr>
          <w:p w14:paraId="3B9F7986"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-0.10</w:t>
            </w:r>
          </w:p>
        </w:tc>
        <w:tc>
          <w:tcPr>
            <w:tcW w:w="2323" w:type="dxa"/>
            <w:tcBorders>
              <w:top w:val="nil"/>
              <w:left w:val="nil"/>
              <w:bottom w:val="nil"/>
              <w:right w:val="nil"/>
            </w:tcBorders>
            <w:shd w:val="clear" w:color="auto" w:fill="auto"/>
            <w:vAlign w:val="center"/>
          </w:tcPr>
          <w:p w14:paraId="7005DEDF"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-1.162</w:t>
            </w:r>
          </w:p>
        </w:tc>
        <w:tc>
          <w:tcPr>
            <w:tcW w:w="1444" w:type="dxa"/>
            <w:tcBorders>
              <w:top w:val="nil"/>
              <w:left w:val="nil"/>
              <w:bottom w:val="nil"/>
              <w:right w:val="nil"/>
            </w:tcBorders>
            <w:shd w:val="clear" w:color="auto" w:fill="auto"/>
            <w:vAlign w:val="center"/>
          </w:tcPr>
          <w:p w14:paraId="2C43FF02"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0.246</w:t>
            </w:r>
          </w:p>
        </w:tc>
        <w:tc>
          <w:tcPr>
            <w:tcW w:w="1443" w:type="dxa"/>
            <w:tcBorders>
              <w:top w:val="nil"/>
              <w:left w:val="nil"/>
              <w:bottom w:val="nil"/>
              <w:right w:val="nil"/>
            </w:tcBorders>
            <w:vAlign w:val="center"/>
          </w:tcPr>
          <w:p w14:paraId="479ABC14"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-1.384</w:t>
            </w:r>
          </w:p>
        </w:tc>
        <w:tc>
          <w:tcPr>
            <w:tcW w:w="1452" w:type="dxa"/>
            <w:tcBorders>
              <w:top w:val="nil"/>
              <w:left w:val="nil"/>
              <w:bottom w:val="nil"/>
              <w:right w:val="nil"/>
            </w:tcBorders>
            <w:vAlign w:val="center"/>
          </w:tcPr>
          <w:p w14:paraId="162E28A1"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0.166</w:t>
            </w:r>
          </w:p>
        </w:tc>
      </w:tr>
      <w:tr w:rsidR="00A71058" w:rsidRPr="00A7726F" w14:paraId="74D012E6" w14:textId="77777777" w:rsidTr="00BB280B">
        <w:trPr>
          <w:trHeight w:val="217"/>
        </w:trPr>
        <w:tc>
          <w:tcPr>
            <w:tcW w:w="567" w:type="dxa"/>
            <w:tcBorders>
              <w:top w:val="nil"/>
              <w:left w:val="nil"/>
              <w:bottom w:val="nil"/>
              <w:right w:val="nil"/>
            </w:tcBorders>
            <w:vAlign w:val="center"/>
          </w:tcPr>
          <w:p w14:paraId="46870EEF" w14:textId="77777777" w:rsidR="00A71058" w:rsidRPr="00A7726F" w:rsidRDefault="00A71058" w:rsidP="007C051A">
            <w:pPr>
              <w:widowControl w:val="0"/>
              <w:suppressLineNumbers/>
              <w:suppressAutoHyphens/>
              <w:autoSpaceDE w:val="0"/>
              <w:autoSpaceDN w:val="0"/>
              <w:adjustRightInd w:val="0"/>
              <w:spacing w:line="240" w:lineRule="auto"/>
              <w:jc w:val="left"/>
              <w:rPr>
                <w:color w:val="000000" w:themeColor="text1"/>
                <w:sz w:val="22"/>
                <w:lang w:val="en-US"/>
              </w:rPr>
            </w:pPr>
            <w:r w:rsidRPr="00A7726F">
              <w:rPr>
                <w:color w:val="000000" w:themeColor="text1"/>
                <w:sz w:val="22"/>
                <w:lang w:val="en-US"/>
              </w:rPr>
              <w:t>-2</w:t>
            </w:r>
          </w:p>
        </w:tc>
        <w:tc>
          <w:tcPr>
            <w:tcW w:w="2410" w:type="dxa"/>
            <w:tcBorders>
              <w:top w:val="nil"/>
              <w:left w:val="nil"/>
              <w:bottom w:val="nil"/>
              <w:right w:val="nil"/>
            </w:tcBorders>
            <w:shd w:val="clear" w:color="auto" w:fill="auto"/>
            <w:vAlign w:val="center"/>
          </w:tcPr>
          <w:p w14:paraId="4654C6A8"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0.00</w:t>
            </w:r>
          </w:p>
        </w:tc>
        <w:tc>
          <w:tcPr>
            <w:tcW w:w="2323" w:type="dxa"/>
            <w:tcBorders>
              <w:top w:val="nil"/>
              <w:left w:val="nil"/>
              <w:bottom w:val="nil"/>
              <w:right w:val="nil"/>
            </w:tcBorders>
            <w:shd w:val="clear" w:color="auto" w:fill="auto"/>
            <w:vAlign w:val="center"/>
          </w:tcPr>
          <w:p w14:paraId="3D560116"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0.147</w:t>
            </w:r>
          </w:p>
        </w:tc>
        <w:tc>
          <w:tcPr>
            <w:tcW w:w="1444" w:type="dxa"/>
            <w:tcBorders>
              <w:top w:val="nil"/>
              <w:left w:val="nil"/>
              <w:bottom w:val="nil"/>
              <w:right w:val="nil"/>
            </w:tcBorders>
            <w:shd w:val="clear" w:color="auto" w:fill="auto"/>
            <w:vAlign w:val="center"/>
          </w:tcPr>
          <w:p w14:paraId="27746B9B"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0.883</w:t>
            </w:r>
          </w:p>
        </w:tc>
        <w:tc>
          <w:tcPr>
            <w:tcW w:w="1443" w:type="dxa"/>
            <w:tcBorders>
              <w:top w:val="nil"/>
              <w:left w:val="nil"/>
              <w:bottom w:val="nil"/>
              <w:right w:val="nil"/>
            </w:tcBorders>
            <w:vAlign w:val="center"/>
          </w:tcPr>
          <w:p w14:paraId="3850DF24"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0.114</w:t>
            </w:r>
          </w:p>
        </w:tc>
        <w:tc>
          <w:tcPr>
            <w:tcW w:w="1452" w:type="dxa"/>
            <w:tcBorders>
              <w:top w:val="nil"/>
              <w:left w:val="nil"/>
              <w:bottom w:val="nil"/>
              <w:right w:val="nil"/>
            </w:tcBorders>
            <w:vAlign w:val="center"/>
          </w:tcPr>
          <w:p w14:paraId="118D4D02"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0.910</w:t>
            </w:r>
          </w:p>
        </w:tc>
      </w:tr>
      <w:tr w:rsidR="00A71058" w:rsidRPr="00A7726F" w14:paraId="6BEE7592" w14:textId="77777777" w:rsidTr="00BB280B">
        <w:trPr>
          <w:trHeight w:val="231"/>
        </w:trPr>
        <w:tc>
          <w:tcPr>
            <w:tcW w:w="567" w:type="dxa"/>
            <w:tcBorders>
              <w:top w:val="nil"/>
              <w:left w:val="nil"/>
              <w:bottom w:val="nil"/>
              <w:right w:val="nil"/>
            </w:tcBorders>
            <w:vAlign w:val="center"/>
          </w:tcPr>
          <w:p w14:paraId="6D720534" w14:textId="77777777" w:rsidR="00A71058" w:rsidRPr="00A7726F" w:rsidRDefault="00A71058" w:rsidP="007C051A">
            <w:pPr>
              <w:widowControl w:val="0"/>
              <w:suppressLineNumbers/>
              <w:suppressAutoHyphens/>
              <w:autoSpaceDE w:val="0"/>
              <w:autoSpaceDN w:val="0"/>
              <w:adjustRightInd w:val="0"/>
              <w:spacing w:line="240" w:lineRule="auto"/>
              <w:jc w:val="left"/>
              <w:rPr>
                <w:color w:val="000000" w:themeColor="text1"/>
                <w:sz w:val="22"/>
                <w:lang w:val="en-US"/>
              </w:rPr>
            </w:pPr>
            <w:r w:rsidRPr="00A7726F">
              <w:rPr>
                <w:color w:val="000000" w:themeColor="text1"/>
                <w:sz w:val="22"/>
                <w:lang w:val="en-US"/>
              </w:rPr>
              <w:t>-1</w:t>
            </w:r>
          </w:p>
        </w:tc>
        <w:tc>
          <w:tcPr>
            <w:tcW w:w="2410" w:type="dxa"/>
            <w:tcBorders>
              <w:top w:val="nil"/>
              <w:left w:val="nil"/>
              <w:bottom w:val="nil"/>
              <w:right w:val="nil"/>
            </w:tcBorders>
            <w:shd w:val="clear" w:color="auto" w:fill="auto"/>
            <w:vAlign w:val="center"/>
          </w:tcPr>
          <w:p w14:paraId="4A3E7B46"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0.10</w:t>
            </w:r>
          </w:p>
        </w:tc>
        <w:tc>
          <w:tcPr>
            <w:tcW w:w="2323" w:type="dxa"/>
            <w:tcBorders>
              <w:top w:val="nil"/>
              <w:left w:val="nil"/>
              <w:bottom w:val="nil"/>
              <w:right w:val="nil"/>
            </w:tcBorders>
            <w:shd w:val="clear" w:color="auto" w:fill="auto"/>
            <w:vAlign w:val="center"/>
          </w:tcPr>
          <w:p w14:paraId="5A0C0F1C"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1.371</w:t>
            </w:r>
          </w:p>
        </w:tc>
        <w:tc>
          <w:tcPr>
            <w:tcW w:w="1444" w:type="dxa"/>
            <w:tcBorders>
              <w:top w:val="nil"/>
              <w:left w:val="nil"/>
              <w:bottom w:val="nil"/>
              <w:right w:val="nil"/>
            </w:tcBorders>
            <w:shd w:val="clear" w:color="auto" w:fill="auto"/>
            <w:vAlign w:val="center"/>
          </w:tcPr>
          <w:p w14:paraId="1BAC877B"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0.172</w:t>
            </w:r>
          </w:p>
        </w:tc>
        <w:tc>
          <w:tcPr>
            <w:tcW w:w="1443" w:type="dxa"/>
            <w:tcBorders>
              <w:top w:val="nil"/>
              <w:left w:val="nil"/>
              <w:bottom w:val="nil"/>
              <w:right w:val="nil"/>
            </w:tcBorders>
            <w:vAlign w:val="center"/>
          </w:tcPr>
          <w:p w14:paraId="44D63926"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0.642</w:t>
            </w:r>
          </w:p>
        </w:tc>
        <w:tc>
          <w:tcPr>
            <w:tcW w:w="1452" w:type="dxa"/>
            <w:tcBorders>
              <w:top w:val="nil"/>
              <w:left w:val="nil"/>
              <w:bottom w:val="nil"/>
              <w:right w:val="nil"/>
            </w:tcBorders>
            <w:vAlign w:val="center"/>
          </w:tcPr>
          <w:p w14:paraId="695B3ADF"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0.521</w:t>
            </w:r>
          </w:p>
        </w:tc>
      </w:tr>
      <w:tr w:rsidR="00A71058" w:rsidRPr="00A7726F" w14:paraId="4F6585C3" w14:textId="77777777" w:rsidTr="00BB280B">
        <w:trPr>
          <w:trHeight w:val="231"/>
        </w:trPr>
        <w:tc>
          <w:tcPr>
            <w:tcW w:w="567" w:type="dxa"/>
            <w:tcBorders>
              <w:top w:val="nil"/>
              <w:left w:val="nil"/>
              <w:bottom w:val="nil"/>
              <w:right w:val="nil"/>
            </w:tcBorders>
            <w:vAlign w:val="center"/>
          </w:tcPr>
          <w:p w14:paraId="362145D8" w14:textId="77777777" w:rsidR="00A71058" w:rsidRPr="00A7726F" w:rsidRDefault="00A71058" w:rsidP="007C051A">
            <w:pPr>
              <w:widowControl w:val="0"/>
              <w:suppressLineNumbers/>
              <w:suppressAutoHyphens/>
              <w:autoSpaceDE w:val="0"/>
              <w:autoSpaceDN w:val="0"/>
              <w:adjustRightInd w:val="0"/>
              <w:spacing w:line="240" w:lineRule="auto"/>
              <w:jc w:val="left"/>
              <w:rPr>
                <w:color w:val="000000" w:themeColor="text1"/>
                <w:sz w:val="22"/>
                <w:lang w:val="en-US"/>
              </w:rPr>
            </w:pPr>
            <w:r w:rsidRPr="00A7726F">
              <w:rPr>
                <w:color w:val="000000" w:themeColor="text1"/>
                <w:sz w:val="22"/>
                <w:lang w:val="en-US"/>
              </w:rPr>
              <w:t>0</w:t>
            </w:r>
          </w:p>
        </w:tc>
        <w:tc>
          <w:tcPr>
            <w:tcW w:w="2410" w:type="dxa"/>
            <w:tcBorders>
              <w:top w:val="nil"/>
              <w:left w:val="nil"/>
              <w:bottom w:val="nil"/>
              <w:right w:val="nil"/>
            </w:tcBorders>
            <w:shd w:val="clear" w:color="auto" w:fill="auto"/>
            <w:vAlign w:val="center"/>
          </w:tcPr>
          <w:p w14:paraId="35814736"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0.70</w:t>
            </w:r>
          </w:p>
        </w:tc>
        <w:tc>
          <w:tcPr>
            <w:tcW w:w="2323" w:type="dxa"/>
            <w:tcBorders>
              <w:top w:val="nil"/>
              <w:left w:val="nil"/>
              <w:bottom w:val="nil"/>
              <w:right w:val="nil"/>
            </w:tcBorders>
            <w:shd w:val="clear" w:color="auto" w:fill="auto"/>
            <w:vAlign w:val="center"/>
          </w:tcPr>
          <w:p w14:paraId="3B95B0FE"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16.546</w:t>
            </w:r>
          </w:p>
        </w:tc>
        <w:tc>
          <w:tcPr>
            <w:tcW w:w="1444" w:type="dxa"/>
            <w:tcBorders>
              <w:top w:val="nil"/>
              <w:left w:val="nil"/>
              <w:bottom w:val="nil"/>
              <w:right w:val="nil"/>
            </w:tcBorders>
            <w:shd w:val="clear" w:color="auto" w:fill="auto"/>
            <w:vAlign w:val="center"/>
          </w:tcPr>
          <w:p w14:paraId="78B3D9F6"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0.000</w:t>
            </w:r>
          </w:p>
        </w:tc>
        <w:tc>
          <w:tcPr>
            <w:tcW w:w="1443" w:type="dxa"/>
            <w:tcBorders>
              <w:top w:val="nil"/>
              <w:left w:val="nil"/>
              <w:bottom w:val="nil"/>
              <w:right w:val="nil"/>
            </w:tcBorders>
            <w:vAlign w:val="center"/>
          </w:tcPr>
          <w:p w14:paraId="26BD9C78"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15.986</w:t>
            </w:r>
          </w:p>
        </w:tc>
        <w:tc>
          <w:tcPr>
            <w:tcW w:w="1452" w:type="dxa"/>
            <w:tcBorders>
              <w:top w:val="nil"/>
              <w:left w:val="nil"/>
              <w:bottom w:val="nil"/>
              <w:right w:val="nil"/>
            </w:tcBorders>
            <w:vAlign w:val="center"/>
          </w:tcPr>
          <w:p w14:paraId="532862DC"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0.000</w:t>
            </w:r>
          </w:p>
        </w:tc>
      </w:tr>
      <w:tr w:rsidR="00A71058" w:rsidRPr="00A7726F" w14:paraId="044295B9" w14:textId="77777777" w:rsidTr="00BB280B">
        <w:trPr>
          <w:trHeight w:val="231"/>
        </w:trPr>
        <w:tc>
          <w:tcPr>
            <w:tcW w:w="567" w:type="dxa"/>
            <w:tcBorders>
              <w:top w:val="nil"/>
              <w:left w:val="nil"/>
              <w:bottom w:val="nil"/>
              <w:right w:val="nil"/>
            </w:tcBorders>
            <w:vAlign w:val="center"/>
          </w:tcPr>
          <w:p w14:paraId="04C95CA4" w14:textId="77777777" w:rsidR="00A71058" w:rsidRPr="00A7726F" w:rsidRDefault="00A71058" w:rsidP="007C051A">
            <w:pPr>
              <w:widowControl w:val="0"/>
              <w:suppressLineNumbers/>
              <w:suppressAutoHyphens/>
              <w:autoSpaceDE w:val="0"/>
              <w:autoSpaceDN w:val="0"/>
              <w:adjustRightInd w:val="0"/>
              <w:spacing w:line="240" w:lineRule="auto"/>
              <w:jc w:val="left"/>
              <w:rPr>
                <w:color w:val="000000" w:themeColor="text1"/>
                <w:sz w:val="22"/>
                <w:lang w:val="en-US"/>
              </w:rPr>
            </w:pPr>
            <w:r w:rsidRPr="00A7726F">
              <w:rPr>
                <w:color w:val="000000" w:themeColor="text1"/>
                <w:sz w:val="22"/>
                <w:lang w:val="en-US"/>
              </w:rPr>
              <w:t>1</w:t>
            </w:r>
          </w:p>
        </w:tc>
        <w:tc>
          <w:tcPr>
            <w:tcW w:w="2410" w:type="dxa"/>
            <w:tcBorders>
              <w:top w:val="nil"/>
              <w:left w:val="nil"/>
              <w:bottom w:val="nil"/>
              <w:right w:val="nil"/>
            </w:tcBorders>
            <w:shd w:val="clear" w:color="auto" w:fill="auto"/>
            <w:vAlign w:val="center"/>
          </w:tcPr>
          <w:p w14:paraId="3BF3A80A"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0.20</w:t>
            </w:r>
          </w:p>
        </w:tc>
        <w:tc>
          <w:tcPr>
            <w:tcW w:w="2323" w:type="dxa"/>
            <w:tcBorders>
              <w:top w:val="nil"/>
              <w:left w:val="nil"/>
              <w:bottom w:val="nil"/>
              <w:right w:val="nil"/>
            </w:tcBorders>
            <w:shd w:val="clear" w:color="auto" w:fill="auto"/>
            <w:vAlign w:val="center"/>
          </w:tcPr>
          <w:p w14:paraId="0D8264C6"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3.638</w:t>
            </w:r>
          </w:p>
        </w:tc>
        <w:tc>
          <w:tcPr>
            <w:tcW w:w="1444" w:type="dxa"/>
            <w:tcBorders>
              <w:top w:val="nil"/>
              <w:left w:val="nil"/>
              <w:bottom w:val="nil"/>
              <w:right w:val="nil"/>
            </w:tcBorders>
            <w:shd w:val="clear" w:color="auto" w:fill="auto"/>
            <w:vAlign w:val="center"/>
          </w:tcPr>
          <w:p w14:paraId="5E60AAF0"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0.000</w:t>
            </w:r>
          </w:p>
        </w:tc>
        <w:tc>
          <w:tcPr>
            <w:tcW w:w="1443" w:type="dxa"/>
            <w:tcBorders>
              <w:top w:val="nil"/>
              <w:left w:val="nil"/>
              <w:bottom w:val="nil"/>
              <w:right w:val="nil"/>
            </w:tcBorders>
            <w:vAlign w:val="center"/>
          </w:tcPr>
          <w:p w14:paraId="3D8A9D11"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4.659</w:t>
            </w:r>
          </w:p>
        </w:tc>
        <w:tc>
          <w:tcPr>
            <w:tcW w:w="1452" w:type="dxa"/>
            <w:tcBorders>
              <w:top w:val="nil"/>
              <w:left w:val="nil"/>
              <w:bottom w:val="nil"/>
              <w:right w:val="nil"/>
            </w:tcBorders>
            <w:vAlign w:val="center"/>
          </w:tcPr>
          <w:p w14:paraId="09B873E4"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0.000</w:t>
            </w:r>
          </w:p>
        </w:tc>
      </w:tr>
      <w:tr w:rsidR="00A71058" w:rsidRPr="00A7726F" w14:paraId="6CAE4ECC" w14:textId="77777777" w:rsidTr="00BB280B">
        <w:trPr>
          <w:trHeight w:val="231"/>
        </w:trPr>
        <w:tc>
          <w:tcPr>
            <w:tcW w:w="567" w:type="dxa"/>
            <w:tcBorders>
              <w:top w:val="nil"/>
              <w:left w:val="nil"/>
              <w:bottom w:val="nil"/>
              <w:right w:val="nil"/>
            </w:tcBorders>
            <w:vAlign w:val="center"/>
          </w:tcPr>
          <w:p w14:paraId="09768DE9" w14:textId="77777777" w:rsidR="00A71058" w:rsidRPr="00A7726F" w:rsidRDefault="00A71058" w:rsidP="007C051A">
            <w:pPr>
              <w:widowControl w:val="0"/>
              <w:suppressLineNumbers/>
              <w:suppressAutoHyphens/>
              <w:autoSpaceDE w:val="0"/>
              <w:autoSpaceDN w:val="0"/>
              <w:adjustRightInd w:val="0"/>
              <w:spacing w:line="240" w:lineRule="auto"/>
              <w:jc w:val="left"/>
              <w:rPr>
                <w:color w:val="000000" w:themeColor="text1"/>
                <w:sz w:val="22"/>
                <w:lang w:val="en-US"/>
              </w:rPr>
            </w:pPr>
            <w:r w:rsidRPr="00A7726F">
              <w:rPr>
                <w:color w:val="000000" w:themeColor="text1"/>
                <w:sz w:val="22"/>
                <w:lang w:val="en-US"/>
              </w:rPr>
              <w:t>2</w:t>
            </w:r>
          </w:p>
        </w:tc>
        <w:tc>
          <w:tcPr>
            <w:tcW w:w="2410" w:type="dxa"/>
            <w:tcBorders>
              <w:top w:val="nil"/>
              <w:left w:val="nil"/>
              <w:bottom w:val="nil"/>
              <w:right w:val="nil"/>
            </w:tcBorders>
            <w:shd w:val="clear" w:color="auto" w:fill="auto"/>
            <w:vAlign w:val="center"/>
          </w:tcPr>
          <w:p w14:paraId="242EE3DC"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0.00</w:t>
            </w:r>
          </w:p>
        </w:tc>
        <w:tc>
          <w:tcPr>
            <w:tcW w:w="2323" w:type="dxa"/>
            <w:tcBorders>
              <w:top w:val="nil"/>
              <w:left w:val="nil"/>
              <w:bottom w:val="nil"/>
              <w:right w:val="nil"/>
            </w:tcBorders>
            <w:shd w:val="clear" w:color="auto" w:fill="auto"/>
            <w:vAlign w:val="center"/>
          </w:tcPr>
          <w:p w14:paraId="35E83BF3"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0.064</w:t>
            </w:r>
          </w:p>
        </w:tc>
        <w:tc>
          <w:tcPr>
            <w:tcW w:w="1444" w:type="dxa"/>
            <w:tcBorders>
              <w:top w:val="nil"/>
              <w:left w:val="nil"/>
              <w:bottom w:val="nil"/>
              <w:right w:val="nil"/>
            </w:tcBorders>
            <w:shd w:val="clear" w:color="auto" w:fill="auto"/>
            <w:vAlign w:val="center"/>
          </w:tcPr>
          <w:p w14:paraId="2950A8A1"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0.949</w:t>
            </w:r>
          </w:p>
        </w:tc>
        <w:tc>
          <w:tcPr>
            <w:tcW w:w="1443" w:type="dxa"/>
            <w:tcBorders>
              <w:top w:val="nil"/>
              <w:left w:val="nil"/>
              <w:bottom w:val="nil"/>
              <w:right w:val="nil"/>
            </w:tcBorders>
            <w:vAlign w:val="center"/>
          </w:tcPr>
          <w:p w14:paraId="1661E9AE"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-0.137</w:t>
            </w:r>
          </w:p>
        </w:tc>
        <w:tc>
          <w:tcPr>
            <w:tcW w:w="1452" w:type="dxa"/>
            <w:tcBorders>
              <w:top w:val="nil"/>
              <w:left w:val="nil"/>
              <w:bottom w:val="nil"/>
              <w:right w:val="nil"/>
            </w:tcBorders>
            <w:vAlign w:val="center"/>
          </w:tcPr>
          <w:p w14:paraId="454E6CBC"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0.891</w:t>
            </w:r>
          </w:p>
        </w:tc>
      </w:tr>
      <w:tr w:rsidR="00A71058" w:rsidRPr="00A7726F" w14:paraId="70117D56" w14:textId="77777777" w:rsidTr="00BB280B">
        <w:trPr>
          <w:trHeight w:val="231"/>
        </w:trPr>
        <w:tc>
          <w:tcPr>
            <w:tcW w:w="567" w:type="dxa"/>
            <w:tcBorders>
              <w:top w:val="nil"/>
              <w:left w:val="nil"/>
              <w:bottom w:val="nil"/>
              <w:right w:val="nil"/>
            </w:tcBorders>
            <w:vAlign w:val="center"/>
          </w:tcPr>
          <w:p w14:paraId="7611D487" w14:textId="77777777" w:rsidR="00A71058" w:rsidRPr="00A7726F" w:rsidRDefault="00A71058" w:rsidP="007C051A">
            <w:pPr>
              <w:widowControl w:val="0"/>
              <w:suppressLineNumbers/>
              <w:suppressAutoHyphens/>
              <w:autoSpaceDE w:val="0"/>
              <w:autoSpaceDN w:val="0"/>
              <w:adjustRightInd w:val="0"/>
              <w:spacing w:line="240" w:lineRule="auto"/>
              <w:jc w:val="left"/>
              <w:rPr>
                <w:color w:val="000000" w:themeColor="text1"/>
                <w:sz w:val="22"/>
                <w:lang w:val="en-US"/>
              </w:rPr>
            </w:pPr>
            <w:r w:rsidRPr="00A7726F">
              <w:rPr>
                <w:color w:val="000000" w:themeColor="text1"/>
                <w:sz w:val="22"/>
                <w:lang w:val="en-US"/>
              </w:rPr>
              <w:t>3</w:t>
            </w:r>
          </w:p>
        </w:tc>
        <w:tc>
          <w:tcPr>
            <w:tcW w:w="2410" w:type="dxa"/>
            <w:tcBorders>
              <w:top w:val="nil"/>
              <w:left w:val="nil"/>
              <w:bottom w:val="nil"/>
              <w:right w:val="nil"/>
            </w:tcBorders>
            <w:shd w:val="clear" w:color="auto" w:fill="auto"/>
            <w:vAlign w:val="center"/>
          </w:tcPr>
          <w:p w14:paraId="251338F4"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0.10</w:t>
            </w:r>
          </w:p>
        </w:tc>
        <w:tc>
          <w:tcPr>
            <w:tcW w:w="2323" w:type="dxa"/>
            <w:tcBorders>
              <w:top w:val="nil"/>
              <w:left w:val="nil"/>
              <w:bottom w:val="nil"/>
              <w:right w:val="nil"/>
            </w:tcBorders>
            <w:shd w:val="clear" w:color="auto" w:fill="auto"/>
            <w:vAlign w:val="center"/>
          </w:tcPr>
          <w:p w14:paraId="6D7CB07F"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1.219</w:t>
            </w:r>
          </w:p>
        </w:tc>
        <w:tc>
          <w:tcPr>
            <w:tcW w:w="1444" w:type="dxa"/>
            <w:tcBorders>
              <w:top w:val="nil"/>
              <w:left w:val="nil"/>
              <w:bottom w:val="nil"/>
              <w:right w:val="nil"/>
            </w:tcBorders>
            <w:shd w:val="clear" w:color="auto" w:fill="auto"/>
            <w:vAlign w:val="center"/>
          </w:tcPr>
          <w:p w14:paraId="638BD964"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0.224</w:t>
            </w:r>
          </w:p>
        </w:tc>
        <w:tc>
          <w:tcPr>
            <w:tcW w:w="1443" w:type="dxa"/>
            <w:tcBorders>
              <w:top w:val="nil"/>
              <w:left w:val="nil"/>
              <w:bottom w:val="nil"/>
              <w:right w:val="nil"/>
            </w:tcBorders>
            <w:vAlign w:val="center"/>
          </w:tcPr>
          <w:p w14:paraId="071FC8D8"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1.228</w:t>
            </w:r>
          </w:p>
        </w:tc>
        <w:tc>
          <w:tcPr>
            <w:tcW w:w="1452" w:type="dxa"/>
            <w:tcBorders>
              <w:top w:val="nil"/>
              <w:left w:val="nil"/>
              <w:bottom w:val="nil"/>
              <w:right w:val="nil"/>
            </w:tcBorders>
            <w:vAlign w:val="center"/>
          </w:tcPr>
          <w:p w14:paraId="6968AF14"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0.219</w:t>
            </w:r>
          </w:p>
        </w:tc>
      </w:tr>
      <w:tr w:rsidR="00A71058" w:rsidRPr="00A7726F" w14:paraId="312EC73B" w14:textId="77777777" w:rsidTr="00640871">
        <w:trPr>
          <w:trHeight w:val="231"/>
        </w:trPr>
        <w:tc>
          <w:tcPr>
            <w:tcW w:w="567" w:type="dxa"/>
            <w:tcBorders>
              <w:top w:val="nil"/>
              <w:left w:val="nil"/>
              <w:right w:val="nil"/>
            </w:tcBorders>
            <w:vAlign w:val="center"/>
          </w:tcPr>
          <w:p w14:paraId="6A023BBC" w14:textId="77777777" w:rsidR="00A71058" w:rsidRPr="00A7726F" w:rsidRDefault="00A71058" w:rsidP="007C051A">
            <w:pPr>
              <w:widowControl w:val="0"/>
              <w:suppressLineNumbers/>
              <w:suppressAutoHyphens/>
              <w:autoSpaceDE w:val="0"/>
              <w:autoSpaceDN w:val="0"/>
              <w:adjustRightInd w:val="0"/>
              <w:spacing w:line="240" w:lineRule="auto"/>
              <w:jc w:val="left"/>
              <w:rPr>
                <w:color w:val="000000" w:themeColor="text1"/>
                <w:sz w:val="22"/>
                <w:lang w:val="en-US"/>
              </w:rPr>
            </w:pPr>
            <w:r w:rsidRPr="00A7726F">
              <w:rPr>
                <w:color w:val="000000" w:themeColor="text1"/>
                <w:sz w:val="22"/>
                <w:lang w:val="en-US"/>
              </w:rPr>
              <w:t>4</w:t>
            </w:r>
          </w:p>
        </w:tc>
        <w:tc>
          <w:tcPr>
            <w:tcW w:w="2410" w:type="dxa"/>
            <w:tcBorders>
              <w:top w:val="nil"/>
              <w:left w:val="nil"/>
              <w:right w:val="nil"/>
            </w:tcBorders>
            <w:shd w:val="clear" w:color="auto" w:fill="auto"/>
            <w:vAlign w:val="center"/>
          </w:tcPr>
          <w:p w14:paraId="72BA7FEC"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-0.00</w:t>
            </w:r>
          </w:p>
        </w:tc>
        <w:tc>
          <w:tcPr>
            <w:tcW w:w="2323" w:type="dxa"/>
            <w:tcBorders>
              <w:top w:val="nil"/>
              <w:left w:val="nil"/>
              <w:right w:val="nil"/>
            </w:tcBorders>
            <w:shd w:val="clear" w:color="auto" w:fill="auto"/>
            <w:vAlign w:val="center"/>
          </w:tcPr>
          <w:p w14:paraId="77CA7EC3"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-1.989</w:t>
            </w:r>
          </w:p>
        </w:tc>
        <w:tc>
          <w:tcPr>
            <w:tcW w:w="1444" w:type="dxa"/>
            <w:tcBorders>
              <w:top w:val="nil"/>
              <w:left w:val="nil"/>
              <w:right w:val="nil"/>
            </w:tcBorders>
            <w:shd w:val="clear" w:color="auto" w:fill="auto"/>
            <w:vAlign w:val="center"/>
          </w:tcPr>
          <w:p w14:paraId="2E6DECC3"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0.048</w:t>
            </w:r>
          </w:p>
        </w:tc>
        <w:tc>
          <w:tcPr>
            <w:tcW w:w="1443" w:type="dxa"/>
            <w:tcBorders>
              <w:top w:val="nil"/>
              <w:left w:val="nil"/>
              <w:right w:val="nil"/>
            </w:tcBorders>
            <w:vAlign w:val="center"/>
          </w:tcPr>
          <w:p w14:paraId="4A20BA4C"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-2.581</w:t>
            </w:r>
          </w:p>
        </w:tc>
        <w:tc>
          <w:tcPr>
            <w:tcW w:w="1452" w:type="dxa"/>
            <w:tcBorders>
              <w:top w:val="nil"/>
              <w:left w:val="nil"/>
              <w:right w:val="nil"/>
            </w:tcBorders>
            <w:vAlign w:val="center"/>
          </w:tcPr>
          <w:p w14:paraId="6497DE0F"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0.010</w:t>
            </w:r>
          </w:p>
        </w:tc>
      </w:tr>
      <w:tr w:rsidR="00A71058" w:rsidRPr="00A7726F" w14:paraId="634B4E53" w14:textId="77777777" w:rsidTr="00640871">
        <w:trPr>
          <w:trHeight w:val="66"/>
        </w:trPr>
        <w:tc>
          <w:tcPr>
            <w:tcW w:w="567" w:type="dxa"/>
            <w:tcBorders>
              <w:top w:val="nil"/>
              <w:left w:val="nil"/>
              <w:bottom w:val="single" w:sz="4" w:space="0" w:color="auto"/>
              <w:right w:val="nil"/>
            </w:tcBorders>
            <w:vAlign w:val="center"/>
          </w:tcPr>
          <w:p w14:paraId="6A9DFDD8" w14:textId="77777777" w:rsidR="00A71058" w:rsidRPr="00A7726F" w:rsidRDefault="00A71058" w:rsidP="007C051A">
            <w:pPr>
              <w:widowControl w:val="0"/>
              <w:suppressLineNumbers/>
              <w:suppressAutoHyphens/>
              <w:autoSpaceDE w:val="0"/>
              <w:autoSpaceDN w:val="0"/>
              <w:adjustRightInd w:val="0"/>
              <w:spacing w:line="240" w:lineRule="auto"/>
              <w:jc w:val="left"/>
              <w:rPr>
                <w:color w:val="000000" w:themeColor="text1"/>
                <w:sz w:val="22"/>
                <w:lang w:val="en-US"/>
              </w:rPr>
            </w:pPr>
            <w:r w:rsidRPr="00A7726F">
              <w:rPr>
                <w:color w:val="000000" w:themeColor="text1"/>
                <w:sz w:val="22"/>
                <w:lang w:val="en-US"/>
              </w:rPr>
              <w:t>5</w:t>
            </w:r>
          </w:p>
        </w:tc>
        <w:tc>
          <w:tcPr>
            <w:tcW w:w="2410" w:type="dxa"/>
            <w:tcBorders>
              <w:top w:val="nil"/>
              <w:left w:val="nil"/>
              <w:bottom w:val="single" w:sz="4" w:space="0" w:color="auto"/>
              <w:right w:val="nil"/>
            </w:tcBorders>
            <w:shd w:val="clear" w:color="auto" w:fill="auto"/>
            <w:vAlign w:val="center"/>
          </w:tcPr>
          <w:p w14:paraId="4A203863"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0.00</w:t>
            </w:r>
          </w:p>
        </w:tc>
        <w:tc>
          <w:tcPr>
            <w:tcW w:w="2323" w:type="dxa"/>
            <w:tcBorders>
              <w:top w:val="nil"/>
              <w:left w:val="nil"/>
              <w:bottom w:val="single" w:sz="4" w:space="0" w:color="auto"/>
              <w:right w:val="nil"/>
            </w:tcBorders>
            <w:shd w:val="clear" w:color="auto" w:fill="auto"/>
            <w:vAlign w:val="center"/>
          </w:tcPr>
          <w:p w14:paraId="511FFD8A"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-1.013</w:t>
            </w:r>
          </w:p>
        </w:tc>
        <w:tc>
          <w:tcPr>
            <w:tcW w:w="1444" w:type="dxa"/>
            <w:tcBorders>
              <w:top w:val="nil"/>
              <w:left w:val="nil"/>
              <w:bottom w:val="single" w:sz="4" w:space="0" w:color="auto"/>
              <w:right w:val="nil"/>
            </w:tcBorders>
            <w:shd w:val="clear" w:color="auto" w:fill="auto"/>
            <w:vAlign w:val="center"/>
          </w:tcPr>
          <w:p w14:paraId="534E6D39"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0.312</w:t>
            </w:r>
          </w:p>
        </w:tc>
        <w:tc>
          <w:tcPr>
            <w:tcW w:w="1443" w:type="dxa"/>
            <w:tcBorders>
              <w:top w:val="nil"/>
              <w:left w:val="nil"/>
              <w:bottom w:val="single" w:sz="4" w:space="0" w:color="auto"/>
              <w:right w:val="nil"/>
            </w:tcBorders>
            <w:vAlign w:val="center"/>
          </w:tcPr>
          <w:p w14:paraId="02C11899"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-1.302</w:t>
            </w:r>
          </w:p>
        </w:tc>
        <w:tc>
          <w:tcPr>
            <w:tcW w:w="1452" w:type="dxa"/>
            <w:tcBorders>
              <w:top w:val="nil"/>
              <w:left w:val="nil"/>
              <w:bottom w:val="single" w:sz="4" w:space="0" w:color="auto"/>
              <w:right w:val="nil"/>
            </w:tcBorders>
            <w:vAlign w:val="center"/>
          </w:tcPr>
          <w:p w14:paraId="44D966D8"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lang w:val="en-US"/>
              </w:rPr>
            </w:pPr>
            <w:r w:rsidRPr="00A7726F">
              <w:rPr>
                <w:color w:val="000000" w:themeColor="text1"/>
                <w:sz w:val="22"/>
                <w:lang w:val="en-US"/>
              </w:rPr>
              <w:t>0.193</w:t>
            </w:r>
          </w:p>
        </w:tc>
      </w:tr>
      <w:tr w:rsidR="00A71058" w:rsidRPr="00AA39E4" w14:paraId="79A8CE7F" w14:textId="77777777" w:rsidTr="00640871">
        <w:trPr>
          <w:trHeight w:val="23"/>
        </w:trPr>
        <w:tc>
          <w:tcPr>
            <w:tcW w:w="9639" w:type="dxa"/>
            <w:gridSpan w:val="6"/>
            <w:tcBorders>
              <w:top w:val="single" w:sz="4" w:space="0" w:color="auto"/>
              <w:left w:val="nil"/>
              <w:right w:val="nil"/>
            </w:tcBorders>
            <w:vAlign w:val="center"/>
          </w:tcPr>
          <w:p w14:paraId="5B08BF89" w14:textId="77777777" w:rsidR="00A71058" w:rsidRPr="00A7726F" w:rsidRDefault="00A71058" w:rsidP="0010410C">
            <w:pPr>
              <w:widowControl w:val="0"/>
              <w:suppressLineNumbers/>
              <w:suppressAutoHyphens/>
              <w:autoSpaceDE w:val="0"/>
              <w:autoSpaceDN w:val="0"/>
              <w:adjustRightInd w:val="0"/>
              <w:spacing w:line="240" w:lineRule="auto"/>
              <w:rPr>
                <w:color w:val="000000" w:themeColor="text1"/>
                <w:sz w:val="22"/>
                <w:lang w:val="en-US"/>
              </w:rPr>
            </w:pPr>
            <w:r w:rsidRPr="00A7726F">
              <w:rPr>
                <w:i/>
                <w:iCs/>
                <w:color w:val="000000" w:themeColor="text1"/>
                <w:sz w:val="22"/>
                <w:lang w:val="en-US"/>
              </w:rPr>
              <w:t>Notes</w:t>
            </w:r>
            <w:r w:rsidRPr="00A7726F">
              <w:rPr>
                <w:color w:val="000000" w:themeColor="text1"/>
                <w:sz w:val="22"/>
                <w:lang w:val="en-US"/>
              </w:rPr>
              <w:t>. This table presents the average daily abnormal returns for the five-day event window around the date of the alliance announcement. The descriptive statistics are based on the daily abnormal returns of 2,102 alliance announcements for the years 2002 to 2021.</w:t>
            </w:r>
          </w:p>
        </w:tc>
      </w:tr>
    </w:tbl>
    <w:p w14:paraId="11249A55" w14:textId="5D02F0E0" w:rsidR="00403DA7" w:rsidRDefault="00403DA7" w:rsidP="0010410C">
      <w:pPr>
        <w:spacing w:after="160" w:line="259" w:lineRule="auto"/>
        <w:rPr>
          <w:color w:val="000000" w:themeColor="text1"/>
          <w:lang w:val="en-US"/>
        </w:rPr>
      </w:pPr>
      <w:r>
        <w:rPr>
          <w:color w:val="000000" w:themeColor="text1"/>
          <w:lang w:val="en-US"/>
        </w:rPr>
        <w:br w:type="page"/>
      </w:r>
    </w:p>
    <w:p w14:paraId="44415C6F" w14:textId="600E0343" w:rsidR="00403DA7" w:rsidRDefault="00403DA7" w:rsidP="0005400E">
      <w:pPr>
        <w:pStyle w:val="1fake"/>
      </w:pPr>
      <w:r w:rsidRPr="0082138A">
        <w:lastRenderedPageBreak/>
        <w:t>TABLE 2</w:t>
      </w:r>
    </w:p>
    <w:p w14:paraId="03F24050" w14:textId="1FDF3C5C" w:rsidR="005E57A0" w:rsidRDefault="005E57A0" w:rsidP="005E57A0">
      <w:pPr>
        <w:pStyle w:val="Tabelle"/>
      </w:pPr>
      <w:bookmarkStart w:id="391" w:name="_Toc180594814"/>
      <w:r>
        <w:t xml:space="preserve">T - II - </w:t>
      </w:r>
      <w:r>
        <w:fldChar w:fldCharType="begin"/>
      </w:r>
      <w:r>
        <w:instrText xml:space="preserve"> SEQ T_-_II_- \* ARABIC </w:instrText>
      </w:r>
      <w:r>
        <w:fldChar w:fldCharType="separate"/>
      </w:r>
      <w:r w:rsidR="00E91088">
        <w:rPr>
          <w:noProof/>
        </w:rPr>
        <w:t>2</w:t>
      </w:r>
      <w:r>
        <w:fldChar w:fldCharType="end"/>
      </w:r>
      <w:r>
        <w:t xml:space="preserve">: </w:t>
      </w:r>
      <w:r w:rsidRPr="000E6AAC">
        <w:t>Frequency table of alliance announcements by year</w:t>
      </w:r>
      <w:bookmarkEnd w:id="391"/>
    </w:p>
    <w:tbl>
      <w:tblPr>
        <w:tblW w:w="9072" w:type="dxa"/>
        <w:tblLayout w:type="fixed"/>
        <w:tblCellMar>
          <w:top w:w="11" w:type="dxa"/>
          <w:left w:w="0" w:type="dxa"/>
          <w:bottom w:w="11" w:type="dxa"/>
          <w:right w:w="0" w:type="dxa"/>
        </w:tblCellMar>
        <w:tblLook w:val="0000" w:firstRow="0" w:lastRow="0" w:firstColumn="0" w:lastColumn="0" w:noHBand="0" w:noVBand="0"/>
      </w:tblPr>
      <w:tblGrid>
        <w:gridCol w:w="4434"/>
        <w:gridCol w:w="1201"/>
        <w:gridCol w:w="1469"/>
        <w:gridCol w:w="1968"/>
      </w:tblGrid>
      <w:tr w:rsidR="00A71058" w:rsidRPr="00A7726F" w14:paraId="78FD3939" w14:textId="77777777" w:rsidTr="00BB280B">
        <w:trPr>
          <w:trHeight w:val="48"/>
        </w:trPr>
        <w:tc>
          <w:tcPr>
            <w:tcW w:w="4434" w:type="dxa"/>
            <w:tcBorders>
              <w:top w:val="single" w:sz="4" w:space="0" w:color="auto"/>
              <w:left w:val="nil"/>
              <w:bottom w:val="single" w:sz="4" w:space="0" w:color="auto"/>
              <w:right w:val="nil"/>
            </w:tcBorders>
          </w:tcPr>
          <w:p w14:paraId="25E80B56" w14:textId="77777777" w:rsidR="00A71058" w:rsidRPr="00A7726F" w:rsidRDefault="00A71058" w:rsidP="007C051A">
            <w:pPr>
              <w:widowControl w:val="0"/>
              <w:suppressLineNumbers/>
              <w:suppressAutoHyphens/>
              <w:autoSpaceDE w:val="0"/>
              <w:autoSpaceDN w:val="0"/>
              <w:adjustRightInd w:val="0"/>
              <w:spacing w:line="240" w:lineRule="auto"/>
              <w:jc w:val="left"/>
              <w:rPr>
                <w:b/>
                <w:bCs/>
                <w:color w:val="000000" w:themeColor="text1"/>
                <w:sz w:val="22"/>
              </w:rPr>
            </w:pPr>
            <w:r w:rsidRPr="00A7726F">
              <w:rPr>
                <w:b/>
                <w:bCs/>
                <w:color w:val="000000" w:themeColor="text1"/>
                <w:sz w:val="22"/>
              </w:rPr>
              <w:t>Announcement year</w:t>
            </w:r>
          </w:p>
        </w:tc>
        <w:tc>
          <w:tcPr>
            <w:tcW w:w="1201" w:type="dxa"/>
            <w:tcBorders>
              <w:top w:val="single" w:sz="4" w:space="0" w:color="auto"/>
              <w:left w:val="nil"/>
              <w:bottom w:val="single" w:sz="4" w:space="0" w:color="auto"/>
              <w:right w:val="nil"/>
            </w:tcBorders>
          </w:tcPr>
          <w:p w14:paraId="52079C03" w14:textId="77777777" w:rsidR="00A71058" w:rsidRPr="00A7726F" w:rsidRDefault="00A71058" w:rsidP="007C051A">
            <w:pPr>
              <w:widowControl w:val="0"/>
              <w:suppressLineNumbers/>
              <w:suppressAutoHyphens/>
              <w:autoSpaceDE w:val="0"/>
              <w:autoSpaceDN w:val="0"/>
              <w:adjustRightInd w:val="0"/>
              <w:spacing w:line="240" w:lineRule="auto"/>
              <w:jc w:val="center"/>
              <w:rPr>
                <w:b/>
                <w:bCs/>
                <w:color w:val="000000" w:themeColor="text1"/>
                <w:sz w:val="22"/>
              </w:rPr>
            </w:pPr>
            <w:r w:rsidRPr="00A7726F">
              <w:rPr>
                <w:b/>
                <w:bCs/>
                <w:color w:val="000000" w:themeColor="text1"/>
                <w:sz w:val="22"/>
              </w:rPr>
              <w:t>Alliances</w:t>
            </w:r>
          </w:p>
        </w:tc>
        <w:tc>
          <w:tcPr>
            <w:tcW w:w="1469" w:type="dxa"/>
            <w:tcBorders>
              <w:top w:val="single" w:sz="4" w:space="0" w:color="auto"/>
              <w:left w:val="nil"/>
              <w:bottom w:val="single" w:sz="4" w:space="0" w:color="auto"/>
              <w:right w:val="nil"/>
            </w:tcBorders>
          </w:tcPr>
          <w:p w14:paraId="08F8FAA8" w14:textId="77777777" w:rsidR="00A71058" w:rsidRPr="00A7726F" w:rsidRDefault="00A71058" w:rsidP="007C051A">
            <w:pPr>
              <w:widowControl w:val="0"/>
              <w:suppressLineNumbers/>
              <w:suppressAutoHyphens/>
              <w:autoSpaceDE w:val="0"/>
              <w:autoSpaceDN w:val="0"/>
              <w:adjustRightInd w:val="0"/>
              <w:spacing w:line="240" w:lineRule="auto"/>
              <w:jc w:val="center"/>
              <w:rPr>
                <w:b/>
                <w:bCs/>
                <w:color w:val="000000" w:themeColor="text1"/>
                <w:sz w:val="22"/>
              </w:rPr>
            </w:pPr>
            <w:r w:rsidRPr="00A7726F">
              <w:rPr>
                <w:b/>
                <w:bCs/>
                <w:color w:val="000000" w:themeColor="text1"/>
                <w:sz w:val="22"/>
              </w:rPr>
              <w:t>Percentage (%)</w:t>
            </w:r>
          </w:p>
        </w:tc>
        <w:tc>
          <w:tcPr>
            <w:tcW w:w="1968" w:type="dxa"/>
            <w:tcBorders>
              <w:top w:val="single" w:sz="4" w:space="0" w:color="auto"/>
              <w:left w:val="nil"/>
              <w:bottom w:val="single" w:sz="4" w:space="0" w:color="auto"/>
              <w:right w:val="nil"/>
            </w:tcBorders>
          </w:tcPr>
          <w:p w14:paraId="52B4B128" w14:textId="77777777" w:rsidR="00A71058" w:rsidRPr="00A7726F" w:rsidRDefault="00A71058" w:rsidP="007C051A">
            <w:pPr>
              <w:widowControl w:val="0"/>
              <w:suppressLineNumbers/>
              <w:suppressAutoHyphens/>
              <w:autoSpaceDE w:val="0"/>
              <w:autoSpaceDN w:val="0"/>
              <w:adjustRightInd w:val="0"/>
              <w:spacing w:line="240" w:lineRule="auto"/>
              <w:jc w:val="center"/>
              <w:rPr>
                <w:b/>
                <w:bCs/>
                <w:color w:val="000000" w:themeColor="text1"/>
                <w:sz w:val="22"/>
              </w:rPr>
            </w:pPr>
            <w:r w:rsidRPr="00A7726F">
              <w:rPr>
                <w:b/>
                <w:bCs/>
                <w:color w:val="000000" w:themeColor="text1"/>
                <w:sz w:val="22"/>
              </w:rPr>
              <w:t>Total percentage (%)</w:t>
            </w:r>
          </w:p>
        </w:tc>
      </w:tr>
      <w:tr w:rsidR="00A71058" w:rsidRPr="00A7726F" w14:paraId="41E2E45D" w14:textId="77777777" w:rsidTr="00BB280B">
        <w:trPr>
          <w:trHeight w:val="75"/>
        </w:trPr>
        <w:tc>
          <w:tcPr>
            <w:tcW w:w="4434" w:type="dxa"/>
            <w:tcBorders>
              <w:top w:val="single" w:sz="4" w:space="0" w:color="auto"/>
              <w:left w:val="nil"/>
              <w:bottom w:val="nil"/>
              <w:right w:val="nil"/>
            </w:tcBorders>
          </w:tcPr>
          <w:p w14:paraId="25893CEA" w14:textId="77777777" w:rsidR="00A71058" w:rsidRPr="00A7726F" w:rsidRDefault="00A71058" w:rsidP="007C051A">
            <w:pPr>
              <w:widowControl w:val="0"/>
              <w:suppressLineNumbers/>
              <w:suppressAutoHyphens/>
              <w:autoSpaceDE w:val="0"/>
              <w:autoSpaceDN w:val="0"/>
              <w:adjustRightInd w:val="0"/>
              <w:spacing w:line="240" w:lineRule="auto"/>
              <w:jc w:val="left"/>
              <w:rPr>
                <w:color w:val="000000" w:themeColor="text1"/>
                <w:sz w:val="22"/>
              </w:rPr>
            </w:pPr>
            <w:r w:rsidRPr="00A7726F">
              <w:rPr>
                <w:color w:val="000000" w:themeColor="text1"/>
                <w:sz w:val="22"/>
              </w:rPr>
              <w:t>2002</w:t>
            </w:r>
          </w:p>
        </w:tc>
        <w:tc>
          <w:tcPr>
            <w:tcW w:w="1201" w:type="dxa"/>
            <w:tcBorders>
              <w:top w:val="single" w:sz="4" w:space="0" w:color="auto"/>
              <w:left w:val="nil"/>
              <w:bottom w:val="nil"/>
              <w:right w:val="nil"/>
            </w:tcBorders>
            <w:shd w:val="clear" w:color="auto" w:fill="auto"/>
          </w:tcPr>
          <w:p w14:paraId="1CF2A491"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116</w:t>
            </w:r>
          </w:p>
        </w:tc>
        <w:tc>
          <w:tcPr>
            <w:tcW w:w="1469" w:type="dxa"/>
            <w:tcBorders>
              <w:top w:val="single" w:sz="4" w:space="0" w:color="auto"/>
              <w:left w:val="nil"/>
              <w:bottom w:val="nil"/>
              <w:right w:val="nil"/>
            </w:tcBorders>
            <w:shd w:val="clear" w:color="auto" w:fill="auto"/>
          </w:tcPr>
          <w:p w14:paraId="23A01410"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5.52</w:t>
            </w:r>
          </w:p>
        </w:tc>
        <w:tc>
          <w:tcPr>
            <w:tcW w:w="1968" w:type="dxa"/>
            <w:tcBorders>
              <w:top w:val="single" w:sz="4" w:space="0" w:color="auto"/>
              <w:left w:val="nil"/>
              <w:bottom w:val="nil"/>
              <w:right w:val="nil"/>
            </w:tcBorders>
            <w:shd w:val="clear" w:color="auto" w:fill="auto"/>
          </w:tcPr>
          <w:p w14:paraId="4F2E64EE"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5.52</w:t>
            </w:r>
          </w:p>
        </w:tc>
      </w:tr>
      <w:tr w:rsidR="00A71058" w:rsidRPr="00A7726F" w14:paraId="0CDCD43B" w14:textId="77777777" w:rsidTr="00BB280B">
        <w:trPr>
          <w:trHeight w:val="197"/>
        </w:trPr>
        <w:tc>
          <w:tcPr>
            <w:tcW w:w="4434" w:type="dxa"/>
            <w:tcBorders>
              <w:top w:val="nil"/>
              <w:left w:val="nil"/>
              <w:bottom w:val="nil"/>
              <w:right w:val="nil"/>
            </w:tcBorders>
          </w:tcPr>
          <w:p w14:paraId="385F9ED3" w14:textId="77777777" w:rsidR="00A71058" w:rsidRPr="00A7726F" w:rsidRDefault="00A71058" w:rsidP="007C051A">
            <w:pPr>
              <w:widowControl w:val="0"/>
              <w:suppressLineNumbers/>
              <w:suppressAutoHyphens/>
              <w:autoSpaceDE w:val="0"/>
              <w:autoSpaceDN w:val="0"/>
              <w:adjustRightInd w:val="0"/>
              <w:spacing w:line="240" w:lineRule="auto"/>
              <w:jc w:val="left"/>
              <w:rPr>
                <w:color w:val="000000" w:themeColor="text1"/>
                <w:sz w:val="22"/>
              </w:rPr>
            </w:pPr>
            <w:r w:rsidRPr="00A7726F">
              <w:rPr>
                <w:color w:val="000000" w:themeColor="text1"/>
                <w:sz w:val="22"/>
              </w:rPr>
              <w:t>2003</w:t>
            </w:r>
          </w:p>
        </w:tc>
        <w:tc>
          <w:tcPr>
            <w:tcW w:w="1201" w:type="dxa"/>
            <w:tcBorders>
              <w:top w:val="nil"/>
              <w:left w:val="nil"/>
              <w:bottom w:val="nil"/>
              <w:right w:val="nil"/>
            </w:tcBorders>
            <w:shd w:val="clear" w:color="auto" w:fill="auto"/>
          </w:tcPr>
          <w:p w14:paraId="475CD2BA"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148</w:t>
            </w:r>
          </w:p>
        </w:tc>
        <w:tc>
          <w:tcPr>
            <w:tcW w:w="1469" w:type="dxa"/>
            <w:tcBorders>
              <w:top w:val="nil"/>
              <w:left w:val="nil"/>
              <w:bottom w:val="nil"/>
              <w:right w:val="nil"/>
            </w:tcBorders>
            <w:shd w:val="clear" w:color="auto" w:fill="auto"/>
          </w:tcPr>
          <w:p w14:paraId="4F0D0DC0"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7.04</w:t>
            </w:r>
          </w:p>
        </w:tc>
        <w:tc>
          <w:tcPr>
            <w:tcW w:w="1968" w:type="dxa"/>
            <w:tcBorders>
              <w:top w:val="nil"/>
              <w:left w:val="nil"/>
              <w:bottom w:val="nil"/>
              <w:right w:val="nil"/>
            </w:tcBorders>
            <w:shd w:val="clear" w:color="auto" w:fill="auto"/>
          </w:tcPr>
          <w:p w14:paraId="42D552F8"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12.56</w:t>
            </w:r>
          </w:p>
        </w:tc>
      </w:tr>
      <w:tr w:rsidR="00A71058" w:rsidRPr="00A7726F" w14:paraId="56021368" w14:textId="77777777" w:rsidTr="00BB280B">
        <w:trPr>
          <w:trHeight w:val="197"/>
        </w:trPr>
        <w:tc>
          <w:tcPr>
            <w:tcW w:w="4434" w:type="dxa"/>
            <w:tcBorders>
              <w:top w:val="nil"/>
              <w:left w:val="nil"/>
              <w:bottom w:val="nil"/>
              <w:right w:val="nil"/>
            </w:tcBorders>
          </w:tcPr>
          <w:p w14:paraId="0EC690A3" w14:textId="77777777" w:rsidR="00A71058" w:rsidRPr="00A7726F" w:rsidRDefault="00A71058" w:rsidP="007C051A">
            <w:pPr>
              <w:widowControl w:val="0"/>
              <w:suppressLineNumbers/>
              <w:suppressAutoHyphens/>
              <w:autoSpaceDE w:val="0"/>
              <w:autoSpaceDN w:val="0"/>
              <w:adjustRightInd w:val="0"/>
              <w:spacing w:line="240" w:lineRule="auto"/>
              <w:jc w:val="left"/>
              <w:rPr>
                <w:color w:val="000000" w:themeColor="text1"/>
                <w:sz w:val="22"/>
              </w:rPr>
            </w:pPr>
            <w:r w:rsidRPr="00A7726F">
              <w:rPr>
                <w:color w:val="000000" w:themeColor="text1"/>
                <w:sz w:val="22"/>
              </w:rPr>
              <w:t>2004</w:t>
            </w:r>
          </w:p>
        </w:tc>
        <w:tc>
          <w:tcPr>
            <w:tcW w:w="1201" w:type="dxa"/>
            <w:tcBorders>
              <w:top w:val="nil"/>
              <w:left w:val="nil"/>
              <w:bottom w:val="nil"/>
              <w:right w:val="nil"/>
            </w:tcBorders>
            <w:shd w:val="clear" w:color="auto" w:fill="auto"/>
          </w:tcPr>
          <w:p w14:paraId="72A76F57"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155</w:t>
            </w:r>
          </w:p>
        </w:tc>
        <w:tc>
          <w:tcPr>
            <w:tcW w:w="1469" w:type="dxa"/>
            <w:tcBorders>
              <w:top w:val="nil"/>
              <w:left w:val="nil"/>
              <w:bottom w:val="nil"/>
              <w:right w:val="nil"/>
            </w:tcBorders>
            <w:shd w:val="clear" w:color="auto" w:fill="auto"/>
          </w:tcPr>
          <w:p w14:paraId="1C674A4E"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7.37</w:t>
            </w:r>
          </w:p>
        </w:tc>
        <w:tc>
          <w:tcPr>
            <w:tcW w:w="1968" w:type="dxa"/>
            <w:tcBorders>
              <w:top w:val="nil"/>
              <w:left w:val="nil"/>
              <w:bottom w:val="nil"/>
              <w:right w:val="nil"/>
            </w:tcBorders>
            <w:shd w:val="clear" w:color="auto" w:fill="auto"/>
          </w:tcPr>
          <w:p w14:paraId="419A42D1"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19.93</w:t>
            </w:r>
          </w:p>
        </w:tc>
      </w:tr>
      <w:tr w:rsidR="00A71058" w:rsidRPr="00A7726F" w14:paraId="3671B340" w14:textId="77777777" w:rsidTr="00BB280B">
        <w:trPr>
          <w:trHeight w:val="197"/>
        </w:trPr>
        <w:tc>
          <w:tcPr>
            <w:tcW w:w="4434" w:type="dxa"/>
            <w:tcBorders>
              <w:top w:val="nil"/>
              <w:left w:val="nil"/>
              <w:bottom w:val="nil"/>
              <w:right w:val="nil"/>
            </w:tcBorders>
          </w:tcPr>
          <w:p w14:paraId="28AF6190" w14:textId="77777777" w:rsidR="00A71058" w:rsidRPr="00A7726F" w:rsidRDefault="00A71058" w:rsidP="007C051A">
            <w:pPr>
              <w:widowControl w:val="0"/>
              <w:suppressLineNumbers/>
              <w:suppressAutoHyphens/>
              <w:autoSpaceDE w:val="0"/>
              <w:autoSpaceDN w:val="0"/>
              <w:adjustRightInd w:val="0"/>
              <w:spacing w:line="240" w:lineRule="auto"/>
              <w:jc w:val="left"/>
              <w:rPr>
                <w:color w:val="000000" w:themeColor="text1"/>
                <w:sz w:val="22"/>
              </w:rPr>
            </w:pPr>
            <w:r w:rsidRPr="00A7726F">
              <w:rPr>
                <w:color w:val="000000" w:themeColor="text1"/>
                <w:sz w:val="22"/>
              </w:rPr>
              <w:t>2005</w:t>
            </w:r>
          </w:p>
        </w:tc>
        <w:tc>
          <w:tcPr>
            <w:tcW w:w="1201" w:type="dxa"/>
            <w:tcBorders>
              <w:top w:val="nil"/>
              <w:left w:val="nil"/>
              <w:bottom w:val="nil"/>
              <w:right w:val="nil"/>
            </w:tcBorders>
            <w:shd w:val="clear" w:color="auto" w:fill="auto"/>
          </w:tcPr>
          <w:p w14:paraId="6B3E908D"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155</w:t>
            </w:r>
          </w:p>
        </w:tc>
        <w:tc>
          <w:tcPr>
            <w:tcW w:w="1469" w:type="dxa"/>
            <w:tcBorders>
              <w:top w:val="nil"/>
              <w:left w:val="nil"/>
              <w:bottom w:val="nil"/>
              <w:right w:val="nil"/>
            </w:tcBorders>
            <w:shd w:val="clear" w:color="auto" w:fill="auto"/>
          </w:tcPr>
          <w:p w14:paraId="5A3C56C0"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7.37</w:t>
            </w:r>
          </w:p>
        </w:tc>
        <w:tc>
          <w:tcPr>
            <w:tcW w:w="1968" w:type="dxa"/>
            <w:tcBorders>
              <w:top w:val="nil"/>
              <w:left w:val="nil"/>
              <w:bottom w:val="nil"/>
              <w:right w:val="nil"/>
            </w:tcBorders>
            <w:shd w:val="clear" w:color="auto" w:fill="auto"/>
          </w:tcPr>
          <w:p w14:paraId="57D8E262"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27.31</w:t>
            </w:r>
          </w:p>
        </w:tc>
      </w:tr>
      <w:tr w:rsidR="00A71058" w:rsidRPr="00A7726F" w14:paraId="2CAE65E1" w14:textId="77777777" w:rsidTr="00BB280B">
        <w:trPr>
          <w:trHeight w:val="197"/>
        </w:trPr>
        <w:tc>
          <w:tcPr>
            <w:tcW w:w="4434" w:type="dxa"/>
            <w:tcBorders>
              <w:top w:val="nil"/>
              <w:left w:val="nil"/>
              <w:bottom w:val="nil"/>
              <w:right w:val="nil"/>
            </w:tcBorders>
          </w:tcPr>
          <w:p w14:paraId="42F67C6F" w14:textId="77777777" w:rsidR="00A71058" w:rsidRPr="00A7726F" w:rsidRDefault="00A71058" w:rsidP="007C051A">
            <w:pPr>
              <w:widowControl w:val="0"/>
              <w:suppressLineNumbers/>
              <w:suppressAutoHyphens/>
              <w:autoSpaceDE w:val="0"/>
              <w:autoSpaceDN w:val="0"/>
              <w:adjustRightInd w:val="0"/>
              <w:spacing w:line="240" w:lineRule="auto"/>
              <w:jc w:val="left"/>
              <w:rPr>
                <w:color w:val="000000" w:themeColor="text1"/>
                <w:sz w:val="22"/>
              </w:rPr>
            </w:pPr>
            <w:r w:rsidRPr="00A7726F">
              <w:rPr>
                <w:color w:val="000000" w:themeColor="text1"/>
                <w:sz w:val="22"/>
              </w:rPr>
              <w:t>2006</w:t>
            </w:r>
          </w:p>
        </w:tc>
        <w:tc>
          <w:tcPr>
            <w:tcW w:w="1201" w:type="dxa"/>
            <w:tcBorders>
              <w:top w:val="nil"/>
              <w:left w:val="nil"/>
              <w:bottom w:val="nil"/>
              <w:right w:val="nil"/>
            </w:tcBorders>
            <w:shd w:val="clear" w:color="auto" w:fill="auto"/>
          </w:tcPr>
          <w:p w14:paraId="05109488"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133</w:t>
            </w:r>
          </w:p>
        </w:tc>
        <w:tc>
          <w:tcPr>
            <w:tcW w:w="1469" w:type="dxa"/>
            <w:tcBorders>
              <w:top w:val="nil"/>
              <w:left w:val="nil"/>
              <w:bottom w:val="nil"/>
              <w:right w:val="nil"/>
            </w:tcBorders>
            <w:shd w:val="clear" w:color="auto" w:fill="auto"/>
          </w:tcPr>
          <w:p w14:paraId="681ECF97"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6.33</w:t>
            </w:r>
          </w:p>
        </w:tc>
        <w:tc>
          <w:tcPr>
            <w:tcW w:w="1968" w:type="dxa"/>
            <w:tcBorders>
              <w:top w:val="nil"/>
              <w:left w:val="nil"/>
              <w:bottom w:val="nil"/>
              <w:right w:val="nil"/>
            </w:tcBorders>
            <w:shd w:val="clear" w:color="auto" w:fill="auto"/>
          </w:tcPr>
          <w:p w14:paraId="010EB7D0"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33.63</w:t>
            </w:r>
          </w:p>
        </w:tc>
      </w:tr>
      <w:tr w:rsidR="00A71058" w:rsidRPr="00A7726F" w14:paraId="22333F8D" w14:textId="77777777" w:rsidTr="00BB280B">
        <w:trPr>
          <w:trHeight w:val="197"/>
        </w:trPr>
        <w:tc>
          <w:tcPr>
            <w:tcW w:w="4434" w:type="dxa"/>
            <w:tcBorders>
              <w:top w:val="nil"/>
              <w:left w:val="nil"/>
              <w:bottom w:val="nil"/>
              <w:right w:val="nil"/>
            </w:tcBorders>
          </w:tcPr>
          <w:p w14:paraId="39872EE0" w14:textId="77777777" w:rsidR="00A71058" w:rsidRPr="00A7726F" w:rsidRDefault="00A71058" w:rsidP="007C051A">
            <w:pPr>
              <w:widowControl w:val="0"/>
              <w:suppressLineNumbers/>
              <w:suppressAutoHyphens/>
              <w:autoSpaceDE w:val="0"/>
              <w:autoSpaceDN w:val="0"/>
              <w:adjustRightInd w:val="0"/>
              <w:spacing w:line="240" w:lineRule="auto"/>
              <w:jc w:val="left"/>
              <w:rPr>
                <w:color w:val="000000" w:themeColor="text1"/>
                <w:sz w:val="22"/>
              </w:rPr>
            </w:pPr>
            <w:r w:rsidRPr="00A7726F">
              <w:rPr>
                <w:color w:val="000000" w:themeColor="text1"/>
                <w:sz w:val="22"/>
              </w:rPr>
              <w:t>2007</w:t>
            </w:r>
          </w:p>
        </w:tc>
        <w:tc>
          <w:tcPr>
            <w:tcW w:w="1201" w:type="dxa"/>
            <w:tcBorders>
              <w:top w:val="nil"/>
              <w:left w:val="nil"/>
              <w:bottom w:val="nil"/>
              <w:right w:val="nil"/>
            </w:tcBorders>
            <w:shd w:val="clear" w:color="auto" w:fill="auto"/>
          </w:tcPr>
          <w:p w14:paraId="121E06F4"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191</w:t>
            </w:r>
          </w:p>
        </w:tc>
        <w:tc>
          <w:tcPr>
            <w:tcW w:w="1469" w:type="dxa"/>
            <w:tcBorders>
              <w:top w:val="nil"/>
              <w:left w:val="nil"/>
              <w:bottom w:val="nil"/>
              <w:right w:val="nil"/>
            </w:tcBorders>
            <w:shd w:val="clear" w:color="auto" w:fill="auto"/>
          </w:tcPr>
          <w:p w14:paraId="24FD8A05"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9.09</w:t>
            </w:r>
          </w:p>
        </w:tc>
        <w:tc>
          <w:tcPr>
            <w:tcW w:w="1968" w:type="dxa"/>
            <w:tcBorders>
              <w:top w:val="nil"/>
              <w:left w:val="nil"/>
              <w:bottom w:val="nil"/>
              <w:right w:val="nil"/>
            </w:tcBorders>
            <w:shd w:val="clear" w:color="auto" w:fill="auto"/>
          </w:tcPr>
          <w:p w14:paraId="2DA4B151"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42.72</w:t>
            </w:r>
          </w:p>
        </w:tc>
      </w:tr>
      <w:tr w:rsidR="00A71058" w:rsidRPr="00A7726F" w14:paraId="7E7A4655" w14:textId="77777777" w:rsidTr="00BB280B">
        <w:trPr>
          <w:trHeight w:val="197"/>
        </w:trPr>
        <w:tc>
          <w:tcPr>
            <w:tcW w:w="4434" w:type="dxa"/>
            <w:tcBorders>
              <w:top w:val="nil"/>
              <w:left w:val="nil"/>
              <w:bottom w:val="nil"/>
              <w:right w:val="nil"/>
            </w:tcBorders>
          </w:tcPr>
          <w:p w14:paraId="2319D6DF" w14:textId="77777777" w:rsidR="00A71058" w:rsidRPr="00A7726F" w:rsidRDefault="00A71058" w:rsidP="007C051A">
            <w:pPr>
              <w:widowControl w:val="0"/>
              <w:suppressLineNumbers/>
              <w:suppressAutoHyphens/>
              <w:autoSpaceDE w:val="0"/>
              <w:autoSpaceDN w:val="0"/>
              <w:adjustRightInd w:val="0"/>
              <w:spacing w:line="240" w:lineRule="auto"/>
              <w:jc w:val="left"/>
              <w:rPr>
                <w:color w:val="000000" w:themeColor="text1"/>
                <w:sz w:val="22"/>
              </w:rPr>
            </w:pPr>
            <w:r w:rsidRPr="00A7726F">
              <w:rPr>
                <w:color w:val="000000" w:themeColor="text1"/>
                <w:sz w:val="22"/>
              </w:rPr>
              <w:t>2008</w:t>
            </w:r>
          </w:p>
        </w:tc>
        <w:tc>
          <w:tcPr>
            <w:tcW w:w="1201" w:type="dxa"/>
            <w:tcBorders>
              <w:top w:val="nil"/>
              <w:left w:val="nil"/>
              <w:bottom w:val="nil"/>
              <w:right w:val="nil"/>
            </w:tcBorders>
            <w:shd w:val="clear" w:color="auto" w:fill="auto"/>
          </w:tcPr>
          <w:p w14:paraId="3154E9E7"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145</w:t>
            </w:r>
          </w:p>
        </w:tc>
        <w:tc>
          <w:tcPr>
            <w:tcW w:w="1469" w:type="dxa"/>
            <w:tcBorders>
              <w:top w:val="nil"/>
              <w:left w:val="nil"/>
              <w:bottom w:val="nil"/>
              <w:right w:val="nil"/>
            </w:tcBorders>
            <w:shd w:val="clear" w:color="auto" w:fill="auto"/>
          </w:tcPr>
          <w:p w14:paraId="219E01EF"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6.90</w:t>
            </w:r>
          </w:p>
        </w:tc>
        <w:tc>
          <w:tcPr>
            <w:tcW w:w="1968" w:type="dxa"/>
            <w:tcBorders>
              <w:top w:val="nil"/>
              <w:left w:val="nil"/>
              <w:bottom w:val="nil"/>
              <w:right w:val="nil"/>
            </w:tcBorders>
            <w:shd w:val="clear" w:color="auto" w:fill="auto"/>
          </w:tcPr>
          <w:p w14:paraId="45BCFE72"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49.62</w:t>
            </w:r>
          </w:p>
        </w:tc>
      </w:tr>
      <w:tr w:rsidR="00A71058" w:rsidRPr="00A7726F" w14:paraId="68753541" w14:textId="77777777" w:rsidTr="00BB280B">
        <w:trPr>
          <w:trHeight w:val="197"/>
        </w:trPr>
        <w:tc>
          <w:tcPr>
            <w:tcW w:w="4434" w:type="dxa"/>
            <w:tcBorders>
              <w:top w:val="nil"/>
              <w:left w:val="nil"/>
              <w:bottom w:val="nil"/>
              <w:right w:val="nil"/>
            </w:tcBorders>
          </w:tcPr>
          <w:p w14:paraId="33E932CD" w14:textId="77777777" w:rsidR="00A71058" w:rsidRPr="00A7726F" w:rsidRDefault="00A71058" w:rsidP="007C051A">
            <w:pPr>
              <w:widowControl w:val="0"/>
              <w:suppressLineNumbers/>
              <w:suppressAutoHyphens/>
              <w:autoSpaceDE w:val="0"/>
              <w:autoSpaceDN w:val="0"/>
              <w:adjustRightInd w:val="0"/>
              <w:spacing w:line="240" w:lineRule="auto"/>
              <w:jc w:val="left"/>
              <w:rPr>
                <w:color w:val="000000" w:themeColor="text1"/>
                <w:sz w:val="22"/>
              </w:rPr>
            </w:pPr>
            <w:r w:rsidRPr="00A7726F">
              <w:rPr>
                <w:color w:val="000000" w:themeColor="text1"/>
                <w:sz w:val="22"/>
              </w:rPr>
              <w:t>2009</w:t>
            </w:r>
          </w:p>
        </w:tc>
        <w:tc>
          <w:tcPr>
            <w:tcW w:w="1201" w:type="dxa"/>
            <w:tcBorders>
              <w:top w:val="nil"/>
              <w:left w:val="nil"/>
              <w:bottom w:val="nil"/>
              <w:right w:val="nil"/>
            </w:tcBorders>
            <w:shd w:val="clear" w:color="auto" w:fill="auto"/>
          </w:tcPr>
          <w:p w14:paraId="144EA922"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139</w:t>
            </w:r>
          </w:p>
        </w:tc>
        <w:tc>
          <w:tcPr>
            <w:tcW w:w="1469" w:type="dxa"/>
            <w:tcBorders>
              <w:top w:val="nil"/>
              <w:left w:val="nil"/>
              <w:bottom w:val="nil"/>
              <w:right w:val="nil"/>
            </w:tcBorders>
            <w:shd w:val="clear" w:color="auto" w:fill="auto"/>
          </w:tcPr>
          <w:p w14:paraId="28BB3BD8"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6.61</w:t>
            </w:r>
          </w:p>
        </w:tc>
        <w:tc>
          <w:tcPr>
            <w:tcW w:w="1968" w:type="dxa"/>
            <w:tcBorders>
              <w:top w:val="nil"/>
              <w:left w:val="nil"/>
              <w:bottom w:val="nil"/>
              <w:right w:val="nil"/>
            </w:tcBorders>
            <w:shd w:val="clear" w:color="auto" w:fill="auto"/>
          </w:tcPr>
          <w:p w14:paraId="31F393AE"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56.23</w:t>
            </w:r>
          </w:p>
        </w:tc>
      </w:tr>
      <w:tr w:rsidR="00A71058" w:rsidRPr="00A7726F" w14:paraId="49E9BA46" w14:textId="77777777" w:rsidTr="00BB280B">
        <w:trPr>
          <w:trHeight w:val="197"/>
        </w:trPr>
        <w:tc>
          <w:tcPr>
            <w:tcW w:w="4434" w:type="dxa"/>
            <w:tcBorders>
              <w:top w:val="nil"/>
              <w:left w:val="nil"/>
              <w:bottom w:val="nil"/>
              <w:right w:val="nil"/>
            </w:tcBorders>
          </w:tcPr>
          <w:p w14:paraId="7388DD8B" w14:textId="77777777" w:rsidR="00A71058" w:rsidRPr="00A7726F" w:rsidRDefault="00A71058" w:rsidP="007C051A">
            <w:pPr>
              <w:widowControl w:val="0"/>
              <w:suppressLineNumbers/>
              <w:suppressAutoHyphens/>
              <w:autoSpaceDE w:val="0"/>
              <w:autoSpaceDN w:val="0"/>
              <w:adjustRightInd w:val="0"/>
              <w:spacing w:line="240" w:lineRule="auto"/>
              <w:jc w:val="left"/>
              <w:rPr>
                <w:color w:val="000000" w:themeColor="text1"/>
                <w:sz w:val="22"/>
              </w:rPr>
            </w:pPr>
            <w:r w:rsidRPr="00A7726F">
              <w:rPr>
                <w:color w:val="000000" w:themeColor="text1"/>
                <w:sz w:val="22"/>
              </w:rPr>
              <w:t>2010</w:t>
            </w:r>
          </w:p>
        </w:tc>
        <w:tc>
          <w:tcPr>
            <w:tcW w:w="1201" w:type="dxa"/>
            <w:tcBorders>
              <w:top w:val="nil"/>
              <w:left w:val="nil"/>
              <w:bottom w:val="nil"/>
              <w:right w:val="nil"/>
            </w:tcBorders>
            <w:shd w:val="clear" w:color="auto" w:fill="auto"/>
          </w:tcPr>
          <w:p w14:paraId="64A82304"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109</w:t>
            </w:r>
          </w:p>
        </w:tc>
        <w:tc>
          <w:tcPr>
            <w:tcW w:w="1469" w:type="dxa"/>
            <w:tcBorders>
              <w:top w:val="nil"/>
              <w:left w:val="nil"/>
              <w:bottom w:val="nil"/>
              <w:right w:val="nil"/>
            </w:tcBorders>
            <w:shd w:val="clear" w:color="auto" w:fill="auto"/>
          </w:tcPr>
          <w:p w14:paraId="215444AB"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5.19</w:t>
            </w:r>
          </w:p>
        </w:tc>
        <w:tc>
          <w:tcPr>
            <w:tcW w:w="1968" w:type="dxa"/>
            <w:tcBorders>
              <w:top w:val="nil"/>
              <w:left w:val="nil"/>
              <w:bottom w:val="nil"/>
              <w:right w:val="nil"/>
            </w:tcBorders>
            <w:shd w:val="clear" w:color="auto" w:fill="auto"/>
          </w:tcPr>
          <w:p w14:paraId="38DB2365"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61.42</w:t>
            </w:r>
          </w:p>
        </w:tc>
      </w:tr>
      <w:tr w:rsidR="00A71058" w:rsidRPr="00A7726F" w14:paraId="6CF28F7D" w14:textId="77777777" w:rsidTr="00BB280B">
        <w:trPr>
          <w:trHeight w:val="197"/>
        </w:trPr>
        <w:tc>
          <w:tcPr>
            <w:tcW w:w="4434" w:type="dxa"/>
            <w:tcBorders>
              <w:top w:val="nil"/>
              <w:left w:val="nil"/>
              <w:bottom w:val="nil"/>
              <w:right w:val="nil"/>
            </w:tcBorders>
          </w:tcPr>
          <w:p w14:paraId="269BEE71" w14:textId="77777777" w:rsidR="00A71058" w:rsidRPr="00A7726F" w:rsidRDefault="00A71058" w:rsidP="007C051A">
            <w:pPr>
              <w:widowControl w:val="0"/>
              <w:suppressLineNumbers/>
              <w:suppressAutoHyphens/>
              <w:autoSpaceDE w:val="0"/>
              <w:autoSpaceDN w:val="0"/>
              <w:adjustRightInd w:val="0"/>
              <w:spacing w:line="240" w:lineRule="auto"/>
              <w:jc w:val="left"/>
              <w:rPr>
                <w:color w:val="000000" w:themeColor="text1"/>
                <w:sz w:val="22"/>
              </w:rPr>
            </w:pPr>
            <w:r w:rsidRPr="00A7726F">
              <w:rPr>
                <w:color w:val="000000" w:themeColor="text1"/>
                <w:sz w:val="22"/>
              </w:rPr>
              <w:t>2011</w:t>
            </w:r>
          </w:p>
        </w:tc>
        <w:tc>
          <w:tcPr>
            <w:tcW w:w="1201" w:type="dxa"/>
            <w:tcBorders>
              <w:top w:val="nil"/>
              <w:left w:val="nil"/>
              <w:bottom w:val="nil"/>
              <w:right w:val="nil"/>
            </w:tcBorders>
            <w:shd w:val="clear" w:color="auto" w:fill="auto"/>
          </w:tcPr>
          <w:p w14:paraId="471724D1"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122</w:t>
            </w:r>
          </w:p>
        </w:tc>
        <w:tc>
          <w:tcPr>
            <w:tcW w:w="1469" w:type="dxa"/>
            <w:tcBorders>
              <w:top w:val="nil"/>
              <w:left w:val="nil"/>
              <w:bottom w:val="nil"/>
              <w:right w:val="nil"/>
            </w:tcBorders>
            <w:shd w:val="clear" w:color="auto" w:fill="auto"/>
          </w:tcPr>
          <w:p w14:paraId="5DEC2F81"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5.80</w:t>
            </w:r>
          </w:p>
        </w:tc>
        <w:tc>
          <w:tcPr>
            <w:tcW w:w="1968" w:type="dxa"/>
            <w:tcBorders>
              <w:top w:val="nil"/>
              <w:left w:val="nil"/>
              <w:bottom w:val="nil"/>
              <w:right w:val="nil"/>
            </w:tcBorders>
            <w:shd w:val="clear" w:color="auto" w:fill="auto"/>
          </w:tcPr>
          <w:p w14:paraId="48E74FF0"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67.22</w:t>
            </w:r>
          </w:p>
        </w:tc>
      </w:tr>
      <w:tr w:rsidR="00A71058" w:rsidRPr="00A7726F" w14:paraId="1F07601E" w14:textId="77777777" w:rsidTr="00BB280B">
        <w:trPr>
          <w:trHeight w:val="197"/>
        </w:trPr>
        <w:tc>
          <w:tcPr>
            <w:tcW w:w="4434" w:type="dxa"/>
            <w:tcBorders>
              <w:top w:val="nil"/>
              <w:left w:val="nil"/>
              <w:bottom w:val="nil"/>
              <w:right w:val="nil"/>
            </w:tcBorders>
          </w:tcPr>
          <w:p w14:paraId="30779E6E" w14:textId="77777777" w:rsidR="00A71058" w:rsidRPr="00A7726F" w:rsidRDefault="00A71058" w:rsidP="007C051A">
            <w:pPr>
              <w:widowControl w:val="0"/>
              <w:suppressLineNumbers/>
              <w:suppressAutoHyphens/>
              <w:autoSpaceDE w:val="0"/>
              <w:autoSpaceDN w:val="0"/>
              <w:adjustRightInd w:val="0"/>
              <w:spacing w:line="240" w:lineRule="auto"/>
              <w:jc w:val="left"/>
              <w:rPr>
                <w:color w:val="000000" w:themeColor="text1"/>
                <w:sz w:val="22"/>
              </w:rPr>
            </w:pPr>
            <w:r w:rsidRPr="00A7726F">
              <w:rPr>
                <w:color w:val="000000" w:themeColor="text1"/>
                <w:sz w:val="22"/>
              </w:rPr>
              <w:t>2012</w:t>
            </w:r>
          </w:p>
        </w:tc>
        <w:tc>
          <w:tcPr>
            <w:tcW w:w="1201" w:type="dxa"/>
            <w:tcBorders>
              <w:top w:val="nil"/>
              <w:left w:val="nil"/>
              <w:bottom w:val="nil"/>
              <w:right w:val="nil"/>
            </w:tcBorders>
            <w:shd w:val="clear" w:color="auto" w:fill="auto"/>
          </w:tcPr>
          <w:p w14:paraId="7805AAB7"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87</w:t>
            </w:r>
          </w:p>
        </w:tc>
        <w:tc>
          <w:tcPr>
            <w:tcW w:w="1469" w:type="dxa"/>
            <w:tcBorders>
              <w:top w:val="nil"/>
              <w:left w:val="nil"/>
              <w:bottom w:val="nil"/>
              <w:right w:val="nil"/>
            </w:tcBorders>
            <w:shd w:val="clear" w:color="auto" w:fill="auto"/>
          </w:tcPr>
          <w:p w14:paraId="0C7316A2"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4.14</w:t>
            </w:r>
          </w:p>
        </w:tc>
        <w:tc>
          <w:tcPr>
            <w:tcW w:w="1968" w:type="dxa"/>
            <w:tcBorders>
              <w:top w:val="nil"/>
              <w:left w:val="nil"/>
              <w:bottom w:val="nil"/>
              <w:right w:val="nil"/>
            </w:tcBorders>
            <w:shd w:val="clear" w:color="auto" w:fill="auto"/>
          </w:tcPr>
          <w:p w14:paraId="36380AE9"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71.36</w:t>
            </w:r>
          </w:p>
        </w:tc>
      </w:tr>
      <w:tr w:rsidR="00A71058" w:rsidRPr="00A7726F" w14:paraId="20CF8EA0" w14:textId="77777777" w:rsidTr="00BB280B">
        <w:trPr>
          <w:trHeight w:val="197"/>
        </w:trPr>
        <w:tc>
          <w:tcPr>
            <w:tcW w:w="4434" w:type="dxa"/>
            <w:tcBorders>
              <w:top w:val="nil"/>
              <w:left w:val="nil"/>
              <w:bottom w:val="nil"/>
              <w:right w:val="nil"/>
            </w:tcBorders>
          </w:tcPr>
          <w:p w14:paraId="78FF1FB5" w14:textId="77777777" w:rsidR="00A71058" w:rsidRPr="00A7726F" w:rsidRDefault="00A71058" w:rsidP="007C051A">
            <w:pPr>
              <w:widowControl w:val="0"/>
              <w:suppressLineNumbers/>
              <w:suppressAutoHyphens/>
              <w:autoSpaceDE w:val="0"/>
              <w:autoSpaceDN w:val="0"/>
              <w:adjustRightInd w:val="0"/>
              <w:spacing w:line="240" w:lineRule="auto"/>
              <w:jc w:val="left"/>
              <w:rPr>
                <w:color w:val="000000" w:themeColor="text1"/>
                <w:sz w:val="22"/>
              </w:rPr>
            </w:pPr>
            <w:r w:rsidRPr="00A7726F">
              <w:rPr>
                <w:color w:val="000000" w:themeColor="text1"/>
                <w:sz w:val="22"/>
              </w:rPr>
              <w:t>2013</w:t>
            </w:r>
          </w:p>
        </w:tc>
        <w:tc>
          <w:tcPr>
            <w:tcW w:w="1201" w:type="dxa"/>
            <w:tcBorders>
              <w:top w:val="nil"/>
              <w:left w:val="nil"/>
              <w:bottom w:val="nil"/>
              <w:right w:val="nil"/>
            </w:tcBorders>
            <w:shd w:val="clear" w:color="auto" w:fill="auto"/>
          </w:tcPr>
          <w:p w14:paraId="6E706786"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77</w:t>
            </w:r>
          </w:p>
        </w:tc>
        <w:tc>
          <w:tcPr>
            <w:tcW w:w="1469" w:type="dxa"/>
            <w:tcBorders>
              <w:top w:val="nil"/>
              <w:left w:val="nil"/>
              <w:bottom w:val="nil"/>
              <w:right w:val="nil"/>
            </w:tcBorders>
            <w:shd w:val="clear" w:color="auto" w:fill="auto"/>
          </w:tcPr>
          <w:p w14:paraId="69407AC9"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3.66</w:t>
            </w:r>
          </w:p>
        </w:tc>
        <w:tc>
          <w:tcPr>
            <w:tcW w:w="1968" w:type="dxa"/>
            <w:tcBorders>
              <w:top w:val="nil"/>
              <w:left w:val="nil"/>
              <w:bottom w:val="nil"/>
              <w:right w:val="nil"/>
            </w:tcBorders>
            <w:shd w:val="clear" w:color="auto" w:fill="auto"/>
          </w:tcPr>
          <w:p w14:paraId="69B35BA4"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75.02</w:t>
            </w:r>
          </w:p>
        </w:tc>
      </w:tr>
      <w:tr w:rsidR="00A71058" w:rsidRPr="00A7726F" w14:paraId="119C3A55" w14:textId="77777777" w:rsidTr="00BB280B">
        <w:trPr>
          <w:trHeight w:val="197"/>
        </w:trPr>
        <w:tc>
          <w:tcPr>
            <w:tcW w:w="4434" w:type="dxa"/>
            <w:tcBorders>
              <w:top w:val="nil"/>
              <w:left w:val="nil"/>
              <w:bottom w:val="nil"/>
              <w:right w:val="nil"/>
            </w:tcBorders>
          </w:tcPr>
          <w:p w14:paraId="559F671E" w14:textId="77777777" w:rsidR="00A71058" w:rsidRPr="00A7726F" w:rsidRDefault="00A71058" w:rsidP="007C051A">
            <w:pPr>
              <w:widowControl w:val="0"/>
              <w:suppressLineNumbers/>
              <w:suppressAutoHyphens/>
              <w:autoSpaceDE w:val="0"/>
              <w:autoSpaceDN w:val="0"/>
              <w:adjustRightInd w:val="0"/>
              <w:spacing w:line="240" w:lineRule="auto"/>
              <w:jc w:val="left"/>
              <w:rPr>
                <w:color w:val="000000" w:themeColor="text1"/>
                <w:sz w:val="22"/>
              </w:rPr>
            </w:pPr>
            <w:r w:rsidRPr="00A7726F">
              <w:rPr>
                <w:color w:val="000000" w:themeColor="text1"/>
                <w:sz w:val="22"/>
              </w:rPr>
              <w:t>2014</w:t>
            </w:r>
          </w:p>
        </w:tc>
        <w:tc>
          <w:tcPr>
            <w:tcW w:w="1201" w:type="dxa"/>
            <w:tcBorders>
              <w:top w:val="nil"/>
              <w:left w:val="nil"/>
              <w:bottom w:val="nil"/>
              <w:right w:val="nil"/>
            </w:tcBorders>
            <w:shd w:val="clear" w:color="auto" w:fill="auto"/>
          </w:tcPr>
          <w:p w14:paraId="5F43BF51"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65</w:t>
            </w:r>
          </w:p>
        </w:tc>
        <w:tc>
          <w:tcPr>
            <w:tcW w:w="1469" w:type="dxa"/>
            <w:tcBorders>
              <w:top w:val="nil"/>
              <w:left w:val="nil"/>
              <w:bottom w:val="nil"/>
              <w:right w:val="nil"/>
            </w:tcBorders>
            <w:shd w:val="clear" w:color="auto" w:fill="auto"/>
          </w:tcPr>
          <w:p w14:paraId="450F62F6"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3.09</w:t>
            </w:r>
          </w:p>
        </w:tc>
        <w:tc>
          <w:tcPr>
            <w:tcW w:w="1968" w:type="dxa"/>
            <w:tcBorders>
              <w:top w:val="nil"/>
              <w:left w:val="nil"/>
              <w:bottom w:val="nil"/>
              <w:right w:val="nil"/>
            </w:tcBorders>
            <w:shd w:val="clear" w:color="auto" w:fill="auto"/>
          </w:tcPr>
          <w:p w14:paraId="7A545DB7"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78.12</w:t>
            </w:r>
          </w:p>
        </w:tc>
      </w:tr>
      <w:tr w:rsidR="00A71058" w:rsidRPr="00A7726F" w14:paraId="5DBD3795" w14:textId="77777777" w:rsidTr="00BB280B">
        <w:trPr>
          <w:trHeight w:val="197"/>
        </w:trPr>
        <w:tc>
          <w:tcPr>
            <w:tcW w:w="4434" w:type="dxa"/>
            <w:tcBorders>
              <w:top w:val="nil"/>
              <w:left w:val="nil"/>
              <w:bottom w:val="nil"/>
              <w:right w:val="nil"/>
            </w:tcBorders>
          </w:tcPr>
          <w:p w14:paraId="3176844E" w14:textId="77777777" w:rsidR="00A71058" w:rsidRPr="00A7726F" w:rsidRDefault="00A71058" w:rsidP="007C051A">
            <w:pPr>
              <w:widowControl w:val="0"/>
              <w:suppressLineNumbers/>
              <w:suppressAutoHyphens/>
              <w:autoSpaceDE w:val="0"/>
              <w:autoSpaceDN w:val="0"/>
              <w:adjustRightInd w:val="0"/>
              <w:spacing w:line="240" w:lineRule="auto"/>
              <w:jc w:val="left"/>
              <w:rPr>
                <w:color w:val="000000" w:themeColor="text1"/>
                <w:sz w:val="22"/>
              </w:rPr>
            </w:pPr>
            <w:r w:rsidRPr="00A7726F">
              <w:rPr>
                <w:color w:val="000000" w:themeColor="text1"/>
                <w:sz w:val="22"/>
              </w:rPr>
              <w:t>2015</w:t>
            </w:r>
          </w:p>
        </w:tc>
        <w:tc>
          <w:tcPr>
            <w:tcW w:w="1201" w:type="dxa"/>
            <w:tcBorders>
              <w:top w:val="nil"/>
              <w:left w:val="nil"/>
              <w:bottom w:val="nil"/>
              <w:right w:val="nil"/>
            </w:tcBorders>
            <w:shd w:val="clear" w:color="auto" w:fill="auto"/>
          </w:tcPr>
          <w:p w14:paraId="2ABE6B5F"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56</w:t>
            </w:r>
          </w:p>
        </w:tc>
        <w:tc>
          <w:tcPr>
            <w:tcW w:w="1469" w:type="dxa"/>
            <w:tcBorders>
              <w:top w:val="nil"/>
              <w:left w:val="nil"/>
              <w:bottom w:val="nil"/>
              <w:right w:val="nil"/>
            </w:tcBorders>
            <w:shd w:val="clear" w:color="auto" w:fill="auto"/>
          </w:tcPr>
          <w:p w14:paraId="6629D67A"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2.66</w:t>
            </w:r>
          </w:p>
        </w:tc>
        <w:tc>
          <w:tcPr>
            <w:tcW w:w="1968" w:type="dxa"/>
            <w:tcBorders>
              <w:top w:val="nil"/>
              <w:left w:val="nil"/>
              <w:bottom w:val="nil"/>
              <w:right w:val="nil"/>
            </w:tcBorders>
            <w:shd w:val="clear" w:color="auto" w:fill="auto"/>
          </w:tcPr>
          <w:p w14:paraId="6E1604A6"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80.78</w:t>
            </w:r>
          </w:p>
        </w:tc>
      </w:tr>
      <w:tr w:rsidR="00A71058" w:rsidRPr="00A7726F" w14:paraId="7E7E9ED6" w14:textId="77777777" w:rsidTr="00BB280B">
        <w:trPr>
          <w:trHeight w:val="186"/>
        </w:trPr>
        <w:tc>
          <w:tcPr>
            <w:tcW w:w="4434" w:type="dxa"/>
            <w:tcBorders>
              <w:top w:val="nil"/>
              <w:left w:val="nil"/>
              <w:bottom w:val="nil"/>
              <w:right w:val="nil"/>
            </w:tcBorders>
          </w:tcPr>
          <w:p w14:paraId="3F0A42E5" w14:textId="77777777" w:rsidR="00A71058" w:rsidRPr="00A7726F" w:rsidRDefault="00A71058" w:rsidP="007C051A">
            <w:pPr>
              <w:widowControl w:val="0"/>
              <w:suppressLineNumbers/>
              <w:suppressAutoHyphens/>
              <w:autoSpaceDE w:val="0"/>
              <w:autoSpaceDN w:val="0"/>
              <w:adjustRightInd w:val="0"/>
              <w:spacing w:line="240" w:lineRule="auto"/>
              <w:jc w:val="left"/>
              <w:rPr>
                <w:color w:val="000000" w:themeColor="text1"/>
                <w:sz w:val="22"/>
              </w:rPr>
            </w:pPr>
            <w:r w:rsidRPr="00A7726F">
              <w:rPr>
                <w:color w:val="000000" w:themeColor="text1"/>
                <w:sz w:val="22"/>
              </w:rPr>
              <w:t>2016</w:t>
            </w:r>
          </w:p>
        </w:tc>
        <w:tc>
          <w:tcPr>
            <w:tcW w:w="1201" w:type="dxa"/>
            <w:tcBorders>
              <w:top w:val="nil"/>
              <w:left w:val="nil"/>
              <w:bottom w:val="nil"/>
              <w:right w:val="nil"/>
            </w:tcBorders>
            <w:shd w:val="clear" w:color="auto" w:fill="auto"/>
          </w:tcPr>
          <w:p w14:paraId="07B51706"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44</w:t>
            </w:r>
          </w:p>
        </w:tc>
        <w:tc>
          <w:tcPr>
            <w:tcW w:w="1469" w:type="dxa"/>
            <w:tcBorders>
              <w:top w:val="nil"/>
              <w:left w:val="nil"/>
              <w:bottom w:val="nil"/>
              <w:right w:val="nil"/>
            </w:tcBorders>
            <w:shd w:val="clear" w:color="auto" w:fill="auto"/>
          </w:tcPr>
          <w:p w14:paraId="4940EDC3"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2.09</w:t>
            </w:r>
          </w:p>
        </w:tc>
        <w:tc>
          <w:tcPr>
            <w:tcW w:w="1968" w:type="dxa"/>
            <w:tcBorders>
              <w:top w:val="nil"/>
              <w:left w:val="nil"/>
              <w:bottom w:val="nil"/>
              <w:right w:val="nil"/>
            </w:tcBorders>
            <w:shd w:val="clear" w:color="auto" w:fill="auto"/>
          </w:tcPr>
          <w:p w14:paraId="5AEE2E9A"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82.87</w:t>
            </w:r>
          </w:p>
        </w:tc>
      </w:tr>
      <w:tr w:rsidR="00A71058" w:rsidRPr="00A7726F" w14:paraId="2A21F243" w14:textId="77777777" w:rsidTr="00BB280B">
        <w:trPr>
          <w:trHeight w:val="197"/>
        </w:trPr>
        <w:tc>
          <w:tcPr>
            <w:tcW w:w="4434" w:type="dxa"/>
            <w:tcBorders>
              <w:top w:val="nil"/>
              <w:left w:val="nil"/>
              <w:bottom w:val="nil"/>
              <w:right w:val="nil"/>
            </w:tcBorders>
          </w:tcPr>
          <w:p w14:paraId="5AA0703A" w14:textId="77777777" w:rsidR="00A71058" w:rsidRPr="00A7726F" w:rsidRDefault="00A71058" w:rsidP="007C051A">
            <w:pPr>
              <w:widowControl w:val="0"/>
              <w:suppressLineNumbers/>
              <w:suppressAutoHyphens/>
              <w:autoSpaceDE w:val="0"/>
              <w:autoSpaceDN w:val="0"/>
              <w:adjustRightInd w:val="0"/>
              <w:spacing w:line="240" w:lineRule="auto"/>
              <w:jc w:val="left"/>
              <w:rPr>
                <w:color w:val="000000" w:themeColor="text1"/>
                <w:sz w:val="22"/>
              </w:rPr>
            </w:pPr>
            <w:r w:rsidRPr="00A7726F">
              <w:rPr>
                <w:color w:val="000000" w:themeColor="text1"/>
                <w:sz w:val="22"/>
              </w:rPr>
              <w:t>2017</w:t>
            </w:r>
          </w:p>
        </w:tc>
        <w:tc>
          <w:tcPr>
            <w:tcW w:w="1201" w:type="dxa"/>
            <w:tcBorders>
              <w:top w:val="nil"/>
              <w:left w:val="nil"/>
              <w:bottom w:val="nil"/>
              <w:right w:val="nil"/>
            </w:tcBorders>
            <w:shd w:val="clear" w:color="auto" w:fill="auto"/>
          </w:tcPr>
          <w:p w14:paraId="57FE3DE8"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50</w:t>
            </w:r>
          </w:p>
        </w:tc>
        <w:tc>
          <w:tcPr>
            <w:tcW w:w="1469" w:type="dxa"/>
            <w:tcBorders>
              <w:top w:val="nil"/>
              <w:left w:val="nil"/>
              <w:bottom w:val="nil"/>
              <w:right w:val="nil"/>
            </w:tcBorders>
            <w:shd w:val="clear" w:color="auto" w:fill="auto"/>
          </w:tcPr>
          <w:p w14:paraId="4F99C925"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2.38</w:t>
            </w:r>
          </w:p>
        </w:tc>
        <w:tc>
          <w:tcPr>
            <w:tcW w:w="1968" w:type="dxa"/>
            <w:tcBorders>
              <w:top w:val="nil"/>
              <w:left w:val="nil"/>
              <w:bottom w:val="nil"/>
              <w:right w:val="nil"/>
            </w:tcBorders>
            <w:shd w:val="clear" w:color="auto" w:fill="auto"/>
          </w:tcPr>
          <w:p w14:paraId="59C65E71"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85.25</w:t>
            </w:r>
          </w:p>
        </w:tc>
      </w:tr>
      <w:tr w:rsidR="00A71058" w:rsidRPr="00A7726F" w14:paraId="23B424A8" w14:textId="77777777" w:rsidTr="00BB280B">
        <w:trPr>
          <w:trHeight w:val="197"/>
        </w:trPr>
        <w:tc>
          <w:tcPr>
            <w:tcW w:w="4434" w:type="dxa"/>
            <w:tcBorders>
              <w:top w:val="nil"/>
              <w:left w:val="nil"/>
              <w:bottom w:val="nil"/>
              <w:right w:val="nil"/>
            </w:tcBorders>
          </w:tcPr>
          <w:p w14:paraId="7357CCAD" w14:textId="77777777" w:rsidR="00A71058" w:rsidRPr="00A7726F" w:rsidRDefault="00A71058" w:rsidP="007C051A">
            <w:pPr>
              <w:widowControl w:val="0"/>
              <w:suppressLineNumbers/>
              <w:suppressAutoHyphens/>
              <w:autoSpaceDE w:val="0"/>
              <w:autoSpaceDN w:val="0"/>
              <w:adjustRightInd w:val="0"/>
              <w:spacing w:line="240" w:lineRule="auto"/>
              <w:jc w:val="left"/>
              <w:rPr>
                <w:color w:val="000000" w:themeColor="text1"/>
                <w:sz w:val="22"/>
              </w:rPr>
            </w:pPr>
            <w:r w:rsidRPr="00A7726F">
              <w:rPr>
                <w:color w:val="000000" w:themeColor="text1"/>
                <w:sz w:val="22"/>
              </w:rPr>
              <w:t>2018</w:t>
            </w:r>
          </w:p>
        </w:tc>
        <w:tc>
          <w:tcPr>
            <w:tcW w:w="1201" w:type="dxa"/>
            <w:tcBorders>
              <w:top w:val="nil"/>
              <w:left w:val="nil"/>
              <w:bottom w:val="nil"/>
              <w:right w:val="nil"/>
            </w:tcBorders>
            <w:shd w:val="clear" w:color="auto" w:fill="auto"/>
          </w:tcPr>
          <w:p w14:paraId="0A540EF9"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50</w:t>
            </w:r>
          </w:p>
        </w:tc>
        <w:tc>
          <w:tcPr>
            <w:tcW w:w="1469" w:type="dxa"/>
            <w:tcBorders>
              <w:top w:val="nil"/>
              <w:left w:val="nil"/>
              <w:bottom w:val="nil"/>
              <w:right w:val="nil"/>
            </w:tcBorders>
            <w:shd w:val="clear" w:color="auto" w:fill="auto"/>
          </w:tcPr>
          <w:p w14:paraId="55CF1F54"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2.38</w:t>
            </w:r>
          </w:p>
        </w:tc>
        <w:tc>
          <w:tcPr>
            <w:tcW w:w="1968" w:type="dxa"/>
            <w:tcBorders>
              <w:top w:val="nil"/>
              <w:left w:val="nil"/>
              <w:bottom w:val="nil"/>
              <w:right w:val="nil"/>
            </w:tcBorders>
            <w:shd w:val="clear" w:color="auto" w:fill="auto"/>
          </w:tcPr>
          <w:p w14:paraId="05F1AE30"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87.63</w:t>
            </w:r>
          </w:p>
        </w:tc>
      </w:tr>
      <w:tr w:rsidR="00A71058" w:rsidRPr="00A7726F" w14:paraId="27DC7138" w14:textId="77777777" w:rsidTr="00BB280B">
        <w:trPr>
          <w:trHeight w:val="197"/>
        </w:trPr>
        <w:tc>
          <w:tcPr>
            <w:tcW w:w="4434" w:type="dxa"/>
            <w:tcBorders>
              <w:top w:val="nil"/>
              <w:left w:val="nil"/>
              <w:bottom w:val="nil"/>
              <w:right w:val="nil"/>
            </w:tcBorders>
          </w:tcPr>
          <w:p w14:paraId="50EF03DE" w14:textId="77777777" w:rsidR="00A71058" w:rsidRPr="00A7726F" w:rsidRDefault="00A71058" w:rsidP="007C051A">
            <w:pPr>
              <w:widowControl w:val="0"/>
              <w:suppressLineNumbers/>
              <w:suppressAutoHyphens/>
              <w:autoSpaceDE w:val="0"/>
              <w:autoSpaceDN w:val="0"/>
              <w:adjustRightInd w:val="0"/>
              <w:spacing w:line="240" w:lineRule="auto"/>
              <w:jc w:val="left"/>
              <w:rPr>
                <w:color w:val="000000" w:themeColor="text1"/>
                <w:sz w:val="22"/>
              </w:rPr>
            </w:pPr>
            <w:r w:rsidRPr="00A7726F">
              <w:rPr>
                <w:color w:val="000000" w:themeColor="text1"/>
                <w:sz w:val="22"/>
              </w:rPr>
              <w:t>2019</w:t>
            </w:r>
          </w:p>
        </w:tc>
        <w:tc>
          <w:tcPr>
            <w:tcW w:w="1201" w:type="dxa"/>
            <w:tcBorders>
              <w:top w:val="nil"/>
              <w:left w:val="nil"/>
              <w:bottom w:val="nil"/>
              <w:right w:val="nil"/>
            </w:tcBorders>
            <w:shd w:val="clear" w:color="auto" w:fill="auto"/>
          </w:tcPr>
          <w:p w14:paraId="7C743662"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99</w:t>
            </w:r>
          </w:p>
        </w:tc>
        <w:tc>
          <w:tcPr>
            <w:tcW w:w="1469" w:type="dxa"/>
            <w:tcBorders>
              <w:top w:val="nil"/>
              <w:left w:val="nil"/>
              <w:bottom w:val="nil"/>
              <w:right w:val="nil"/>
            </w:tcBorders>
            <w:shd w:val="clear" w:color="auto" w:fill="auto"/>
          </w:tcPr>
          <w:p w14:paraId="11574C89"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4.71</w:t>
            </w:r>
          </w:p>
        </w:tc>
        <w:tc>
          <w:tcPr>
            <w:tcW w:w="1968" w:type="dxa"/>
            <w:tcBorders>
              <w:top w:val="nil"/>
              <w:left w:val="nil"/>
              <w:bottom w:val="nil"/>
              <w:right w:val="nil"/>
            </w:tcBorders>
            <w:shd w:val="clear" w:color="auto" w:fill="auto"/>
          </w:tcPr>
          <w:p w14:paraId="5D1FCBDB"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92.34</w:t>
            </w:r>
          </w:p>
        </w:tc>
      </w:tr>
      <w:tr w:rsidR="00A71058" w:rsidRPr="00A7726F" w14:paraId="163E05DE" w14:textId="77777777" w:rsidTr="00BB280B">
        <w:trPr>
          <w:trHeight w:val="197"/>
        </w:trPr>
        <w:tc>
          <w:tcPr>
            <w:tcW w:w="4434" w:type="dxa"/>
            <w:tcBorders>
              <w:top w:val="nil"/>
              <w:left w:val="nil"/>
              <w:bottom w:val="nil"/>
              <w:right w:val="nil"/>
            </w:tcBorders>
          </w:tcPr>
          <w:p w14:paraId="4EF030F5" w14:textId="77777777" w:rsidR="00A71058" w:rsidRPr="00A7726F" w:rsidRDefault="00A71058" w:rsidP="007C051A">
            <w:pPr>
              <w:widowControl w:val="0"/>
              <w:suppressLineNumbers/>
              <w:suppressAutoHyphens/>
              <w:autoSpaceDE w:val="0"/>
              <w:autoSpaceDN w:val="0"/>
              <w:adjustRightInd w:val="0"/>
              <w:spacing w:line="240" w:lineRule="auto"/>
              <w:jc w:val="left"/>
              <w:rPr>
                <w:color w:val="000000" w:themeColor="text1"/>
                <w:sz w:val="22"/>
              </w:rPr>
            </w:pPr>
            <w:r w:rsidRPr="00A7726F">
              <w:rPr>
                <w:color w:val="000000" w:themeColor="text1"/>
                <w:sz w:val="22"/>
              </w:rPr>
              <w:t>2020</w:t>
            </w:r>
          </w:p>
        </w:tc>
        <w:tc>
          <w:tcPr>
            <w:tcW w:w="1201" w:type="dxa"/>
            <w:tcBorders>
              <w:top w:val="nil"/>
              <w:left w:val="nil"/>
              <w:bottom w:val="nil"/>
              <w:right w:val="nil"/>
            </w:tcBorders>
            <w:shd w:val="clear" w:color="auto" w:fill="auto"/>
          </w:tcPr>
          <w:p w14:paraId="6F930902"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78</w:t>
            </w:r>
          </w:p>
        </w:tc>
        <w:tc>
          <w:tcPr>
            <w:tcW w:w="1469" w:type="dxa"/>
            <w:tcBorders>
              <w:top w:val="nil"/>
              <w:left w:val="nil"/>
              <w:bottom w:val="nil"/>
              <w:right w:val="nil"/>
            </w:tcBorders>
            <w:shd w:val="clear" w:color="auto" w:fill="auto"/>
          </w:tcPr>
          <w:p w14:paraId="76CD820B"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3.71</w:t>
            </w:r>
          </w:p>
        </w:tc>
        <w:tc>
          <w:tcPr>
            <w:tcW w:w="1968" w:type="dxa"/>
            <w:tcBorders>
              <w:top w:val="nil"/>
              <w:left w:val="nil"/>
              <w:bottom w:val="nil"/>
              <w:right w:val="nil"/>
            </w:tcBorders>
            <w:shd w:val="clear" w:color="auto" w:fill="auto"/>
          </w:tcPr>
          <w:p w14:paraId="4502C4A0"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96.05</w:t>
            </w:r>
          </w:p>
        </w:tc>
      </w:tr>
      <w:tr w:rsidR="00A71058" w:rsidRPr="00A7726F" w14:paraId="3855674B" w14:textId="77777777" w:rsidTr="00BB280B">
        <w:trPr>
          <w:trHeight w:val="197"/>
        </w:trPr>
        <w:tc>
          <w:tcPr>
            <w:tcW w:w="4434" w:type="dxa"/>
            <w:tcBorders>
              <w:top w:val="nil"/>
              <w:left w:val="nil"/>
              <w:bottom w:val="nil"/>
              <w:right w:val="nil"/>
            </w:tcBorders>
          </w:tcPr>
          <w:p w14:paraId="6473E406" w14:textId="77777777" w:rsidR="00A71058" w:rsidRPr="00A7726F" w:rsidRDefault="00A71058" w:rsidP="007C051A">
            <w:pPr>
              <w:widowControl w:val="0"/>
              <w:suppressLineNumbers/>
              <w:suppressAutoHyphens/>
              <w:autoSpaceDE w:val="0"/>
              <w:autoSpaceDN w:val="0"/>
              <w:adjustRightInd w:val="0"/>
              <w:spacing w:line="240" w:lineRule="auto"/>
              <w:jc w:val="left"/>
              <w:rPr>
                <w:color w:val="000000" w:themeColor="text1"/>
                <w:sz w:val="22"/>
              </w:rPr>
            </w:pPr>
            <w:r w:rsidRPr="00A7726F">
              <w:rPr>
                <w:color w:val="000000" w:themeColor="text1"/>
                <w:sz w:val="22"/>
              </w:rPr>
              <w:t>2021</w:t>
            </w:r>
          </w:p>
        </w:tc>
        <w:tc>
          <w:tcPr>
            <w:tcW w:w="1201" w:type="dxa"/>
            <w:tcBorders>
              <w:top w:val="nil"/>
              <w:left w:val="nil"/>
              <w:bottom w:val="nil"/>
              <w:right w:val="nil"/>
            </w:tcBorders>
            <w:shd w:val="clear" w:color="auto" w:fill="auto"/>
          </w:tcPr>
          <w:p w14:paraId="4CFF93DE"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83</w:t>
            </w:r>
          </w:p>
        </w:tc>
        <w:tc>
          <w:tcPr>
            <w:tcW w:w="1469" w:type="dxa"/>
            <w:tcBorders>
              <w:top w:val="nil"/>
              <w:left w:val="nil"/>
              <w:bottom w:val="nil"/>
              <w:right w:val="nil"/>
            </w:tcBorders>
            <w:shd w:val="clear" w:color="auto" w:fill="auto"/>
          </w:tcPr>
          <w:p w14:paraId="03D895C0"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3.95</w:t>
            </w:r>
          </w:p>
        </w:tc>
        <w:tc>
          <w:tcPr>
            <w:tcW w:w="1968" w:type="dxa"/>
            <w:tcBorders>
              <w:top w:val="nil"/>
              <w:left w:val="nil"/>
              <w:bottom w:val="nil"/>
              <w:right w:val="nil"/>
            </w:tcBorders>
            <w:shd w:val="clear" w:color="auto" w:fill="auto"/>
          </w:tcPr>
          <w:p w14:paraId="26F5A205"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100</w:t>
            </w:r>
          </w:p>
        </w:tc>
      </w:tr>
      <w:tr w:rsidR="00A71058" w:rsidRPr="00A7726F" w14:paraId="5FAE47F9" w14:textId="77777777" w:rsidTr="00BB280B">
        <w:trPr>
          <w:trHeight w:val="197"/>
        </w:trPr>
        <w:tc>
          <w:tcPr>
            <w:tcW w:w="4434" w:type="dxa"/>
            <w:tcBorders>
              <w:top w:val="nil"/>
              <w:left w:val="nil"/>
              <w:bottom w:val="single" w:sz="4" w:space="0" w:color="auto"/>
              <w:right w:val="nil"/>
            </w:tcBorders>
          </w:tcPr>
          <w:p w14:paraId="3F687B0B" w14:textId="77777777" w:rsidR="00A71058" w:rsidRPr="00A7726F" w:rsidRDefault="00A71058" w:rsidP="007C051A">
            <w:pPr>
              <w:widowControl w:val="0"/>
              <w:suppressLineNumbers/>
              <w:suppressAutoHyphens/>
              <w:autoSpaceDE w:val="0"/>
              <w:autoSpaceDN w:val="0"/>
              <w:adjustRightInd w:val="0"/>
              <w:spacing w:line="240" w:lineRule="auto"/>
              <w:jc w:val="left"/>
              <w:rPr>
                <w:color w:val="000000" w:themeColor="text1"/>
                <w:sz w:val="22"/>
              </w:rPr>
            </w:pPr>
            <w:r w:rsidRPr="00A7726F">
              <w:rPr>
                <w:color w:val="000000" w:themeColor="text1"/>
                <w:sz w:val="22"/>
              </w:rPr>
              <w:t>Total</w:t>
            </w:r>
          </w:p>
        </w:tc>
        <w:tc>
          <w:tcPr>
            <w:tcW w:w="1201" w:type="dxa"/>
            <w:tcBorders>
              <w:top w:val="nil"/>
              <w:left w:val="nil"/>
              <w:bottom w:val="single" w:sz="4" w:space="0" w:color="auto"/>
              <w:right w:val="nil"/>
            </w:tcBorders>
            <w:shd w:val="clear" w:color="auto" w:fill="auto"/>
          </w:tcPr>
          <w:p w14:paraId="264523D3"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2,102</w:t>
            </w:r>
          </w:p>
        </w:tc>
        <w:tc>
          <w:tcPr>
            <w:tcW w:w="1469" w:type="dxa"/>
            <w:tcBorders>
              <w:top w:val="nil"/>
              <w:left w:val="nil"/>
              <w:bottom w:val="single" w:sz="4" w:space="0" w:color="auto"/>
              <w:right w:val="nil"/>
            </w:tcBorders>
            <w:shd w:val="clear" w:color="auto" w:fill="auto"/>
          </w:tcPr>
          <w:p w14:paraId="457C0C6D"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100</w:t>
            </w:r>
          </w:p>
        </w:tc>
        <w:tc>
          <w:tcPr>
            <w:tcW w:w="1968" w:type="dxa"/>
            <w:tcBorders>
              <w:top w:val="nil"/>
              <w:left w:val="nil"/>
              <w:bottom w:val="single" w:sz="4" w:space="0" w:color="auto"/>
              <w:right w:val="nil"/>
            </w:tcBorders>
            <w:shd w:val="clear" w:color="auto" w:fill="auto"/>
          </w:tcPr>
          <w:p w14:paraId="42F582F8" w14:textId="77777777" w:rsidR="00A71058" w:rsidRPr="00A7726F" w:rsidRDefault="00A71058" w:rsidP="007C051A">
            <w:pPr>
              <w:widowControl w:val="0"/>
              <w:suppressLineNumbers/>
              <w:suppressAutoHyphens/>
              <w:autoSpaceDE w:val="0"/>
              <w:autoSpaceDN w:val="0"/>
              <w:adjustRightInd w:val="0"/>
              <w:spacing w:line="240" w:lineRule="auto"/>
              <w:jc w:val="center"/>
              <w:rPr>
                <w:color w:val="000000" w:themeColor="text1"/>
                <w:sz w:val="22"/>
              </w:rPr>
            </w:pPr>
            <w:r w:rsidRPr="00A7726F">
              <w:rPr>
                <w:color w:val="000000" w:themeColor="text1"/>
                <w:sz w:val="22"/>
              </w:rPr>
              <w:t>100</w:t>
            </w:r>
          </w:p>
        </w:tc>
      </w:tr>
      <w:tr w:rsidR="00A71058" w:rsidRPr="00AA39E4" w14:paraId="32890DE0" w14:textId="77777777" w:rsidTr="00BB280B">
        <w:trPr>
          <w:trHeight w:val="43"/>
        </w:trPr>
        <w:tc>
          <w:tcPr>
            <w:tcW w:w="9072" w:type="dxa"/>
            <w:gridSpan w:val="4"/>
            <w:tcBorders>
              <w:top w:val="single" w:sz="4" w:space="0" w:color="auto"/>
              <w:left w:val="nil"/>
              <w:right w:val="nil"/>
            </w:tcBorders>
          </w:tcPr>
          <w:p w14:paraId="3C0BFA2B" w14:textId="77777777" w:rsidR="00A71058" w:rsidRPr="00A7726F" w:rsidRDefault="00A71058" w:rsidP="00D137E4">
            <w:pPr>
              <w:widowControl w:val="0"/>
              <w:suppressLineNumbers/>
              <w:suppressAutoHyphens/>
              <w:autoSpaceDE w:val="0"/>
              <w:autoSpaceDN w:val="0"/>
              <w:adjustRightInd w:val="0"/>
              <w:spacing w:line="240" w:lineRule="auto"/>
              <w:rPr>
                <w:color w:val="000000" w:themeColor="text1"/>
                <w:sz w:val="22"/>
                <w:lang w:val="en-US"/>
              </w:rPr>
            </w:pPr>
            <w:r w:rsidRPr="00A7726F">
              <w:rPr>
                <w:i/>
                <w:iCs/>
                <w:color w:val="000000" w:themeColor="text1"/>
                <w:sz w:val="22"/>
                <w:lang w:val="en-US"/>
              </w:rPr>
              <w:t>Notes</w:t>
            </w:r>
            <w:r w:rsidRPr="00A7726F">
              <w:rPr>
                <w:color w:val="000000" w:themeColor="text1"/>
                <w:sz w:val="22"/>
                <w:lang w:val="en-US"/>
              </w:rPr>
              <w:t>. This table presents the number of alliances per year. The descriptive statistics are based on 2,102 alliance announcements for the years 2002 to 2021.</w:t>
            </w:r>
          </w:p>
        </w:tc>
      </w:tr>
    </w:tbl>
    <w:p w14:paraId="022F9E92" w14:textId="77777777" w:rsidR="00403DA7" w:rsidRPr="00EB137B" w:rsidRDefault="00403DA7" w:rsidP="00403DA7">
      <w:pPr>
        <w:rPr>
          <w:color w:val="000000" w:themeColor="text1"/>
          <w:lang w:val="en-US"/>
        </w:rPr>
      </w:pPr>
    </w:p>
    <w:p w14:paraId="77E30620" w14:textId="237A45D3" w:rsidR="00403DA7" w:rsidRDefault="00403DA7">
      <w:pPr>
        <w:spacing w:after="160" w:line="259" w:lineRule="auto"/>
        <w:jc w:val="left"/>
        <w:rPr>
          <w:color w:val="000000" w:themeColor="text1"/>
          <w:lang w:val="en-US"/>
        </w:rPr>
      </w:pPr>
      <w:r>
        <w:rPr>
          <w:color w:val="000000" w:themeColor="text1"/>
          <w:lang w:val="en-US"/>
        </w:rPr>
        <w:br w:type="page"/>
      </w:r>
    </w:p>
    <w:p w14:paraId="24D57111" w14:textId="64A3AC16" w:rsidR="00403DA7" w:rsidRDefault="00403DA7" w:rsidP="0005400E">
      <w:pPr>
        <w:pStyle w:val="1fake"/>
      </w:pPr>
      <w:r w:rsidRPr="0082138A">
        <w:lastRenderedPageBreak/>
        <w:t>TABLE 3</w:t>
      </w:r>
    </w:p>
    <w:p w14:paraId="49784355" w14:textId="1AE289B3" w:rsidR="00403DA7" w:rsidRPr="00A71058" w:rsidRDefault="005E57A0" w:rsidP="00A71058">
      <w:pPr>
        <w:pStyle w:val="Beschriftung"/>
      </w:pPr>
      <w:bookmarkStart w:id="392" w:name="_Toc180594815"/>
      <w:r>
        <w:t xml:space="preserve">T - II - </w:t>
      </w:r>
      <w:r>
        <w:fldChar w:fldCharType="begin"/>
      </w:r>
      <w:r>
        <w:instrText xml:space="preserve"> SEQ T_-_II_- \* ARABIC </w:instrText>
      </w:r>
      <w:r>
        <w:fldChar w:fldCharType="separate"/>
      </w:r>
      <w:r w:rsidR="00E91088">
        <w:rPr>
          <w:noProof/>
        </w:rPr>
        <w:t>3</w:t>
      </w:r>
      <w:r>
        <w:fldChar w:fldCharType="end"/>
      </w:r>
      <w:r>
        <w:t xml:space="preserve">: </w:t>
      </w:r>
      <w:r w:rsidRPr="009077BF">
        <w:t>Descriptive statistics</w:t>
      </w:r>
      <w:bookmarkEnd w:id="392"/>
    </w:p>
    <w:tbl>
      <w:tblPr>
        <w:tblW w:w="9072" w:type="dxa"/>
        <w:tblLayout w:type="fixed"/>
        <w:tblCellMar>
          <w:top w:w="11" w:type="dxa"/>
          <w:left w:w="0" w:type="dxa"/>
          <w:bottom w:w="11" w:type="dxa"/>
          <w:right w:w="0" w:type="dxa"/>
        </w:tblCellMar>
        <w:tblLook w:val="0420" w:firstRow="1" w:lastRow="0" w:firstColumn="0" w:lastColumn="0" w:noHBand="0" w:noVBand="1"/>
      </w:tblPr>
      <w:tblGrid>
        <w:gridCol w:w="3402"/>
        <w:gridCol w:w="1134"/>
        <w:gridCol w:w="1134"/>
        <w:gridCol w:w="1134"/>
        <w:gridCol w:w="1134"/>
        <w:gridCol w:w="1134"/>
      </w:tblGrid>
      <w:tr w:rsidR="00A71058" w:rsidRPr="00A7726F" w14:paraId="1AC72C2E" w14:textId="77777777" w:rsidTr="00BB280B">
        <w:trPr>
          <w:trHeight w:val="20"/>
        </w:trPr>
        <w:tc>
          <w:tcPr>
            <w:tcW w:w="3402" w:type="dxa"/>
            <w:tcBorders>
              <w:top w:val="single" w:sz="4" w:space="0" w:color="auto"/>
              <w:bottom w:val="single" w:sz="4" w:space="0" w:color="auto"/>
            </w:tcBorders>
            <w:shd w:val="clear" w:color="auto" w:fill="FFFFFF"/>
            <w:tcMar>
              <w:top w:w="0" w:type="dxa"/>
              <w:left w:w="0" w:type="dxa"/>
              <w:bottom w:w="0" w:type="dxa"/>
              <w:right w:w="0" w:type="dxa"/>
            </w:tcMar>
          </w:tcPr>
          <w:p w14:paraId="38E616C0"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b/>
                <w:bCs/>
                <w:color w:val="000000" w:themeColor="text1"/>
                <w:sz w:val="22"/>
              </w:rPr>
            </w:pPr>
            <w:r w:rsidRPr="00A7726F">
              <w:rPr>
                <w:b/>
                <w:bCs/>
                <w:color w:val="000000" w:themeColor="text1"/>
                <w:sz w:val="22"/>
              </w:rPr>
              <w:t>Variable</w:t>
            </w:r>
          </w:p>
        </w:tc>
        <w:tc>
          <w:tcPr>
            <w:tcW w:w="1134" w:type="dxa"/>
            <w:tcBorders>
              <w:top w:val="single" w:sz="4" w:space="0" w:color="auto"/>
              <w:bottom w:val="single" w:sz="4" w:space="0" w:color="auto"/>
            </w:tcBorders>
            <w:shd w:val="clear" w:color="auto" w:fill="FFFFFF"/>
            <w:tcMar>
              <w:top w:w="0" w:type="dxa"/>
              <w:left w:w="0" w:type="dxa"/>
              <w:bottom w:w="0" w:type="dxa"/>
              <w:right w:w="0" w:type="dxa"/>
            </w:tcMar>
          </w:tcPr>
          <w:p w14:paraId="6E038C0E"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b/>
                <w:bCs/>
                <w:color w:val="000000" w:themeColor="text1"/>
                <w:sz w:val="22"/>
              </w:rPr>
            </w:pPr>
            <w:r w:rsidRPr="00A7726F">
              <w:rPr>
                <w:b/>
                <w:bCs/>
                <w:color w:val="000000" w:themeColor="text1"/>
                <w:sz w:val="22"/>
              </w:rPr>
              <w:t>N</w:t>
            </w:r>
          </w:p>
        </w:tc>
        <w:tc>
          <w:tcPr>
            <w:tcW w:w="1134" w:type="dxa"/>
            <w:tcBorders>
              <w:top w:val="single" w:sz="4" w:space="0" w:color="auto"/>
              <w:bottom w:val="single" w:sz="4" w:space="0" w:color="auto"/>
            </w:tcBorders>
            <w:shd w:val="clear" w:color="auto" w:fill="FFFFFF"/>
            <w:tcMar>
              <w:top w:w="0" w:type="dxa"/>
              <w:left w:w="0" w:type="dxa"/>
              <w:bottom w:w="0" w:type="dxa"/>
              <w:right w:w="0" w:type="dxa"/>
            </w:tcMar>
          </w:tcPr>
          <w:p w14:paraId="1920F0CC"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b/>
                <w:bCs/>
                <w:color w:val="000000" w:themeColor="text1"/>
                <w:sz w:val="22"/>
              </w:rPr>
            </w:pPr>
            <w:r w:rsidRPr="00A7726F">
              <w:rPr>
                <w:b/>
                <w:bCs/>
                <w:color w:val="000000" w:themeColor="text1"/>
                <w:sz w:val="22"/>
              </w:rPr>
              <w:t>M</w:t>
            </w:r>
          </w:p>
        </w:tc>
        <w:tc>
          <w:tcPr>
            <w:tcW w:w="1134" w:type="dxa"/>
            <w:tcBorders>
              <w:top w:val="single" w:sz="4" w:space="0" w:color="auto"/>
              <w:bottom w:val="single" w:sz="4" w:space="0" w:color="auto"/>
            </w:tcBorders>
            <w:shd w:val="clear" w:color="auto" w:fill="FFFFFF"/>
            <w:tcMar>
              <w:top w:w="0" w:type="dxa"/>
              <w:left w:w="0" w:type="dxa"/>
              <w:bottom w:w="0" w:type="dxa"/>
              <w:right w:w="0" w:type="dxa"/>
            </w:tcMar>
          </w:tcPr>
          <w:p w14:paraId="1FC27164"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b/>
                <w:bCs/>
                <w:color w:val="000000" w:themeColor="text1"/>
                <w:sz w:val="22"/>
              </w:rPr>
            </w:pPr>
            <w:r w:rsidRPr="00A7726F">
              <w:rPr>
                <w:b/>
                <w:bCs/>
                <w:color w:val="000000" w:themeColor="text1"/>
                <w:sz w:val="22"/>
              </w:rPr>
              <w:t>SD</w:t>
            </w:r>
          </w:p>
        </w:tc>
        <w:tc>
          <w:tcPr>
            <w:tcW w:w="1134" w:type="dxa"/>
            <w:tcBorders>
              <w:top w:val="single" w:sz="4" w:space="0" w:color="auto"/>
              <w:bottom w:val="single" w:sz="4" w:space="0" w:color="auto"/>
            </w:tcBorders>
            <w:shd w:val="clear" w:color="auto" w:fill="FFFFFF"/>
          </w:tcPr>
          <w:p w14:paraId="0184D469"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b/>
                <w:bCs/>
                <w:color w:val="000000" w:themeColor="text1"/>
                <w:sz w:val="22"/>
              </w:rPr>
            </w:pPr>
            <w:r w:rsidRPr="00A7726F">
              <w:rPr>
                <w:b/>
                <w:bCs/>
                <w:color w:val="000000" w:themeColor="text1"/>
                <w:sz w:val="22"/>
              </w:rPr>
              <w:t>Min</w:t>
            </w:r>
          </w:p>
        </w:tc>
        <w:tc>
          <w:tcPr>
            <w:tcW w:w="1134" w:type="dxa"/>
            <w:tcBorders>
              <w:top w:val="single" w:sz="4" w:space="0" w:color="auto"/>
              <w:bottom w:val="single" w:sz="4" w:space="0" w:color="auto"/>
            </w:tcBorders>
            <w:shd w:val="clear" w:color="auto" w:fill="FFFFFF"/>
            <w:tcMar>
              <w:top w:w="0" w:type="dxa"/>
              <w:left w:w="0" w:type="dxa"/>
              <w:bottom w:w="0" w:type="dxa"/>
              <w:right w:w="0" w:type="dxa"/>
            </w:tcMar>
          </w:tcPr>
          <w:p w14:paraId="5FD573C5"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b/>
                <w:bCs/>
                <w:color w:val="000000" w:themeColor="text1"/>
                <w:sz w:val="22"/>
              </w:rPr>
            </w:pPr>
            <w:r w:rsidRPr="00A7726F">
              <w:rPr>
                <w:b/>
                <w:bCs/>
                <w:color w:val="000000" w:themeColor="text1"/>
                <w:sz w:val="22"/>
              </w:rPr>
              <w:t>Max</w:t>
            </w:r>
          </w:p>
        </w:tc>
      </w:tr>
      <w:tr w:rsidR="00A71058" w:rsidRPr="00A7726F" w14:paraId="003E46A7" w14:textId="77777777" w:rsidTr="00BB280B">
        <w:trPr>
          <w:trHeight w:val="20"/>
        </w:trPr>
        <w:tc>
          <w:tcPr>
            <w:tcW w:w="3402"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696F5"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b/>
                <w:bCs/>
                <w:color w:val="000000" w:themeColor="text1"/>
                <w:sz w:val="22"/>
              </w:rPr>
            </w:pPr>
            <w:r w:rsidRPr="00A7726F">
              <w:rPr>
                <w:b/>
                <w:bCs/>
                <w:color w:val="000000" w:themeColor="text1"/>
                <w:sz w:val="22"/>
              </w:rPr>
              <w:t>Dependent variables</w:t>
            </w:r>
          </w:p>
        </w:tc>
        <w:tc>
          <w:tcPr>
            <w:tcW w:w="1134"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A2253"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p>
        </w:tc>
        <w:tc>
          <w:tcPr>
            <w:tcW w:w="1134"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3A484"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p>
        </w:tc>
        <w:tc>
          <w:tcPr>
            <w:tcW w:w="1134"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B380A"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p>
        </w:tc>
        <w:tc>
          <w:tcPr>
            <w:tcW w:w="1134" w:type="dxa"/>
            <w:tcBorders>
              <w:top w:val="single" w:sz="4" w:space="0" w:color="auto"/>
              <w:left w:val="none" w:sz="0" w:space="0" w:color="000000"/>
              <w:bottom w:val="none" w:sz="0" w:space="0" w:color="000000"/>
              <w:right w:val="none" w:sz="0" w:space="0" w:color="000000"/>
            </w:tcBorders>
            <w:shd w:val="clear" w:color="auto" w:fill="FFFFFF"/>
          </w:tcPr>
          <w:p w14:paraId="2781BA8A"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p>
        </w:tc>
        <w:tc>
          <w:tcPr>
            <w:tcW w:w="1134"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E10FB"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p>
        </w:tc>
      </w:tr>
      <w:tr w:rsidR="00A71058" w:rsidRPr="00A7726F" w14:paraId="14965156" w14:textId="77777777" w:rsidTr="00BB280B">
        <w:trPr>
          <w:trHeight w:val="20"/>
        </w:trPr>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9237F"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A7726F">
              <w:rPr>
                <w:color w:val="000000" w:themeColor="text1"/>
                <w:sz w:val="22"/>
              </w:rPr>
              <w:t>DiffBenefits_1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3AD21"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2,102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5CC17"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0.023</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366FF"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0.027</w:t>
            </w:r>
          </w:p>
        </w:tc>
        <w:tc>
          <w:tcPr>
            <w:tcW w:w="1134" w:type="dxa"/>
            <w:tcBorders>
              <w:top w:val="none" w:sz="0" w:space="0" w:color="000000"/>
              <w:left w:val="none" w:sz="0" w:space="0" w:color="000000"/>
              <w:bottom w:val="none" w:sz="0" w:space="0" w:color="000000"/>
              <w:right w:val="none" w:sz="0" w:space="0" w:color="000000"/>
            </w:tcBorders>
            <w:shd w:val="clear" w:color="auto" w:fill="FFFFFF"/>
          </w:tcPr>
          <w:p w14:paraId="6A1319E7"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0.00001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5A7E1"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0.191</w:t>
            </w:r>
          </w:p>
        </w:tc>
      </w:tr>
      <w:tr w:rsidR="00A71058" w:rsidRPr="00A7726F" w14:paraId="1CEAED40" w14:textId="77777777" w:rsidTr="00BB280B">
        <w:trPr>
          <w:trHeight w:val="20"/>
        </w:trPr>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B079D"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A7726F">
              <w:rPr>
                <w:color w:val="000000" w:themeColor="text1"/>
                <w:sz w:val="22"/>
              </w:rPr>
              <w:t>DiffBenefits_2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FF4CA"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2,102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ED2A9"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0.026</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458BD"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0.029</w:t>
            </w:r>
          </w:p>
        </w:tc>
        <w:tc>
          <w:tcPr>
            <w:tcW w:w="1134" w:type="dxa"/>
            <w:tcBorders>
              <w:top w:val="none" w:sz="0" w:space="0" w:color="000000"/>
              <w:left w:val="none" w:sz="0" w:space="0" w:color="000000"/>
              <w:bottom w:val="none" w:sz="0" w:space="0" w:color="000000"/>
              <w:right w:val="none" w:sz="0" w:space="0" w:color="000000"/>
            </w:tcBorders>
            <w:shd w:val="clear" w:color="auto" w:fill="FFFFFF"/>
          </w:tcPr>
          <w:p w14:paraId="582D1F1A"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0.00002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F1D7B"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0.216</w:t>
            </w:r>
          </w:p>
        </w:tc>
      </w:tr>
      <w:tr w:rsidR="00A71058" w:rsidRPr="00A7726F" w14:paraId="6C247C50" w14:textId="77777777" w:rsidTr="00BB280B">
        <w:trPr>
          <w:trHeight w:val="20"/>
        </w:trPr>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C637F"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A7726F">
              <w:rPr>
                <w:color w:val="000000" w:themeColor="text1"/>
                <w:sz w:val="22"/>
              </w:rPr>
              <w:t>DiffBenefits_5</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208A1"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2,102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1EE52"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0.035</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06D7F"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0.036</w:t>
            </w:r>
          </w:p>
        </w:tc>
        <w:tc>
          <w:tcPr>
            <w:tcW w:w="1134" w:type="dxa"/>
            <w:tcBorders>
              <w:top w:val="none" w:sz="0" w:space="0" w:color="000000"/>
              <w:left w:val="none" w:sz="0" w:space="0" w:color="000000"/>
              <w:bottom w:val="none" w:sz="0" w:space="0" w:color="000000"/>
              <w:right w:val="none" w:sz="0" w:space="0" w:color="000000"/>
            </w:tcBorders>
            <w:shd w:val="clear" w:color="auto" w:fill="FFFFFF"/>
          </w:tcPr>
          <w:p w14:paraId="15C57356"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0.0001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667AF"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0.249</w:t>
            </w:r>
          </w:p>
        </w:tc>
      </w:tr>
      <w:tr w:rsidR="00A71058" w:rsidRPr="00A7726F" w14:paraId="4477DA80" w14:textId="77777777" w:rsidTr="00BB280B">
        <w:trPr>
          <w:trHeight w:val="20"/>
        </w:trPr>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1FDCD"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A7726F">
              <w:rPr>
                <w:color w:val="000000" w:themeColor="text1"/>
                <w:sz w:val="22"/>
              </w:rPr>
              <w:t>DiffBenefits_AD1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27B51"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2,102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17DBC"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0.046</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16EB1"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0.055</w:t>
            </w:r>
          </w:p>
        </w:tc>
        <w:tc>
          <w:tcPr>
            <w:tcW w:w="1134" w:type="dxa"/>
            <w:tcBorders>
              <w:top w:val="none" w:sz="0" w:space="0" w:color="000000"/>
              <w:left w:val="none" w:sz="0" w:space="0" w:color="000000"/>
              <w:bottom w:val="none" w:sz="0" w:space="0" w:color="000000"/>
              <w:right w:val="none" w:sz="0" w:space="0" w:color="000000"/>
            </w:tcBorders>
            <w:shd w:val="clear" w:color="auto" w:fill="FFFFFF"/>
          </w:tcPr>
          <w:p w14:paraId="39703B2B"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0.00003</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AA34F"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0.387</w:t>
            </w:r>
          </w:p>
        </w:tc>
      </w:tr>
      <w:tr w:rsidR="00A71058" w:rsidRPr="00A7726F" w14:paraId="5292391C" w14:textId="77777777" w:rsidTr="00BB280B">
        <w:trPr>
          <w:trHeight w:val="20"/>
        </w:trPr>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6414F"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A7726F">
              <w:rPr>
                <w:color w:val="000000" w:themeColor="text1"/>
                <w:sz w:val="22"/>
              </w:rPr>
              <w:t>DiffBenefits_AD2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44141"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2,102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80E03"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0.052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E7A28"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0.058</w:t>
            </w:r>
          </w:p>
        </w:tc>
        <w:tc>
          <w:tcPr>
            <w:tcW w:w="1134" w:type="dxa"/>
            <w:tcBorders>
              <w:top w:val="none" w:sz="0" w:space="0" w:color="000000"/>
              <w:left w:val="none" w:sz="0" w:space="0" w:color="000000"/>
              <w:bottom w:val="none" w:sz="0" w:space="0" w:color="000000"/>
              <w:right w:val="none" w:sz="0" w:space="0" w:color="000000"/>
            </w:tcBorders>
            <w:shd w:val="clear" w:color="auto" w:fill="FFFFFF"/>
          </w:tcPr>
          <w:p w14:paraId="02B12E0C"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0.00004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029D8"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0.440</w:t>
            </w:r>
          </w:p>
        </w:tc>
      </w:tr>
      <w:tr w:rsidR="00A71058" w:rsidRPr="00A7726F" w14:paraId="555869AA" w14:textId="77777777" w:rsidTr="00BB280B">
        <w:trPr>
          <w:trHeight w:val="20"/>
        </w:trPr>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5B865"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A7726F">
              <w:rPr>
                <w:color w:val="000000" w:themeColor="text1"/>
                <w:sz w:val="22"/>
              </w:rPr>
              <w:t>DiffBenefits_AD5</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FD0A2"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2,102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3BDCD"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0.069</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55158"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0.073</w:t>
            </w:r>
          </w:p>
        </w:tc>
        <w:tc>
          <w:tcPr>
            <w:tcW w:w="1134" w:type="dxa"/>
            <w:tcBorders>
              <w:top w:val="none" w:sz="0" w:space="0" w:color="000000"/>
              <w:left w:val="none" w:sz="0" w:space="0" w:color="000000"/>
              <w:bottom w:val="none" w:sz="0" w:space="0" w:color="000000"/>
              <w:right w:val="none" w:sz="0" w:space="0" w:color="000000"/>
            </w:tcBorders>
            <w:shd w:val="clear" w:color="auto" w:fill="FFFFFF"/>
          </w:tcPr>
          <w:p w14:paraId="75EE57C9"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0.0001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AAA69"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0.508</w:t>
            </w:r>
          </w:p>
        </w:tc>
      </w:tr>
      <w:tr w:rsidR="00A71058" w:rsidRPr="00A7726F" w14:paraId="29C992EF" w14:textId="77777777" w:rsidTr="00BB280B">
        <w:trPr>
          <w:trHeight w:val="20"/>
        </w:trPr>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A91B3"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b/>
                <w:bCs/>
                <w:color w:val="000000" w:themeColor="text1"/>
                <w:sz w:val="22"/>
              </w:rPr>
            </w:pPr>
            <w:r w:rsidRPr="00A7726F">
              <w:rPr>
                <w:b/>
                <w:bCs/>
                <w:color w:val="000000" w:themeColor="text1"/>
                <w:sz w:val="22"/>
              </w:rPr>
              <w:t>Network variables</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44BEE"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1C35F"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11285"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Pr>
          <w:p w14:paraId="48502739"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D844F"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p>
        </w:tc>
      </w:tr>
      <w:tr w:rsidR="00A71058" w:rsidRPr="00A7726F" w14:paraId="78DD85CB" w14:textId="77777777" w:rsidTr="00BB280B">
        <w:trPr>
          <w:trHeight w:val="20"/>
        </w:trPr>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69232"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A7726F">
              <w:rPr>
                <w:color w:val="000000" w:themeColor="text1"/>
                <w:sz w:val="22"/>
              </w:rPr>
              <w:t>Direct_BoardInterlocks</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36AEC"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2,102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9A2A5"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0.014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175A7"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0.117</w:t>
            </w:r>
          </w:p>
        </w:tc>
        <w:tc>
          <w:tcPr>
            <w:tcW w:w="1134" w:type="dxa"/>
            <w:tcBorders>
              <w:top w:val="none" w:sz="0" w:space="0" w:color="000000"/>
              <w:left w:val="none" w:sz="0" w:space="0" w:color="000000"/>
              <w:bottom w:val="none" w:sz="0" w:space="0" w:color="000000"/>
              <w:right w:val="none" w:sz="0" w:space="0" w:color="000000"/>
            </w:tcBorders>
            <w:shd w:val="clear" w:color="auto" w:fill="FFFFFF"/>
          </w:tcPr>
          <w:p w14:paraId="0BCB35C1"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9D56E"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1</w:t>
            </w:r>
          </w:p>
        </w:tc>
      </w:tr>
      <w:tr w:rsidR="00A71058" w:rsidRPr="00A7726F" w14:paraId="28FDAB97" w14:textId="77777777" w:rsidTr="00BB280B">
        <w:trPr>
          <w:trHeight w:val="20"/>
        </w:trPr>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2BCB9"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A7726F">
              <w:rPr>
                <w:color w:val="000000" w:themeColor="text1"/>
                <w:sz w:val="22"/>
              </w:rPr>
              <w:t>Indirect_BoardInterlocks</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EE857"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2,102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410FF"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0.099</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CD3BE"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0.299</w:t>
            </w:r>
          </w:p>
        </w:tc>
        <w:tc>
          <w:tcPr>
            <w:tcW w:w="1134" w:type="dxa"/>
            <w:tcBorders>
              <w:top w:val="none" w:sz="0" w:space="0" w:color="000000"/>
              <w:left w:val="none" w:sz="0" w:space="0" w:color="000000"/>
              <w:bottom w:val="none" w:sz="0" w:space="0" w:color="000000"/>
              <w:right w:val="none" w:sz="0" w:space="0" w:color="000000"/>
            </w:tcBorders>
            <w:shd w:val="clear" w:color="auto" w:fill="FFFFFF"/>
          </w:tcPr>
          <w:p w14:paraId="6BF3CFFA"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E8D41"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1</w:t>
            </w:r>
          </w:p>
        </w:tc>
      </w:tr>
      <w:tr w:rsidR="00A71058" w:rsidRPr="00A7726F" w14:paraId="15F5BCC2" w14:textId="77777777" w:rsidTr="00BB280B">
        <w:trPr>
          <w:trHeight w:val="20"/>
        </w:trPr>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C8371"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A7726F">
              <w:rPr>
                <w:color w:val="000000" w:themeColor="text1"/>
                <w:sz w:val="22"/>
              </w:rPr>
              <w:t>Prior_Board_Ties</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B59BF"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2,102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ECA1B"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1.321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C3FDB"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5.982</w:t>
            </w:r>
          </w:p>
        </w:tc>
        <w:tc>
          <w:tcPr>
            <w:tcW w:w="1134" w:type="dxa"/>
            <w:tcBorders>
              <w:top w:val="none" w:sz="0" w:space="0" w:color="000000"/>
              <w:left w:val="none" w:sz="0" w:space="0" w:color="000000"/>
              <w:bottom w:val="none" w:sz="0" w:space="0" w:color="000000"/>
              <w:right w:val="none" w:sz="0" w:space="0" w:color="000000"/>
            </w:tcBorders>
            <w:shd w:val="clear" w:color="auto" w:fill="FFFFFF"/>
          </w:tcPr>
          <w:p w14:paraId="33BA8A6D"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D5795"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97</w:t>
            </w:r>
          </w:p>
        </w:tc>
      </w:tr>
      <w:tr w:rsidR="00A71058" w:rsidRPr="00A7726F" w14:paraId="69231748" w14:textId="77777777" w:rsidTr="00BB280B">
        <w:trPr>
          <w:trHeight w:val="20"/>
        </w:trPr>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718D9"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A7726F">
              <w:rPr>
                <w:color w:val="000000" w:themeColor="text1"/>
                <w:sz w:val="22"/>
              </w:rPr>
              <w:t>Relative_Board_NetworkSize</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1036B"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2,102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CD764"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24.562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00806"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345.479</w:t>
            </w:r>
          </w:p>
        </w:tc>
        <w:tc>
          <w:tcPr>
            <w:tcW w:w="1134" w:type="dxa"/>
            <w:tcBorders>
              <w:top w:val="none" w:sz="0" w:space="0" w:color="000000"/>
              <w:left w:val="none" w:sz="0" w:space="0" w:color="000000"/>
              <w:bottom w:val="none" w:sz="0" w:space="0" w:color="000000"/>
              <w:right w:val="none" w:sz="0" w:space="0" w:color="000000"/>
            </w:tcBorders>
            <w:shd w:val="clear" w:color="auto" w:fill="FFFFFF"/>
          </w:tcPr>
          <w:p w14:paraId="28F088DA"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ECF4A"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12,245.630</w:t>
            </w:r>
          </w:p>
        </w:tc>
      </w:tr>
      <w:tr w:rsidR="00A71058" w:rsidRPr="00A7726F" w14:paraId="17B51F78" w14:textId="77777777" w:rsidTr="00BB280B">
        <w:trPr>
          <w:trHeight w:val="20"/>
        </w:trPr>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1175A"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b/>
                <w:bCs/>
                <w:color w:val="000000" w:themeColor="text1"/>
                <w:sz w:val="22"/>
              </w:rPr>
            </w:pPr>
            <w:r w:rsidRPr="00A7726F">
              <w:rPr>
                <w:b/>
                <w:bCs/>
                <w:color w:val="000000" w:themeColor="text1"/>
                <w:sz w:val="22"/>
              </w:rPr>
              <w:t xml:space="preserve">Moderating variables </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98448"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4748E"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8577B"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Pr>
          <w:p w14:paraId="5300F91A"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1382E"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p>
        </w:tc>
      </w:tr>
      <w:tr w:rsidR="00A71058" w:rsidRPr="00A7726F" w14:paraId="728E083C" w14:textId="77777777" w:rsidTr="00BB280B">
        <w:trPr>
          <w:trHeight w:val="20"/>
        </w:trPr>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50182"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A7726F">
              <w:rPr>
                <w:color w:val="000000" w:themeColor="text1"/>
                <w:sz w:val="22"/>
              </w:rPr>
              <w:t>Relative_BoardPower</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79391"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1,528</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51C7D"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3.101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28FCC"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2.453</w:t>
            </w:r>
          </w:p>
        </w:tc>
        <w:tc>
          <w:tcPr>
            <w:tcW w:w="1134" w:type="dxa"/>
            <w:tcBorders>
              <w:top w:val="none" w:sz="0" w:space="0" w:color="000000"/>
              <w:left w:val="none" w:sz="0" w:space="0" w:color="000000"/>
              <w:bottom w:val="none" w:sz="0" w:space="0" w:color="000000"/>
              <w:right w:val="none" w:sz="0" w:space="0" w:color="000000"/>
            </w:tcBorders>
            <w:shd w:val="clear" w:color="auto" w:fill="FFFFFF"/>
          </w:tcPr>
          <w:p w14:paraId="14F35B48"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0.002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193C0"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27.680</w:t>
            </w:r>
          </w:p>
        </w:tc>
      </w:tr>
      <w:tr w:rsidR="00A71058" w:rsidRPr="00A7726F" w14:paraId="0810CD83" w14:textId="77777777" w:rsidTr="00BB280B">
        <w:trPr>
          <w:trHeight w:val="20"/>
        </w:trPr>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EDDAE"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A7726F">
              <w:rPr>
                <w:color w:val="000000" w:themeColor="text1"/>
                <w:sz w:val="22"/>
              </w:rPr>
              <w:t>Relative_FirmStatus</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B4E06"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1,824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D3902"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6.317</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0F33F"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6.283</w:t>
            </w:r>
          </w:p>
        </w:tc>
        <w:tc>
          <w:tcPr>
            <w:tcW w:w="1134" w:type="dxa"/>
            <w:tcBorders>
              <w:top w:val="none" w:sz="0" w:space="0" w:color="000000"/>
              <w:left w:val="none" w:sz="0" w:space="0" w:color="000000"/>
              <w:bottom w:val="none" w:sz="0" w:space="0" w:color="000000"/>
              <w:right w:val="none" w:sz="0" w:space="0" w:color="000000"/>
            </w:tcBorders>
            <w:shd w:val="clear" w:color="auto" w:fill="FFFFFF"/>
          </w:tcPr>
          <w:p w14:paraId="4220727B"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4B42B"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39.000</w:t>
            </w:r>
          </w:p>
        </w:tc>
      </w:tr>
      <w:tr w:rsidR="00A71058" w:rsidRPr="00A7726F" w14:paraId="614E2A73" w14:textId="77777777" w:rsidTr="00BB280B">
        <w:trPr>
          <w:trHeight w:val="20"/>
        </w:trPr>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8BFAF"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b/>
                <w:bCs/>
                <w:color w:val="000000" w:themeColor="text1"/>
                <w:sz w:val="22"/>
              </w:rPr>
            </w:pPr>
            <w:r w:rsidRPr="00A7726F">
              <w:rPr>
                <w:b/>
                <w:bCs/>
                <w:color w:val="000000" w:themeColor="text1"/>
                <w:sz w:val="22"/>
              </w:rPr>
              <w:t>Dyad-level controls</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E4CAD"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07A37"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D6314"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Pr>
          <w:p w14:paraId="360EBA9A"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97298"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p>
        </w:tc>
      </w:tr>
      <w:tr w:rsidR="00A71058" w:rsidRPr="00A7726F" w14:paraId="2A123DBA" w14:textId="77777777" w:rsidTr="00BB280B">
        <w:trPr>
          <w:trHeight w:val="20"/>
        </w:trPr>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F7A16"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A7726F">
              <w:rPr>
                <w:i/>
                <w:iCs/>
                <w:color w:val="000000" w:themeColor="text1"/>
                <w:sz w:val="22"/>
              </w:rPr>
              <w:t>Ln</w:t>
            </w:r>
            <w:r w:rsidRPr="00A7726F">
              <w:rPr>
                <w:color w:val="000000" w:themeColor="text1"/>
                <w:sz w:val="22"/>
              </w:rPr>
              <w:t>(Total_FirmSize)</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B5E94"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2,102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843A2"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9.389</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77EF6"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2.025</w:t>
            </w:r>
          </w:p>
        </w:tc>
        <w:tc>
          <w:tcPr>
            <w:tcW w:w="1134" w:type="dxa"/>
            <w:tcBorders>
              <w:top w:val="none" w:sz="0" w:space="0" w:color="000000"/>
              <w:left w:val="none" w:sz="0" w:space="0" w:color="000000"/>
              <w:bottom w:val="none" w:sz="0" w:space="0" w:color="000000"/>
              <w:right w:val="none" w:sz="0" w:space="0" w:color="000000"/>
            </w:tcBorders>
            <w:shd w:val="clear" w:color="auto" w:fill="FFFFFF"/>
          </w:tcPr>
          <w:p w14:paraId="228E666E"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4.151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C533E"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12.113</w:t>
            </w:r>
          </w:p>
        </w:tc>
      </w:tr>
      <w:tr w:rsidR="00A71058" w:rsidRPr="00A7726F" w14:paraId="290D1F08" w14:textId="77777777" w:rsidTr="00BB280B">
        <w:trPr>
          <w:trHeight w:val="20"/>
        </w:trPr>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6D7FF"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A7726F">
              <w:rPr>
                <w:color w:val="000000" w:themeColor="text1"/>
                <w:sz w:val="22"/>
              </w:rPr>
              <w:t>Relative_FirmSize</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919CC"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2,102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F5784"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273.976</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D2377"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732.830</w:t>
            </w:r>
          </w:p>
        </w:tc>
        <w:tc>
          <w:tcPr>
            <w:tcW w:w="1134" w:type="dxa"/>
            <w:tcBorders>
              <w:top w:val="none" w:sz="0" w:space="0" w:color="000000"/>
              <w:left w:val="none" w:sz="0" w:space="0" w:color="000000"/>
              <w:bottom w:val="none" w:sz="0" w:space="0" w:color="000000"/>
              <w:right w:val="none" w:sz="0" w:space="0" w:color="000000"/>
            </w:tcBorders>
            <w:shd w:val="clear" w:color="auto" w:fill="FFFFFF"/>
          </w:tcPr>
          <w:p w14:paraId="1D267522"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1.196</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85837"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3,150.484</w:t>
            </w:r>
          </w:p>
        </w:tc>
      </w:tr>
      <w:tr w:rsidR="00A71058" w:rsidRPr="00A7726F" w14:paraId="50526706" w14:textId="77777777" w:rsidTr="00BB280B">
        <w:trPr>
          <w:trHeight w:val="20"/>
        </w:trPr>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C42B4"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A7726F">
              <w:rPr>
                <w:color w:val="000000" w:themeColor="text1"/>
                <w:sz w:val="22"/>
              </w:rPr>
              <w:t>Relative_FirmPerformance</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7FA91"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2,102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433DD"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0.058</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67F0D"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0.080</w:t>
            </w:r>
          </w:p>
        </w:tc>
        <w:tc>
          <w:tcPr>
            <w:tcW w:w="1134" w:type="dxa"/>
            <w:tcBorders>
              <w:top w:val="none" w:sz="0" w:space="0" w:color="000000"/>
              <w:left w:val="none" w:sz="0" w:space="0" w:color="000000"/>
              <w:bottom w:val="none" w:sz="0" w:space="0" w:color="000000"/>
              <w:right w:val="none" w:sz="0" w:space="0" w:color="000000"/>
            </w:tcBorders>
            <w:shd w:val="clear" w:color="auto" w:fill="FFFFFF"/>
          </w:tcPr>
          <w:p w14:paraId="71E4E06C"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0.0001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2931B"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1</w:t>
            </w:r>
          </w:p>
        </w:tc>
      </w:tr>
      <w:tr w:rsidR="00A71058" w:rsidRPr="00A7726F" w14:paraId="6FFA3642" w14:textId="77777777" w:rsidTr="00BB280B">
        <w:trPr>
          <w:trHeight w:val="20"/>
        </w:trPr>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72088"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A7726F">
              <w:rPr>
                <w:color w:val="000000" w:themeColor="text1"/>
                <w:sz w:val="22"/>
              </w:rPr>
              <w:t>Relative_RDIntensity</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7C298"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2,102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11C1C"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0.469</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01E4F"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0.460</w:t>
            </w:r>
          </w:p>
        </w:tc>
        <w:tc>
          <w:tcPr>
            <w:tcW w:w="1134" w:type="dxa"/>
            <w:tcBorders>
              <w:top w:val="none" w:sz="0" w:space="0" w:color="000000"/>
              <w:left w:val="none" w:sz="0" w:space="0" w:color="000000"/>
              <w:bottom w:val="none" w:sz="0" w:space="0" w:color="000000"/>
              <w:right w:val="none" w:sz="0" w:space="0" w:color="000000"/>
            </w:tcBorders>
            <w:shd w:val="clear" w:color="auto" w:fill="FFFFFF"/>
          </w:tcPr>
          <w:p w14:paraId="7BE7A91E"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-5.075</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FDDBC"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2.884</w:t>
            </w:r>
          </w:p>
        </w:tc>
      </w:tr>
      <w:tr w:rsidR="00A71058" w:rsidRPr="00A7726F" w14:paraId="30354CC5" w14:textId="77777777" w:rsidTr="00BB280B">
        <w:trPr>
          <w:trHeight w:val="20"/>
        </w:trPr>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06E52"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A7726F">
              <w:rPr>
                <w:color w:val="000000" w:themeColor="text1"/>
                <w:sz w:val="22"/>
              </w:rPr>
              <w:t>Relative_AllianceExperience</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53E31"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2,102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FC820"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8.726</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D43CC"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20.776</w:t>
            </w:r>
          </w:p>
        </w:tc>
        <w:tc>
          <w:tcPr>
            <w:tcW w:w="1134" w:type="dxa"/>
            <w:tcBorders>
              <w:top w:val="none" w:sz="0" w:space="0" w:color="000000"/>
              <w:left w:val="none" w:sz="0" w:space="0" w:color="000000"/>
              <w:bottom w:val="none" w:sz="0" w:space="0" w:color="000000"/>
              <w:right w:val="none" w:sz="0" w:space="0" w:color="000000"/>
            </w:tcBorders>
            <w:shd w:val="clear" w:color="auto" w:fill="FFFFFF"/>
          </w:tcPr>
          <w:p w14:paraId="0C8ED097"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4DE69"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215.000</w:t>
            </w:r>
          </w:p>
        </w:tc>
      </w:tr>
      <w:tr w:rsidR="00A71058" w:rsidRPr="00A7726F" w14:paraId="453FF811" w14:textId="77777777" w:rsidTr="00BB280B">
        <w:trPr>
          <w:trHeight w:val="20"/>
        </w:trPr>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EE741"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b/>
                <w:bCs/>
                <w:color w:val="000000" w:themeColor="text1"/>
                <w:sz w:val="22"/>
              </w:rPr>
            </w:pPr>
            <w:r w:rsidRPr="00A7726F">
              <w:rPr>
                <w:b/>
                <w:bCs/>
                <w:color w:val="000000" w:themeColor="text1"/>
                <w:sz w:val="22"/>
              </w:rPr>
              <w:t>Alliance-level controls</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A593E"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E74F2"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91E16"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Pr>
          <w:p w14:paraId="31741859"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6D1EB"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p>
        </w:tc>
      </w:tr>
      <w:tr w:rsidR="00A71058" w:rsidRPr="00A7726F" w14:paraId="7D9D4E23" w14:textId="77777777" w:rsidTr="00BB280B">
        <w:trPr>
          <w:trHeight w:val="20"/>
        </w:trPr>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C79E5"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A7726F">
              <w:rPr>
                <w:color w:val="000000" w:themeColor="text1"/>
                <w:sz w:val="22"/>
              </w:rPr>
              <w:t>Alliance_Relational_Embeddedness</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D183D"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2,102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7B208"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0.505</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59687"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1.327</w:t>
            </w:r>
          </w:p>
        </w:tc>
        <w:tc>
          <w:tcPr>
            <w:tcW w:w="1134" w:type="dxa"/>
            <w:tcBorders>
              <w:top w:val="none" w:sz="0" w:space="0" w:color="000000"/>
              <w:left w:val="none" w:sz="0" w:space="0" w:color="000000"/>
              <w:bottom w:val="none" w:sz="0" w:space="0" w:color="000000"/>
              <w:right w:val="none" w:sz="0" w:space="0" w:color="000000"/>
            </w:tcBorders>
            <w:shd w:val="clear" w:color="auto" w:fill="FFFFFF"/>
          </w:tcPr>
          <w:p w14:paraId="463C86AB"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72EDB"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16</w:t>
            </w:r>
          </w:p>
        </w:tc>
      </w:tr>
      <w:tr w:rsidR="00A71058" w:rsidRPr="00A7726F" w14:paraId="1DD7B856" w14:textId="77777777" w:rsidTr="00BB280B">
        <w:trPr>
          <w:trHeight w:val="20"/>
        </w:trPr>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B98F7"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A7726F">
              <w:rPr>
                <w:color w:val="000000" w:themeColor="text1"/>
                <w:sz w:val="22"/>
              </w:rPr>
              <w:t>Alliance_Structural_Embeddedness</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80623"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2,102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02E59"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0.125</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F1108"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0.189</w:t>
            </w:r>
          </w:p>
        </w:tc>
        <w:tc>
          <w:tcPr>
            <w:tcW w:w="1134" w:type="dxa"/>
            <w:tcBorders>
              <w:top w:val="none" w:sz="0" w:space="0" w:color="000000"/>
              <w:left w:val="none" w:sz="0" w:space="0" w:color="000000"/>
              <w:bottom w:val="none" w:sz="0" w:space="0" w:color="000000"/>
              <w:right w:val="none" w:sz="0" w:space="0" w:color="000000"/>
            </w:tcBorders>
            <w:shd w:val="clear" w:color="auto" w:fill="FFFFFF"/>
          </w:tcPr>
          <w:p w14:paraId="298D2DC2"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13AC1"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0.908</w:t>
            </w:r>
          </w:p>
        </w:tc>
      </w:tr>
      <w:tr w:rsidR="00A71058" w:rsidRPr="00A7726F" w14:paraId="4112FA3E" w14:textId="77777777" w:rsidTr="00BB280B">
        <w:trPr>
          <w:trHeight w:val="20"/>
        </w:trPr>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773E3"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A7726F">
              <w:rPr>
                <w:color w:val="000000" w:themeColor="text1"/>
                <w:sz w:val="22"/>
              </w:rPr>
              <w:t>JV_Indicator</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5B198"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2,102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ADDE0"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0.141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EA30E"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0.348</w:t>
            </w:r>
          </w:p>
        </w:tc>
        <w:tc>
          <w:tcPr>
            <w:tcW w:w="1134" w:type="dxa"/>
            <w:tcBorders>
              <w:top w:val="none" w:sz="0" w:space="0" w:color="000000"/>
              <w:left w:val="none" w:sz="0" w:space="0" w:color="000000"/>
              <w:bottom w:val="none" w:sz="0" w:space="0" w:color="000000"/>
              <w:right w:val="none" w:sz="0" w:space="0" w:color="000000"/>
            </w:tcBorders>
            <w:shd w:val="clear" w:color="auto" w:fill="FFFFFF"/>
          </w:tcPr>
          <w:p w14:paraId="52523144"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8EE19"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1</w:t>
            </w:r>
          </w:p>
        </w:tc>
      </w:tr>
      <w:tr w:rsidR="00A71058" w:rsidRPr="00A7726F" w14:paraId="6734CBFD" w14:textId="77777777" w:rsidTr="00BB280B">
        <w:trPr>
          <w:trHeight w:val="20"/>
        </w:trPr>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6E91A"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A7726F">
              <w:rPr>
                <w:color w:val="000000" w:themeColor="text1"/>
                <w:sz w:val="22"/>
              </w:rPr>
              <w:t>EquityAlliance_Indicator</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95659"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2,102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26E3F"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0.029</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C3F87"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0.167</w:t>
            </w:r>
          </w:p>
        </w:tc>
        <w:tc>
          <w:tcPr>
            <w:tcW w:w="1134" w:type="dxa"/>
            <w:tcBorders>
              <w:top w:val="none" w:sz="0" w:space="0" w:color="000000"/>
              <w:left w:val="none" w:sz="0" w:space="0" w:color="000000"/>
              <w:bottom w:val="none" w:sz="0" w:space="0" w:color="000000"/>
              <w:right w:val="none" w:sz="0" w:space="0" w:color="000000"/>
            </w:tcBorders>
            <w:shd w:val="clear" w:color="auto" w:fill="FFFFFF"/>
          </w:tcPr>
          <w:p w14:paraId="1D1DF350"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C12AA"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1</w:t>
            </w:r>
          </w:p>
        </w:tc>
      </w:tr>
      <w:tr w:rsidR="00A71058" w:rsidRPr="00A7726F" w14:paraId="06993DDD" w14:textId="77777777" w:rsidTr="00BB280B">
        <w:trPr>
          <w:trHeight w:val="20"/>
        </w:trPr>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286A5"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A7726F">
              <w:rPr>
                <w:color w:val="000000" w:themeColor="text1"/>
                <w:sz w:val="22"/>
              </w:rPr>
              <w:t>TechnologyAlliance_Indicator</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44AB2"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2,102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27816"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0.406</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5D3B5"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0.491</w:t>
            </w:r>
          </w:p>
        </w:tc>
        <w:tc>
          <w:tcPr>
            <w:tcW w:w="1134" w:type="dxa"/>
            <w:tcBorders>
              <w:top w:val="none" w:sz="0" w:space="0" w:color="000000"/>
              <w:left w:val="none" w:sz="0" w:space="0" w:color="000000"/>
              <w:bottom w:val="none" w:sz="0" w:space="0" w:color="000000"/>
              <w:right w:val="none" w:sz="0" w:space="0" w:color="000000"/>
            </w:tcBorders>
            <w:shd w:val="clear" w:color="auto" w:fill="FFFFFF"/>
          </w:tcPr>
          <w:p w14:paraId="19B7C05D"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B820F"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1</w:t>
            </w:r>
          </w:p>
        </w:tc>
      </w:tr>
      <w:tr w:rsidR="00A71058" w:rsidRPr="00A7726F" w14:paraId="58B4A878" w14:textId="77777777" w:rsidTr="00BB280B">
        <w:trPr>
          <w:trHeight w:val="20"/>
        </w:trPr>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6F48B"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A7726F">
              <w:rPr>
                <w:color w:val="000000" w:themeColor="text1"/>
                <w:sz w:val="22"/>
              </w:rPr>
              <w:t>ExplorationAlliance_Indicator</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04740"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2,102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A120E"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0.521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37894"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0.500</w:t>
            </w:r>
          </w:p>
        </w:tc>
        <w:tc>
          <w:tcPr>
            <w:tcW w:w="1134" w:type="dxa"/>
            <w:tcBorders>
              <w:top w:val="none" w:sz="0" w:space="0" w:color="000000"/>
              <w:left w:val="none" w:sz="0" w:space="0" w:color="000000"/>
              <w:bottom w:val="none" w:sz="0" w:space="0" w:color="000000"/>
              <w:right w:val="none" w:sz="0" w:space="0" w:color="000000"/>
            </w:tcBorders>
            <w:shd w:val="clear" w:color="auto" w:fill="FFFFFF"/>
          </w:tcPr>
          <w:p w14:paraId="1685A946"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B9E4D"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1</w:t>
            </w:r>
          </w:p>
        </w:tc>
      </w:tr>
      <w:tr w:rsidR="00A71058" w:rsidRPr="00A7726F" w14:paraId="28CC54B0" w14:textId="77777777" w:rsidTr="00BB280B">
        <w:trPr>
          <w:trHeight w:val="20"/>
        </w:trPr>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FDBC9"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A7726F">
              <w:rPr>
                <w:color w:val="000000" w:themeColor="text1"/>
                <w:sz w:val="22"/>
              </w:rPr>
              <w:t>InternationalAlliance_Indicator</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F7FD7"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2,102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8426F"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0.153</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9624E"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0.360</w:t>
            </w:r>
          </w:p>
        </w:tc>
        <w:tc>
          <w:tcPr>
            <w:tcW w:w="1134" w:type="dxa"/>
            <w:tcBorders>
              <w:top w:val="none" w:sz="0" w:space="0" w:color="000000"/>
              <w:left w:val="none" w:sz="0" w:space="0" w:color="000000"/>
              <w:bottom w:val="none" w:sz="0" w:space="0" w:color="000000"/>
              <w:right w:val="none" w:sz="0" w:space="0" w:color="000000"/>
            </w:tcBorders>
            <w:shd w:val="clear" w:color="auto" w:fill="FFFFFF"/>
          </w:tcPr>
          <w:p w14:paraId="628D3D33"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1B8D3"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1</w:t>
            </w:r>
          </w:p>
        </w:tc>
      </w:tr>
      <w:tr w:rsidR="00A71058" w:rsidRPr="00A7726F" w14:paraId="17F77D70" w14:textId="77777777" w:rsidTr="00BB280B">
        <w:trPr>
          <w:trHeight w:val="20"/>
        </w:trPr>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9BC34"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A7726F">
              <w:rPr>
                <w:color w:val="000000" w:themeColor="text1"/>
                <w:sz w:val="22"/>
              </w:rPr>
              <w:t>HorizontalAlliance_Indicator</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5EFAE"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2,102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8C96B"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0.235</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3D43B"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0.424</w:t>
            </w:r>
          </w:p>
        </w:tc>
        <w:tc>
          <w:tcPr>
            <w:tcW w:w="1134" w:type="dxa"/>
            <w:tcBorders>
              <w:top w:val="none" w:sz="0" w:space="0" w:color="000000"/>
              <w:left w:val="none" w:sz="0" w:space="0" w:color="000000"/>
              <w:bottom w:val="none" w:sz="0" w:space="0" w:color="000000"/>
              <w:right w:val="none" w:sz="0" w:space="0" w:color="000000"/>
            </w:tcBorders>
            <w:shd w:val="clear" w:color="auto" w:fill="FFFFFF"/>
          </w:tcPr>
          <w:p w14:paraId="37A1A46A"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D4D33"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1</w:t>
            </w:r>
          </w:p>
        </w:tc>
      </w:tr>
      <w:tr w:rsidR="00A71058" w:rsidRPr="00A7726F" w14:paraId="2C08B0E4" w14:textId="77777777" w:rsidTr="00BB280B">
        <w:trPr>
          <w:trHeight w:val="20"/>
        </w:trPr>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3F859"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b/>
                <w:bCs/>
                <w:color w:val="000000" w:themeColor="text1"/>
                <w:sz w:val="22"/>
              </w:rPr>
            </w:pPr>
            <w:r w:rsidRPr="00A7726F">
              <w:rPr>
                <w:b/>
                <w:bCs/>
                <w:color w:val="000000" w:themeColor="text1"/>
                <w:sz w:val="22"/>
              </w:rPr>
              <w:t>Industry-level controls</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B2CD3"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360DB"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7B954"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Pr>
          <w:p w14:paraId="315DAA73"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0DCEF"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p>
        </w:tc>
      </w:tr>
      <w:tr w:rsidR="00A71058" w:rsidRPr="00A7726F" w14:paraId="2332FE60" w14:textId="77777777" w:rsidTr="00BB280B">
        <w:trPr>
          <w:trHeight w:val="20"/>
        </w:trPr>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6DC3D"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A7726F">
              <w:rPr>
                <w:color w:val="000000" w:themeColor="text1"/>
                <w:sz w:val="22"/>
              </w:rPr>
              <w:t>Industry_RelatedScope</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BFFF4"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2,102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70DC7"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5.173</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878D7"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3.667</w:t>
            </w:r>
          </w:p>
        </w:tc>
        <w:tc>
          <w:tcPr>
            <w:tcW w:w="1134" w:type="dxa"/>
            <w:tcBorders>
              <w:top w:val="none" w:sz="0" w:space="0" w:color="000000"/>
              <w:left w:val="none" w:sz="0" w:space="0" w:color="000000"/>
              <w:bottom w:val="none" w:sz="0" w:space="0" w:color="000000"/>
              <w:right w:val="none" w:sz="0" w:space="0" w:color="000000"/>
            </w:tcBorders>
            <w:shd w:val="clear" w:color="auto" w:fill="FFFFFF"/>
          </w:tcPr>
          <w:p w14:paraId="03F0992A"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0978E"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24</w:t>
            </w:r>
          </w:p>
        </w:tc>
      </w:tr>
      <w:tr w:rsidR="00A71058" w:rsidRPr="00A7726F" w14:paraId="4ABCECB7" w14:textId="77777777" w:rsidTr="00BB280B">
        <w:trPr>
          <w:trHeight w:val="20"/>
        </w:trPr>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56FE7"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A7726F">
              <w:rPr>
                <w:color w:val="000000" w:themeColor="text1"/>
                <w:sz w:val="22"/>
              </w:rPr>
              <w:t>Industry_Complementarity</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2F89D"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2,102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87713"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0.813</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CFE28"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0.265</w:t>
            </w:r>
          </w:p>
        </w:tc>
        <w:tc>
          <w:tcPr>
            <w:tcW w:w="1134" w:type="dxa"/>
            <w:tcBorders>
              <w:top w:val="none" w:sz="0" w:space="0" w:color="000000"/>
              <w:left w:val="none" w:sz="0" w:space="0" w:color="000000"/>
              <w:bottom w:val="none" w:sz="0" w:space="0" w:color="000000"/>
              <w:right w:val="none" w:sz="0" w:space="0" w:color="000000"/>
            </w:tcBorders>
            <w:shd w:val="clear" w:color="auto" w:fill="FFFFFF"/>
          </w:tcPr>
          <w:p w14:paraId="6CAEE75F"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F131D"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1</w:t>
            </w:r>
          </w:p>
        </w:tc>
      </w:tr>
      <w:tr w:rsidR="00A71058" w:rsidRPr="00A7726F" w14:paraId="25C94C30" w14:textId="77777777" w:rsidTr="00BB280B">
        <w:trPr>
          <w:trHeight w:val="20"/>
        </w:trPr>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216A0"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A7726F">
              <w:rPr>
                <w:color w:val="000000" w:themeColor="text1"/>
                <w:sz w:val="22"/>
              </w:rPr>
              <w:t>Industry_Growth</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AD26A"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2,102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701A0"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0.265</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63E27"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0.318</w:t>
            </w:r>
          </w:p>
        </w:tc>
        <w:tc>
          <w:tcPr>
            <w:tcW w:w="1134" w:type="dxa"/>
            <w:tcBorders>
              <w:top w:val="none" w:sz="0" w:space="0" w:color="000000"/>
              <w:left w:val="none" w:sz="0" w:space="0" w:color="000000"/>
              <w:bottom w:val="none" w:sz="0" w:space="0" w:color="000000"/>
              <w:right w:val="none" w:sz="0" w:space="0" w:color="000000"/>
            </w:tcBorders>
            <w:shd w:val="clear" w:color="auto" w:fill="FFFFFF"/>
          </w:tcPr>
          <w:p w14:paraId="7E3B2EA3"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-0.014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92691"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1.221</w:t>
            </w:r>
          </w:p>
        </w:tc>
      </w:tr>
      <w:tr w:rsidR="00A71058" w:rsidRPr="00A7726F" w14:paraId="0CE31D0B" w14:textId="77777777" w:rsidTr="00BB280B">
        <w:trPr>
          <w:trHeight w:val="20"/>
        </w:trPr>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C9A2A"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A7726F">
              <w:rPr>
                <w:color w:val="000000" w:themeColor="text1"/>
                <w:sz w:val="22"/>
              </w:rPr>
              <w:t>Year</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31718"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2,102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9EBC0"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2,009.744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62481"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5.573</w:t>
            </w:r>
          </w:p>
        </w:tc>
        <w:tc>
          <w:tcPr>
            <w:tcW w:w="1134" w:type="dxa"/>
            <w:tcBorders>
              <w:top w:val="none" w:sz="0" w:space="0" w:color="000000"/>
              <w:left w:val="none" w:sz="0" w:space="0" w:color="000000"/>
              <w:bottom w:val="none" w:sz="0" w:space="0" w:color="000000"/>
              <w:right w:val="none" w:sz="0" w:space="0" w:color="000000"/>
            </w:tcBorders>
            <w:shd w:val="clear" w:color="auto" w:fill="FFFFFF"/>
          </w:tcPr>
          <w:p w14:paraId="6FD33729"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2,002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818FB"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2,021</w:t>
            </w:r>
          </w:p>
        </w:tc>
      </w:tr>
      <w:tr w:rsidR="00A71058" w:rsidRPr="00A7726F" w14:paraId="2850ECED" w14:textId="77777777" w:rsidTr="00BB280B">
        <w:trPr>
          <w:trHeight w:val="20"/>
        </w:trPr>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DE9E3"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b/>
                <w:bCs/>
                <w:color w:val="000000" w:themeColor="text1"/>
                <w:sz w:val="22"/>
              </w:rPr>
            </w:pPr>
            <w:r w:rsidRPr="00A7726F">
              <w:rPr>
                <w:b/>
                <w:bCs/>
                <w:color w:val="000000" w:themeColor="text1"/>
                <w:sz w:val="22"/>
              </w:rPr>
              <w:t>Robustness check variables</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2A0D2"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0A622"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213FC"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Pr>
          <w:p w14:paraId="2CB575C7"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414DB"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p>
        </w:tc>
      </w:tr>
      <w:tr w:rsidR="00A71058" w:rsidRPr="00A7726F" w14:paraId="7E71E02E" w14:textId="77777777" w:rsidTr="00BB280B">
        <w:trPr>
          <w:trHeight w:val="20"/>
        </w:trPr>
        <w:tc>
          <w:tcPr>
            <w:tcW w:w="3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E11FF"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A7726F">
              <w:rPr>
                <w:color w:val="000000" w:themeColor="text1"/>
                <w:sz w:val="22"/>
              </w:rPr>
              <w:t>Relative_CEODuality</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52B92"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1,528</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541E8"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0.452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E07CB"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0.498</w:t>
            </w:r>
          </w:p>
        </w:tc>
        <w:tc>
          <w:tcPr>
            <w:tcW w:w="1134" w:type="dxa"/>
            <w:tcBorders>
              <w:top w:val="none" w:sz="0" w:space="0" w:color="000000"/>
              <w:left w:val="none" w:sz="0" w:space="0" w:color="000000"/>
              <w:bottom w:val="none" w:sz="0" w:space="0" w:color="000000"/>
              <w:right w:val="none" w:sz="0" w:space="0" w:color="000000"/>
            </w:tcBorders>
            <w:shd w:val="clear" w:color="auto" w:fill="FFFFFF"/>
          </w:tcPr>
          <w:p w14:paraId="683DDE85"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E8430"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1</w:t>
            </w:r>
          </w:p>
        </w:tc>
      </w:tr>
      <w:tr w:rsidR="00A71058" w:rsidRPr="00A7726F" w14:paraId="0A2ECE6C" w14:textId="77777777" w:rsidTr="00BB280B">
        <w:trPr>
          <w:trHeight w:val="20"/>
        </w:trPr>
        <w:tc>
          <w:tcPr>
            <w:tcW w:w="3402"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tcPr>
          <w:p w14:paraId="71B22E22"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A7726F">
              <w:rPr>
                <w:color w:val="000000" w:themeColor="text1"/>
                <w:sz w:val="22"/>
              </w:rPr>
              <w:t>Relative_AnalystCoverage</w:t>
            </w:r>
          </w:p>
        </w:tc>
        <w:tc>
          <w:tcPr>
            <w:tcW w:w="1134"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tcPr>
          <w:p w14:paraId="5BA0BE11"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1,788</w:t>
            </w:r>
          </w:p>
        </w:tc>
        <w:tc>
          <w:tcPr>
            <w:tcW w:w="1134"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tcPr>
          <w:p w14:paraId="40A88BC9"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7.646</w:t>
            </w:r>
          </w:p>
        </w:tc>
        <w:tc>
          <w:tcPr>
            <w:tcW w:w="1134"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tcPr>
          <w:p w14:paraId="1D07704B"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12.833</w:t>
            </w:r>
          </w:p>
        </w:tc>
        <w:tc>
          <w:tcPr>
            <w:tcW w:w="1134" w:type="dxa"/>
            <w:tcBorders>
              <w:top w:val="none" w:sz="0" w:space="0" w:color="000000"/>
              <w:left w:val="none" w:sz="0" w:space="0" w:color="000000"/>
              <w:right w:val="none" w:sz="0" w:space="0" w:color="000000"/>
            </w:tcBorders>
            <w:shd w:val="clear" w:color="auto" w:fill="FFFFFF"/>
          </w:tcPr>
          <w:p w14:paraId="416BB1A8"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1</w:t>
            </w:r>
          </w:p>
        </w:tc>
        <w:tc>
          <w:tcPr>
            <w:tcW w:w="1134"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tcPr>
          <w:p w14:paraId="5B8B4DA6"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90.000</w:t>
            </w:r>
          </w:p>
        </w:tc>
      </w:tr>
      <w:tr w:rsidR="00A71058" w:rsidRPr="00A7726F" w14:paraId="52D72A73" w14:textId="77777777" w:rsidTr="00BB280B">
        <w:trPr>
          <w:trHeight w:val="20"/>
        </w:trPr>
        <w:tc>
          <w:tcPr>
            <w:tcW w:w="3402" w:type="dxa"/>
            <w:tcBorders>
              <w:bottom w:val="single" w:sz="4" w:space="0" w:color="auto"/>
            </w:tcBorders>
            <w:shd w:val="clear" w:color="auto" w:fill="FFFFFF"/>
            <w:tcMar>
              <w:top w:w="0" w:type="dxa"/>
              <w:left w:w="0" w:type="dxa"/>
              <w:bottom w:w="0" w:type="dxa"/>
              <w:right w:w="0" w:type="dxa"/>
            </w:tcMar>
          </w:tcPr>
          <w:p w14:paraId="40B1B50A"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A7726F">
              <w:rPr>
                <w:color w:val="000000" w:themeColor="text1"/>
                <w:sz w:val="22"/>
              </w:rPr>
              <w:t>Relative_AnnualStockPriceVolatility</w:t>
            </w:r>
          </w:p>
        </w:tc>
        <w:tc>
          <w:tcPr>
            <w:tcW w:w="1134" w:type="dxa"/>
            <w:tcBorders>
              <w:bottom w:val="single" w:sz="4" w:space="0" w:color="auto"/>
            </w:tcBorders>
            <w:shd w:val="clear" w:color="auto" w:fill="FFFFFF"/>
            <w:tcMar>
              <w:top w:w="0" w:type="dxa"/>
              <w:left w:w="0" w:type="dxa"/>
              <w:bottom w:w="0" w:type="dxa"/>
              <w:right w:w="0" w:type="dxa"/>
            </w:tcMar>
          </w:tcPr>
          <w:p w14:paraId="7C7B161F"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2,102</w:t>
            </w:r>
          </w:p>
        </w:tc>
        <w:tc>
          <w:tcPr>
            <w:tcW w:w="1134" w:type="dxa"/>
            <w:tcBorders>
              <w:bottom w:val="single" w:sz="4" w:space="0" w:color="auto"/>
            </w:tcBorders>
            <w:shd w:val="clear" w:color="auto" w:fill="FFFFFF"/>
            <w:tcMar>
              <w:top w:w="0" w:type="dxa"/>
              <w:left w:w="0" w:type="dxa"/>
              <w:bottom w:w="0" w:type="dxa"/>
              <w:right w:w="0" w:type="dxa"/>
            </w:tcMar>
          </w:tcPr>
          <w:p w14:paraId="190CAD22"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2.710</w:t>
            </w:r>
          </w:p>
        </w:tc>
        <w:tc>
          <w:tcPr>
            <w:tcW w:w="1134" w:type="dxa"/>
            <w:tcBorders>
              <w:bottom w:val="single" w:sz="4" w:space="0" w:color="auto"/>
            </w:tcBorders>
            <w:shd w:val="clear" w:color="auto" w:fill="FFFFFF"/>
            <w:tcMar>
              <w:top w:w="0" w:type="dxa"/>
              <w:left w:w="0" w:type="dxa"/>
              <w:bottom w:w="0" w:type="dxa"/>
              <w:right w:w="0" w:type="dxa"/>
            </w:tcMar>
          </w:tcPr>
          <w:p w14:paraId="165AAD39"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8.040</w:t>
            </w:r>
          </w:p>
        </w:tc>
        <w:tc>
          <w:tcPr>
            <w:tcW w:w="1134" w:type="dxa"/>
            <w:tcBorders>
              <w:bottom w:val="single" w:sz="4" w:space="0" w:color="auto"/>
            </w:tcBorders>
            <w:shd w:val="clear" w:color="auto" w:fill="FFFFFF"/>
          </w:tcPr>
          <w:p w14:paraId="2FB41C34"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1</w:t>
            </w:r>
          </w:p>
        </w:tc>
        <w:tc>
          <w:tcPr>
            <w:tcW w:w="1134" w:type="dxa"/>
            <w:tcBorders>
              <w:bottom w:val="single" w:sz="4" w:space="0" w:color="auto"/>
            </w:tcBorders>
            <w:shd w:val="clear" w:color="auto" w:fill="FFFFFF"/>
            <w:tcMar>
              <w:top w:w="0" w:type="dxa"/>
              <w:left w:w="0" w:type="dxa"/>
              <w:bottom w:w="0" w:type="dxa"/>
              <w:right w:w="0" w:type="dxa"/>
            </w:tcMar>
          </w:tcPr>
          <w:p w14:paraId="2BAACF15" w14:textId="77777777" w:rsidR="00A71058" w:rsidRPr="00A7726F" w:rsidRDefault="00A71058"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A7726F">
              <w:rPr>
                <w:color w:val="000000" w:themeColor="text1"/>
                <w:sz w:val="22"/>
              </w:rPr>
              <w:t>69.400</w:t>
            </w:r>
          </w:p>
        </w:tc>
      </w:tr>
    </w:tbl>
    <w:p w14:paraId="25BBF9EF" w14:textId="77777777" w:rsidR="00403DA7" w:rsidRDefault="00403DA7" w:rsidP="00403DA7">
      <w:pPr>
        <w:spacing w:line="240" w:lineRule="auto"/>
        <w:jc w:val="left"/>
        <w:rPr>
          <w:rFonts w:ascii="Segoe UI" w:hAnsi="Segoe UI" w:cs="Calibri"/>
          <w:color w:val="000000" w:themeColor="text1"/>
          <w:lang w:val="en-US"/>
        </w:rPr>
      </w:pPr>
    </w:p>
    <w:p w14:paraId="19E7DEEB" w14:textId="77777777" w:rsidR="00A71058" w:rsidRDefault="00A71058" w:rsidP="00403DA7">
      <w:pPr>
        <w:spacing w:line="240" w:lineRule="auto"/>
        <w:jc w:val="left"/>
        <w:rPr>
          <w:rFonts w:ascii="Segoe UI" w:hAnsi="Segoe UI" w:cs="Calibri"/>
          <w:color w:val="000000" w:themeColor="text1"/>
          <w:lang w:val="en-US"/>
        </w:rPr>
        <w:sectPr w:rsidR="00A71058" w:rsidSect="00794C6C">
          <w:headerReference w:type="even" r:id="rId37"/>
          <w:headerReference w:type="default" r:id="rId38"/>
          <w:footerReference w:type="even" r:id="rId39"/>
          <w:footerReference w:type="default" r:id="rId40"/>
          <w:headerReference w:type="first" r:id="rId41"/>
          <w:footerReference w:type="first" r:id="rId42"/>
          <w:pgSz w:w="11906" w:h="16838"/>
          <w:pgMar w:top="1417" w:right="1417" w:bottom="1134" w:left="1417" w:header="709" w:footer="709" w:gutter="0"/>
          <w:cols w:space="708"/>
          <w:docGrid w:linePitch="360"/>
        </w:sectPr>
      </w:pPr>
    </w:p>
    <w:p w14:paraId="7F21E618" w14:textId="77777777" w:rsidR="00A71058" w:rsidRDefault="00A71058" w:rsidP="00A71058">
      <w:pPr>
        <w:pStyle w:val="1fake"/>
      </w:pPr>
      <w:r w:rsidRPr="0082138A">
        <w:lastRenderedPageBreak/>
        <w:t xml:space="preserve">TABLE </w:t>
      </w:r>
      <w:r>
        <w:t>4</w:t>
      </w:r>
    </w:p>
    <w:p w14:paraId="6E304194" w14:textId="2ADDB645" w:rsidR="00A71058" w:rsidRPr="001C6D7F" w:rsidRDefault="00A71058" w:rsidP="00A71058">
      <w:pPr>
        <w:pStyle w:val="Tabellenberschriften2"/>
        <w:rPr>
          <w:color w:val="000000" w:themeColor="text1"/>
        </w:rPr>
      </w:pPr>
      <w:bookmarkStart w:id="393" w:name="_Toc180594816"/>
      <w:r>
        <w:t xml:space="preserve">T - II - </w:t>
      </w:r>
      <w:r>
        <w:fldChar w:fldCharType="begin"/>
      </w:r>
      <w:r w:rsidRPr="00814CD2">
        <w:instrText xml:space="preserve"> SEQ T_-_II_- \* ARABIC </w:instrText>
      </w:r>
      <w:r>
        <w:fldChar w:fldCharType="separate"/>
      </w:r>
      <w:r w:rsidR="00E91088">
        <w:rPr>
          <w:noProof/>
        </w:rPr>
        <w:t>4</w:t>
      </w:r>
      <w:r>
        <w:fldChar w:fldCharType="end"/>
      </w:r>
      <w:r>
        <w:t xml:space="preserve">: </w:t>
      </w:r>
      <w:r w:rsidRPr="001C6D7F">
        <w:rPr>
          <w:color w:val="000000" w:themeColor="text1"/>
        </w:rPr>
        <w:t xml:space="preserve">Correlation </w:t>
      </w:r>
      <w:r w:rsidR="00DB5DA3">
        <w:rPr>
          <w:color w:val="000000" w:themeColor="text1"/>
        </w:rPr>
        <w:t>m</w:t>
      </w:r>
      <w:r w:rsidRPr="001C6D7F">
        <w:rPr>
          <w:color w:val="000000" w:themeColor="text1"/>
        </w:rPr>
        <w:t>atrix</w:t>
      </w:r>
      <w:bookmarkEnd w:id="393"/>
    </w:p>
    <w:tbl>
      <w:tblPr>
        <w:tblW w:w="14175" w:type="dxa"/>
        <w:jc w:val="center"/>
        <w:tblLayout w:type="fixed"/>
        <w:tblCellMar>
          <w:left w:w="28" w:type="dxa"/>
          <w:right w:w="28" w:type="dxa"/>
        </w:tblCellMar>
        <w:tblLook w:val="04A0" w:firstRow="1" w:lastRow="0" w:firstColumn="1" w:lastColumn="0" w:noHBand="0" w:noVBand="1"/>
      </w:tblPr>
      <w:tblGrid>
        <w:gridCol w:w="885"/>
        <w:gridCol w:w="4145"/>
        <w:gridCol w:w="652"/>
        <w:gridCol w:w="652"/>
        <w:gridCol w:w="654"/>
        <w:gridCol w:w="653"/>
        <w:gridCol w:w="653"/>
        <w:gridCol w:w="654"/>
        <w:gridCol w:w="653"/>
        <w:gridCol w:w="653"/>
        <w:gridCol w:w="654"/>
        <w:gridCol w:w="653"/>
        <w:gridCol w:w="653"/>
        <w:gridCol w:w="654"/>
        <w:gridCol w:w="653"/>
        <w:gridCol w:w="654"/>
      </w:tblGrid>
      <w:tr w:rsidR="00A7726F" w:rsidRPr="007115F2" w14:paraId="1BC67B70" w14:textId="77777777" w:rsidTr="00D137E4">
        <w:trPr>
          <w:trHeight w:val="20"/>
          <w:jc w:val="center"/>
        </w:trPr>
        <w:tc>
          <w:tcPr>
            <w:tcW w:w="921" w:type="dxa"/>
            <w:tcBorders>
              <w:top w:val="single" w:sz="4" w:space="0" w:color="auto"/>
              <w:bottom w:val="single" w:sz="4" w:space="0" w:color="auto"/>
            </w:tcBorders>
            <w:vAlign w:val="center"/>
          </w:tcPr>
          <w:p w14:paraId="564A0A56" w14:textId="77777777" w:rsidR="00A7726F" w:rsidRPr="007115F2" w:rsidRDefault="00A7726F" w:rsidP="00D137E4">
            <w:pPr>
              <w:widowControl w:val="0"/>
              <w:autoSpaceDE w:val="0"/>
              <w:autoSpaceDN w:val="0"/>
              <w:adjustRightInd w:val="0"/>
              <w:spacing w:line="240" w:lineRule="auto"/>
              <w:jc w:val="left"/>
              <w:rPr>
                <w:b/>
                <w:bCs/>
                <w:color w:val="000000" w:themeColor="text1"/>
                <w:sz w:val="22"/>
              </w:rPr>
            </w:pPr>
            <w:r w:rsidRPr="007115F2">
              <w:rPr>
                <w:b/>
                <w:bCs/>
                <w:color w:val="000000" w:themeColor="text1"/>
                <w:sz w:val="22"/>
              </w:rPr>
              <w:t>#</w:t>
            </w:r>
          </w:p>
        </w:tc>
        <w:tc>
          <w:tcPr>
            <w:tcW w:w="4324" w:type="dxa"/>
            <w:tcBorders>
              <w:top w:val="single" w:sz="4" w:space="0" w:color="auto"/>
              <w:bottom w:val="single" w:sz="4" w:space="0" w:color="auto"/>
            </w:tcBorders>
            <w:vAlign w:val="center"/>
          </w:tcPr>
          <w:p w14:paraId="717B623A" w14:textId="77777777" w:rsidR="00A7726F" w:rsidRPr="007115F2" w:rsidRDefault="00A7726F" w:rsidP="007C051A">
            <w:pPr>
              <w:widowControl w:val="0"/>
              <w:autoSpaceDE w:val="0"/>
              <w:autoSpaceDN w:val="0"/>
              <w:adjustRightInd w:val="0"/>
              <w:spacing w:line="240" w:lineRule="auto"/>
              <w:jc w:val="left"/>
              <w:rPr>
                <w:b/>
                <w:bCs/>
                <w:color w:val="000000" w:themeColor="text1"/>
                <w:sz w:val="22"/>
              </w:rPr>
            </w:pPr>
            <w:r w:rsidRPr="007115F2">
              <w:rPr>
                <w:b/>
                <w:bCs/>
                <w:color w:val="000000" w:themeColor="text1"/>
                <w:sz w:val="22"/>
              </w:rPr>
              <w:t>Variable</w:t>
            </w:r>
          </w:p>
        </w:tc>
        <w:tc>
          <w:tcPr>
            <w:tcW w:w="678" w:type="dxa"/>
            <w:tcBorders>
              <w:top w:val="single" w:sz="4" w:space="0" w:color="auto"/>
              <w:bottom w:val="single" w:sz="4" w:space="0" w:color="auto"/>
            </w:tcBorders>
            <w:vAlign w:val="center"/>
          </w:tcPr>
          <w:p w14:paraId="257434DF" w14:textId="77777777" w:rsidR="00A7726F" w:rsidRPr="007115F2" w:rsidRDefault="00A7726F" w:rsidP="007C051A">
            <w:pPr>
              <w:widowControl w:val="0"/>
              <w:autoSpaceDE w:val="0"/>
              <w:autoSpaceDN w:val="0"/>
              <w:adjustRightInd w:val="0"/>
              <w:spacing w:line="240" w:lineRule="auto"/>
              <w:jc w:val="right"/>
              <w:rPr>
                <w:b/>
                <w:bCs/>
                <w:color w:val="000000" w:themeColor="text1"/>
                <w:sz w:val="22"/>
              </w:rPr>
            </w:pPr>
            <w:r w:rsidRPr="007115F2">
              <w:rPr>
                <w:b/>
                <w:bCs/>
                <w:color w:val="000000" w:themeColor="text1"/>
                <w:sz w:val="22"/>
              </w:rPr>
              <w:t>(1)</w:t>
            </w:r>
          </w:p>
        </w:tc>
        <w:tc>
          <w:tcPr>
            <w:tcW w:w="678" w:type="dxa"/>
            <w:tcBorders>
              <w:top w:val="single" w:sz="4" w:space="0" w:color="auto"/>
              <w:bottom w:val="single" w:sz="4" w:space="0" w:color="auto"/>
            </w:tcBorders>
            <w:vAlign w:val="center"/>
          </w:tcPr>
          <w:p w14:paraId="761D14C4" w14:textId="77777777" w:rsidR="00A7726F" w:rsidRPr="007115F2" w:rsidRDefault="00A7726F" w:rsidP="007C051A">
            <w:pPr>
              <w:widowControl w:val="0"/>
              <w:autoSpaceDE w:val="0"/>
              <w:autoSpaceDN w:val="0"/>
              <w:adjustRightInd w:val="0"/>
              <w:spacing w:line="240" w:lineRule="auto"/>
              <w:jc w:val="right"/>
              <w:rPr>
                <w:b/>
                <w:bCs/>
                <w:color w:val="000000" w:themeColor="text1"/>
                <w:sz w:val="22"/>
              </w:rPr>
            </w:pPr>
            <w:r w:rsidRPr="007115F2">
              <w:rPr>
                <w:b/>
                <w:bCs/>
                <w:color w:val="000000" w:themeColor="text1"/>
                <w:sz w:val="22"/>
              </w:rPr>
              <w:t>(2)</w:t>
            </w:r>
          </w:p>
        </w:tc>
        <w:tc>
          <w:tcPr>
            <w:tcW w:w="679" w:type="dxa"/>
            <w:tcBorders>
              <w:top w:val="single" w:sz="4" w:space="0" w:color="auto"/>
              <w:bottom w:val="single" w:sz="4" w:space="0" w:color="auto"/>
            </w:tcBorders>
            <w:vAlign w:val="center"/>
          </w:tcPr>
          <w:p w14:paraId="54B2A787" w14:textId="77777777" w:rsidR="00A7726F" w:rsidRPr="007115F2" w:rsidRDefault="00A7726F" w:rsidP="007C051A">
            <w:pPr>
              <w:widowControl w:val="0"/>
              <w:autoSpaceDE w:val="0"/>
              <w:autoSpaceDN w:val="0"/>
              <w:adjustRightInd w:val="0"/>
              <w:spacing w:line="240" w:lineRule="auto"/>
              <w:jc w:val="right"/>
              <w:rPr>
                <w:b/>
                <w:bCs/>
                <w:color w:val="000000" w:themeColor="text1"/>
                <w:sz w:val="22"/>
              </w:rPr>
            </w:pPr>
            <w:r w:rsidRPr="007115F2">
              <w:rPr>
                <w:b/>
                <w:bCs/>
                <w:color w:val="000000" w:themeColor="text1"/>
                <w:sz w:val="22"/>
              </w:rPr>
              <w:t>(3)</w:t>
            </w:r>
          </w:p>
        </w:tc>
        <w:tc>
          <w:tcPr>
            <w:tcW w:w="678" w:type="dxa"/>
            <w:tcBorders>
              <w:top w:val="single" w:sz="4" w:space="0" w:color="auto"/>
              <w:bottom w:val="single" w:sz="4" w:space="0" w:color="auto"/>
            </w:tcBorders>
            <w:vAlign w:val="center"/>
          </w:tcPr>
          <w:p w14:paraId="64D1B77D" w14:textId="77777777" w:rsidR="00A7726F" w:rsidRPr="007115F2" w:rsidRDefault="00A7726F" w:rsidP="007C051A">
            <w:pPr>
              <w:widowControl w:val="0"/>
              <w:autoSpaceDE w:val="0"/>
              <w:autoSpaceDN w:val="0"/>
              <w:adjustRightInd w:val="0"/>
              <w:spacing w:line="240" w:lineRule="auto"/>
              <w:jc w:val="right"/>
              <w:rPr>
                <w:b/>
                <w:bCs/>
                <w:color w:val="000000" w:themeColor="text1"/>
                <w:sz w:val="22"/>
              </w:rPr>
            </w:pPr>
            <w:r w:rsidRPr="007115F2">
              <w:rPr>
                <w:b/>
                <w:bCs/>
                <w:color w:val="000000" w:themeColor="text1"/>
                <w:sz w:val="22"/>
              </w:rPr>
              <w:t>(4)</w:t>
            </w:r>
          </w:p>
        </w:tc>
        <w:tc>
          <w:tcPr>
            <w:tcW w:w="678" w:type="dxa"/>
            <w:tcBorders>
              <w:top w:val="single" w:sz="4" w:space="0" w:color="auto"/>
              <w:bottom w:val="single" w:sz="4" w:space="0" w:color="auto"/>
            </w:tcBorders>
            <w:vAlign w:val="center"/>
          </w:tcPr>
          <w:p w14:paraId="5C792142" w14:textId="77777777" w:rsidR="00A7726F" w:rsidRPr="007115F2" w:rsidRDefault="00A7726F" w:rsidP="007C051A">
            <w:pPr>
              <w:widowControl w:val="0"/>
              <w:autoSpaceDE w:val="0"/>
              <w:autoSpaceDN w:val="0"/>
              <w:adjustRightInd w:val="0"/>
              <w:spacing w:line="240" w:lineRule="auto"/>
              <w:jc w:val="right"/>
              <w:rPr>
                <w:b/>
                <w:bCs/>
                <w:color w:val="000000" w:themeColor="text1"/>
                <w:sz w:val="22"/>
              </w:rPr>
            </w:pPr>
            <w:r w:rsidRPr="007115F2">
              <w:rPr>
                <w:b/>
                <w:bCs/>
                <w:color w:val="000000" w:themeColor="text1"/>
                <w:sz w:val="22"/>
              </w:rPr>
              <w:t>(5)</w:t>
            </w:r>
          </w:p>
        </w:tc>
        <w:tc>
          <w:tcPr>
            <w:tcW w:w="679" w:type="dxa"/>
            <w:tcBorders>
              <w:top w:val="single" w:sz="4" w:space="0" w:color="auto"/>
              <w:bottom w:val="single" w:sz="4" w:space="0" w:color="auto"/>
            </w:tcBorders>
            <w:vAlign w:val="center"/>
          </w:tcPr>
          <w:p w14:paraId="2DFDBB91" w14:textId="77777777" w:rsidR="00A7726F" w:rsidRPr="007115F2" w:rsidRDefault="00A7726F" w:rsidP="007C051A">
            <w:pPr>
              <w:widowControl w:val="0"/>
              <w:autoSpaceDE w:val="0"/>
              <w:autoSpaceDN w:val="0"/>
              <w:adjustRightInd w:val="0"/>
              <w:spacing w:line="240" w:lineRule="auto"/>
              <w:jc w:val="right"/>
              <w:rPr>
                <w:b/>
                <w:bCs/>
                <w:color w:val="000000" w:themeColor="text1"/>
                <w:sz w:val="22"/>
              </w:rPr>
            </w:pPr>
            <w:r w:rsidRPr="007115F2">
              <w:rPr>
                <w:b/>
                <w:bCs/>
                <w:color w:val="000000" w:themeColor="text1"/>
                <w:sz w:val="22"/>
              </w:rPr>
              <w:t>(6)</w:t>
            </w:r>
          </w:p>
        </w:tc>
        <w:tc>
          <w:tcPr>
            <w:tcW w:w="678" w:type="dxa"/>
            <w:tcBorders>
              <w:top w:val="single" w:sz="4" w:space="0" w:color="auto"/>
              <w:bottom w:val="single" w:sz="4" w:space="0" w:color="auto"/>
            </w:tcBorders>
            <w:vAlign w:val="center"/>
          </w:tcPr>
          <w:p w14:paraId="7A11744D" w14:textId="77777777" w:rsidR="00A7726F" w:rsidRPr="007115F2" w:rsidRDefault="00A7726F" w:rsidP="007C051A">
            <w:pPr>
              <w:widowControl w:val="0"/>
              <w:autoSpaceDE w:val="0"/>
              <w:autoSpaceDN w:val="0"/>
              <w:adjustRightInd w:val="0"/>
              <w:spacing w:line="240" w:lineRule="auto"/>
              <w:jc w:val="right"/>
              <w:rPr>
                <w:b/>
                <w:bCs/>
                <w:color w:val="000000" w:themeColor="text1"/>
                <w:sz w:val="22"/>
              </w:rPr>
            </w:pPr>
            <w:r w:rsidRPr="007115F2">
              <w:rPr>
                <w:b/>
                <w:bCs/>
                <w:color w:val="000000" w:themeColor="text1"/>
                <w:sz w:val="22"/>
              </w:rPr>
              <w:t>(7)</w:t>
            </w:r>
          </w:p>
        </w:tc>
        <w:tc>
          <w:tcPr>
            <w:tcW w:w="678" w:type="dxa"/>
            <w:tcBorders>
              <w:top w:val="single" w:sz="4" w:space="0" w:color="auto"/>
              <w:bottom w:val="single" w:sz="4" w:space="0" w:color="auto"/>
            </w:tcBorders>
            <w:vAlign w:val="center"/>
          </w:tcPr>
          <w:p w14:paraId="0AA7AAE2" w14:textId="77777777" w:rsidR="00A7726F" w:rsidRPr="007115F2" w:rsidRDefault="00A7726F" w:rsidP="007C051A">
            <w:pPr>
              <w:widowControl w:val="0"/>
              <w:autoSpaceDE w:val="0"/>
              <w:autoSpaceDN w:val="0"/>
              <w:adjustRightInd w:val="0"/>
              <w:spacing w:line="240" w:lineRule="auto"/>
              <w:jc w:val="right"/>
              <w:rPr>
                <w:b/>
                <w:bCs/>
                <w:color w:val="000000" w:themeColor="text1"/>
                <w:sz w:val="22"/>
              </w:rPr>
            </w:pPr>
            <w:r w:rsidRPr="007115F2">
              <w:rPr>
                <w:b/>
                <w:bCs/>
                <w:color w:val="000000" w:themeColor="text1"/>
                <w:sz w:val="22"/>
              </w:rPr>
              <w:t>(8)</w:t>
            </w:r>
          </w:p>
        </w:tc>
        <w:tc>
          <w:tcPr>
            <w:tcW w:w="679" w:type="dxa"/>
            <w:tcBorders>
              <w:top w:val="single" w:sz="4" w:space="0" w:color="auto"/>
              <w:bottom w:val="single" w:sz="4" w:space="0" w:color="auto"/>
            </w:tcBorders>
            <w:vAlign w:val="center"/>
          </w:tcPr>
          <w:p w14:paraId="5D534BC9" w14:textId="77777777" w:rsidR="00A7726F" w:rsidRPr="007115F2" w:rsidRDefault="00A7726F" w:rsidP="007C051A">
            <w:pPr>
              <w:widowControl w:val="0"/>
              <w:autoSpaceDE w:val="0"/>
              <w:autoSpaceDN w:val="0"/>
              <w:adjustRightInd w:val="0"/>
              <w:spacing w:line="240" w:lineRule="auto"/>
              <w:jc w:val="right"/>
              <w:rPr>
                <w:b/>
                <w:bCs/>
                <w:color w:val="000000" w:themeColor="text1"/>
                <w:sz w:val="22"/>
              </w:rPr>
            </w:pPr>
            <w:r w:rsidRPr="007115F2">
              <w:rPr>
                <w:b/>
                <w:bCs/>
                <w:color w:val="000000" w:themeColor="text1"/>
                <w:sz w:val="22"/>
              </w:rPr>
              <w:t>(9)</w:t>
            </w:r>
          </w:p>
        </w:tc>
        <w:tc>
          <w:tcPr>
            <w:tcW w:w="678" w:type="dxa"/>
            <w:tcBorders>
              <w:top w:val="single" w:sz="4" w:space="0" w:color="auto"/>
              <w:bottom w:val="single" w:sz="4" w:space="0" w:color="auto"/>
            </w:tcBorders>
            <w:vAlign w:val="center"/>
          </w:tcPr>
          <w:p w14:paraId="5F8F33E3" w14:textId="77777777" w:rsidR="00A7726F" w:rsidRPr="007115F2" w:rsidRDefault="00A7726F" w:rsidP="007C051A">
            <w:pPr>
              <w:widowControl w:val="0"/>
              <w:autoSpaceDE w:val="0"/>
              <w:autoSpaceDN w:val="0"/>
              <w:adjustRightInd w:val="0"/>
              <w:spacing w:line="240" w:lineRule="auto"/>
              <w:jc w:val="right"/>
              <w:rPr>
                <w:b/>
                <w:bCs/>
                <w:color w:val="000000" w:themeColor="text1"/>
                <w:sz w:val="22"/>
              </w:rPr>
            </w:pPr>
            <w:r w:rsidRPr="007115F2">
              <w:rPr>
                <w:b/>
                <w:bCs/>
                <w:color w:val="000000" w:themeColor="text1"/>
                <w:sz w:val="22"/>
              </w:rPr>
              <w:t>(10)</w:t>
            </w:r>
          </w:p>
        </w:tc>
        <w:tc>
          <w:tcPr>
            <w:tcW w:w="678" w:type="dxa"/>
            <w:tcBorders>
              <w:top w:val="single" w:sz="4" w:space="0" w:color="auto"/>
              <w:bottom w:val="single" w:sz="4" w:space="0" w:color="auto"/>
            </w:tcBorders>
            <w:vAlign w:val="center"/>
          </w:tcPr>
          <w:p w14:paraId="13C66B73" w14:textId="77777777" w:rsidR="00A7726F" w:rsidRPr="007115F2" w:rsidRDefault="00A7726F" w:rsidP="007C051A">
            <w:pPr>
              <w:widowControl w:val="0"/>
              <w:autoSpaceDE w:val="0"/>
              <w:autoSpaceDN w:val="0"/>
              <w:adjustRightInd w:val="0"/>
              <w:spacing w:line="240" w:lineRule="auto"/>
              <w:jc w:val="right"/>
              <w:rPr>
                <w:b/>
                <w:bCs/>
                <w:color w:val="000000" w:themeColor="text1"/>
                <w:sz w:val="22"/>
              </w:rPr>
            </w:pPr>
            <w:r w:rsidRPr="007115F2">
              <w:rPr>
                <w:b/>
                <w:bCs/>
                <w:color w:val="000000" w:themeColor="text1"/>
                <w:sz w:val="22"/>
              </w:rPr>
              <w:t>(11)</w:t>
            </w:r>
          </w:p>
        </w:tc>
        <w:tc>
          <w:tcPr>
            <w:tcW w:w="679" w:type="dxa"/>
            <w:tcBorders>
              <w:top w:val="single" w:sz="4" w:space="0" w:color="auto"/>
              <w:bottom w:val="single" w:sz="4" w:space="0" w:color="auto"/>
            </w:tcBorders>
            <w:vAlign w:val="center"/>
          </w:tcPr>
          <w:p w14:paraId="3E14E867" w14:textId="77777777" w:rsidR="00A7726F" w:rsidRPr="007115F2" w:rsidRDefault="00A7726F" w:rsidP="007C051A">
            <w:pPr>
              <w:widowControl w:val="0"/>
              <w:autoSpaceDE w:val="0"/>
              <w:autoSpaceDN w:val="0"/>
              <w:adjustRightInd w:val="0"/>
              <w:spacing w:line="240" w:lineRule="auto"/>
              <w:jc w:val="right"/>
              <w:rPr>
                <w:b/>
                <w:bCs/>
                <w:color w:val="000000" w:themeColor="text1"/>
                <w:sz w:val="22"/>
              </w:rPr>
            </w:pPr>
            <w:r w:rsidRPr="007115F2">
              <w:rPr>
                <w:b/>
                <w:bCs/>
                <w:color w:val="000000" w:themeColor="text1"/>
                <w:sz w:val="22"/>
              </w:rPr>
              <w:t>(12)</w:t>
            </w:r>
          </w:p>
        </w:tc>
        <w:tc>
          <w:tcPr>
            <w:tcW w:w="678" w:type="dxa"/>
            <w:tcBorders>
              <w:top w:val="single" w:sz="4" w:space="0" w:color="auto"/>
              <w:bottom w:val="single" w:sz="4" w:space="0" w:color="auto"/>
            </w:tcBorders>
            <w:vAlign w:val="center"/>
          </w:tcPr>
          <w:p w14:paraId="43249827" w14:textId="77777777" w:rsidR="00A7726F" w:rsidRPr="007115F2" w:rsidRDefault="00A7726F" w:rsidP="007C051A">
            <w:pPr>
              <w:widowControl w:val="0"/>
              <w:autoSpaceDE w:val="0"/>
              <w:autoSpaceDN w:val="0"/>
              <w:adjustRightInd w:val="0"/>
              <w:spacing w:line="240" w:lineRule="auto"/>
              <w:jc w:val="right"/>
              <w:rPr>
                <w:b/>
                <w:bCs/>
                <w:color w:val="000000" w:themeColor="text1"/>
                <w:sz w:val="22"/>
              </w:rPr>
            </w:pPr>
            <w:r w:rsidRPr="007115F2">
              <w:rPr>
                <w:b/>
                <w:bCs/>
                <w:color w:val="000000" w:themeColor="text1"/>
                <w:sz w:val="22"/>
              </w:rPr>
              <w:t>(13)</w:t>
            </w:r>
          </w:p>
        </w:tc>
        <w:tc>
          <w:tcPr>
            <w:tcW w:w="679" w:type="dxa"/>
            <w:tcBorders>
              <w:top w:val="single" w:sz="4" w:space="0" w:color="auto"/>
              <w:bottom w:val="single" w:sz="4" w:space="0" w:color="auto"/>
            </w:tcBorders>
            <w:vAlign w:val="center"/>
          </w:tcPr>
          <w:p w14:paraId="6DEDD6BF" w14:textId="77777777" w:rsidR="00A7726F" w:rsidRPr="007115F2" w:rsidRDefault="00A7726F" w:rsidP="007C051A">
            <w:pPr>
              <w:widowControl w:val="0"/>
              <w:autoSpaceDE w:val="0"/>
              <w:autoSpaceDN w:val="0"/>
              <w:adjustRightInd w:val="0"/>
              <w:spacing w:line="240" w:lineRule="auto"/>
              <w:jc w:val="right"/>
              <w:rPr>
                <w:b/>
                <w:bCs/>
                <w:color w:val="000000" w:themeColor="text1"/>
                <w:sz w:val="22"/>
              </w:rPr>
            </w:pPr>
            <w:r w:rsidRPr="007115F2">
              <w:rPr>
                <w:b/>
                <w:bCs/>
                <w:color w:val="000000" w:themeColor="text1"/>
                <w:sz w:val="22"/>
              </w:rPr>
              <w:t>(14)</w:t>
            </w:r>
          </w:p>
        </w:tc>
      </w:tr>
      <w:tr w:rsidR="00A7726F" w:rsidRPr="00A7726F" w14:paraId="60DED719" w14:textId="77777777" w:rsidTr="00D137E4">
        <w:trPr>
          <w:trHeight w:val="20"/>
          <w:jc w:val="center"/>
        </w:trPr>
        <w:tc>
          <w:tcPr>
            <w:tcW w:w="921" w:type="dxa"/>
            <w:tcBorders>
              <w:top w:val="single" w:sz="4" w:space="0" w:color="auto"/>
            </w:tcBorders>
            <w:vAlign w:val="center"/>
          </w:tcPr>
          <w:p w14:paraId="287A3D5F" w14:textId="77777777" w:rsidR="00A7726F" w:rsidRPr="00A7726F" w:rsidRDefault="00A7726F" w:rsidP="00D137E4">
            <w:pPr>
              <w:widowControl w:val="0"/>
              <w:autoSpaceDE w:val="0"/>
              <w:autoSpaceDN w:val="0"/>
              <w:adjustRightInd w:val="0"/>
              <w:spacing w:line="240" w:lineRule="auto"/>
              <w:jc w:val="left"/>
              <w:rPr>
                <w:color w:val="000000" w:themeColor="text1"/>
                <w:sz w:val="22"/>
              </w:rPr>
            </w:pPr>
            <w:r w:rsidRPr="00A7726F">
              <w:rPr>
                <w:color w:val="000000" w:themeColor="text1"/>
                <w:sz w:val="22"/>
              </w:rPr>
              <w:t>1.</w:t>
            </w:r>
          </w:p>
        </w:tc>
        <w:tc>
          <w:tcPr>
            <w:tcW w:w="4324" w:type="dxa"/>
            <w:tcBorders>
              <w:top w:val="single" w:sz="4" w:space="0" w:color="auto"/>
            </w:tcBorders>
            <w:vAlign w:val="center"/>
          </w:tcPr>
          <w:p w14:paraId="74913C80" w14:textId="77777777" w:rsidR="00A7726F" w:rsidRPr="00A7726F" w:rsidRDefault="00A7726F" w:rsidP="007C051A">
            <w:pPr>
              <w:widowControl w:val="0"/>
              <w:autoSpaceDE w:val="0"/>
              <w:autoSpaceDN w:val="0"/>
              <w:adjustRightInd w:val="0"/>
              <w:spacing w:line="240" w:lineRule="auto"/>
              <w:jc w:val="left"/>
              <w:rPr>
                <w:color w:val="000000" w:themeColor="text1"/>
                <w:sz w:val="22"/>
              </w:rPr>
            </w:pPr>
            <w:r w:rsidRPr="00A7726F">
              <w:rPr>
                <w:color w:val="000000" w:themeColor="text1"/>
                <w:sz w:val="22"/>
              </w:rPr>
              <w:t>DiffBenefits_1</w:t>
            </w:r>
          </w:p>
        </w:tc>
        <w:tc>
          <w:tcPr>
            <w:tcW w:w="678" w:type="dxa"/>
            <w:tcBorders>
              <w:top w:val="single" w:sz="4" w:space="0" w:color="auto"/>
            </w:tcBorders>
            <w:vAlign w:val="center"/>
          </w:tcPr>
          <w:p w14:paraId="02CAF649"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1</w:t>
            </w:r>
          </w:p>
        </w:tc>
        <w:tc>
          <w:tcPr>
            <w:tcW w:w="678" w:type="dxa"/>
            <w:tcBorders>
              <w:top w:val="single" w:sz="4" w:space="0" w:color="auto"/>
            </w:tcBorders>
            <w:vAlign w:val="center"/>
          </w:tcPr>
          <w:p w14:paraId="3F5704B1"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9" w:type="dxa"/>
            <w:tcBorders>
              <w:top w:val="single" w:sz="4" w:space="0" w:color="auto"/>
            </w:tcBorders>
            <w:vAlign w:val="center"/>
          </w:tcPr>
          <w:p w14:paraId="085BE0A9"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tcBorders>
              <w:top w:val="single" w:sz="4" w:space="0" w:color="auto"/>
            </w:tcBorders>
            <w:vAlign w:val="center"/>
          </w:tcPr>
          <w:p w14:paraId="47C65C28"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tcBorders>
              <w:top w:val="single" w:sz="4" w:space="0" w:color="auto"/>
            </w:tcBorders>
            <w:vAlign w:val="center"/>
          </w:tcPr>
          <w:p w14:paraId="1FCA3D2E"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9" w:type="dxa"/>
            <w:tcBorders>
              <w:top w:val="single" w:sz="4" w:space="0" w:color="auto"/>
            </w:tcBorders>
            <w:vAlign w:val="center"/>
          </w:tcPr>
          <w:p w14:paraId="2C99CE9A"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tcBorders>
              <w:top w:val="single" w:sz="4" w:space="0" w:color="auto"/>
            </w:tcBorders>
            <w:vAlign w:val="center"/>
          </w:tcPr>
          <w:p w14:paraId="2397A8F6"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tcBorders>
              <w:top w:val="single" w:sz="4" w:space="0" w:color="auto"/>
            </w:tcBorders>
            <w:vAlign w:val="center"/>
          </w:tcPr>
          <w:p w14:paraId="0C39B5FE"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9" w:type="dxa"/>
            <w:tcBorders>
              <w:top w:val="single" w:sz="4" w:space="0" w:color="auto"/>
            </w:tcBorders>
            <w:vAlign w:val="center"/>
          </w:tcPr>
          <w:p w14:paraId="1D0795D6"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tcBorders>
              <w:top w:val="single" w:sz="4" w:space="0" w:color="auto"/>
            </w:tcBorders>
            <w:vAlign w:val="center"/>
          </w:tcPr>
          <w:p w14:paraId="470BEDEF"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tcBorders>
              <w:top w:val="single" w:sz="4" w:space="0" w:color="auto"/>
            </w:tcBorders>
            <w:vAlign w:val="center"/>
          </w:tcPr>
          <w:p w14:paraId="2FB3D6B2"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9" w:type="dxa"/>
            <w:tcBorders>
              <w:top w:val="single" w:sz="4" w:space="0" w:color="auto"/>
            </w:tcBorders>
            <w:vAlign w:val="center"/>
          </w:tcPr>
          <w:p w14:paraId="21404195"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tcBorders>
              <w:top w:val="single" w:sz="4" w:space="0" w:color="auto"/>
            </w:tcBorders>
            <w:vAlign w:val="center"/>
          </w:tcPr>
          <w:p w14:paraId="3920BF94"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9" w:type="dxa"/>
            <w:tcBorders>
              <w:top w:val="single" w:sz="4" w:space="0" w:color="auto"/>
            </w:tcBorders>
            <w:vAlign w:val="center"/>
          </w:tcPr>
          <w:p w14:paraId="3862716D"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r>
      <w:tr w:rsidR="00A7726F" w:rsidRPr="00A7726F" w14:paraId="02810764" w14:textId="77777777" w:rsidTr="00D137E4">
        <w:trPr>
          <w:trHeight w:val="20"/>
          <w:jc w:val="center"/>
        </w:trPr>
        <w:tc>
          <w:tcPr>
            <w:tcW w:w="921" w:type="dxa"/>
            <w:vAlign w:val="center"/>
          </w:tcPr>
          <w:p w14:paraId="5FEED0D7" w14:textId="77777777" w:rsidR="00A7726F" w:rsidRPr="00A7726F" w:rsidRDefault="00A7726F" w:rsidP="00D137E4">
            <w:pPr>
              <w:widowControl w:val="0"/>
              <w:autoSpaceDE w:val="0"/>
              <w:autoSpaceDN w:val="0"/>
              <w:adjustRightInd w:val="0"/>
              <w:spacing w:line="240" w:lineRule="auto"/>
              <w:jc w:val="left"/>
              <w:rPr>
                <w:color w:val="000000" w:themeColor="text1"/>
                <w:sz w:val="22"/>
              </w:rPr>
            </w:pPr>
            <w:r w:rsidRPr="00A7726F">
              <w:rPr>
                <w:color w:val="000000" w:themeColor="text1"/>
                <w:sz w:val="22"/>
              </w:rPr>
              <w:t>2.</w:t>
            </w:r>
          </w:p>
        </w:tc>
        <w:tc>
          <w:tcPr>
            <w:tcW w:w="4324" w:type="dxa"/>
            <w:vAlign w:val="center"/>
          </w:tcPr>
          <w:p w14:paraId="67CEC47C" w14:textId="77777777" w:rsidR="00A7726F" w:rsidRPr="00A7726F" w:rsidRDefault="00A7726F" w:rsidP="007C051A">
            <w:pPr>
              <w:widowControl w:val="0"/>
              <w:autoSpaceDE w:val="0"/>
              <w:autoSpaceDN w:val="0"/>
              <w:adjustRightInd w:val="0"/>
              <w:spacing w:line="240" w:lineRule="auto"/>
              <w:jc w:val="left"/>
              <w:rPr>
                <w:color w:val="000000" w:themeColor="text1"/>
                <w:sz w:val="22"/>
              </w:rPr>
            </w:pPr>
            <w:r w:rsidRPr="00A7726F">
              <w:rPr>
                <w:color w:val="000000" w:themeColor="text1"/>
                <w:sz w:val="22"/>
              </w:rPr>
              <w:t>DiffBenefits_2</w:t>
            </w:r>
          </w:p>
        </w:tc>
        <w:tc>
          <w:tcPr>
            <w:tcW w:w="678" w:type="dxa"/>
            <w:vAlign w:val="center"/>
          </w:tcPr>
          <w:p w14:paraId="0254B6F9"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0.86</w:t>
            </w:r>
          </w:p>
        </w:tc>
        <w:tc>
          <w:tcPr>
            <w:tcW w:w="678" w:type="dxa"/>
            <w:vAlign w:val="center"/>
          </w:tcPr>
          <w:p w14:paraId="06FC0D7B"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1</w:t>
            </w:r>
          </w:p>
        </w:tc>
        <w:tc>
          <w:tcPr>
            <w:tcW w:w="679" w:type="dxa"/>
            <w:vAlign w:val="center"/>
          </w:tcPr>
          <w:p w14:paraId="0E9DE2CF"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vAlign w:val="center"/>
          </w:tcPr>
          <w:p w14:paraId="5A12CF5E"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vAlign w:val="center"/>
          </w:tcPr>
          <w:p w14:paraId="1EAA323D"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9" w:type="dxa"/>
            <w:vAlign w:val="center"/>
          </w:tcPr>
          <w:p w14:paraId="02560B4E"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vAlign w:val="center"/>
          </w:tcPr>
          <w:p w14:paraId="39FC6B34"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vAlign w:val="center"/>
          </w:tcPr>
          <w:p w14:paraId="23A988C1"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9" w:type="dxa"/>
            <w:vAlign w:val="center"/>
          </w:tcPr>
          <w:p w14:paraId="39F01CF2"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vAlign w:val="center"/>
          </w:tcPr>
          <w:p w14:paraId="4B9338AB"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vAlign w:val="center"/>
          </w:tcPr>
          <w:p w14:paraId="69F1E045"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9" w:type="dxa"/>
            <w:vAlign w:val="center"/>
          </w:tcPr>
          <w:p w14:paraId="7F35A356"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vAlign w:val="center"/>
          </w:tcPr>
          <w:p w14:paraId="47C80624"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9" w:type="dxa"/>
            <w:vAlign w:val="center"/>
          </w:tcPr>
          <w:p w14:paraId="5FA05C22"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r>
      <w:tr w:rsidR="00A7726F" w:rsidRPr="00A7726F" w14:paraId="0F238256" w14:textId="77777777" w:rsidTr="00D137E4">
        <w:trPr>
          <w:trHeight w:val="20"/>
          <w:jc w:val="center"/>
        </w:trPr>
        <w:tc>
          <w:tcPr>
            <w:tcW w:w="921" w:type="dxa"/>
            <w:vAlign w:val="center"/>
          </w:tcPr>
          <w:p w14:paraId="2B053FAD" w14:textId="77777777" w:rsidR="00A7726F" w:rsidRPr="00A7726F" w:rsidRDefault="00A7726F" w:rsidP="00D137E4">
            <w:pPr>
              <w:widowControl w:val="0"/>
              <w:autoSpaceDE w:val="0"/>
              <w:autoSpaceDN w:val="0"/>
              <w:adjustRightInd w:val="0"/>
              <w:spacing w:line="240" w:lineRule="auto"/>
              <w:jc w:val="left"/>
              <w:rPr>
                <w:color w:val="000000" w:themeColor="text1"/>
                <w:sz w:val="22"/>
              </w:rPr>
            </w:pPr>
            <w:r w:rsidRPr="00A7726F">
              <w:rPr>
                <w:color w:val="000000" w:themeColor="text1"/>
                <w:sz w:val="22"/>
              </w:rPr>
              <w:t>3.</w:t>
            </w:r>
          </w:p>
        </w:tc>
        <w:tc>
          <w:tcPr>
            <w:tcW w:w="4324" w:type="dxa"/>
            <w:vAlign w:val="center"/>
          </w:tcPr>
          <w:p w14:paraId="03689A1C" w14:textId="77777777" w:rsidR="00A7726F" w:rsidRPr="00A7726F" w:rsidRDefault="00A7726F" w:rsidP="007C051A">
            <w:pPr>
              <w:widowControl w:val="0"/>
              <w:autoSpaceDE w:val="0"/>
              <w:autoSpaceDN w:val="0"/>
              <w:adjustRightInd w:val="0"/>
              <w:spacing w:line="240" w:lineRule="auto"/>
              <w:jc w:val="left"/>
              <w:rPr>
                <w:color w:val="000000" w:themeColor="text1"/>
                <w:sz w:val="22"/>
              </w:rPr>
            </w:pPr>
            <w:r w:rsidRPr="00A7726F">
              <w:rPr>
                <w:color w:val="000000" w:themeColor="text1"/>
                <w:sz w:val="22"/>
              </w:rPr>
              <w:t>DiffBenefits_5</w:t>
            </w:r>
          </w:p>
        </w:tc>
        <w:tc>
          <w:tcPr>
            <w:tcW w:w="678" w:type="dxa"/>
            <w:vAlign w:val="center"/>
          </w:tcPr>
          <w:p w14:paraId="5EECC883"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0.65</w:t>
            </w:r>
          </w:p>
        </w:tc>
        <w:tc>
          <w:tcPr>
            <w:tcW w:w="678" w:type="dxa"/>
            <w:vAlign w:val="center"/>
          </w:tcPr>
          <w:p w14:paraId="3CD5271A"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0.74</w:t>
            </w:r>
          </w:p>
        </w:tc>
        <w:tc>
          <w:tcPr>
            <w:tcW w:w="679" w:type="dxa"/>
            <w:vAlign w:val="center"/>
          </w:tcPr>
          <w:p w14:paraId="5849DE4B"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1</w:t>
            </w:r>
          </w:p>
        </w:tc>
        <w:tc>
          <w:tcPr>
            <w:tcW w:w="678" w:type="dxa"/>
            <w:vAlign w:val="center"/>
          </w:tcPr>
          <w:p w14:paraId="24E1D8E3"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vAlign w:val="center"/>
          </w:tcPr>
          <w:p w14:paraId="074A36B0"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9" w:type="dxa"/>
            <w:vAlign w:val="center"/>
          </w:tcPr>
          <w:p w14:paraId="4520B695"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vAlign w:val="center"/>
          </w:tcPr>
          <w:p w14:paraId="13095842"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vAlign w:val="center"/>
          </w:tcPr>
          <w:p w14:paraId="688BA58E"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9" w:type="dxa"/>
            <w:vAlign w:val="center"/>
          </w:tcPr>
          <w:p w14:paraId="505B20A9"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vAlign w:val="center"/>
          </w:tcPr>
          <w:p w14:paraId="5300D8B2"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vAlign w:val="center"/>
          </w:tcPr>
          <w:p w14:paraId="628614AE"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9" w:type="dxa"/>
            <w:vAlign w:val="center"/>
          </w:tcPr>
          <w:p w14:paraId="4CD44641"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vAlign w:val="center"/>
          </w:tcPr>
          <w:p w14:paraId="06980CCD"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9" w:type="dxa"/>
            <w:vAlign w:val="center"/>
          </w:tcPr>
          <w:p w14:paraId="122FB824"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r>
      <w:tr w:rsidR="00A7726F" w:rsidRPr="00A7726F" w14:paraId="17BA6DE4" w14:textId="77777777" w:rsidTr="00D137E4">
        <w:trPr>
          <w:trHeight w:val="20"/>
          <w:jc w:val="center"/>
        </w:trPr>
        <w:tc>
          <w:tcPr>
            <w:tcW w:w="921" w:type="dxa"/>
            <w:vAlign w:val="center"/>
          </w:tcPr>
          <w:p w14:paraId="604BC434" w14:textId="77777777" w:rsidR="00A7726F" w:rsidRPr="00A7726F" w:rsidRDefault="00A7726F" w:rsidP="00D137E4">
            <w:pPr>
              <w:widowControl w:val="0"/>
              <w:autoSpaceDE w:val="0"/>
              <w:autoSpaceDN w:val="0"/>
              <w:adjustRightInd w:val="0"/>
              <w:spacing w:line="240" w:lineRule="auto"/>
              <w:jc w:val="left"/>
              <w:rPr>
                <w:color w:val="000000" w:themeColor="text1"/>
                <w:sz w:val="22"/>
              </w:rPr>
            </w:pPr>
            <w:r w:rsidRPr="00A7726F">
              <w:rPr>
                <w:color w:val="000000" w:themeColor="text1"/>
                <w:sz w:val="22"/>
              </w:rPr>
              <w:t>4.</w:t>
            </w:r>
          </w:p>
        </w:tc>
        <w:tc>
          <w:tcPr>
            <w:tcW w:w="4324" w:type="dxa"/>
            <w:vAlign w:val="center"/>
          </w:tcPr>
          <w:p w14:paraId="55B2EA1D" w14:textId="77777777" w:rsidR="00A7726F" w:rsidRPr="00A7726F" w:rsidRDefault="00A7726F" w:rsidP="007C051A">
            <w:pPr>
              <w:widowControl w:val="0"/>
              <w:autoSpaceDE w:val="0"/>
              <w:autoSpaceDN w:val="0"/>
              <w:adjustRightInd w:val="0"/>
              <w:spacing w:line="240" w:lineRule="auto"/>
              <w:jc w:val="left"/>
              <w:rPr>
                <w:color w:val="000000" w:themeColor="text1"/>
                <w:sz w:val="22"/>
              </w:rPr>
            </w:pPr>
            <w:r w:rsidRPr="00A7726F">
              <w:rPr>
                <w:color w:val="000000" w:themeColor="text1"/>
                <w:sz w:val="22"/>
              </w:rPr>
              <w:t>Direct_BoardInterlocks</w:t>
            </w:r>
          </w:p>
        </w:tc>
        <w:tc>
          <w:tcPr>
            <w:tcW w:w="678" w:type="dxa"/>
            <w:vAlign w:val="center"/>
          </w:tcPr>
          <w:p w14:paraId="4BCC319A"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0.07</w:t>
            </w:r>
          </w:p>
        </w:tc>
        <w:tc>
          <w:tcPr>
            <w:tcW w:w="678" w:type="dxa"/>
            <w:vAlign w:val="center"/>
          </w:tcPr>
          <w:p w14:paraId="7397BD54"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0.08</w:t>
            </w:r>
          </w:p>
        </w:tc>
        <w:tc>
          <w:tcPr>
            <w:tcW w:w="679" w:type="dxa"/>
            <w:vAlign w:val="center"/>
          </w:tcPr>
          <w:p w14:paraId="1F473E4C"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0.05</w:t>
            </w:r>
          </w:p>
        </w:tc>
        <w:tc>
          <w:tcPr>
            <w:tcW w:w="678" w:type="dxa"/>
            <w:vAlign w:val="center"/>
          </w:tcPr>
          <w:p w14:paraId="0B2DA9FA"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1</w:t>
            </w:r>
          </w:p>
        </w:tc>
        <w:tc>
          <w:tcPr>
            <w:tcW w:w="678" w:type="dxa"/>
            <w:vAlign w:val="center"/>
          </w:tcPr>
          <w:p w14:paraId="71DE906B"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9" w:type="dxa"/>
            <w:vAlign w:val="center"/>
          </w:tcPr>
          <w:p w14:paraId="02574658"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vAlign w:val="center"/>
          </w:tcPr>
          <w:p w14:paraId="69325FFA"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vAlign w:val="center"/>
          </w:tcPr>
          <w:p w14:paraId="4C98FB00"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9" w:type="dxa"/>
            <w:vAlign w:val="center"/>
          </w:tcPr>
          <w:p w14:paraId="23E1FF2D"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vAlign w:val="center"/>
          </w:tcPr>
          <w:p w14:paraId="30072276"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vAlign w:val="center"/>
          </w:tcPr>
          <w:p w14:paraId="1CC1DCCA"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9" w:type="dxa"/>
            <w:vAlign w:val="center"/>
          </w:tcPr>
          <w:p w14:paraId="543FF5A4"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vAlign w:val="center"/>
          </w:tcPr>
          <w:p w14:paraId="34BF80A0"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9" w:type="dxa"/>
            <w:vAlign w:val="center"/>
          </w:tcPr>
          <w:p w14:paraId="31B6511E"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r>
      <w:tr w:rsidR="00A7726F" w:rsidRPr="00A7726F" w14:paraId="1724A1D2" w14:textId="77777777" w:rsidTr="00D137E4">
        <w:trPr>
          <w:trHeight w:val="20"/>
          <w:jc w:val="center"/>
        </w:trPr>
        <w:tc>
          <w:tcPr>
            <w:tcW w:w="921" w:type="dxa"/>
            <w:vAlign w:val="center"/>
          </w:tcPr>
          <w:p w14:paraId="661670B5" w14:textId="77777777" w:rsidR="00A7726F" w:rsidRPr="00A7726F" w:rsidRDefault="00A7726F" w:rsidP="00D137E4">
            <w:pPr>
              <w:widowControl w:val="0"/>
              <w:autoSpaceDE w:val="0"/>
              <w:autoSpaceDN w:val="0"/>
              <w:adjustRightInd w:val="0"/>
              <w:spacing w:line="240" w:lineRule="auto"/>
              <w:jc w:val="left"/>
              <w:rPr>
                <w:color w:val="000000" w:themeColor="text1"/>
                <w:sz w:val="22"/>
              </w:rPr>
            </w:pPr>
            <w:r w:rsidRPr="00A7726F">
              <w:rPr>
                <w:color w:val="000000" w:themeColor="text1"/>
                <w:sz w:val="22"/>
              </w:rPr>
              <w:t>5.</w:t>
            </w:r>
          </w:p>
        </w:tc>
        <w:tc>
          <w:tcPr>
            <w:tcW w:w="4324" w:type="dxa"/>
            <w:vAlign w:val="center"/>
          </w:tcPr>
          <w:p w14:paraId="05EEC864" w14:textId="77777777" w:rsidR="00A7726F" w:rsidRPr="00A7726F" w:rsidRDefault="00A7726F" w:rsidP="007C051A">
            <w:pPr>
              <w:widowControl w:val="0"/>
              <w:autoSpaceDE w:val="0"/>
              <w:autoSpaceDN w:val="0"/>
              <w:adjustRightInd w:val="0"/>
              <w:spacing w:line="240" w:lineRule="auto"/>
              <w:jc w:val="left"/>
              <w:rPr>
                <w:color w:val="000000" w:themeColor="text1"/>
                <w:sz w:val="22"/>
              </w:rPr>
            </w:pPr>
            <w:r w:rsidRPr="00A7726F">
              <w:rPr>
                <w:color w:val="000000" w:themeColor="text1"/>
                <w:sz w:val="22"/>
              </w:rPr>
              <w:t>Indirect_BoardInterlocks</w:t>
            </w:r>
          </w:p>
        </w:tc>
        <w:tc>
          <w:tcPr>
            <w:tcW w:w="678" w:type="dxa"/>
            <w:vAlign w:val="center"/>
          </w:tcPr>
          <w:p w14:paraId="348A68BD"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-0.04</w:t>
            </w:r>
          </w:p>
        </w:tc>
        <w:tc>
          <w:tcPr>
            <w:tcW w:w="678" w:type="dxa"/>
            <w:vAlign w:val="center"/>
          </w:tcPr>
          <w:p w14:paraId="3CE0EE48"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-0.03</w:t>
            </w:r>
          </w:p>
        </w:tc>
        <w:tc>
          <w:tcPr>
            <w:tcW w:w="679" w:type="dxa"/>
            <w:vAlign w:val="center"/>
          </w:tcPr>
          <w:p w14:paraId="1C220EE9"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-0.03</w:t>
            </w:r>
          </w:p>
        </w:tc>
        <w:tc>
          <w:tcPr>
            <w:tcW w:w="678" w:type="dxa"/>
            <w:vAlign w:val="center"/>
          </w:tcPr>
          <w:p w14:paraId="61A2B072"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-0.03</w:t>
            </w:r>
          </w:p>
        </w:tc>
        <w:tc>
          <w:tcPr>
            <w:tcW w:w="678" w:type="dxa"/>
            <w:vAlign w:val="center"/>
          </w:tcPr>
          <w:p w14:paraId="39580145"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1</w:t>
            </w:r>
          </w:p>
        </w:tc>
        <w:tc>
          <w:tcPr>
            <w:tcW w:w="679" w:type="dxa"/>
            <w:vAlign w:val="center"/>
          </w:tcPr>
          <w:p w14:paraId="00359793"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vAlign w:val="center"/>
          </w:tcPr>
          <w:p w14:paraId="23049E46"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vAlign w:val="center"/>
          </w:tcPr>
          <w:p w14:paraId="03389BEE"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9" w:type="dxa"/>
            <w:vAlign w:val="center"/>
          </w:tcPr>
          <w:p w14:paraId="2DC2B9AD"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vAlign w:val="center"/>
          </w:tcPr>
          <w:p w14:paraId="2259EEE1"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vAlign w:val="center"/>
          </w:tcPr>
          <w:p w14:paraId="6F2DEDB9"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9" w:type="dxa"/>
            <w:vAlign w:val="center"/>
          </w:tcPr>
          <w:p w14:paraId="5005D70E"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vAlign w:val="center"/>
          </w:tcPr>
          <w:p w14:paraId="0B180FE0"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9" w:type="dxa"/>
            <w:vAlign w:val="center"/>
          </w:tcPr>
          <w:p w14:paraId="3525CB68"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r>
      <w:tr w:rsidR="00A7726F" w:rsidRPr="00A7726F" w14:paraId="5E39AC58" w14:textId="77777777" w:rsidTr="00D137E4">
        <w:trPr>
          <w:trHeight w:val="20"/>
          <w:jc w:val="center"/>
        </w:trPr>
        <w:tc>
          <w:tcPr>
            <w:tcW w:w="921" w:type="dxa"/>
            <w:vAlign w:val="center"/>
          </w:tcPr>
          <w:p w14:paraId="7360A265" w14:textId="77777777" w:rsidR="00A7726F" w:rsidRPr="00A7726F" w:rsidRDefault="00A7726F" w:rsidP="00D137E4">
            <w:pPr>
              <w:widowControl w:val="0"/>
              <w:autoSpaceDE w:val="0"/>
              <w:autoSpaceDN w:val="0"/>
              <w:adjustRightInd w:val="0"/>
              <w:spacing w:line="240" w:lineRule="auto"/>
              <w:jc w:val="left"/>
              <w:rPr>
                <w:color w:val="000000" w:themeColor="text1"/>
                <w:sz w:val="22"/>
              </w:rPr>
            </w:pPr>
            <w:r w:rsidRPr="00A7726F">
              <w:rPr>
                <w:color w:val="000000" w:themeColor="text1"/>
                <w:sz w:val="22"/>
              </w:rPr>
              <w:t>6.</w:t>
            </w:r>
          </w:p>
        </w:tc>
        <w:tc>
          <w:tcPr>
            <w:tcW w:w="4324" w:type="dxa"/>
            <w:vAlign w:val="center"/>
          </w:tcPr>
          <w:p w14:paraId="5D42E3DE" w14:textId="77777777" w:rsidR="00A7726F" w:rsidRPr="00A7726F" w:rsidRDefault="00A7726F" w:rsidP="007C051A">
            <w:pPr>
              <w:widowControl w:val="0"/>
              <w:autoSpaceDE w:val="0"/>
              <w:autoSpaceDN w:val="0"/>
              <w:adjustRightInd w:val="0"/>
              <w:spacing w:line="240" w:lineRule="auto"/>
              <w:jc w:val="left"/>
              <w:rPr>
                <w:color w:val="000000" w:themeColor="text1"/>
                <w:sz w:val="22"/>
              </w:rPr>
            </w:pPr>
            <w:r w:rsidRPr="00A7726F">
              <w:rPr>
                <w:color w:val="000000" w:themeColor="text1"/>
                <w:sz w:val="22"/>
              </w:rPr>
              <w:t>Prior_Board_Ties</w:t>
            </w:r>
          </w:p>
        </w:tc>
        <w:tc>
          <w:tcPr>
            <w:tcW w:w="678" w:type="dxa"/>
            <w:vAlign w:val="center"/>
          </w:tcPr>
          <w:p w14:paraId="6A2C9A21"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-0.07</w:t>
            </w:r>
          </w:p>
        </w:tc>
        <w:tc>
          <w:tcPr>
            <w:tcW w:w="678" w:type="dxa"/>
            <w:vAlign w:val="center"/>
          </w:tcPr>
          <w:p w14:paraId="4C21E610"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-0.07</w:t>
            </w:r>
          </w:p>
        </w:tc>
        <w:tc>
          <w:tcPr>
            <w:tcW w:w="679" w:type="dxa"/>
            <w:vAlign w:val="center"/>
          </w:tcPr>
          <w:p w14:paraId="4B83DA3D"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-0.07</w:t>
            </w:r>
          </w:p>
        </w:tc>
        <w:tc>
          <w:tcPr>
            <w:tcW w:w="678" w:type="dxa"/>
            <w:vAlign w:val="center"/>
          </w:tcPr>
          <w:p w14:paraId="1C583B9E"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0.07</w:t>
            </w:r>
          </w:p>
        </w:tc>
        <w:tc>
          <w:tcPr>
            <w:tcW w:w="678" w:type="dxa"/>
            <w:vAlign w:val="center"/>
          </w:tcPr>
          <w:p w14:paraId="7FF3CD9F"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0.04</w:t>
            </w:r>
          </w:p>
        </w:tc>
        <w:tc>
          <w:tcPr>
            <w:tcW w:w="679" w:type="dxa"/>
            <w:vAlign w:val="center"/>
          </w:tcPr>
          <w:p w14:paraId="472459ED"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1</w:t>
            </w:r>
          </w:p>
        </w:tc>
        <w:tc>
          <w:tcPr>
            <w:tcW w:w="678" w:type="dxa"/>
            <w:vAlign w:val="center"/>
          </w:tcPr>
          <w:p w14:paraId="589ABB07"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vAlign w:val="center"/>
          </w:tcPr>
          <w:p w14:paraId="4305E4E4"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9" w:type="dxa"/>
            <w:vAlign w:val="center"/>
          </w:tcPr>
          <w:p w14:paraId="542AE781"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vAlign w:val="center"/>
          </w:tcPr>
          <w:p w14:paraId="0D001031"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vAlign w:val="center"/>
          </w:tcPr>
          <w:p w14:paraId="5679D07C"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9" w:type="dxa"/>
            <w:vAlign w:val="center"/>
          </w:tcPr>
          <w:p w14:paraId="1A401717"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vAlign w:val="center"/>
          </w:tcPr>
          <w:p w14:paraId="27C2925E"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9" w:type="dxa"/>
            <w:vAlign w:val="center"/>
          </w:tcPr>
          <w:p w14:paraId="6E75DEC9"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r>
      <w:tr w:rsidR="00A7726F" w:rsidRPr="00A7726F" w14:paraId="16FF2FEB" w14:textId="77777777" w:rsidTr="00D137E4">
        <w:trPr>
          <w:trHeight w:val="20"/>
          <w:jc w:val="center"/>
        </w:trPr>
        <w:tc>
          <w:tcPr>
            <w:tcW w:w="921" w:type="dxa"/>
            <w:vAlign w:val="center"/>
          </w:tcPr>
          <w:p w14:paraId="65959491" w14:textId="77777777" w:rsidR="00A7726F" w:rsidRPr="00A7726F" w:rsidRDefault="00A7726F" w:rsidP="00D137E4">
            <w:pPr>
              <w:widowControl w:val="0"/>
              <w:autoSpaceDE w:val="0"/>
              <w:autoSpaceDN w:val="0"/>
              <w:adjustRightInd w:val="0"/>
              <w:spacing w:line="240" w:lineRule="auto"/>
              <w:jc w:val="left"/>
              <w:rPr>
                <w:color w:val="000000" w:themeColor="text1"/>
                <w:sz w:val="22"/>
              </w:rPr>
            </w:pPr>
            <w:r w:rsidRPr="00A7726F">
              <w:rPr>
                <w:color w:val="000000" w:themeColor="text1"/>
                <w:sz w:val="22"/>
              </w:rPr>
              <w:t>7.</w:t>
            </w:r>
          </w:p>
        </w:tc>
        <w:tc>
          <w:tcPr>
            <w:tcW w:w="4324" w:type="dxa"/>
            <w:vAlign w:val="center"/>
          </w:tcPr>
          <w:p w14:paraId="36716E65" w14:textId="77777777" w:rsidR="00A7726F" w:rsidRPr="00A7726F" w:rsidRDefault="00A7726F" w:rsidP="007C051A">
            <w:pPr>
              <w:widowControl w:val="0"/>
              <w:autoSpaceDE w:val="0"/>
              <w:autoSpaceDN w:val="0"/>
              <w:adjustRightInd w:val="0"/>
              <w:spacing w:line="240" w:lineRule="auto"/>
              <w:jc w:val="left"/>
              <w:rPr>
                <w:color w:val="000000" w:themeColor="text1"/>
                <w:sz w:val="22"/>
              </w:rPr>
            </w:pPr>
            <w:r w:rsidRPr="00A7726F">
              <w:rPr>
                <w:color w:val="000000" w:themeColor="text1"/>
                <w:sz w:val="22"/>
              </w:rPr>
              <w:t>Relative_Board_NetworkSize</w:t>
            </w:r>
          </w:p>
        </w:tc>
        <w:tc>
          <w:tcPr>
            <w:tcW w:w="678" w:type="dxa"/>
            <w:vAlign w:val="center"/>
          </w:tcPr>
          <w:p w14:paraId="38A4EBDD"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0.00</w:t>
            </w:r>
          </w:p>
        </w:tc>
        <w:tc>
          <w:tcPr>
            <w:tcW w:w="678" w:type="dxa"/>
            <w:vAlign w:val="center"/>
          </w:tcPr>
          <w:p w14:paraId="29F94897"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0.00</w:t>
            </w:r>
          </w:p>
        </w:tc>
        <w:tc>
          <w:tcPr>
            <w:tcW w:w="679" w:type="dxa"/>
            <w:vAlign w:val="center"/>
          </w:tcPr>
          <w:p w14:paraId="5B629162"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0.00</w:t>
            </w:r>
          </w:p>
        </w:tc>
        <w:tc>
          <w:tcPr>
            <w:tcW w:w="678" w:type="dxa"/>
            <w:vAlign w:val="center"/>
          </w:tcPr>
          <w:p w14:paraId="6F705635"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8" w:type="dxa"/>
            <w:vAlign w:val="center"/>
          </w:tcPr>
          <w:p w14:paraId="43A827E3"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-0.02</w:t>
            </w:r>
          </w:p>
        </w:tc>
        <w:tc>
          <w:tcPr>
            <w:tcW w:w="679" w:type="dxa"/>
            <w:vAlign w:val="center"/>
          </w:tcPr>
          <w:p w14:paraId="250F1A64"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8" w:type="dxa"/>
            <w:vAlign w:val="center"/>
          </w:tcPr>
          <w:p w14:paraId="4F742985"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1</w:t>
            </w:r>
          </w:p>
        </w:tc>
        <w:tc>
          <w:tcPr>
            <w:tcW w:w="678" w:type="dxa"/>
            <w:vAlign w:val="center"/>
          </w:tcPr>
          <w:p w14:paraId="3669C030"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9" w:type="dxa"/>
            <w:vAlign w:val="center"/>
          </w:tcPr>
          <w:p w14:paraId="11FEC85C"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vAlign w:val="center"/>
          </w:tcPr>
          <w:p w14:paraId="76591981"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vAlign w:val="center"/>
          </w:tcPr>
          <w:p w14:paraId="533470E2"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9" w:type="dxa"/>
            <w:vAlign w:val="center"/>
          </w:tcPr>
          <w:p w14:paraId="1DDB743B"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vAlign w:val="center"/>
          </w:tcPr>
          <w:p w14:paraId="0706C504"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9" w:type="dxa"/>
            <w:vAlign w:val="center"/>
          </w:tcPr>
          <w:p w14:paraId="29C0EC2B"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r>
      <w:tr w:rsidR="00A7726F" w:rsidRPr="00A7726F" w14:paraId="462BC62C" w14:textId="77777777" w:rsidTr="00D137E4">
        <w:trPr>
          <w:trHeight w:val="20"/>
          <w:jc w:val="center"/>
        </w:trPr>
        <w:tc>
          <w:tcPr>
            <w:tcW w:w="921" w:type="dxa"/>
            <w:vAlign w:val="center"/>
          </w:tcPr>
          <w:p w14:paraId="56DE0D48" w14:textId="77777777" w:rsidR="00A7726F" w:rsidRPr="00A7726F" w:rsidRDefault="00A7726F" w:rsidP="00D137E4">
            <w:pPr>
              <w:widowControl w:val="0"/>
              <w:autoSpaceDE w:val="0"/>
              <w:autoSpaceDN w:val="0"/>
              <w:adjustRightInd w:val="0"/>
              <w:spacing w:line="240" w:lineRule="auto"/>
              <w:jc w:val="left"/>
              <w:rPr>
                <w:color w:val="000000" w:themeColor="text1"/>
                <w:sz w:val="22"/>
              </w:rPr>
            </w:pPr>
            <w:r w:rsidRPr="00A7726F">
              <w:rPr>
                <w:color w:val="000000" w:themeColor="text1"/>
                <w:sz w:val="22"/>
              </w:rPr>
              <w:t>8.</w:t>
            </w:r>
          </w:p>
        </w:tc>
        <w:tc>
          <w:tcPr>
            <w:tcW w:w="4324" w:type="dxa"/>
            <w:vAlign w:val="center"/>
          </w:tcPr>
          <w:p w14:paraId="1FB064DD" w14:textId="77777777" w:rsidR="00A7726F" w:rsidRPr="00A7726F" w:rsidRDefault="00A7726F" w:rsidP="007C051A">
            <w:pPr>
              <w:widowControl w:val="0"/>
              <w:autoSpaceDE w:val="0"/>
              <w:autoSpaceDN w:val="0"/>
              <w:adjustRightInd w:val="0"/>
              <w:spacing w:line="240" w:lineRule="auto"/>
              <w:jc w:val="left"/>
              <w:rPr>
                <w:color w:val="000000" w:themeColor="text1"/>
                <w:sz w:val="22"/>
              </w:rPr>
            </w:pPr>
            <w:r w:rsidRPr="00A7726F">
              <w:rPr>
                <w:color w:val="000000" w:themeColor="text1"/>
                <w:sz w:val="22"/>
              </w:rPr>
              <w:t>Relative_BoardPower</w:t>
            </w:r>
          </w:p>
        </w:tc>
        <w:tc>
          <w:tcPr>
            <w:tcW w:w="678" w:type="dxa"/>
            <w:vAlign w:val="center"/>
          </w:tcPr>
          <w:p w14:paraId="4D1A46BB"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0.06</w:t>
            </w:r>
          </w:p>
        </w:tc>
        <w:tc>
          <w:tcPr>
            <w:tcW w:w="678" w:type="dxa"/>
            <w:vAlign w:val="center"/>
          </w:tcPr>
          <w:p w14:paraId="0418429D"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0.07</w:t>
            </w:r>
          </w:p>
        </w:tc>
        <w:tc>
          <w:tcPr>
            <w:tcW w:w="679" w:type="dxa"/>
            <w:vAlign w:val="center"/>
          </w:tcPr>
          <w:p w14:paraId="31C029DF"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0.06</w:t>
            </w:r>
          </w:p>
        </w:tc>
        <w:tc>
          <w:tcPr>
            <w:tcW w:w="678" w:type="dxa"/>
            <w:vAlign w:val="center"/>
          </w:tcPr>
          <w:p w14:paraId="341329A1"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-0.04</w:t>
            </w:r>
          </w:p>
        </w:tc>
        <w:tc>
          <w:tcPr>
            <w:tcW w:w="678" w:type="dxa"/>
            <w:vAlign w:val="center"/>
          </w:tcPr>
          <w:p w14:paraId="5E30C241"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-0.03</w:t>
            </w:r>
          </w:p>
        </w:tc>
        <w:tc>
          <w:tcPr>
            <w:tcW w:w="679" w:type="dxa"/>
            <w:vAlign w:val="center"/>
          </w:tcPr>
          <w:p w14:paraId="0F991D5F"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-0.03</w:t>
            </w:r>
          </w:p>
        </w:tc>
        <w:tc>
          <w:tcPr>
            <w:tcW w:w="678" w:type="dxa"/>
            <w:vAlign w:val="center"/>
          </w:tcPr>
          <w:p w14:paraId="00086C41"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0.03</w:t>
            </w:r>
          </w:p>
        </w:tc>
        <w:tc>
          <w:tcPr>
            <w:tcW w:w="678" w:type="dxa"/>
            <w:vAlign w:val="center"/>
          </w:tcPr>
          <w:p w14:paraId="5E2DA991"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1</w:t>
            </w:r>
          </w:p>
        </w:tc>
        <w:tc>
          <w:tcPr>
            <w:tcW w:w="679" w:type="dxa"/>
            <w:vAlign w:val="center"/>
          </w:tcPr>
          <w:p w14:paraId="18CF031C"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vAlign w:val="center"/>
          </w:tcPr>
          <w:p w14:paraId="58B70BB5"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vAlign w:val="center"/>
          </w:tcPr>
          <w:p w14:paraId="014903FC"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9" w:type="dxa"/>
            <w:vAlign w:val="center"/>
          </w:tcPr>
          <w:p w14:paraId="692A9D3B"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vAlign w:val="center"/>
          </w:tcPr>
          <w:p w14:paraId="22DED39A"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9" w:type="dxa"/>
            <w:vAlign w:val="center"/>
          </w:tcPr>
          <w:p w14:paraId="596880DA"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r>
      <w:tr w:rsidR="00A7726F" w:rsidRPr="00A7726F" w14:paraId="76215ED5" w14:textId="77777777" w:rsidTr="00D137E4">
        <w:trPr>
          <w:trHeight w:val="20"/>
          <w:jc w:val="center"/>
        </w:trPr>
        <w:tc>
          <w:tcPr>
            <w:tcW w:w="921" w:type="dxa"/>
            <w:vAlign w:val="center"/>
          </w:tcPr>
          <w:p w14:paraId="185E6539" w14:textId="77777777" w:rsidR="00A7726F" w:rsidRPr="00A7726F" w:rsidRDefault="00A7726F" w:rsidP="00D137E4">
            <w:pPr>
              <w:widowControl w:val="0"/>
              <w:autoSpaceDE w:val="0"/>
              <w:autoSpaceDN w:val="0"/>
              <w:adjustRightInd w:val="0"/>
              <w:spacing w:line="240" w:lineRule="auto"/>
              <w:jc w:val="left"/>
              <w:rPr>
                <w:color w:val="000000" w:themeColor="text1"/>
                <w:sz w:val="22"/>
              </w:rPr>
            </w:pPr>
            <w:r w:rsidRPr="00A7726F">
              <w:rPr>
                <w:color w:val="000000" w:themeColor="text1"/>
                <w:sz w:val="22"/>
              </w:rPr>
              <w:t>9.</w:t>
            </w:r>
          </w:p>
        </w:tc>
        <w:tc>
          <w:tcPr>
            <w:tcW w:w="4324" w:type="dxa"/>
            <w:vAlign w:val="center"/>
          </w:tcPr>
          <w:p w14:paraId="785DEA02" w14:textId="77777777" w:rsidR="00A7726F" w:rsidRPr="00A7726F" w:rsidRDefault="00A7726F" w:rsidP="007C051A">
            <w:pPr>
              <w:widowControl w:val="0"/>
              <w:autoSpaceDE w:val="0"/>
              <w:autoSpaceDN w:val="0"/>
              <w:adjustRightInd w:val="0"/>
              <w:spacing w:line="240" w:lineRule="auto"/>
              <w:jc w:val="left"/>
              <w:rPr>
                <w:color w:val="000000" w:themeColor="text1"/>
                <w:sz w:val="22"/>
              </w:rPr>
            </w:pPr>
            <w:r w:rsidRPr="00A7726F">
              <w:rPr>
                <w:color w:val="000000" w:themeColor="text1"/>
                <w:sz w:val="22"/>
              </w:rPr>
              <w:t>Relative_FirmStatus</w:t>
            </w:r>
          </w:p>
        </w:tc>
        <w:tc>
          <w:tcPr>
            <w:tcW w:w="678" w:type="dxa"/>
            <w:vAlign w:val="center"/>
          </w:tcPr>
          <w:p w14:paraId="45E758AB"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0.03</w:t>
            </w:r>
          </w:p>
        </w:tc>
        <w:tc>
          <w:tcPr>
            <w:tcW w:w="678" w:type="dxa"/>
            <w:vAlign w:val="center"/>
          </w:tcPr>
          <w:p w14:paraId="57418165"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0.02</w:t>
            </w:r>
          </w:p>
        </w:tc>
        <w:tc>
          <w:tcPr>
            <w:tcW w:w="679" w:type="dxa"/>
            <w:vAlign w:val="center"/>
          </w:tcPr>
          <w:p w14:paraId="070DE167"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0.05</w:t>
            </w:r>
          </w:p>
        </w:tc>
        <w:tc>
          <w:tcPr>
            <w:tcW w:w="678" w:type="dxa"/>
            <w:vAlign w:val="center"/>
          </w:tcPr>
          <w:p w14:paraId="3A8CDA80"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-0.00</w:t>
            </w:r>
          </w:p>
        </w:tc>
        <w:tc>
          <w:tcPr>
            <w:tcW w:w="678" w:type="dxa"/>
            <w:vAlign w:val="center"/>
          </w:tcPr>
          <w:p w14:paraId="48A72F2D"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0.00</w:t>
            </w:r>
          </w:p>
        </w:tc>
        <w:tc>
          <w:tcPr>
            <w:tcW w:w="679" w:type="dxa"/>
            <w:vAlign w:val="center"/>
          </w:tcPr>
          <w:p w14:paraId="50C9A08C"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8" w:type="dxa"/>
            <w:vAlign w:val="center"/>
          </w:tcPr>
          <w:p w14:paraId="6220F479"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-0.00</w:t>
            </w:r>
          </w:p>
        </w:tc>
        <w:tc>
          <w:tcPr>
            <w:tcW w:w="678" w:type="dxa"/>
            <w:vAlign w:val="center"/>
          </w:tcPr>
          <w:p w14:paraId="254FA917"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0.18</w:t>
            </w:r>
          </w:p>
        </w:tc>
        <w:tc>
          <w:tcPr>
            <w:tcW w:w="679" w:type="dxa"/>
            <w:vAlign w:val="center"/>
          </w:tcPr>
          <w:p w14:paraId="7C1696BE"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1</w:t>
            </w:r>
          </w:p>
        </w:tc>
        <w:tc>
          <w:tcPr>
            <w:tcW w:w="678" w:type="dxa"/>
            <w:vAlign w:val="center"/>
          </w:tcPr>
          <w:p w14:paraId="09A1EA7E"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vAlign w:val="center"/>
          </w:tcPr>
          <w:p w14:paraId="23AD93CE"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9" w:type="dxa"/>
            <w:vAlign w:val="center"/>
          </w:tcPr>
          <w:p w14:paraId="550C09DF"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vAlign w:val="center"/>
          </w:tcPr>
          <w:p w14:paraId="49E38727"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9" w:type="dxa"/>
            <w:vAlign w:val="center"/>
          </w:tcPr>
          <w:p w14:paraId="38C4C686"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r>
      <w:tr w:rsidR="00A7726F" w:rsidRPr="00A7726F" w14:paraId="1A425ECF" w14:textId="77777777" w:rsidTr="00D137E4">
        <w:trPr>
          <w:trHeight w:val="20"/>
          <w:jc w:val="center"/>
        </w:trPr>
        <w:tc>
          <w:tcPr>
            <w:tcW w:w="921" w:type="dxa"/>
            <w:vAlign w:val="center"/>
          </w:tcPr>
          <w:p w14:paraId="793FF6FA" w14:textId="77777777" w:rsidR="00A7726F" w:rsidRPr="00A7726F" w:rsidRDefault="00A7726F" w:rsidP="00D137E4">
            <w:pPr>
              <w:widowControl w:val="0"/>
              <w:autoSpaceDE w:val="0"/>
              <w:autoSpaceDN w:val="0"/>
              <w:adjustRightInd w:val="0"/>
              <w:spacing w:line="240" w:lineRule="auto"/>
              <w:jc w:val="left"/>
              <w:rPr>
                <w:color w:val="000000" w:themeColor="text1"/>
                <w:sz w:val="22"/>
              </w:rPr>
            </w:pPr>
            <w:r w:rsidRPr="00A7726F">
              <w:rPr>
                <w:color w:val="000000" w:themeColor="text1"/>
                <w:sz w:val="22"/>
              </w:rPr>
              <w:t>10.</w:t>
            </w:r>
          </w:p>
        </w:tc>
        <w:tc>
          <w:tcPr>
            <w:tcW w:w="4324" w:type="dxa"/>
            <w:vAlign w:val="center"/>
          </w:tcPr>
          <w:p w14:paraId="25F2E0B7" w14:textId="77777777" w:rsidR="00A7726F" w:rsidRPr="00A7726F" w:rsidRDefault="00A7726F" w:rsidP="007C051A">
            <w:pPr>
              <w:widowControl w:val="0"/>
              <w:autoSpaceDE w:val="0"/>
              <w:autoSpaceDN w:val="0"/>
              <w:adjustRightInd w:val="0"/>
              <w:spacing w:line="240" w:lineRule="auto"/>
              <w:jc w:val="left"/>
              <w:rPr>
                <w:color w:val="000000" w:themeColor="text1"/>
                <w:sz w:val="22"/>
                <w:lang w:val="en-US"/>
              </w:rPr>
            </w:pPr>
            <w:r w:rsidRPr="00A7726F">
              <w:rPr>
                <w:color w:val="000000" w:themeColor="text1"/>
                <w:sz w:val="22"/>
              </w:rPr>
              <w:t>Ln(Total_FirmSize)</w:t>
            </w:r>
          </w:p>
        </w:tc>
        <w:tc>
          <w:tcPr>
            <w:tcW w:w="678" w:type="dxa"/>
            <w:vAlign w:val="center"/>
          </w:tcPr>
          <w:p w14:paraId="71A384C0"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-0.19</w:t>
            </w:r>
          </w:p>
        </w:tc>
        <w:tc>
          <w:tcPr>
            <w:tcW w:w="678" w:type="dxa"/>
            <w:vAlign w:val="center"/>
          </w:tcPr>
          <w:p w14:paraId="2928A367"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-0.19</w:t>
            </w:r>
          </w:p>
        </w:tc>
        <w:tc>
          <w:tcPr>
            <w:tcW w:w="679" w:type="dxa"/>
            <w:vAlign w:val="center"/>
          </w:tcPr>
          <w:p w14:paraId="17115E64"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-0.19</w:t>
            </w:r>
          </w:p>
        </w:tc>
        <w:tc>
          <w:tcPr>
            <w:tcW w:w="678" w:type="dxa"/>
            <w:vAlign w:val="center"/>
          </w:tcPr>
          <w:p w14:paraId="105EF01B"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8" w:type="dxa"/>
            <w:vAlign w:val="center"/>
          </w:tcPr>
          <w:p w14:paraId="252E041E"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0.13</w:t>
            </w:r>
          </w:p>
        </w:tc>
        <w:tc>
          <w:tcPr>
            <w:tcW w:w="679" w:type="dxa"/>
            <w:vAlign w:val="center"/>
          </w:tcPr>
          <w:p w14:paraId="7160B13C"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0.18</w:t>
            </w:r>
          </w:p>
        </w:tc>
        <w:tc>
          <w:tcPr>
            <w:tcW w:w="678" w:type="dxa"/>
            <w:vAlign w:val="center"/>
          </w:tcPr>
          <w:p w14:paraId="257C4FCC"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0.05</w:t>
            </w:r>
          </w:p>
        </w:tc>
        <w:tc>
          <w:tcPr>
            <w:tcW w:w="678" w:type="dxa"/>
            <w:vAlign w:val="center"/>
          </w:tcPr>
          <w:p w14:paraId="2D0E0879"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0.22</w:t>
            </w:r>
          </w:p>
        </w:tc>
        <w:tc>
          <w:tcPr>
            <w:tcW w:w="679" w:type="dxa"/>
            <w:vAlign w:val="center"/>
          </w:tcPr>
          <w:p w14:paraId="0E67C8C0"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0.27</w:t>
            </w:r>
          </w:p>
        </w:tc>
        <w:tc>
          <w:tcPr>
            <w:tcW w:w="678" w:type="dxa"/>
            <w:vAlign w:val="center"/>
          </w:tcPr>
          <w:p w14:paraId="3E8D2978"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1</w:t>
            </w:r>
          </w:p>
        </w:tc>
        <w:tc>
          <w:tcPr>
            <w:tcW w:w="678" w:type="dxa"/>
            <w:vAlign w:val="center"/>
          </w:tcPr>
          <w:p w14:paraId="487CB184"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9" w:type="dxa"/>
            <w:vAlign w:val="center"/>
          </w:tcPr>
          <w:p w14:paraId="72B2F562"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vAlign w:val="center"/>
          </w:tcPr>
          <w:p w14:paraId="567CA809"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9" w:type="dxa"/>
            <w:vAlign w:val="center"/>
          </w:tcPr>
          <w:p w14:paraId="07474FCB"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r>
      <w:tr w:rsidR="00A7726F" w:rsidRPr="00A7726F" w14:paraId="16479BE4" w14:textId="77777777" w:rsidTr="00D137E4">
        <w:trPr>
          <w:trHeight w:val="20"/>
          <w:jc w:val="center"/>
        </w:trPr>
        <w:tc>
          <w:tcPr>
            <w:tcW w:w="921" w:type="dxa"/>
            <w:vAlign w:val="center"/>
          </w:tcPr>
          <w:p w14:paraId="7F3BEC75" w14:textId="77777777" w:rsidR="00A7726F" w:rsidRPr="00A7726F" w:rsidRDefault="00A7726F" w:rsidP="00D137E4">
            <w:pPr>
              <w:widowControl w:val="0"/>
              <w:autoSpaceDE w:val="0"/>
              <w:autoSpaceDN w:val="0"/>
              <w:adjustRightInd w:val="0"/>
              <w:spacing w:line="240" w:lineRule="auto"/>
              <w:jc w:val="left"/>
              <w:rPr>
                <w:color w:val="000000" w:themeColor="text1"/>
                <w:sz w:val="22"/>
              </w:rPr>
            </w:pPr>
            <w:r w:rsidRPr="00A7726F">
              <w:rPr>
                <w:color w:val="000000" w:themeColor="text1"/>
                <w:sz w:val="22"/>
              </w:rPr>
              <w:t>11.</w:t>
            </w:r>
          </w:p>
        </w:tc>
        <w:tc>
          <w:tcPr>
            <w:tcW w:w="4324" w:type="dxa"/>
            <w:vAlign w:val="center"/>
          </w:tcPr>
          <w:p w14:paraId="38EB4CB9" w14:textId="77777777" w:rsidR="00A7726F" w:rsidRPr="00A7726F" w:rsidRDefault="00A7726F" w:rsidP="007C051A">
            <w:pPr>
              <w:widowControl w:val="0"/>
              <w:autoSpaceDE w:val="0"/>
              <w:autoSpaceDN w:val="0"/>
              <w:adjustRightInd w:val="0"/>
              <w:spacing w:line="240" w:lineRule="auto"/>
              <w:jc w:val="left"/>
              <w:rPr>
                <w:color w:val="000000" w:themeColor="text1"/>
                <w:sz w:val="22"/>
              </w:rPr>
            </w:pPr>
            <w:r w:rsidRPr="00A7726F">
              <w:rPr>
                <w:color w:val="000000" w:themeColor="text1"/>
                <w:sz w:val="22"/>
              </w:rPr>
              <w:t>Relative_FirmSize</w:t>
            </w:r>
          </w:p>
        </w:tc>
        <w:tc>
          <w:tcPr>
            <w:tcW w:w="678" w:type="dxa"/>
            <w:vAlign w:val="center"/>
          </w:tcPr>
          <w:p w14:paraId="35EB37BD" w14:textId="77777777" w:rsidR="00A7726F" w:rsidRPr="00A7726F" w:rsidRDefault="00A7726F" w:rsidP="007C051A">
            <w:pPr>
              <w:widowControl w:val="0"/>
              <w:autoSpaceDE w:val="0"/>
              <w:autoSpaceDN w:val="0"/>
              <w:adjustRightInd w:val="0"/>
              <w:spacing w:line="240" w:lineRule="auto"/>
              <w:jc w:val="right"/>
              <w:rPr>
                <w:color w:val="000000" w:themeColor="text1"/>
                <w:sz w:val="22"/>
                <w:lang w:val="en-US"/>
              </w:rPr>
            </w:pPr>
            <w:r w:rsidRPr="00A7726F">
              <w:rPr>
                <w:color w:val="000000" w:themeColor="text1"/>
                <w:sz w:val="22"/>
              </w:rPr>
              <w:t>0.20</w:t>
            </w:r>
          </w:p>
        </w:tc>
        <w:tc>
          <w:tcPr>
            <w:tcW w:w="678" w:type="dxa"/>
            <w:vAlign w:val="center"/>
          </w:tcPr>
          <w:p w14:paraId="1BC62208"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0.20</w:t>
            </w:r>
          </w:p>
        </w:tc>
        <w:tc>
          <w:tcPr>
            <w:tcW w:w="679" w:type="dxa"/>
            <w:vAlign w:val="center"/>
          </w:tcPr>
          <w:p w14:paraId="1B14549D"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0.23</w:t>
            </w:r>
          </w:p>
        </w:tc>
        <w:tc>
          <w:tcPr>
            <w:tcW w:w="678" w:type="dxa"/>
            <w:vAlign w:val="center"/>
          </w:tcPr>
          <w:p w14:paraId="75FEDE5A"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-0.04</w:t>
            </w:r>
          </w:p>
        </w:tc>
        <w:tc>
          <w:tcPr>
            <w:tcW w:w="678" w:type="dxa"/>
            <w:vAlign w:val="center"/>
          </w:tcPr>
          <w:p w14:paraId="4DA5224C"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-0.07</w:t>
            </w:r>
          </w:p>
        </w:tc>
        <w:tc>
          <w:tcPr>
            <w:tcW w:w="679" w:type="dxa"/>
            <w:vAlign w:val="center"/>
          </w:tcPr>
          <w:p w14:paraId="5321A456"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-0.07</w:t>
            </w:r>
          </w:p>
        </w:tc>
        <w:tc>
          <w:tcPr>
            <w:tcW w:w="678" w:type="dxa"/>
            <w:vAlign w:val="center"/>
          </w:tcPr>
          <w:p w14:paraId="4CAA5234"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0.02</w:t>
            </w:r>
          </w:p>
        </w:tc>
        <w:tc>
          <w:tcPr>
            <w:tcW w:w="678" w:type="dxa"/>
            <w:vAlign w:val="center"/>
          </w:tcPr>
          <w:p w14:paraId="3D20825D"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0.20</w:t>
            </w:r>
          </w:p>
        </w:tc>
        <w:tc>
          <w:tcPr>
            <w:tcW w:w="679" w:type="dxa"/>
            <w:vAlign w:val="center"/>
          </w:tcPr>
          <w:p w14:paraId="2335EBB9"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0.16</w:t>
            </w:r>
          </w:p>
        </w:tc>
        <w:tc>
          <w:tcPr>
            <w:tcW w:w="678" w:type="dxa"/>
            <w:vAlign w:val="center"/>
          </w:tcPr>
          <w:p w14:paraId="66A0EC0D"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0.13</w:t>
            </w:r>
          </w:p>
        </w:tc>
        <w:tc>
          <w:tcPr>
            <w:tcW w:w="678" w:type="dxa"/>
            <w:vAlign w:val="center"/>
          </w:tcPr>
          <w:p w14:paraId="468C9261"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1</w:t>
            </w:r>
          </w:p>
        </w:tc>
        <w:tc>
          <w:tcPr>
            <w:tcW w:w="679" w:type="dxa"/>
            <w:vAlign w:val="center"/>
          </w:tcPr>
          <w:p w14:paraId="19D85D0C"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8" w:type="dxa"/>
            <w:vAlign w:val="center"/>
          </w:tcPr>
          <w:p w14:paraId="1C76459E"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9" w:type="dxa"/>
            <w:vAlign w:val="center"/>
          </w:tcPr>
          <w:p w14:paraId="005970FB"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r>
      <w:tr w:rsidR="00A7726F" w:rsidRPr="00A7726F" w14:paraId="3C536E84" w14:textId="77777777" w:rsidTr="00D137E4">
        <w:trPr>
          <w:trHeight w:val="20"/>
          <w:jc w:val="center"/>
        </w:trPr>
        <w:tc>
          <w:tcPr>
            <w:tcW w:w="921" w:type="dxa"/>
            <w:vAlign w:val="center"/>
          </w:tcPr>
          <w:p w14:paraId="543449ED" w14:textId="77777777" w:rsidR="00A7726F" w:rsidRPr="00A7726F" w:rsidRDefault="00A7726F" w:rsidP="00D137E4">
            <w:pPr>
              <w:widowControl w:val="0"/>
              <w:autoSpaceDE w:val="0"/>
              <w:autoSpaceDN w:val="0"/>
              <w:adjustRightInd w:val="0"/>
              <w:spacing w:line="240" w:lineRule="auto"/>
              <w:jc w:val="left"/>
              <w:rPr>
                <w:color w:val="000000" w:themeColor="text1"/>
                <w:sz w:val="22"/>
              </w:rPr>
            </w:pPr>
            <w:r w:rsidRPr="00A7726F">
              <w:rPr>
                <w:color w:val="000000" w:themeColor="text1"/>
                <w:sz w:val="22"/>
              </w:rPr>
              <w:t>12.</w:t>
            </w:r>
          </w:p>
        </w:tc>
        <w:tc>
          <w:tcPr>
            <w:tcW w:w="4324" w:type="dxa"/>
            <w:vAlign w:val="center"/>
          </w:tcPr>
          <w:p w14:paraId="7504E99A" w14:textId="77777777" w:rsidR="00A7726F" w:rsidRPr="00A7726F" w:rsidRDefault="00A7726F" w:rsidP="007C051A">
            <w:pPr>
              <w:widowControl w:val="0"/>
              <w:autoSpaceDE w:val="0"/>
              <w:autoSpaceDN w:val="0"/>
              <w:adjustRightInd w:val="0"/>
              <w:spacing w:line="240" w:lineRule="auto"/>
              <w:jc w:val="left"/>
              <w:rPr>
                <w:color w:val="000000" w:themeColor="text1"/>
                <w:sz w:val="22"/>
              </w:rPr>
            </w:pPr>
            <w:r w:rsidRPr="00A7726F">
              <w:rPr>
                <w:color w:val="000000" w:themeColor="text1"/>
                <w:sz w:val="22"/>
              </w:rPr>
              <w:t>Relative_FirmPerformance</w:t>
            </w:r>
          </w:p>
        </w:tc>
        <w:tc>
          <w:tcPr>
            <w:tcW w:w="678" w:type="dxa"/>
            <w:vAlign w:val="center"/>
          </w:tcPr>
          <w:p w14:paraId="5882B759"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-0.04</w:t>
            </w:r>
          </w:p>
        </w:tc>
        <w:tc>
          <w:tcPr>
            <w:tcW w:w="678" w:type="dxa"/>
            <w:vAlign w:val="center"/>
          </w:tcPr>
          <w:p w14:paraId="29C0BBA8"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-0.03</w:t>
            </w:r>
          </w:p>
        </w:tc>
        <w:tc>
          <w:tcPr>
            <w:tcW w:w="679" w:type="dxa"/>
            <w:vAlign w:val="center"/>
          </w:tcPr>
          <w:p w14:paraId="61EBEC34"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8" w:type="dxa"/>
            <w:vAlign w:val="center"/>
          </w:tcPr>
          <w:p w14:paraId="32D16E5E"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0.00</w:t>
            </w:r>
          </w:p>
        </w:tc>
        <w:tc>
          <w:tcPr>
            <w:tcW w:w="678" w:type="dxa"/>
            <w:vAlign w:val="center"/>
          </w:tcPr>
          <w:p w14:paraId="2783E012"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-0.02</w:t>
            </w:r>
          </w:p>
        </w:tc>
        <w:tc>
          <w:tcPr>
            <w:tcW w:w="679" w:type="dxa"/>
            <w:vAlign w:val="center"/>
          </w:tcPr>
          <w:p w14:paraId="0937D6CD"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-0.00</w:t>
            </w:r>
          </w:p>
        </w:tc>
        <w:tc>
          <w:tcPr>
            <w:tcW w:w="678" w:type="dxa"/>
            <w:vAlign w:val="center"/>
          </w:tcPr>
          <w:p w14:paraId="3E383C28"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8" w:type="dxa"/>
            <w:vAlign w:val="center"/>
          </w:tcPr>
          <w:p w14:paraId="0E68A187"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9" w:type="dxa"/>
            <w:vAlign w:val="center"/>
          </w:tcPr>
          <w:p w14:paraId="5F096719"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-0.02</w:t>
            </w:r>
          </w:p>
        </w:tc>
        <w:tc>
          <w:tcPr>
            <w:tcW w:w="678" w:type="dxa"/>
            <w:vAlign w:val="center"/>
          </w:tcPr>
          <w:p w14:paraId="06C5069F"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0.03</w:t>
            </w:r>
          </w:p>
        </w:tc>
        <w:tc>
          <w:tcPr>
            <w:tcW w:w="678" w:type="dxa"/>
            <w:vAlign w:val="center"/>
          </w:tcPr>
          <w:p w14:paraId="4F9BC1C0"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-0.03</w:t>
            </w:r>
          </w:p>
        </w:tc>
        <w:tc>
          <w:tcPr>
            <w:tcW w:w="679" w:type="dxa"/>
            <w:vAlign w:val="center"/>
          </w:tcPr>
          <w:p w14:paraId="2564C13D"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1</w:t>
            </w:r>
          </w:p>
        </w:tc>
        <w:tc>
          <w:tcPr>
            <w:tcW w:w="678" w:type="dxa"/>
            <w:vAlign w:val="center"/>
          </w:tcPr>
          <w:p w14:paraId="2555F683"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c>
          <w:tcPr>
            <w:tcW w:w="679" w:type="dxa"/>
            <w:vAlign w:val="center"/>
          </w:tcPr>
          <w:p w14:paraId="6DDEBFA7"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r>
      <w:tr w:rsidR="00A7726F" w:rsidRPr="00A7726F" w14:paraId="5856742C" w14:textId="77777777" w:rsidTr="00D137E4">
        <w:trPr>
          <w:trHeight w:val="20"/>
          <w:jc w:val="center"/>
        </w:trPr>
        <w:tc>
          <w:tcPr>
            <w:tcW w:w="921" w:type="dxa"/>
            <w:vAlign w:val="center"/>
          </w:tcPr>
          <w:p w14:paraId="67C39E9C" w14:textId="77777777" w:rsidR="00A7726F" w:rsidRPr="00A7726F" w:rsidRDefault="00A7726F" w:rsidP="00D137E4">
            <w:pPr>
              <w:widowControl w:val="0"/>
              <w:autoSpaceDE w:val="0"/>
              <w:autoSpaceDN w:val="0"/>
              <w:adjustRightInd w:val="0"/>
              <w:spacing w:line="240" w:lineRule="auto"/>
              <w:jc w:val="left"/>
              <w:rPr>
                <w:color w:val="000000" w:themeColor="text1"/>
                <w:sz w:val="22"/>
              </w:rPr>
            </w:pPr>
            <w:r w:rsidRPr="00A7726F">
              <w:rPr>
                <w:color w:val="000000" w:themeColor="text1"/>
                <w:sz w:val="22"/>
              </w:rPr>
              <w:t>13.</w:t>
            </w:r>
          </w:p>
        </w:tc>
        <w:tc>
          <w:tcPr>
            <w:tcW w:w="4324" w:type="dxa"/>
            <w:vAlign w:val="center"/>
          </w:tcPr>
          <w:p w14:paraId="56A8C3A7" w14:textId="77777777" w:rsidR="00A7726F" w:rsidRPr="00A7726F" w:rsidRDefault="00A7726F" w:rsidP="007C051A">
            <w:pPr>
              <w:widowControl w:val="0"/>
              <w:autoSpaceDE w:val="0"/>
              <w:autoSpaceDN w:val="0"/>
              <w:adjustRightInd w:val="0"/>
              <w:spacing w:line="240" w:lineRule="auto"/>
              <w:jc w:val="left"/>
              <w:rPr>
                <w:color w:val="000000" w:themeColor="text1"/>
                <w:sz w:val="22"/>
              </w:rPr>
            </w:pPr>
            <w:r w:rsidRPr="00A7726F">
              <w:rPr>
                <w:color w:val="000000" w:themeColor="text1"/>
                <w:sz w:val="22"/>
              </w:rPr>
              <w:t>Relative_RDIntensity</w:t>
            </w:r>
          </w:p>
        </w:tc>
        <w:tc>
          <w:tcPr>
            <w:tcW w:w="678" w:type="dxa"/>
            <w:vAlign w:val="center"/>
          </w:tcPr>
          <w:p w14:paraId="2366B69C"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-0.00</w:t>
            </w:r>
          </w:p>
        </w:tc>
        <w:tc>
          <w:tcPr>
            <w:tcW w:w="678" w:type="dxa"/>
            <w:vAlign w:val="center"/>
          </w:tcPr>
          <w:p w14:paraId="36784974"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0.04</w:t>
            </w:r>
          </w:p>
        </w:tc>
        <w:tc>
          <w:tcPr>
            <w:tcW w:w="679" w:type="dxa"/>
            <w:vAlign w:val="center"/>
          </w:tcPr>
          <w:p w14:paraId="3FA6A542"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0.06</w:t>
            </w:r>
          </w:p>
        </w:tc>
        <w:tc>
          <w:tcPr>
            <w:tcW w:w="678" w:type="dxa"/>
            <w:vAlign w:val="center"/>
          </w:tcPr>
          <w:p w14:paraId="771E9EB4"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-0.00</w:t>
            </w:r>
          </w:p>
        </w:tc>
        <w:tc>
          <w:tcPr>
            <w:tcW w:w="678" w:type="dxa"/>
            <w:vAlign w:val="center"/>
          </w:tcPr>
          <w:p w14:paraId="6CBB5566"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9" w:type="dxa"/>
            <w:vAlign w:val="center"/>
          </w:tcPr>
          <w:p w14:paraId="69C82D8D"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-0.00</w:t>
            </w:r>
          </w:p>
        </w:tc>
        <w:tc>
          <w:tcPr>
            <w:tcW w:w="678" w:type="dxa"/>
            <w:vAlign w:val="center"/>
          </w:tcPr>
          <w:p w14:paraId="3F887209"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-0.00</w:t>
            </w:r>
          </w:p>
        </w:tc>
        <w:tc>
          <w:tcPr>
            <w:tcW w:w="678" w:type="dxa"/>
            <w:vAlign w:val="center"/>
          </w:tcPr>
          <w:p w14:paraId="708B87C0"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0.05</w:t>
            </w:r>
          </w:p>
        </w:tc>
        <w:tc>
          <w:tcPr>
            <w:tcW w:w="679" w:type="dxa"/>
            <w:vAlign w:val="center"/>
          </w:tcPr>
          <w:p w14:paraId="33E3D1B4"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0.04</w:t>
            </w:r>
          </w:p>
        </w:tc>
        <w:tc>
          <w:tcPr>
            <w:tcW w:w="678" w:type="dxa"/>
            <w:vAlign w:val="center"/>
          </w:tcPr>
          <w:p w14:paraId="45F0B118"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8" w:type="dxa"/>
            <w:vAlign w:val="center"/>
          </w:tcPr>
          <w:p w14:paraId="3DC6C33B"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0.08</w:t>
            </w:r>
          </w:p>
        </w:tc>
        <w:tc>
          <w:tcPr>
            <w:tcW w:w="679" w:type="dxa"/>
            <w:vAlign w:val="center"/>
          </w:tcPr>
          <w:p w14:paraId="0D3C7C4A"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-0.00</w:t>
            </w:r>
          </w:p>
        </w:tc>
        <w:tc>
          <w:tcPr>
            <w:tcW w:w="678" w:type="dxa"/>
            <w:vAlign w:val="center"/>
          </w:tcPr>
          <w:p w14:paraId="6478CBCB"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1</w:t>
            </w:r>
          </w:p>
        </w:tc>
        <w:tc>
          <w:tcPr>
            <w:tcW w:w="679" w:type="dxa"/>
            <w:vAlign w:val="center"/>
          </w:tcPr>
          <w:p w14:paraId="092F0B55"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p>
        </w:tc>
      </w:tr>
      <w:tr w:rsidR="00A7726F" w:rsidRPr="00A7726F" w14:paraId="73C6C803" w14:textId="77777777" w:rsidTr="00D137E4">
        <w:trPr>
          <w:trHeight w:val="20"/>
          <w:jc w:val="center"/>
        </w:trPr>
        <w:tc>
          <w:tcPr>
            <w:tcW w:w="921" w:type="dxa"/>
            <w:vAlign w:val="center"/>
          </w:tcPr>
          <w:p w14:paraId="07B3AE8E" w14:textId="77777777" w:rsidR="00A7726F" w:rsidRPr="00A7726F" w:rsidRDefault="00A7726F" w:rsidP="00D137E4">
            <w:pPr>
              <w:widowControl w:val="0"/>
              <w:autoSpaceDE w:val="0"/>
              <w:autoSpaceDN w:val="0"/>
              <w:adjustRightInd w:val="0"/>
              <w:spacing w:line="240" w:lineRule="auto"/>
              <w:jc w:val="left"/>
              <w:rPr>
                <w:color w:val="000000" w:themeColor="text1"/>
                <w:sz w:val="22"/>
              </w:rPr>
            </w:pPr>
            <w:r w:rsidRPr="00A7726F">
              <w:rPr>
                <w:color w:val="000000" w:themeColor="text1"/>
                <w:sz w:val="22"/>
              </w:rPr>
              <w:t>14.</w:t>
            </w:r>
          </w:p>
        </w:tc>
        <w:tc>
          <w:tcPr>
            <w:tcW w:w="4324" w:type="dxa"/>
            <w:vAlign w:val="center"/>
          </w:tcPr>
          <w:p w14:paraId="133C26A6" w14:textId="77777777" w:rsidR="00A7726F" w:rsidRPr="00A7726F" w:rsidRDefault="00A7726F" w:rsidP="007C051A">
            <w:pPr>
              <w:widowControl w:val="0"/>
              <w:autoSpaceDE w:val="0"/>
              <w:autoSpaceDN w:val="0"/>
              <w:adjustRightInd w:val="0"/>
              <w:spacing w:line="240" w:lineRule="auto"/>
              <w:jc w:val="left"/>
              <w:rPr>
                <w:color w:val="000000" w:themeColor="text1"/>
                <w:sz w:val="22"/>
              </w:rPr>
            </w:pPr>
            <w:r w:rsidRPr="00A7726F">
              <w:rPr>
                <w:color w:val="000000" w:themeColor="text1"/>
                <w:sz w:val="22"/>
              </w:rPr>
              <w:t>Relative_AllianceExperience</w:t>
            </w:r>
          </w:p>
        </w:tc>
        <w:tc>
          <w:tcPr>
            <w:tcW w:w="678" w:type="dxa"/>
            <w:vAlign w:val="center"/>
          </w:tcPr>
          <w:p w14:paraId="05A37677"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0.02</w:t>
            </w:r>
          </w:p>
        </w:tc>
        <w:tc>
          <w:tcPr>
            <w:tcW w:w="678" w:type="dxa"/>
            <w:vAlign w:val="center"/>
          </w:tcPr>
          <w:p w14:paraId="6B0463A2"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9" w:type="dxa"/>
            <w:vAlign w:val="center"/>
          </w:tcPr>
          <w:p w14:paraId="226F24BB"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0.05</w:t>
            </w:r>
          </w:p>
        </w:tc>
        <w:tc>
          <w:tcPr>
            <w:tcW w:w="678" w:type="dxa"/>
            <w:vAlign w:val="center"/>
          </w:tcPr>
          <w:p w14:paraId="1CE0DC8C"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-0.02</w:t>
            </w:r>
          </w:p>
        </w:tc>
        <w:tc>
          <w:tcPr>
            <w:tcW w:w="678" w:type="dxa"/>
            <w:vAlign w:val="center"/>
          </w:tcPr>
          <w:p w14:paraId="7979ACB0"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0.03</w:t>
            </w:r>
          </w:p>
        </w:tc>
        <w:tc>
          <w:tcPr>
            <w:tcW w:w="679" w:type="dxa"/>
            <w:vAlign w:val="center"/>
          </w:tcPr>
          <w:p w14:paraId="4BE2E73B"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0.00</w:t>
            </w:r>
          </w:p>
        </w:tc>
        <w:tc>
          <w:tcPr>
            <w:tcW w:w="678" w:type="dxa"/>
            <w:vAlign w:val="center"/>
          </w:tcPr>
          <w:p w14:paraId="5ACD8FAF"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0.03</w:t>
            </w:r>
          </w:p>
        </w:tc>
        <w:tc>
          <w:tcPr>
            <w:tcW w:w="678" w:type="dxa"/>
            <w:vAlign w:val="center"/>
          </w:tcPr>
          <w:p w14:paraId="1B0E10D5"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0.15</w:t>
            </w:r>
          </w:p>
        </w:tc>
        <w:tc>
          <w:tcPr>
            <w:tcW w:w="679" w:type="dxa"/>
            <w:vAlign w:val="center"/>
          </w:tcPr>
          <w:p w14:paraId="05A87035"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0.43</w:t>
            </w:r>
          </w:p>
        </w:tc>
        <w:tc>
          <w:tcPr>
            <w:tcW w:w="678" w:type="dxa"/>
            <w:vAlign w:val="center"/>
          </w:tcPr>
          <w:p w14:paraId="29E556E7"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0.26</w:t>
            </w:r>
          </w:p>
        </w:tc>
        <w:tc>
          <w:tcPr>
            <w:tcW w:w="678" w:type="dxa"/>
            <w:vAlign w:val="center"/>
          </w:tcPr>
          <w:p w14:paraId="5E43B7DA"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0.09</w:t>
            </w:r>
          </w:p>
        </w:tc>
        <w:tc>
          <w:tcPr>
            <w:tcW w:w="679" w:type="dxa"/>
            <w:vAlign w:val="center"/>
          </w:tcPr>
          <w:p w14:paraId="66F12186"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8" w:type="dxa"/>
            <w:vAlign w:val="center"/>
          </w:tcPr>
          <w:p w14:paraId="4BA01122"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0.03</w:t>
            </w:r>
          </w:p>
        </w:tc>
        <w:tc>
          <w:tcPr>
            <w:tcW w:w="679" w:type="dxa"/>
            <w:vAlign w:val="center"/>
          </w:tcPr>
          <w:p w14:paraId="56BE1E11"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1</w:t>
            </w:r>
          </w:p>
        </w:tc>
      </w:tr>
      <w:tr w:rsidR="00A7726F" w:rsidRPr="00A7726F" w14:paraId="4E0E26C2" w14:textId="77777777" w:rsidTr="00D137E4">
        <w:trPr>
          <w:trHeight w:val="20"/>
          <w:jc w:val="center"/>
        </w:trPr>
        <w:tc>
          <w:tcPr>
            <w:tcW w:w="921" w:type="dxa"/>
            <w:vAlign w:val="center"/>
          </w:tcPr>
          <w:p w14:paraId="2BF413CD" w14:textId="77777777" w:rsidR="00A7726F" w:rsidRPr="00A7726F" w:rsidRDefault="00A7726F" w:rsidP="00D137E4">
            <w:pPr>
              <w:widowControl w:val="0"/>
              <w:autoSpaceDE w:val="0"/>
              <w:autoSpaceDN w:val="0"/>
              <w:adjustRightInd w:val="0"/>
              <w:spacing w:line="240" w:lineRule="auto"/>
              <w:jc w:val="left"/>
              <w:rPr>
                <w:color w:val="000000" w:themeColor="text1"/>
                <w:sz w:val="22"/>
              </w:rPr>
            </w:pPr>
            <w:r w:rsidRPr="00A7726F">
              <w:rPr>
                <w:color w:val="000000" w:themeColor="text1"/>
                <w:sz w:val="22"/>
              </w:rPr>
              <w:t>15.</w:t>
            </w:r>
          </w:p>
        </w:tc>
        <w:tc>
          <w:tcPr>
            <w:tcW w:w="4324" w:type="dxa"/>
            <w:vAlign w:val="center"/>
          </w:tcPr>
          <w:p w14:paraId="4DA86AED" w14:textId="77777777" w:rsidR="00A7726F" w:rsidRPr="00A7726F" w:rsidRDefault="00A7726F" w:rsidP="007C051A">
            <w:pPr>
              <w:widowControl w:val="0"/>
              <w:autoSpaceDE w:val="0"/>
              <w:autoSpaceDN w:val="0"/>
              <w:adjustRightInd w:val="0"/>
              <w:spacing w:line="240" w:lineRule="auto"/>
              <w:jc w:val="left"/>
              <w:rPr>
                <w:color w:val="000000" w:themeColor="text1"/>
                <w:sz w:val="22"/>
              </w:rPr>
            </w:pPr>
            <w:r w:rsidRPr="00A7726F">
              <w:rPr>
                <w:color w:val="000000" w:themeColor="text1"/>
                <w:sz w:val="22"/>
              </w:rPr>
              <w:t>Alliance_Relational_Embeddedness</w:t>
            </w:r>
          </w:p>
        </w:tc>
        <w:tc>
          <w:tcPr>
            <w:tcW w:w="678" w:type="dxa"/>
            <w:vAlign w:val="center"/>
          </w:tcPr>
          <w:p w14:paraId="511ADC90"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-0.07</w:t>
            </w:r>
          </w:p>
        </w:tc>
        <w:tc>
          <w:tcPr>
            <w:tcW w:w="678" w:type="dxa"/>
            <w:vAlign w:val="center"/>
          </w:tcPr>
          <w:p w14:paraId="0E8C71AF"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-0.06</w:t>
            </w:r>
          </w:p>
        </w:tc>
        <w:tc>
          <w:tcPr>
            <w:tcW w:w="679" w:type="dxa"/>
            <w:vAlign w:val="center"/>
          </w:tcPr>
          <w:p w14:paraId="3CF1F33B"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-0.06</w:t>
            </w:r>
          </w:p>
        </w:tc>
        <w:tc>
          <w:tcPr>
            <w:tcW w:w="678" w:type="dxa"/>
            <w:vAlign w:val="center"/>
          </w:tcPr>
          <w:p w14:paraId="290D022A"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0.07</w:t>
            </w:r>
          </w:p>
        </w:tc>
        <w:tc>
          <w:tcPr>
            <w:tcW w:w="678" w:type="dxa"/>
            <w:vAlign w:val="center"/>
          </w:tcPr>
          <w:p w14:paraId="7318D607"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9" w:type="dxa"/>
            <w:vAlign w:val="center"/>
          </w:tcPr>
          <w:p w14:paraId="1AD7C368"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0.34</w:t>
            </w:r>
          </w:p>
        </w:tc>
        <w:tc>
          <w:tcPr>
            <w:tcW w:w="678" w:type="dxa"/>
            <w:vAlign w:val="center"/>
          </w:tcPr>
          <w:p w14:paraId="62701FCE"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8" w:type="dxa"/>
            <w:vAlign w:val="center"/>
          </w:tcPr>
          <w:p w14:paraId="0281166E"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-0.04</w:t>
            </w:r>
          </w:p>
        </w:tc>
        <w:tc>
          <w:tcPr>
            <w:tcW w:w="679" w:type="dxa"/>
            <w:vAlign w:val="center"/>
          </w:tcPr>
          <w:p w14:paraId="2D461F5A"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-0.06</w:t>
            </w:r>
          </w:p>
        </w:tc>
        <w:tc>
          <w:tcPr>
            <w:tcW w:w="678" w:type="dxa"/>
            <w:vAlign w:val="center"/>
          </w:tcPr>
          <w:p w14:paraId="762D8BAC"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0.12</w:t>
            </w:r>
          </w:p>
        </w:tc>
        <w:tc>
          <w:tcPr>
            <w:tcW w:w="678" w:type="dxa"/>
            <w:vAlign w:val="center"/>
          </w:tcPr>
          <w:p w14:paraId="4C543D5F"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-0.02</w:t>
            </w:r>
          </w:p>
        </w:tc>
        <w:tc>
          <w:tcPr>
            <w:tcW w:w="679" w:type="dxa"/>
            <w:vAlign w:val="center"/>
          </w:tcPr>
          <w:p w14:paraId="56C330F7"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-0.02</w:t>
            </w:r>
          </w:p>
        </w:tc>
        <w:tc>
          <w:tcPr>
            <w:tcW w:w="678" w:type="dxa"/>
            <w:vAlign w:val="center"/>
          </w:tcPr>
          <w:p w14:paraId="193A4A33"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9" w:type="dxa"/>
            <w:vAlign w:val="center"/>
          </w:tcPr>
          <w:p w14:paraId="6C3D5187"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-0.08</w:t>
            </w:r>
          </w:p>
        </w:tc>
      </w:tr>
      <w:tr w:rsidR="00A7726F" w:rsidRPr="00A7726F" w14:paraId="13C4FDEE" w14:textId="77777777" w:rsidTr="00D137E4">
        <w:trPr>
          <w:trHeight w:val="20"/>
          <w:jc w:val="center"/>
        </w:trPr>
        <w:tc>
          <w:tcPr>
            <w:tcW w:w="921" w:type="dxa"/>
            <w:vAlign w:val="center"/>
          </w:tcPr>
          <w:p w14:paraId="0FF1BC1E" w14:textId="77777777" w:rsidR="00A7726F" w:rsidRPr="00A7726F" w:rsidRDefault="00A7726F" w:rsidP="00D137E4">
            <w:pPr>
              <w:widowControl w:val="0"/>
              <w:autoSpaceDE w:val="0"/>
              <w:autoSpaceDN w:val="0"/>
              <w:adjustRightInd w:val="0"/>
              <w:spacing w:line="240" w:lineRule="auto"/>
              <w:jc w:val="left"/>
              <w:rPr>
                <w:color w:val="000000" w:themeColor="text1"/>
                <w:sz w:val="22"/>
              </w:rPr>
            </w:pPr>
            <w:r w:rsidRPr="00A7726F">
              <w:rPr>
                <w:color w:val="000000" w:themeColor="text1"/>
                <w:sz w:val="22"/>
              </w:rPr>
              <w:t>16.</w:t>
            </w:r>
          </w:p>
        </w:tc>
        <w:tc>
          <w:tcPr>
            <w:tcW w:w="4324" w:type="dxa"/>
            <w:vAlign w:val="center"/>
          </w:tcPr>
          <w:p w14:paraId="47CA83FE" w14:textId="77777777" w:rsidR="00A7726F" w:rsidRPr="00A7726F" w:rsidRDefault="00A7726F" w:rsidP="007C051A">
            <w:pPr>
              <w:widowControl w:val="0"/>
              <w:autoSpaceDE w:val="0"/>
              <w:autoSpaceDN w:val="0"/>
              <w:adjustRightInd w:val="0"/>
              <w:spacing w:line="240" w:lineRule="auto"/>
              <w:jc w:val="left"/>
              <w:rPr>
                <w:color w:val="000000" w:themeColor="text1"/>
                <w:sz w:val="22"/>
              </w:rPr>
            </w:pPr>
            <w:r w:rsidRPr="00A7726F">
              <w:rPr>
                <w:color w:val="000000" w:themeColor="text1"/>
                <w:sz w:val="22"/>
              </w:rPr>
              <w:t>Alliance_Structural_Embeddedness</w:t>
            </w:r>
          </w:p>
        </w:tc>
        <w:tc>
          <w:tcPr>
            <w:tcW w:w="678" w:type="dxa"/>
            <w:vAlign w:val="center"/>
          </w:tcPr>
          <w:p w14:paraId="3F3690D9"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-0.09</w:t>
            </w:r>
          </w:p>
        </w:tc>
        <w:tc>
          <w:tcPr>
            <w:tcW w:w="678" w:type="dxa"/>
            <w:vAlign w:val="center"/>
          </w:tcPr>
          <w:p w14:paraId="2B5FAC0D"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-0.09</w:t>
            </w:r>
          </w:p>
        </w:tc>
        <w:tc>
          <w:tcPr>
            <w:tcW w:w="679" w:type="dxa"/>
            <w:vAlign w:val="center"/>
          </w:tcPr>
          <w:p w14:paraId="105832B0"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-0.08</w:t>
            </w:r>
          </w:p>
        </w:tc>
        <w:tc>
          <w:tcPr>
            <w:tcW w:w="678" w:type="dxa"/>
            <w:vAlign w:val="center"/>
          </w:tcPr>
          <w:p w14:paraId="229D33C0"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0.02</w:t>
            </w:r>
          </w:p>
        </w:tc>
        <w:tc>
          <w:tcPr>
            <w:tcW w:w="678" w:type="dxa"/>
            <w:vAlign w:val="center"/>
          </w:tcPr>
          <w:p w14:paraId="03D70DDE"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0.16</w:t>
            </w:r>
          </w:p>
        </w:tc>
        <w:tc>
          <w:tcPr>
            <w:tcW w:w="679" w:type="dxa"/>
            <w:vAlign w:val="center"/>
          </w:tcPr>
          <w:p w14:paraId="6C3BAB34"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0.20</w:t>
            </w:r>
          </w:p>
        </w:tc>
        <w:tc>
          <w:tcPr>
            <w:tcW w:w="678" w:type="dxa"/>
            <w:vAlign w:val="center"/>
          </w:tcPr>
          <w:p w14:paraId="4823D483"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0.05</w:t>
            </w:r>
          </w:p>
        </w:tc>
        <w:tc>
          <w:tcPr>
            <w:tcW w:w="678" w:type="dxa"/>
            <w:vAlign w:val="center"/>
          </w:tcPr>
          <w:p w14:paraId="219C91B7"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0.03</w:t>
            </w:r>
          </w:p>
        </w:tc>
        <w:tc>
          <w:tcPr>
            <w:tcW w:w="679" w:type="dxa"/>
            <w:vAlign w:val="center"/>
          </w:tcPr>
          <w:p w14:paraId="0E8ED115"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0.20</w:t>
            </w:r>
          </w:p>
        </w:tc>
        <w:tc>
          <w:tcPr>
            <w:tcW w:w="678" w:type="dxa"/>
            <w:vAlign w:val="center"/>
          </w:tcPr>
          <w:p w14:paraId="17F7BD91"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0.36</w:t>
            </w:r>
          </w:p>
        </w:tc>
        <w:tc>
          <w:tcPr>
            <w:tcW w:w="678" w:type="dxa"/>
            <w:vAlign w:val="center"/>
          </w:tcPr>
          <w:p w14:paraId="16301A3A"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-0.08</w:t>
            </w:r>
          </w:p>
        </w:tc>
        <w:tc>
          <w:tcPr>
            <w:tcW w:w="679" w:type="dxa"/>
            <w:vAlign w:val="center"/>
          </w:tcPr>
          <w:p w14:paraId="4E6ADF89"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8" w:type="dxa"/>
            <w:vAlign w:val="center"/>
          </w:tcPr>
          <w:p w14:paraId="750E7B02"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9" w:type="dxa"/>
            <w:vAlign w:val="center"/>
          </w:tcPr>
          <w:p w14:paraId="4791FFAD"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0.30</w:t>
            </w:r>
          </w:p>
        </w:tc>
      </w:tr>
      <w:tr w:rsidR="00A7726F" w:rsidRPr="00A7726F" w14:paraId="31159C2F" w14:textId="77777777" w:rsidTr="00D137E4">
        <w:trPr>
          <w:trHeight w:val="20"/>
          <w:jc w:val="center"/>
        </w:trPr>
        <w:tc>
          <w:tcPr>
            <w:tcW w:w="921" w:type="dxa"/>
            <w:vAlign w:val="center"/>
          </w:tcPr>
          <w:p w14:paraId="074E44C4" w14:textId="77777777" w:rsidR="00A7726F" w:rsidRPr="00A7726F" w:rsidRDefault="00A7726F" w:rsidP="00D137E4">
            <w:pPr>
              <w:widowControl w:val="0"/>
              <w:autoSpaceDE w:val="0"/>
              <w:autoSpaceDN w:val="0"/>
              <w:adjustRightInd w:val="0"/>
              <w:spacing w:line="240" w:lineRule="auto"/>
              <w:jc w:val="left"/>
              <w:rPr>
                <w:color w:val="000000" w:themeColor="text1"/>
                <w:sz w:val="22"/>
              </w:rPr>
            </w:pPr>
            <w:r w:rsidRPr="00A7726F">
              <w:rPr>
                <w:color w:val="000000" w:themeColor="text1"/>
                <w:sz w:val="22"/>
              </w:rPr>
              <w:t>17.</w:t>
            </w:r>
          </w:p>
        </w:tc>
        <w:tc>
          <w:tcPr>
            <w:tcW w:w="4324" w:type="dxa"/>
            <w:vAlign w:val="center"/>
          </w:tcPr>
          <w:p w14:paraId="60B0DA9C" w14:textId="77777777" w:rsidR="00A7726F" w:rsidRPr="00A7726F" w:rsidRDefault="00A7726F" w:rsidP="007C051A">
            <w:pPr>
              <w:widowControl w:val="0"/>
              <w:autoSpaceDE w:val="0"/>
              <w:autoSpaceDN w:val="0"/>
              <w:adjustRightInd w:val="0"/>
              <w:spacing w:line="240" w:lineRule="auto"/>
              <w:jc w:val="left"/>
              <w:rPr>
                <w:color w:val="000000" w:themeColor="text1"/>
                <w:sz w:val="22"/>
              </w:rPr>
            </w:pPr>
            <w:r w:rsidRPr="00A7726F">
              <w:rPr>
                <w:color w:val="000000" w:themeColor="text1"/>
                <w:sz w:val="22"/>
              </w:rPr>
              <w:t>JV_Indicator</w:t>
            </w:r>
          </w:p>
        </w:tc>
        <w:tc>
          <w:tcPr>
            <w:tcW w:w="678" w:type="dxa"/>
            <w:vAlign w:val="center"/>
          </w:tcPr>
          <w:p w14:paraId="7BBF707B"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8" w:type="dxa"/>
            <w:vAlign w:val="center"/>
          </w:tcPr>
          <w:p w14:paraId="7A4B0867"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-0.00</w:t>
            </w:r>
          </w:p>
        </w:tc>
        <w:tc>
          <w:tcPr>
            <w:tcW w:w="679" w:type="dxa"/>
            <w:vAlign w:val="center"/>
          </w:tcPr>
          <w:p w14:paraId="2B8E6303"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-0.03</w:t>
            </w:r>
          </w:p>
        </w:tc>
        <w:tc>
          <w:tcPr>
            <w:tcW w:w="678" w:type="dxa"/>
            <w:vAlign w:val="center"/>
          </w:tcPr>
          <w:p w14:paraId="10792CDB"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0.06</w:t>
            </w:r>
          </w:p>
        </w:tc>
        <w:tc>
          <w:tcPr>
            <w:tcW w:w="678" w:type="dxa"/>
            <w:vAlign w:val="center"/>
          </w:tcPr>
          <w:p w14:paraId="13BA7AF8"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-0.07</w:t>
            </w:r>
          </w:p>
        </w:tc>
        <w:tc>
          <w:tcPr>
            <w:tcW w:w="679" w:type="dxa"/>
            <w:vAlign w:val="center"/>
          </w:tcPr>
          <w:p w14:paraId="740C326A"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-0.02</w:t>
            </w:r>
          </w:p>
        </w:tc>
        <w:tc>
          <w:tcPr>
            <w:tcW w:w="678" w:type="dxa"/>
            <w:vAlign w:val="center"/>
          </w:tcPr>
          <w:p w14:paraId="12F700CD"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8" w:type="dxa"/>
            <w:vAlign w:val="center"/>
          </w:tcPr>
          <w:p w14:paraId="28E6685B"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-0.04</w:t>
            </w:r>
          </w:p>
        </w:tc>
        <w:tc>
          <w:tcPr>
            <w:tcW w:w="679" w:type="dxa"/>
            <w:vAlign w:val="center"/>
          </w:tcPr>
          <w:p w14:paraId="2A3E2129"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-0.18</w:t>
            </w:r>
          </w:p>
        </w:tc>
        <w:tc>
          <w:tcPr>
            <w:tcW w:w="678" w:type="dxa"/>
            <w:vAlign w:val="center"/>
          </w:tcPr>
          <w:p w14:paraId="2C8ADAEB"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-0.07</w:t>
            </w:r>
          </w:p>
        </w:tc>
        <w:tc>
          <w:tcPr>
            <w:tcW w:w="678" w:type="dxa"/>
            <w:vAlign w:val="center"/>
          </w:tcPr>
          <w:p w14:paraId="65FD259D"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-0.05</w:t>
            </w:r>
          </w:p>
        </w:tc>
        <w:tc>
          <w:tcPr>
            <w:tcW w:w="679" w:type="dxa"/>
            <w:vAlign w:val="center"/>
          </w:tcPr>
          <w:p w14:paraId="3B98D360"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-0.00</w:t>
            </w:r>
          </w:p>
        </w:tc>
        <w:tc>
          <w:tcPr>
            <w:tcW w:w="678" w:type="dxa"/>
            <w:vAlign w:val="center"/>
          </w:tcPr>
          <w:p w14:paraId="70F1CD75"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9" w:type="dxa"/>
            <w:vAlign w:val="center"/>
          </w:tcPr>
          <w:p w14:paraId="0763FB91"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-0.12</w:t>
            </w:r>
          </w:p>
        </w:tc>
      </w:tr>
      <w:tr w:rsidR="00A7726F" w:rsidRPr="00A7726F" w14:paraId="4594C7BC" w14:textId="77777777" w:rsidTr="00D137E4">
        <w:trPr>
          <w:trHeight w:val="20"/>
          <w:jc w:val="center"/>
        </w:trPr>
        <w:tc>
          <w:tcPr>
            <w:tcW w:w="921" w:type="dxa"/>
            <w:vAlign w:val="center"/>
          </w:tcPr>
          <w:p w14:paraId="251575CB" w14:textId="77777777" w:rsidR="00A7726F" w:rsidRPr="00A7726F" w:rsidRDefault="00A7726F" w:rsidP="00D137E4">
            <w:pPr>
              <w:widowControl w:val="0"/>
              <w:autoSpaceDE w:val="0"/>
              <w:autoSpaceDN w:val="0"/>
              <w:adjustRightInd w:val="0"/>
              <w:spacing w:line="240" w:lineRule="auto"/>
              <w:jc w:val="left"/>
              <w:rPr>
                <w:color w:val="000000" w:themeColor="text1"/>
                <w:sz w:val="22"/>
              </w:rPr>
            </w:pPr>
            <w:r w:rsidRPr="00A7726F">
              <w:rPr>
                <w:color w:val="000000" w:themeColor="text1"/>
                <w:sz w:val="22"/>
              </w:rPr>
              <w:t>18.</w:t>
            </w:r>
          </w:p>
        </w:tc>
        <w:tc>
          <w:tcPr>
            <w:tcW w:w="4324" w:type="dxa"/>
            <w:vAlign w:val="center"/>
          </w:tcPr>
          <w:p w14:paraId="4354A17F" w14:textId="77777777" w:rsidR="00A7726F" w:rsidRPr="00A7726F" w:rsidRDefault="00A7726F" w:rsidP="007C051A">
            <w:pPr>
              <w:widowControl w:val="0"/>
              <w:autoSpaceDE w:val="0"/>
              <w:autoSpaceDN w:val="0"/>
              <w:adjustRightInd w:val="0"/>
              <w:spacing w:line="240" w:lineRule="auto"/>
              <w:jc w:val="left"/>
              <w:rPr>
                <w:color w:val="000000" w:themeColor="text1"/>
                <w:sz w:val="22"/>
              </w:rPr>
            </w:pPr>
            <w:r w:rsidRPr="00A7726F">
              <w:rPr>
                <w:color w:val="000000" w:themeColor="text1"/>
                <w:sz w:val="22"/>
              </w:rPr>
              <w:t>EquityAlliance_Indicator</w:t>
            </w:r>
          </w:p>
        </w:tc>
        <w:tc>
          <w:tcPr>
            <w:tcW w:w="678" w:type="dxa"/>
            <w:vAlign w:val="center"/>
          </w:tcPr>
          <w:p w14:paraId="20C45A2F"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0.02</w:t>
            </w:r>
          </w:p>
        </w:tc>
        <w:tc>
          <w:tcPr>
            <w:tcW w:w="678" w:type="dxa"/>
            <w:vAlign w:val="center"/>
          </w:tcPr>
          <w:p w14:paraId="27C476C5"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0.02</w:t>
            </w:r>
          </w:p>
        </w:tc>
        <w:tc>
          <w:tcPr>
            <w:tcW w:w="679" w:type="dxa"/>
            <w:vAlign w:val="center"/>
          </w:tcPr>
          <w:p w14:paraId="370D3829"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8" w:type="dxa"/>
            <w:vAlign w:val="center"/>
          </w:tcPr>
          <w:p w14:paraId="11305982"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0.04</w:t>
            </w:r>
          </w:p>
        </w:tc>
        <w:tc>
          <w:tcPr>
            <w:tcW w:w="678" w:type="dxa"/>
            <w:vAlign w:val="center"/>
          </w:tcPr>
          <w:p w14:paraId="06E69730"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-0.03</w:t>
            </w:r>
          </w:p>
        </w:tc>
        <w:tc>
          <w:tcPr>
            <w:tcW w:w="679" w:type="dxa"/>
            <w:vAlign w:val="center"/>
          </w:tcPr>
          <w:p w14:paraId="5742C070"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8" w:type="dxa"/>
            <w:vAlign w:val="center"/>
          </w:tcPr>
          <w:p w14:paraId="36DD64C6"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8" w:type="dxa"/>
            <w:vAlign w:val="center"/>
          </w:tcPr>
          <w:p w14:paraId="666FE2D5"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0.02</w:t>
            </w:r>
          </w:p>
        </w:tc>
        <w:tc>
          <w:tcPr>
            <w:tcW w:w="679" w:type="dxa"/>
            <w:vAlign w:val="center"/>
          </w:tcPr>
          <w:p w14:paraId="6D5DFC96"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-0.04</w:t>
            </w:r>
          </w:p>
        </w:tc>
        <w:tc>
          <w:tcPr>
            <w:tcW w:w="678" w:type="dxa"/>
            <w:vAlign w:val="center"/>
          </w:tcPr>
          <w:p w14:paraId="49B00652"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0.00</w:t>
            </w:r>
          </w:p>
        </w:tc>
        <w:tc>
          <w:tcPr>
            <w:tcW w:w="678" w:type="dxa"/>
            <w:vAlign w:val="center"/>
          </w:tcPr>
          <w:p w14:paraId="00EF4D23"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0.07</w:t>
            </w:r>
          </w:p>
        </w:tc>
        <w:tc>
          <w:tcPr>
            <w:tcW w:w="679" w:type="dxa"/>
            <w:vAlign w:val="center"/>
          </w:tcPr>
          <w:p w14:paraId="776EE6EB"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8" w:type="dxa"/>
            <w:vAlign w:val="center"/>
          </w:tcPr>
          <w:p w14:paraId="749DAFD8"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-0.00</w:t>
            </w:r>
          </w:p>
        </w:tc>
        <w:tc>
          <w:tcPr>
            <w:tcW w:w="679" w:type="dxa"/>
            <w:vAlign w:val="center"/>
          </w:tcPr>
          <w:p w14:paraId="606FDB31"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0.00</w:t>
            </w:r>
          </w:p>
        </w:tc>
      </w:tr>
      <w:tr w:rsidR="00A7726F" w:rsidRPr="00A7726F" w14:paraId="4A6DA21C" w14:textId="77777777" w:rsidTr="00D137E4">
        <w:trPr>
          <w:trHeight w:val="20"/>
          <w:jc w:val="center"/>
        </w:trPr>
        <w:tc>
          <w:tcPr>
            <w:tcW w:w="921" w:type="dxa"/>
            <w:vAlign w:val="center"/>
          </w:tcPr>
          <w:p w14:paraId="77BF48F7" w14:textId="77777777" w:rsidR="00A7726F" w:rsidRPr="00A7726F" w:rsidRDefault="00A7726F" w:rsidP="00D137E4">
            <w:pPr>
              <w:widowControl w:val="0"/>
              <w:autoSpaceDE w:val="0"/>
              <w:autoSpaceDN w:val="0"/>
              <w:adjustRightInd w:val="0"/>
              <w:spacing w:line="240" w:lineRule="auto"/>
              <w:jc w:val="left"/>
              <w:rPr>
                <w:color w:val="000000" w:themeColor="text1"/>
                <w:sz w:val="22"/>
              </w:rPr>
            </w:pPr>
            <w:r w:rsidRPr="00A7726F">
              <w:rPr>
                <w:color w:val="000000" w:themeColor="text1"/>
                <w:sz w:val="22"/>
              </w:rPr>
              <w:t>19.</w:t>
            </w:r>
          </w:p>
        </w:tc>
        <w:tc>
          <w:tcPr>
            <w:tcW w:w="4324" w:type="dxa"/>
            <w:vAlign w:val="center"/>
          </w:tcPr>
          <w:p w14:paraId="005F2B7D" w14:textId="77777777" w:rsidR="00A7726F" w:rsidRPr="00A7726F" w:rsidRDefault="00A7726F" w:rsidP="007C051A">
            <w:pPr>
              <w:widowControl w:val="0"/>
              <w:autoSpaceDE w:val="0"/>
              <w:autoSpaceDN w:val="0"/>
              <w:adjustRightInd w:val="0"/>
              <w:spacing w:line="240" w:lineRule="auto"/>
              <w:jc w:val="left"/>
              <w:rPr>
                <w:color w:val="000000" w:themeColor="text1"/>
                <w:sz w:val="22"/>
              </w:rPr>
            </w:pPr>
            <w:r w:rsidRPr="00A7726F">
              <w:rPr>
                <w:color w:val="000000" w:themeColor="text1"/>
                <w:sz w:val="22"/>
              </w:rPr>
              <w:t>TechnologyAlliance_Indicator</w:t>
            </w:r>
          </w:p>
        </w:tc>
        <w:tc>
          <w:tcPr>
            <w:tcW w:w="678" w:type="dxa"/>
            <w:vAlign w:val="center"/>
          </w:tcPr>
          <w:p w14:paraId="5E140258"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0.00</w:t>
            </w:r>
          </w:p>
        </w:tc>
        <w:tc>
          <w:tcPr>
            <w:tcW w:w="678" w:type="dxa"/>
            <w:vAlign w:val="center"/>
          </w:tcPr>
          <w:p w14:paraId="40AAE30E"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-0.02</w:t>
            </w:r>
          </w:p>
        </w:tc>
        <w:tc>
          <w:tcPr>
            <w:tcW w:w="679" w:type="dxa"/>
            <w:vAlign w:val="center"/>
          </w:tcPr>
          <w:p w14:paraId="76D56653"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8" w:type="dxa"/>
            <w:vAlign w:val="center"/>
          </w:tcPr>
          <w:p w14:paraId="73C380F9"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8" w:type="dxa"/>
            <w:vAlign w:val="center"/>
          </w:tcPr>
          <w:p w14:paraId="2E37D65B"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0.06</w:t>
            </w:r>
          </w:p>
        </w:tc>
        <w:tc>
          <w:tcPr>
            <w:tcW w:w="679" w:type="dxa"/>
            <w:vAlign w:val="center"/>
          </w:tcPr>
          <w:p w14:paraId="2F272B50"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0.07</w:t>
            </w:r>
          </w:p>
        </w:tc>
        <w:tc>
          <w:tcPr>
            <w:tcW w:w="678" w:type="dxa"/>
            <w:vAlign w:val="center"/>
          </w:tcPr>
          <w:p w14:paraId="0CB57621"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8" w:type="dxa"/>
            <w:vAlign w:val="center"/>
          </w:tcPr>
          <w:p w14:paraId="28819034"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0.04</w:t>
            </w:r>
          </w:p>
        </w:tc>
        <w:tc>
          <w:tcPr>
            <w:tcW w:w="679" w:type="dxa"/>
            <w:vAlign w:val="center"/>
          </w:tcPr>
          <w:p w14:paraId="0D85E7EC"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0.11</w:t>
            </w:r>
          </w:p>
        </w:tc>
        <w:tc>
          <w:tcPr>
            <w:tcW w:w="678" w:type="dxa"/>
            <w:vAlign w:val="center"/>
          </w:tcPr>
          <w:p w14:paraId="651EF1B8"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0.09</w:t>
            </w:r>
          </w:p>
        </w:tc>
        <w:tc>
          <w:tcPr>
            <w:tcW w:w="678" w:type="dxa"/>
            <w:vAlign w:val="center"/>
          </w:tcPr>
          <w:p w14:paraId="6F2C0764"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-0.02</w:t>
            </w:r>
          </w:p>
        </w:tc>
        <w:tc>
          <w:tcPr>
            <w:tcW w:w="679" w:type="dxa"/>
            <w:vAlign w:val="center"/>
          </w:tcPr>
          <w:p w14:paraId="07248895"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0.02</w:t>
            </w:r>
          </w:p>
        </w:tc>
        <w:tc>
          <w:tcPr>
            <w:tcW w:w="678" w:type="dxa"/>
            <w:vAlign w:val="center"/>
          </w:tcPr>
          <w:p w14:paraId="1F987C58"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-0.02</w:t>
            </w:r>
          </w:p>
        </w:tc>
        <w:tc>
          <w:tcPr>
            <w:tcW w:w="679" w:type="dxa"/>
            <w:vAlign w:val="center"/>
          </w:tcPr>
          <w:p w14:paraId="37E708FF"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0.12</w:t>
            </w:r>
          </w:p>
        </w:tc>
      </w:tr>
      <w:tr w:rsidR="00A7726F" w:rsidRPr="00A7726F" w14:paraId="06CE8113" w14:textId="77777777" w:rsidTr="00D137E4">
        <w:trPr>
          <w:trHeight w:val="20"/>
          <w:jc w:val="center"/>
        </w:trPr>
        <w:tc>
          <w:tcPr>
            <w:tcW w:w="921" w:type="dxa"/>
            <w:vAlign w:val="center"/>
          </w:tcPr>
          <w:p w14:paraId="6AF0F478" w14:textId="77777777" w:rsidR="00A7726F" w:rsidRPr="00A7726F" w:rsidRDefault="00A7726F" w:rsidP="00D137E4">
            <w:pPr>
              <w:widowControl w:val="0"/>
              <w:autoSpaceDE w:val="0"/>
              <w:autoSpaceDN w:val="0"/>
              <w:adjustRightInd w:val="0"/>
              <w:spacing w:line="240" w:lineRule="auto"/>
              <w:jc w:val="left"/>
              <w:rPr>
                <w:color w:val="000000" w:themeColor="text1"/>
                <w:sz w:val="22"/>
              </w:rPr>
            </w:pPr>
            <w:r w:rsidRPr="00A7726F">
              <w:rPr>
                <w:color w:val="000000" w:themeColor="text1"/>
                <w:sz w:val="22"/>
              </w:rPr>
              <w:t>20.</w:t>
            </w:r>
          </w:p>
        </w:tc>
        <w:tc>
          <w:tcPr>
            <w:tcW w:w="4324" w:type="dxa"/>
            <w:vAlign w:val="center"/>
          </w:tcPr>
          <w:p w14:paraId="38DF99CD" w14:textId="77777777" w:rsidR="00A7726F" w:rsidRPr="00A7726F" w:rsidRDefault="00A7726F" w:rsidP="007C051A">
            <w:pPr>
              <w:widowControl w:val="0"/>
              <w:autoSpaceDE w:val="0"/>
              <w:autoSpaceDN w:val="0"/>
              <w:adjustRightInd w:val="0"/>
              <w:spacing w:line="240" w:lineRule="auto"/>
              <w:jc w:val="left"/>
              <w:rPr>
                <w:color w:val="000000" w:themeColor="text1"/>
                <w:sz w:val="22"/>
              </w:rPr>
            </w:pPr>
            <w:r w:rsidRPr="00A7726F">
              <w:rPr>
                <w:color w:val="000000" w:themeColor="text1"/>
                <w:sz w:val="22"/>
              </w:rPr>
              <w:t>ExplorationAlliance_Indicator</w:t>
            </w:r>
          </w:p>
        </w:tc>
        <w:tc>
          <w:tcPr>
            <w:tcW w:w="678" w:type="dxa"/>
            <w:vAlign w:val="center"/>
          </w:tcPr>
          <w:p w14:paraId="751C3133"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-0.03</w:t>
            </w:r>
          </w:p>
        </w:tc>
        <w:tc>
          <w:tcPr>
            <w:tcW w:w="678" w:type="dxa"/>
            <w:vAlign w:val="center"/>
          </w:tcPr>
          <w:p w14:paraId="559868AA"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9" w:type="dxa"/>
            <w:vAlign w:val="center"/>
          </w:tcPr>
          <w:p w14:paraId="52F41467"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0.02</w:t>
            </w:r>
          </w:p>
        </w:tc>
        <w:tc>
          <w:tcPr>
            <w:tcW w:w="678" w:type="dxa"/>
            <w:vAlign w:val="center"/>
          </w:tcPr>
          <w:p w14:paraId="78BF9AAB"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-0.03</w:t>
            </w:r>
          </w:p>
        </w:tc>
        <w:tc>
          <w:tcPr>
            <w:tcW w:w="678" w:type="dxa"/>
            <w:vAlign w:val="center"/>
          </w:tcPr>
          <w:p w14:paraId="699D777F"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0.00</w:t>
            </w:r>
          </w:p>
        </w:tc>
        <w:tc>
          <w:tcPr>
            <w:tcW w:w="679" w:type="dxa"/>
            <w:vAlign w:val="center"/>
          </w:tcPr>
          <w:p w14:paraId="58FE3A32"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8" w:type="dxa"/>
            <w:vAlign w:val="center"/>
          </w:tcPr>
          <w:p w14:paraId="2C0B820E"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0.00</w:t>
            </w:r>
          </w:p>
        </w:tc>
        <w:tc>
          <w:tcPr>
            <w:tcW w:w="678" w:type="dxa"/>
            <w:vAlign w:val="center"/>
          </w:tcPr>
          <w:p w14:paraId="50893085"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0.02</w:t>
            </w:r>
          </w:p>
        </w:tc>
        <w:tc>
          <w:tcPr>
            <w:tcW w:w="679" w:type="dxa"/>
            <w:vAlign w:val="center"/>
          </w:tcPr>
          <w:p w14:paraId="3A174B90"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0.09</w:t>
            </w:r>
          </w:p>
        </w:tc>
        <w:tc>
          <w:tcPr>
            <w:tcW w:w="678" w:type="dxa"/>
            <w:vAlign w:val="center"/>
          </w:tcPr>
          <w:p w14:paraId="2ABAA6B6"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8" w:type="dxa"/>
            <w:vAlign w:val="center"/>
          </w:tcPr>
          <w:p w14:paraId="559A4DF6"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0.08</w:t>
            </w:r>
          </w:p>
        </w:tc>
        <w:tc>
          <w:tcPr>
            <w:tcW w:w="679" w:type="dxa"/>
            <w:vAlign w:val="center"/>
          </w:tcPr>
          <w:p w14:paraId="1BADB8E7"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-0.02</w:t>
            </w:r>
          </w:p>
        </w:tc>
        <w:tc>
          <w:tcPr>
            <w:tcW w:w="678" w:type="dxa"/>
            <w:vAlign w:val="center"/>
          </w:tcPr>
          <w:p w14:paraId="729B23EC"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0.02</w:t>
            </w:r>
          </w:p>
        </w:tc>
        <w:tc>
          <w:tcPr>
            <w:tcW w:w="679" w:type="dxa"/>
            <w:vAlign w:val="center"/>
          </w:tcPr>
          <w:p w14:paraId="44BE02CE"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0.06</w:t>
            </w:r>
          </w:p>
        </w:tc>
      </w:tr>
      <w:tr w:rsidR="00A7726F" w:rsidRPr="00A7726F" w14:paraId="3476DF85" w14:textId="77777777" w:rsidTr="00D137E4">
        <w:trPr>
          <w:trHeight w:val="20"/>
          <w:jc w:val="center"/>
        </w:trPr>
        <w:tc>
          <w:tcPr>
            <w:tcW w:w="921" w:type="dxa"/>
            <w:vAlign w:val="center"/>
          </w:tcPr>
          <w:p w14:paraId="3B3A6003" w14:textId="77777777" w:rsidR="00A7726F" w:rsidRPr="00A7726F" w:rsidRDefault="00A7726F" w:rsidP="00D137E4">
            <w:pPr>
              <w:widowControl w:val="0"/>
              <w:autoSpaceDE w:val="0"/>
              <w:autoSpaceDN w:val="0"/>
              <w:adjustRightInd w:val="0"/>
              <w:spacing w:line="240" w:lineRule="auto"/>
              <w:jc w:val="left"/>
              <w:rPr>
                <w:color w:val="000000" w:themeColor="text1"/>
                <w:sz w:val="22"/>
              </w:rPr>
            </w:pPr>
            <w:r w:rsidRPr="00A7726F">
              <w:rPr>
                <w:color w:val="000000" w:themeColor="text1"/>
                <w:sz w:val="22"/>
              </w:rPr>
              <w:t>21.</w:t>
            </w:r>
          </w:p>
        </w:tc>
        <w:tc>
          <w:tcPr>
            <w:tcW w:w="4324" w:type="dxa"/>
            <w:vAlign w:val="center"/>
          </w:tcPr>
          <w:p w14:paraId="49823013" w14:textId="77777777" w:rsidR="00A7726F" w:rsidRPr="00A7726F" w:rsidRDefault="00A7726F" w:rsidP="007C051A">
            <w:pPr>
              <w:widowControl w:val="0"/>
              <w:autoSpaceDE w:val="0"/>
              <w:autoSpaceDN w:val="0"/>
              <w:adjustRightInd w:val="0"/>
              <w:spacing w:line="240" w:lineRule="auto"/>
              <w:jc w:val="left"/>
              <w:rPr>
                <w:color w:val="000000" w:themeColor="text1"/>
                <w:sz w:val="22"/>
              </w:rPr>
            </w:pPr>
            <w:r w:rsidRPr="00A7726F">
              <w:rPr>
                <w:color w:val="000000" w:themeColor="text1"/>
                <w:sz w:val="22"/>
              </w:rPr>
              <w:t>InternationalAlliance_Indicator</w:t>
            </w:r>
          </w:p>
        </w:tc>
        <w:tc>
          <w:tcPr>
            <w:tcW w:w="678" w:type="dxa"/>
            <w:vAlign w:val="center"/>
          </w:tcPr>
          <w:p w14:paraId="227B32B4"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8" w:type="dxa"/>
            <w:vAlign w:val="center"/>
          </w:tcPr>
          <w:p w14:paraId="6B54E926"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9" w:type="dxa"/>
            <w:vAlign w:val="center"/>
          </w:tcPr>
          <w:p w14:paraId="338134C4"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-0.02</w:t>
            </w:r>
          </w:p>
        </w:tc>
        <w:tc>
          <w:tcPr>
            <w:tcW w:w="678" w:type="dxa"/>
            <w:vAlign w:val="center"/>
          </w:tcPr>
          <w:p w14:paraId="7ED214A6"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-0.03</w:t>
            </w:r>
          </w:p>
        </w:tc>
        <w:tc>
          <w:tcPr>
            <w:tcW w:w="678" w:type="dxa"/>
            <w:vAlign w:val="center"/>
          </w:tcPr>
          <w:p w14:paraId="5C6F0F27"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-0.05</w:t>
            </w:r>
          </w:p>
        </w:tc>
        <w:tc>
          <w:tcPr>
            <w:tcW w:w="679" w:type="dxa"/>
            <w:vAlign w:val="center"/>
          </w:tcPr>
          <w:p w14:paraId="2BA525E8"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-0.07</w:t>
            </w:r>
          </w:p>
        </w:tc>
        <w:tc>
          <w:tcPr>
            <w:tcW w:w="678" w:type="dxa"/>
            <w:vAlign w:val="center"/>
          </w:tcPr>
          <w:p w14:paraId="79AC0DD8"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0.07</w:t>
            </w:r>
          </w:p>
        </w:tc>
        <w:tc>
          <w:tcPr>
            <w:tcW w:w="678" w:type="dxa"/>
            <w:vAlign w:val="center"/>
          </w:tcPr>
          <w:p w14:paraId="589C0C22"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9" w:type="dxa"/>
            <w:vAlign w:val="center"/>
          </w:tcPr>
          <w:p w14:paraId="758A4725"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-0.09</w:t>
            </w:r>
          </w:p>
        </w:tc>
        <w:tc>
          <w:tcPr>
            <w:tcW w:w="678" w:type="dxa"/>
            <w:vAlign w:val="center"/>
          </w:tcPr>
          <w:p w14:paraId="54D84BA1"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0.07</w:t>
            </w:r>
          </w:p>
        </w:tc>
        <w:tc>
          <w:tcPr>
            <w:tcW w:w="678" w:type="dxa"/>
            <w:vAlign w:val="center"/>
          </w:tcPr>
          <w:p w14:paraId="08DA3CA1"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0.04</w:t>
            </w:r>
          </w:p>
        </w:tc>
        <w:tc>
          <w:tcPr>
            <w:tcW w:w="679" w:type="dxa"/>
            <w:vAlign w:val="center"/>
          </w:tcPr>
          <w:p w14:paraId="3754977F"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8" w:type="dxa"/>
            <w:vAlign w:val="center"/>
          </w:tcPr>
          <w:p w14:paraId="4344C704"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9" w:type="dxa"/>
            <w:vAlign w:val="center"/>
          </w:tcPr>
          <w:p w14:paraId="4093C32A"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-0.05</w:t>
            </w:r>
          </w:p>
        </w:tc>
      </w:tr>
      <w:tr w:rsidR="00A7726F" w:rsidRPr="00A7726F" w14:paraId="047548EB" w14:textId="77777777" w:rsidTr="00D137E4">
        <w:trPr>
          <w:trHeight w:val="20"/>
          <w:jc w:val="center"/>
        </w:trPr>
        <w:tc>
          <w:tcPr>
            <w:tcW w:w="921" w:type="dxa"/>
            <w:vAlign w:val="center"/>
          </w:tcPr>
          <w:p w14:paraId="4F69C2B0" w14:textId="77777777" w:rsidR="00A7726F" w:rsidRPr="00A7726F" w:rsidRDefault="00A7726F" w:rsidP="00D137E4">
            <w:pPr>
              <w:widowControl w:val="0"/>
              <w:autoSpaceDE w:val="0"/>
              <w:autoSpaceDN w:val="0"/>
              <w:adjustRightInd w:val="0"/>
              <w:spacing w:line="240" w:lineRule="auto"/>
              <w:jc w:val="left"/>
              <w:rPr>
                <w:color w:val="000000" w:themeColor="text1"/>
                <w:sz w:val="22"/>
              </w:rPr>
            </w:pPr>
            <w:r w:rsidRPr="00A7726F">
              <w:rPr>
                <w:color w:val="000000" w:themeColor="text1"/>
                <w:sz w:val="22"/>
              </w:rPr>
              <w:t>22.</w:t>
            </w:r>
          </w:p>
        </w:tc>
        <w:tc>
          <w:tcPr>
            <w:tcW w:w="4324" w:type="dxa"/>
            <w:vAlign w:val="center"/>
          </w:tcPr>
          <w:p w14:paraId="275EBDD2" w14:textId="77777777" w:rsidR="00A7726F" w:rsidRPr="00A7726F" w:rsidRDefault="00A7726F" w:rsidP="007C051A">
            <w:pPr>
              <w:widowControl w:val="0"/>
              <w:autoSpaceDE w:val="0"/>
              <w:autoSpaceDN w:val="0"/>
              <w:adjustRightInd w:val="0"/>
              <w:spacing w:line="240" w:lineRule="auto"/>
              <w:jc w:val="left"/>
              <w:rPr>
                <w:color w:val="000000" w:themeColor="text1"/>
                <w:sz w:val="22"/>
              </w:rPr>
            </w:pPr>
            <w:r w:rsidRPr="00A7726F">
              <w:rPr>
                <w:color w:val="000000" w:themeColor="text1"/>
                <w:sz w:val="22"/>
              </w:rPr>
              <w:t>HorizontalAlliance_Indicator</w:t>
            </w:r>
          </w:p>
        </w:tc>
        <w:tc>
          <w:tcPr>
            <w:tcW w:w="678" w:type="dxa"/>
            <w:vAlign w:val="center"/>
          </w:tcPr>
          <w:p w14:paraId="78A4D9A2"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0.05</w:t>
            </w:r>
          </w:p>
        </w:tc>
        <w:tc>
          <w:tcPr>
            <w:tcW w:w="678" w:type="dxa"/>
            <w:vAlign w:val="center"/>
          </w:tcPr>
          <w:p w14:paraId="673E0C77"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0.05</w:t>
            </w:r>
          </w:p>
        </w:tc>
        <w:tc>
          <w:tcPr>
            <w:tcW w:w="679" w:type="dxa"/>
            <w:vAlign w:val="center"/>
          </w:tcPr>
          <w:p w14:paraId="527131BB"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0.04</w:t>
            </w:r>
          </w:p>
        </w:tc>
        <w:tc>
          <w:tcPr>
            <w:tcW w:w="678" w:type="dxa"/>
            <w:vAlign w:val="center"/>
          </w:tcPr>
          <w:p w14:paraId="5B8DC07A"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0.00</w:t>
            </w:r>
          </w:p>
        </w:tc>
        <w:tc>
          <w:tcPr>
            <w:tcW w:w="678" w:type="dxa"/>
            <w:vAlign w:val="center"/>
          </w:tcPr>
          <w:p w14:paraId="681DF796"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0.03</w:t>
            </w:r>
          </w:p>
        </w:tc>
        <w:tc>
          <w:tcPr>
            <w:tcW w:w="679" w:type="dxa"/>
            <w:vAlign w:val="center"/>
          </w:tcPr>
          <w:p w14:paraId="60B02B94"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-0.06</w:t>
            </w:r>
          </w:p>
        </w:tc>
        <w:tc>
          <w:tcPr>
            <w:tcW w:w="678" w:type="dxa"/>
            <w:vAlign w:val="center"/>
          </w:tcPr>
          <w:p w14:paraId="6184B0CB"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0.02</w:t>
            </w:r>
          </w:p>
        </w:tc>
        <w:tc>
          <w:tcPr>
            <w:tcW w:w="678" w:type="dxa"/>
            <w:vAlign w:val="center"/>
          </w:tcPr>
          <w:p w14:paraId="3A7F4865"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-0.08</w:t>
            </w:r>
          </w:p>
        </w:tc>
        <w:tc>
          <w:tcPr>
            <w:tcW w:w="679" w:type="dxa"/>
            <w:vAlign w:val="center"/>
          </w:tcPr>
          <w:p w14:paraId="40090CB4"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-0.10</w:t>
            </w:r>
          </w:p>
        </w:tc>
        <w:tc>
          <w:tcPr>
            <w:tcW w:w="678" w:type="dxa"/>
            <w:vAlign w:val="center"/>
          </w:tcPr>
          <w:p w14:paraId="36393034"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-0.19</w:t>
            </w:r>
          </w:p>
        </w:tc>
        <w:tc>
          <w:tcPr>
            <w:tcW w:w="678" w:type="dxa"/>
            <w:vAlign w:val="center"/>
          </w:tcPr>
          <w:p w14:paraId="4AFB1A6D"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0.00</w:t>
            </w:r>
          </w:p>
        </w:tc>
        <w:tc>
          <w:tcPr>
            <w:tcW w:w="679" w:type="dxa"/>
            <w:vAlign w:val="center"/>
          </w:tcPr>
          <w:p w14:paraId="1E3191C7"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-0.02</w:t>
            </w:r>
          </w:p>
        </w:tc>
        <w:tc>
          <w:tcPr>
            <w:tcW w:w="678" w:type="dxa"/>
            <w:vAlign w:val="center"/>
          </w:tcPr>
          <w:p w14:paraId="6EB25263"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9" w:type="dxa"/>
            <w:vAlign w:val="center"/>
          </w:tcPr>
          <w:p w14:paraId="4A0F8AAA"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-0.07</w:t>
            </w:r>
          </w:p>
        </w:tc>
      </w:tr>
      <w:tr w:rsidR="00A7726F" w:rsidRPr="00A7726F" w14:paraId="3D2C7D9E" w14:textId="77777777" w:rsidTr="00D137E4">
        <w:trPr>
          <w:trHeight w:val="20"/>
          <w:jc w:val="center"/>
        </w:trPr>
        <w:tc>
          <w:tcPr>
            <w:tcW w:w="921" w:type="dxa"/>
            <w:vAlign w:val="center"/>
          </w:tcPr>
          <w:p w14:paraId="227B0F41" w14:textId="77777777" w:rsidR="00A7726F" w:rsidRPr="00A7726F" w:rsidRDefault="00A7726F" w:rsidP="00D137E4">
            <w:pPr>
              <w:widowControl w:val="0"/>
              <w:autoSpaceDE w:val="0"/>
              <w:autoSpaceDN w:val="0"/>
              <w:adjustRightInd w:val="0"/>
              <w:spacing w:line="240" w:lineRule="auto"/>
              <w:jc w:val="left"/>
              <w:rPr>
                <w:color w:val="000000" w:themeColor="text1"/>
                <w:sz w:val="22"/>
              </w:rPr>
            </w:pPr>
            <w:r w:rsidRPr="00A7726F">
              <w:rPr>
                <w:color w:val="000000" w:themeColor="text1"/>
                <w:sz w:val="22"/>
              </w:rPr>
              <w:t>23.</w:t>
            </w:r>
          </w:p>
        </w:tc>
        <w:tc>
          <w:tcPr>
            <w:tcW w:w="4324" w:type="dxa"/>
            <w:vAlign w:val="center"/>
          </w:tcPr>
          <w:p w14:paraId="6604E6B6" w14:textId="77777777" w:rsidR="00A7726F" w:rsidRPr="00A7726F" w:rsidRDefault="00A7726F" w:rsidP="007C051A">
            <w:pPr>
              <w:widowControl w:val="0"/>
              <w:autoSpaceDE w:val="0"/>
              <w:autoSpaceDN w:val="0"/>
              <w:adjustRightInd w:val="0"/>
              <w:spacing w:line="240" w:lineRule="auto"/>
              <w:jc w:val="left"/>
              <w:rPr>
                <w:color w:val="000000" w:themeColor="text1"/>
                <w:sz w:val="22"/>
              </w:rPr>
            </w:pPr>
            <w:r w:rsidRPr="00A7726F">
              <w:rPr>
                <w:color w:val="000000" w:themeColor="text1"/>
                <w:sz w:val="22"/>
              </w:rPr>
              <w:t>Industry_RelatedScope</w:t>
            </w:r>
          </w:p>
        </w:tc>
        <w:tc>
          <w:tcPr>
            <w:tcW w:w="678" w:type="dxa"/>
            <w:vAlign w:val="center"/>
          </w:tcPr>
          <w:p w14:paraId="6513B380"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-0.12</w:t>
            </w:r>
          </w:p>
        </w:tc>
        <w:tc>
          <w:tcPr>
            <w:tcW w:w="678" w:type="dxa"/>
            <w:vAlign w:val="center"/>
          </w:tcPr>
          <w:p w14:paraId="3FDA181B"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-0.11</w:t>
            </w:r>
          </w:p>
        </w:tc>
        <w:tc>
          <w:tcPr>
            <w:tcW w:w="679" w:type="dxa"/>
            <w:vAlign w:val="center"/>
          </w:tcPr>
          <w:p w14:paraId="2CDB9F26"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-0.13</w:t>
            </w:r>
          </w:p>
        </w:tc>
        <w:tc>
          <w:tcPr>
            <w:tcW w:w="678" w:type="dxa"/>
            <w:vAlign w:val="center"/>
          </w:tcPr>
          <w:p w14:paraId="00753865"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0.04</w:t>
            </w:r>
          </w:p>
        </w:tc>
        <w:tc>
          <w:tcPr>
            <w:tcW w:w="678" w:type="dxa"/>
            <w:vAlign w:val="center"/>
          </w:tcPr>
          <w:p w14:paraId="2C012806"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0.03</w:t>
            </w:r>
          </w:p>
        </w:tc>
        <w:tc>
          <w:tcPr>
            <w:tcW w:w="679" w:type="dxa"/>
            <w:vAlign w:val="center"/>
          </w:tcPr>
          <w:p w14:paraId="436943E6"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0.10</w:t>
            </w:r>
          </w:p>
        </w:tc>
        <w:tc>
          <w:tcPr>
            <w:tcW w:w="678" w:type="dxa"/>
            <w:vAlign w:val="center"/>
          </w:tcPr>
          <w:p w14:paraId="385EAC1A"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8" w:type="dxa"/>
            <w:vAlign w:val="center"/>
          </w:tcPr>
          <w:p w14:paraId="22FD4600"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0.15</w:t>
            </w:r>
          </w:p>
        </w:tc>
        <w:tc>
          <w:tcPr>
            <w:tcW w:w="679" w:type="dxa"/>
            <w:vAlign w:val="center"/>
          </w:tcPr>
          <w:p w14:paraId="69733EB2"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0.09</w:t>
            </w:r>
          </w:p>
        </w:tc>
        <w:tc>
          <w:tcPr>
            <w:tcW w:w="678" w:type="dxa"/>
            <w:vAlign w:val="center"/>
          </w:tcPr>
          <w:p w14:paraId="0539248F"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0.51</w:t>
            </w:r>
          </w:p>
        </w:tc>
        <w:tc>
          <w:tcPr>
            <w:tcW w:w="678" w:type="dxa"/>
            <w:vAlign w:val="center"/>
          </w:tcPr>
          <w:p w14:paraId="7C3C3905"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9" w:type="dxa"/>
            <w:vAlign w:val="center"/>
          </w:tcPr>
          <w:p w14:paraId="2D646210"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0.05</w:t>
            </w:r>
          </w:p>
        </w:tc>
        <w:tc>
          <w:tcPr>
            <w:tcW w:w="678" w:type="dxa"/>
            <w:vAlign w:val="center"/>
          </w:tcPr>
          <w:p w14:paraId="7F12D35B"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9" w:type="dxa"/>
            <w:vAlign w:val="center"/>
          </w:tcPr>
          <w:p w14:paraId="10433835"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0.07</w:t>
            </w:r>
          </w:p>
        </w:tc>
      </w:tr>
      <w:tr w:rsidR="00A7726F" w:rsidRPr="00A7726F" w14:paraId="45F51107" w14:textId="77777777" w:rsidTr="00D137E4">
        <w:trPr>
          <w:trHeight w:val="20"/>
          <w:jc w:val="center"/>
        </w:trPr>
        <w:tc>
          <w:tcPr>
            <w:tcW w:w="921" w:type="dxa"/>
            <w:vAlign w:val="center"/>
          </w:tcPr>
          <w:p w14:paraId="6EDBFA0D" w14:textId="77777777" w:rsidR="00A7726F" w:rsidRPr="00A7726F" w:rsidRDefault="00A7726F" w:rsidP="00D137E4">
            <w:pPr>
              <w:widowControl w:val="0"/>
              <w:autoSpaceDE w:val="0"/>
              <w:autoSpaceDN w:val="0"/>
              <w:adjustRightInd w:val="0"/>
              <w:spacing w:line="240" w:lineRule="auto"/>
              <w:jc w:val="left"/>
              <w:rPr>
                <w:color w:val="000000" w:themeColor="text1"/>
                <w:sz w:val="22"/>
              </w:rPr>
            </w:pPr>
            <w:r w:rsidRPr="00A7726F">
              <w:rPr>
                <w:color w:val="000000" w:themeColor="text1"/>
                <w:sz w:val="22"/>
              </w:rPr>
              <w:t>24.</w:t>
            </w:r>
          </w:p>
        </w:tc>
        <w:tc>
          <w:tcPr>
            <w:tcW w:w="4324" w:type="dxa"/>
            <w:vAlign w:val="center"/>
          </w:tcPr>
          <w:p w14:paraId="0814B4E5" w14:textId="77777777" w:rsidR="00A7726F" w:rsidRPr="00A7726F" w:rsidRDefault="00A7726F" w:rsidP="007C051A">
            <w:pPr>
              <w:widowControl w:val="0"/>
              <w:autoSpaceDE w:val="0"/>
              <w:autoSpaceDN w:val="0"/>
              <w:adjustRightInd w:val="0"/>
              <w:spacing w:line="240" w:lineRule="auto"/>
              <w:jc w:val="left"/>
              <w:rPr>
                <w:color w:val="000000" w:themeColor="text1"/>
                <w:sz w:val="22"/>
              </w:rPr>
            </w:pPr>
            <w:r w:rsidRPr="00A7726F">
              <w:rPr>
                <w:color w:val="000000" w:themeColor="text1"/>
                <w:sz w:val="22"/>
              </w:rPr>
              <w:t>Industry_Complementarity</w:t>
            </w:r>
          </w:p>
        </w:tc>
        <w:tc>
          <w:tcPr>
            <w:tcW w:w="678" w:type="dxa"/>
            <w:vAlign w:val="center"/>
          </w:tcPr>
          <w:p w14:paraId="1D6C6586"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-0.03</w:t>
            </w:r>
          </w:p>
        </w:tc>
        <w:tc>
          <w:tcPr>
            <w:tcW w:w="678" w:type="dxa"/>
            <w:vAlign w:val="center"/>
          </w:tcPr>
          <w:p w14:paraId="627F7F39"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-0.02</w:t>
            </w:r>
          </w:p>
        </w:tc>
        <w:tc>
          <w:tcPr>
            <w:tcW w:w="679" w:type="dxa"/>
            <w:vAlign w:val="center"/>
          </w:tcPr>
          <w:p w14:paraId="50409ABA"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-0.02</w:t>
            </w:r>
          </w:p>
        </w:tc>
        <w:tc>
          <w:tcPr>
            <w:tcW w:w="678" w:type="dxa"/>
            <w:vAlign w:val="center"/>
          </w:tcPr>
          <w:p w14:paraId="597CB66C"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-0.02</w:t>
            </w:r>
          </w:p>
        </w:tc>
        <w:tc>
          <w:tcPr>
            <w:tcW w:w="678" w:type="dxa"/>
            <w:vAlign w:val="center"/>
          </w:tcPr>
          <w:p w14:paraId="206F39CF"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0.02</w:t>
            </w:r>
          </w:p>
        </w:tc>
        <w:tc>
          <w:tcPr>
            <w:tcW w:w="679" w:type="dxa"/>
            <w:vAlign w:val="center"/>
          </w:tcPr>
          <w:p w14:paraId="6609753E"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0.06</w:t>
            </w:r>
          </w:p>
        </w:tc>
        <w:tc>
          <w:tcPr>
            <w:tcW w:w="678" w:type="dxa"/>
            <w:vAlign w:val="center"/>
          </w:tcPr>
          <w:p w14:paraId="13E3AA76"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8" w:type="dxa"/>
            <w:vAlign w:val="center"/>
          </w:tcPr>
          <w:p w14:paraId="200F29AA"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0.14</w:t>
            </w:r>
          </w:p>
        </w:tc>
        <w:tc>
          <w:tcPr>
            <w:tcW w:w="679" w:type="dxa"/>
            <w:vAlign w:val="center"/>
          </w:tcPr>
          <w:p w14:paraId="00BE2C76"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0.14</w:t>
            </w:r>
          </w:p>
        </w:tc>
        <w:tc>
          <w:tcPr>
            <w:tcW w:w="678" w:type="dxa"/>
            <w:vAlign w:val="center"/>
          </w:tcPr>
          <w:p w14:paraId="1ABC6C35"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0.28</w:t>
            </w:r>
          </w:p>
        </w:tc>
        <w:tc>
          <w:tcPr>
            <w:tcW w:w="678" w:type="dxa"/>
            <w:vAlign w:val="center"/>
          </w:tcPr>
          <w:p w14:paraId="498FEFB7"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0.07</w:t>
            </w:r>
          </w:p>
        </w:tc>
        <w:tc>
          <w:tcPr>
            <w:tcW w:w="679" w:type="dxa"/>
            <w:vAlign w:val="center"/>
          </w:tcPr>
          <w:p w14:paraId="31EC293E"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8" w:type="dxa"/>
            <w:vAlign w:val="center"/>
          </w:tcPr>
          <w:p w14:paraId="4BF704F1"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9" w:type="dxa"/>
            <w:vAlign w:val="center"/>
          </w:tcPr>
          <w:p w14:paraId="5E856E16"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0.09</w:t>
            </w:r>
          </w:p>
        </w:tc>
      </w:tr>
      <w:tr w:rsidR="00A7726F" w:rsidRPr="00A7726F" w14:paraId="03A410BF" w14:textId="77777777" w:rsidTr="00D137E4">
        <w:trPr>
          <w:trHeight w:val="20"/>
          <w:jc w:val="center"/>
        </w:trPr>
        <w:tc>
          <w:tcPr>
            <w:tcW w:w="921" w:type="dxa"/>
            <w:vAlign w:val="center"/>
          </w:tcPr>
          <w:p w14:paraId="659B14A7" w14:textId="77777777" w:rsidR="00A7726F" w:rsidRPr="00A7726F" w:rsidRDefault="00A7726F" w:rsidP="00D137E4">
            <w:pPr>
              <w:widowControl w:val="0"/>
              <w:autoSpaceDE w:val="0"/>
              <w:autoSpaceDN w:val="0"/>
              <w:adjustRightInd w:val="0"/>
              <w:spacing w:line="240" w:lineRule="auto"/>
              <w:jc w:val="left"/>
              <w:rPr>
                <w:color w:val="000000" w:themeColor="text1"/>
                <w:sz w:val="22"/>
              </w:rPr>
            </w:pPr>
            <w:r w:rsidRPr="00A7726F">
              <w:rPr>
                <w:color w:val="000000" w:themeColor="text1"/>
                <w:sz w:val="22"/>
              </w:rPr>
              <w:t>25.</w:t>
            </w:r>
          </w:p>
        </w:tc>
        <w:tc>
          <w:tcPr>
            <w:tcW w:w="4324" w:type="dxa"/>
            <w:vAlign w:val="center"/>
          </w:tcPr>
          <w:p w14:paraId="09744614" w14:textId="77777777" w:rsidR="00A7726F" w:rsidRPr="00A7726F" w:rsidRDefault="00A7726F" w:rsidP="007C051A">
            <w:pPr>
              <w:widowControl w:val="0"/>
              <w:autoSpaceDE w:val="0"/>
              <w:autoSpaceDN w:val="0"/>
              <w:adjustRightInd w:val="0"/>
              <w:spacing w:line="240" w:lineRule="auto"/>
              <w:jc w:val="left"/>
              <w:rPr>
                <w:color w:val="000000" w:themeColor="text1"/>
                <w:sz w:val="22"/>
              </w:rPr>
            </w:pPr>
            <w:r w:rsidRPr="00A7726F">
              <w:rPr>
                <w:color w:val="000000" w:themeColor="text1"/>
                <w:sz w:val="22"/>
              </w:rPr>
              <w:t>Industry_Growth</w:t>
            </w:r>
          </w:p>
        </w:tc>
        <w:tc>
          <w:tcPr>
            <w:tcW w:w="678" w:type="dxa"/>
            <w:vAlign w:val="center"/>
          </w:tcPr>
          <w:p w14:paraId="4CB126F6"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0.19</w:t>
            </w:r>
          </w:p>
        </w:tc>
        <w:tc>
          <w:tcPr>
            <w:tcW w:w="678" w:type="dxa"/>
            <w:vAlign w:val="center"/>
          </w:tcPr>
          <w:p w14:paraId="43307FF6"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0.18</w:t>
            </w:r>
          </w:p>
        </w:tc>
        <w:tc>
          <w:tcPr>
            <w:tcW w:w="679" w:type="dxa"/>
            <w:vAlign w:val="center"/>
          </w:tcPr>
          <w:p w14:paraId="36A9DCFB"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0.20</w:t>
            </w:r>
          </w:p>
        </w:tc>
        <w:tc>
          <w:tcPr>
            <w:tcW w:w="678" w:type="dxa"/>
            <w:vAlign w:val="center"/>
          </w:tcPr>
          <w:p w14:paraId="2D8F5024"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0.04</w:t>
            </w:r>
          </w:p>
        </w:tc>
        <w:tc>
          <w:tcPr>
            <w:tcW w:w="678" w:type="dxa"/>
            <w:vAlign w:val="center"/>
          </w:tcPr>
          <w:p w14:paraId="6E024F70"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-0.05</w:t>
            </w:r>
          </w:p>
        </w:tc>
        <w:tc>
          <w:tcPr>
            <w:tcW w:w="679" w:type="dxa"/>
            <w:vAlign w:val="center"/>
          </w:tcPr>
          <w:p w14:paraId="69AE7E23"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-0.04</w:t>
            </w:r>
          </w:p>
        </w:tc>
        <w:tc>
          <w:tcPr>
            <w:tcW w:w="678" w:type="dxa"/>
            <w:vAlign w:val="center"/>
          </w:tcPr>
          <w:p w14:paraId="6629E7B1"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-0.03</w:t>
            </w:r>
          </w:p>
        </w:tc>
        <w:tc>
          <w:tcPr>
            <w:tcW w:w="678" w:type="dxa"/>
            <w:vAlign w:val="center"/>
          </w:tcPr>
          <w:p w14:paraId="70AA6F7A"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0.05</w:t>
            </w:r>
          </w:p>
        </w:tc>
        <w:tc>
          <w:tcPr>
            <w:tcW w:w="679" w:type="dxa"/>
            <w:vAlign w:val="center"/>
          </w:tcPr>
          <w:p w14:paraId="55839707"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8" w:type="dxa"/>
            <w:vAlign w:val="center"/>
          </w:tcPr>
          <w:p w14:paraId="3445BD30"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-0.24</w:t>
            </w:r>
          </w:p>
        </w:tc>
        <w:tc>
          <w:tcPr>
            <w:tcW w:w="678" w:type="dxa"/>
            <w:vAlign w:val="center"/>
          </w:tcPr>
          <w:p w14:paraId="7277A583"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0.24</w:t>
            </w:r>
          </w:p>
        </w:tc>
        <w:tc>
          <w:tcPr>
            <w:tcW w:w="679" w:type="dxa"/>
            <w:vAlign w:val="center"/>
          </w:tcPr>
          <w:p w14:paraId="731592F0"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-0.00</w:t>
            </w:r>
          </w:p>
        </w:tc>
        <w:tc>
          <w:tcPr>
            <w:tcW w:w="678" w:type="dxa"/>
            <w:vAlign w:val="center"/>
          </w:tcPr>
          <w:p w14:paraId="1DB3073D"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0.06</w:t>
            </w:r>
          </w:p>
        </w:tc>
        <w:tc>
          <w:tcPr>
            <w:tcW w:w="679" w:type="dxa"/>
            <w:vAlign w:val="center"/>
          </w:tcPr>
          <w:p w14:paraId="782960FC"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-0.02</w:t>
            </w:r>
          </w:p>
        </w:tc>
      </w:tr>
      <w:tr w:rsidR="00A7726F" w:rsidRPr="00A7726F" w14:paraId="70CB1F68" w14:textId="77777777" w:rsidTr="00D137E4">
        <w:trPr>
          <w:trHeight w:val="20"/>
          <w:jc w:val="center"/>
        </w:trPr>
        <w:tc>
          <w:tcPr>
            <w:tcW w:w="921" w:type="dxa"/>
            <w:vAlign w:val="center"/>
          </w:tcPr>
          <w:p w14:paraId="482323FC" w14:textId="77777777" w:rsidR="00A7726F" w:rsidRPr="00A7726F" w:rsidRDefault="00A7726F" w:rsidP="00D137E4">
            <w:pPr>
              <w:widowControl w:val="0"/>
              <w:autoSpaceDE w:val="0"/>
              <w:autoSpaceDN w:val="0"/>
              <w:adjustRightInd w:val="0"/>
              <w:spacing w:line="240" w:lineRule="auto"/>
              <w:jc w:val="left"/>
              <w:rPr>
                <w:color w:val="000000" w:themeColor="text1"/>
                <w:sz w:val="22"/>
              </w:rPr>
            </w:pPr>
            <w:r w:rsidRPr="00A7726F">
              <w:rPr>
                <w:color w:val="000000" w:themeColor="text1"/>
                <w:sz w:val="22"/>
              </w:rPr>
              <w:t>26.</w:t>
            </w:r>
          </w:p>
        </w:tc>
        <w:tc>
          <w:tcPr>
            <w:tcW w:w="4324" w:type="dxa"/>
            <w:vAlign w:val="center"/>
          </w:tcPr>
          <w:p w14:paraId="07286805" w14:textId="77777777" w:rsidR="00A7726F" w:rsidRPr="00A7726F" w:rsidRDefault="00A7726F" w:rsidP="007C051A">
            <w:pPr>
              <w:widowControl w:val="0"/>
              <w:autoSpaceDE w:val="0"/>
              <w:autoSpaceDN w:val="0"/>
              <w:adjustRightInd w:val="0"/>
              <w:spacing w:line="240" w:lineRule="auto"/>
              <w:jc w:val="left"/>
              <w:rPr>
                <w:color w:val="000000" w:themeColor="text1"/>
                <w:sz w:val="22"/>
              </w:rPr>
            </w:pPr>
            <w:r w:rsidRPr="00A7726F">
              <w:rPr>
                <w:color w:val="000000" w:themeColor="text1"/>
                <w:sz w:val="22"/>
              </w:rPr>
              <w:t>Relative_CEODuality</w:t>
            </w:r>
          </w:p>
        </w:tc>
        <w:tc>
          <w:tcPr>
            <w:tcW w:w="678" w:type="dxa"/>
            <w:vAlign w:val="center"/>
          </w:tcPr>
          <w:p w14:paraId="342B49C1"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-0.00</w:t>
            </w:r>
          </w:p>
        </w:tc>
        <w:tc>
          <w:tcPr>
            <w:tcW w:w="678" w:type="dxa"/>
            <w:vAlign w:val="center"/>
          </w:tcPr>
          <w:p w14:paraId="7BB944F4"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9" w:type="dxa"/>
            <w:vAlign w:val="center"/>
          </w:tcPr>
          <w:p w14:paraId="0D974EA9"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8" w:type="dxa"/>
            <w:vAlign w:val="center"/>
          </w:tcPr>
          <w:p w14:paraId="00B1735A"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0.02</w:t>
            </w:r>
          </w:p>
        </w:tc>
        <w:tc>
          <w:tcPr>
            <w:tcW w:w="678" w:type="dxa"/>
            <w:vAlign w:val="center"/>
          </w:tcPr>
          <w:p w14:paraId="32A301E3"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0.03</w:t>
            </w:r>
          </w:p>
        </w:tc>
        <w:tc>
          <w:tcPr>
            <w:tcW w:w="679" w:type="dxa"/>
            <w:vAlign w:val="center"/>
          </w:tcPr>
          <w:p w14:paraId="328C322A"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0.04</w:t>
            </w:r>
          </w:p>
        </w:tc>
        <w:tc>
          <w:tcPr>
            <w:tcW w:w="678" w:type="dxa"/>
            <w:vAlign w:val="center"/>
          </w:tcPr>
          <w:p w14:paraId="476D4C49"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0.03</w:t>
            </w:r>
          </w:p>
        </w:tc>
        <w:tc>
          <w:tcPr>
            <w:tcW w:w="678" w:type="dxa"/>
            <w:vAlign w:val="center"/>
          </w:tcPr>
          <w:p w14:paraId="4714789A"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0.30</w:t>
            </w:r>
          </w:p>
        </w:tc>
        <w:tc>
          <w:tcPr>
            <w:tcW w:w="679" w:type="dxa"/>
            <w:vAlign w:val="center"/>
          </w:tcPr>
          <w:p w14:paraId="776399A3"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0.19</w:t>
            </w:r>
          </w:p>
        </w:tc>
        <w:tc>
          <w:tcPr>
            <w:tcW w:w="678" w:type="dxa"/>
            <w:vAlign w:val="center"/>
          </w:tcPr>
          <w:p w14:paraId="4309FF6C"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0.29</w:t>
            </w:r>
          </w:p>
        </w:tc>
        <w:tc>
          <w:tcPr>
            <w:tcW w:w="678" w:type="dxa"/>
            <w:vAlign w:val="center"/>
          </w:tcPr>
          <w:p w14:paraId="719899CA"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0.14</w:t>
            </w:r>
          </w:p>
        </w:tc>
        <w:tc>
          <w:tcPr>
            <w:tcW w:w="679" w:type="dxa"/>
            <w:vAlign w:val="center"/>
          </w:tcPr>
          <w:p w14:paraId="0650C622"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-0.04</w:t>
            </w:r>
          </w:p>
        </w:tc>
        <w:tc>
          <w:tcPr>
            <w:tcW w:w="678" w:type="dxa"/>
            <w:vAlign w:val="center"/>
          </w:tcPr>
          <w:p w14:paraId="63CDC19E"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0.02</w:t>
            </w:r>
          </w:p>
        </w:tc>
        <w:tc>
          <w:tcPr>
            <w:tcW w:w="679" w:type="dxa"/>
            <w:vAlign w:val="center"/>
          </w:tcPr>
          <w:p w14:paraId="6789BE3C"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0.18</w:t>
            </w:r>
          </w:p>
        </w:tc>
      </w:tr>
      <w:tr w:rsidR="00A7726F" w:rsidRPr="00A7726F" w14:paraId="69A2513F" w14:textId="77777777" w:rsidTr="00D137E4">
        <w:trPr>
          <w:trHeight w:val="20"/>
          <w:jc w:val="center"/>
        </w:trPr>
        <w:tc>
          <w:tcPr>
            <w:tcW w:w="921" w:type="dxa"/>
            <w:vAlign w:val="center"/>
          </w:tcPr>
          <w:p w14:paraId="3B80D769" w14:textId="77777777" w:rsidR="00A7726F" w:rsidRPr="00A7726F" w:rsidRDefault="00A7726F" w:rsidP="00D137E4">
            <w:pPr>
              <w:widowControl w:val="0"/>
              <w:autoSpaceDE w:val="0"/>
              <w:autoSpaceDN w:val="0"/>
              <w:adjustRightInd w:val="0"/>
              <w:spacing w:line="240" w:lineRule="auto"/>
              <w:jc w:val="left"/>
              <w:rPr>
                <w:color w:val="000000" w:themeColor="text1"/>
                <w:sz w:val="22"/>
              </w:rPr>
            </w:pPr>
            <w:r w:rsidRPr="00A7726F">
              <w:rPr>
                <w:color w:val="000000" w:themeColor="text1"/>
                <w:sz w:val="22"/>
              </w:rPr>
              <w:t>27.</w:t>
            </w:r>
          </w:p>
        </w:tc>
        <w:tc>
          <w:tcPr>
            <w:tcW w:w="4324" w:type="dxa"/>
            <w:vAlign w:val="center"/>
          </w:tcPr>
          <w:p w14:paraId="58D4B015" w14:textId="77777777" w:rsidR="00A7726F" w:rsidRPr="00A7726F" w:rsidRDefault="00A7726F" w:rsidP="007C051A">
            <w:pPr>
              <w:widowControl w:val="0"/>
              <w:autoSpaceDE w:val="0"/>
              <w:autoSpaceDN w:val="0"/>
              <w:adjustRightInd w:val="0"/>
              <w:spacing w:line="240" w:lineRule="auto"/>
              <w:jc w:val="left"/>
              <w:rPr>
                <w:color w:val="000000" w:themeColor="text1"/>
                <w:sz w:val="22"/>
              </w:rPr>
            </w:pPr>
            <w:r w:rsidRPr="00A7726F">
              <w:rPr>
                <w:color w:val="000000" w:themeColor="text1"/>
                <w:sz w:val="22"/>
              </w:rPr>
              <w:t>Relative_AnalystCoverage</w:t>
            </w:r>
          </w:p>
        </w:tc>
        <w:tc>
          <w:tcPr>
            <w:tcW w:w="678" w:type="dxa"/>
            <w:vAlign w:val="center"/>
          </w:tcPr>
          <w:p w14:paraId="727406C5"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0.10</w:t>
            </w:r>
          </w:p>
        </w:tc>
        <w:tc>
          <w:tcPr>
            <w:tcW w:w="678" w:type="dxa"/>
            <w:vAlign w:val="center"/>
          </w:tcPr>
          <w:p w14:paraId="6834980B"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0.09</w:t>
            </w:r>
          </w:p>
        </w:tc>
        <w:tc>
          <w:tcPr>
            <w:tcW w:w="679" w:type="dxa"/>
            <w:vAlign w:val="center"/>
          </w:tcPr>
          <w:p w14:paraId="44B9CE2A"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0.12</w:t>
            </w:r>
          </w:p>
        </w:tc>
        <w:tc>
          <w:tcPr>
            <w:tcW w:w="678" w:type="dxa"/>
            <w:vAlign w:val="center"/>
          </w:tcPr>
          <w:p w14:paraId="2726F7E0"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-0.03</w:t>
            </w:r>
          </w:p>
        </w:tc>
        <w:tc>
          <w:tcPr>
            <w:tcW w:w="678" w:type="dxa"/>
            <w:vAlign w:val="center"/>
          </w:tcPr>
          <w:p w14:paraId="1D002551"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0.00</w:t>
            </w:r>
          </w:p>
        </w:tc>
        <w:tc>
          <w:tcPr>
            <w:tcW w:w="679" w:type="dxa"/>
            <w:vAlign w:val="center"/>
          </w:tcPr>
          <w:p w14:paraId="29A45F35"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-0.04</w:t>
            </w:r>
          </w:p>
        </w:tc>
        <w:tc>
          <w:tcPr>
            <w:tcW w:w="678" w:type="dxa"/>
            <w:vAlign w:val="center"/>
          </w:tcPr>
          <w:p w14:paraId="21E5325F"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8" w:type="dxa"/>
            <w:vAlign w:val="center"/>
          </w:tcPr>
          <w:p w14:paraId="70CA303D"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0.13</w:t>
            </w:r>
          </w:p>
        </w:tc>
        <w:tc>
          <w:tcPr>
            <w:tcW w:w="679" w:type="dxa"/>
            <w:vAlign w:val="center"/>
          </w:tcPr>
          <w:p w14:paraId="17A98A2D"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0.21</w:t>
            </w:r>
          </w:p>
        </w:tc>
        <w:tc>
          <w:tcPr>
            <w:tcW w:w="678" w:type="dxa"/>
            <w:vAlign w:val="center"/>
          </w:tcPr>
          <w:p w14:paraId="5E26971E"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0.05</w:t>
            </w:r>
          </w:p>
        </w:tc>
        <w:tc>
          <w:tcPr>
            <w:tcW w:w="678" w:type="dxa"/>
            <w:vAlign w:val="center"/>
          </w:tcPr>
          <w:p w14:paraId="098051A3"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0.21</w:t>
            </w:r>
          </w:p>
        </w:tc>
        <w:tc>
          <w:tcPr>
            <w:tcW w:w="679" w:type="dxa"/>
            <w:vAlign w:val="center"/>
          </w:tcPr>
          <w:p w14:paraId="1AC897BC"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-0.05</w:t>
            </w:r>
          </w:p>
        </w:tc>
        <w:tc>
          <w:tcPr>
            <w:tcW w:w="678" w:type="dxa"/>
            <w:vAlign w:val="center"/>
          </w:tcPr>
          <w:p w14:paraId="1C71BFA5"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9" w:type="dxa"/>
            <w:vAlign w:val="center"/>
          </w:tcPr>
          <w:p w14:paraId="52D1E732"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0.10</w:t>
            </w:r>
          </w:p>
        </w:tc>
      </w:tr>
      <w:tr w:rsidR="00A7726F" w:rsidRPr="00A7726F" w14:paraId="532AAAA9" w14:textId="77777777" w:rsidTr="00D137E4">
        <w:trPr>
          <w:trHeight w:val="63"/>
          <w:jc w:val="center"/>
        </w:trPr>
        <w:tc>
          <w:tcPr>
            <w:tcW w:w="921" w:type="dxa"/>
            <w:tcBorders>
              <w:bottom w:val="single" w:sz="4" w:space="0" w:color="auto"/>
            </w:tcBorders>
            <w:vAlign w:val="center"/>
          </w:tcPr>
          <w:p w14:paraId="1313C85D" w14:textId="77777777" w:rsidR="00A7726F" w:rsidRPr="00A7726F" w:rsidRDefault="00A7726F" w:rsidP="00D137E4">
            <w:pPr>
              <w:widowControl w:val="0"/>
              <w:autoSpaceDE w:val="0"/>
              <w:autoSpaceDN w:val="0"/>
              <w:adjustRightInd w:val="0"/>
              <w:spacing w:line="240" w:lineRule="auto"/>
              <w:jc w:val="left"/>
              <w:rPr>
                <w:color w:val="000000" w:themeColor="text1"/>
                <w:sz w:val="22"/>
              </w:rPr>
            </w:pPr>
            <w:r w:rsidRPr="00A7726F">
              <w:rPr>
                <w:color w:val="000000" w:themeColor="text1"/>
                <w:sz w:val="22"/>
              </w:rPr>
              <w:t>28.</w:t>
            </w:r>
          </w:p>
        </w:tc>
        <w:tc>
          <w:tcPr>
            <w:tcW w:w="4324" w:type="dxa"/>
            <w:tcBorders>
              <w:bottom w:val="single" w:sz="4" w:space="0" w:color="auto"/>
            </w:tcBorders>
            <w:vAlign w:val="center"/>
          </w:tcPr>
          <w:p w14:paraId="78FA4F87" w14:textId="77777777" w:rsidR="00A7726F" w:rsidRPr="00A7726F" w:rsidRDefault="00A7726F" w:rsidP="007C051A">
            <w:pPr>
              <w:widowControl w:val="0"/>
              <w:autoSpaceDE w:val="0"/>
              <w:autoSpaceDN w:val="0"/>
              <w:adjustRightInd w:val="0"/>
              <w:spacing w:line="240" w:lineRule="auto"/>
              <w:jc w:val="left"/>
              <w:rPr>
                <w:color w:val="000000" w:themeColor="text1"/>
                <w:sz w:val="22"/>
              </w:rPr>
            </w:pPr>
            <w:r w:rsidRPr="00A7726F">
              <w:rPr>
                <w:color w:val="000000" w:themeColor="text1"/>
                <w:sz w:val="22"/>
              </w:rPr>
              <w:t>Year</w:t>
            </w:r>
          </w:p>
        </w:tc>
        <w:tc>
          <w:tcPr>
            <w:tcW w:w="678" w:type="dxa"/>
            <w:tcBorders>
              <w:bottom w:val="single" w:sz="4" w:space="0" w:color="auto"/>
            </w:tcBorders>
            <w:vAlign w:val="center"/>
          </w:tcPr>
          <w:p w14:paraId="35C9F3A4"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-0.02</w:t>
            </w:r>
          </w:p>
        </w:tc>
        <w:tc>
          <w:tcPr>
            <w:tcW w:w="678" w:type="dxa"/>
            <w:tcBorders>
              <w:bottom w:val="single" w:sz="4" w:space="0" w:color="auto"/>
            </w:tcBorders>
            <w:vAlign w:val="center"/>
          </w:tcPr>
          <w:p w14:paraId="1F94AF53"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-0.04</w:t>
            </w:r>
          </w:p>
        </w:tc>
        <w:tc>
          <w:tcPr>
            <w:tcW w:w="679" w:type="dxa"/>
            <w:tcBorders>
              <w:bottom w:val="single" w:sz="4" w:space="0" w:color="auto"/>
            </w:tcBorders>
            <w:vAlign w:val="center"/>
          </w:tcPr>
          <w:p w14:paraId="2616C757"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-0.05</w:t>
            </w:r>
          </w:p>
        </w:tc>
        <w:tc>
          <w:tcPr>
            <w:tcW w:w="678" w:type="dxa"/>
            <w:tcBorders>
              <w:bottom w:val="single" w:sz="4" w:space="0" w:color="auto"/>
            </w:tcBorders>
            <w:vAlign w:val="center"/>
          </w:tcPr>
          <w:p w14:paraId="52EA1352"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0.05</w:t>
            </w:r>
          </w:p>
        </w:tc>
        <w:tc>
          <w:tcPr>
            <w:tcW w:w="678" w:type="dxa"/>
            <w:tcBorders>
              <w:bottom w:val="single" w:sz="4" w:space="0" w:color="auto"/>
            </w:tcBorders>
            <w:vAlign w:val="center"/>
          </w:tcPr>
          <w:p w14:paraId="78F40BE6"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0.00</w:t>
            </w:r>
          </w:p>
        </w:tc>
        <w:tc>
          <w:tcPr>
            <w:tcW w:w="679" w:type="dxa"/>
            <w:tcBorders>
              <w:bottom w:val="single" w:sz="4" w:space="0" w:color="auto"/>
            </w:tcBorders>
            <w:vAlign w:val="center"/>
          </w:tcPr>
          <w:p w14:paraId="457971F6"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-0.06</w:t>
            </w:r>
          </w:p>
        </w:tc>
        <w:tc>
          <w:tcPr>
            <w:tcW w:w="678" w:type="dxa"/>
            <w:tcBorders>
              <w:bottom w:val="single" w:sz="4" w:space="0" w:color="auto"/>
            </w:tcBorders>
            <w:vAlign w:val="center"/>
          </w:tcPr>
          <w:p w14:paraId="5F15CA80"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0.02</w:t>
            </w:r>
          </w:p>
        </w:tc>
        <w:tc>
          <w:tcPr>
            <w:tcW w:w="678" w:type="dxa"/>
            <w:tcBorders>
              <w:bottom w:val="single" w:sz="4" w:space="0" w:color="auto"/>
            </w:tcBorders>
            <w:vAlign w:val="center"/>
          </w:tcPr>
          <w:p w14:paraId="62066C10"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0.05</w:t>
            </w:r>
          </w:p>
        </w:tc>
        <w:tc>
          <w:tcPr>
            <w:tcW w:w="679" w:type="dxa"/>
            <w:tcBorders>
              <w:bottom w:val="single" w:sz="4" w:space="0" w:color="auto"/>
            </w:tcBorders>
            <w:vAlign w:val="center"/>
          </w:tcPr>
          <w:p w14:paraId="2B6C7A4E"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8" w:type="dxa"/>
            <w:tcBorders>
              <w:bottom w:val="single" w:sz="4" w:space="0" w:color="auto"/>
            </w:tcBorders>
            <w:vAlign w:val="center"/>
          </w:tcPr>
          <w:p w14:paraId="7B9CC9AA"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0.17</w:t>
            </w:r>
          </w:p>
        </w:tc>
        <w:tc>
          <w:tcPr>
            <w:tcW w:w="678" w:type="dxa"/>
            <w:tcBorders>
              <w:bottom w:val="single" w:sz="4" w:space="0" w:color="auto"/>
            </w:tcBorders>
            <w:vAlign w:val="center"/>
          </w:tcPr>
          <w:p w14:paraId="48F17BF6"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-0.05</w:t>
            </w:r>
          </w:p>
        </w:tc>
        <w:tc>
          <w:tcPr>
            <w:tcW w:w="679" w:type="dxa"/>
            <w:tcBorders>
              <w:bottom w:val="single" w:sz="4" w:space="0" w:color="auto"/>
            </w:tcBorders>
            <w:vAlign w:val="center"/>
          </w:tcPr>
          <w:p w14:paraId="732D7A49"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0.02</w:t>
            </w:r>
          </w:p>
        </w:tc>
        <w:tc>
          <w:tcPr>
            <w:tcW w:w="678" w:type="dxa"/>
            <w:tcBorders>
              <w:bottom w:val="single" w:sz="4" w:space="0" w:color="auto"/>
            </w:tcBorders>
            <w:vAlign w:val="center"/>
          </w:tcPr>
          <w:p w14:paraId="32B92E44"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-0.01</w:t>
            </w:r>
          </w:p>
        </w:tc>
        <w:tc>
          <w:tcPr>
            <w:tcW w:w="679" w:type="dxa"/>
            <w:tcBorders>
              <w:bottom w:val="single" w:sz="4" w:space="0" w:color="auto"/>
            </w:tcBorders>
            <w:vAlign w:val="center"/>
          </w:tcPr>
          <w:p w14:paraId="0530C857" w14:textId="77777777" w:rsidR="00A7726F" w:rsidRPr="00A7726F" w:rsidRDefault="00A7726F" w:rsidP="007C051A">
            <w:pPr>
              <w:widowControl w:val="0"/>
              <w:autoSpaceDE w:val="0"/>
              <w:autoSpaceDN w:val="0"/>
              <w:adjustRightInd w:val="0"/>
              <w:spacing w:line="240" w:lineRule="auto"/>
              <w:jc w:val="right"/>
              <w:rPr>
                <w:color w:val="000000" w:themeColor="text1"/>
                <w:sz w:val="22"/>
              </w:rPr>
            </w:pPr>
            <w:r w:rsidRPr="00A7726F">
              <w:rPr>
                <w:color w:val="000000" w:themeColor="text1"/>
                <w:sz w:val="22"/>
              </w:rPr>
              <w:t>0.16</w:t>
            </w:r>
          </w:p>
        </w:tc>
      </w:tr>
    </w:tbl>
    <w:p w14:paraId="45594D8A" w14:textId="609CF77A" w:rsidR="00C009BF" w:rsidRDefault="00C009BF" w:rsidP="00403DA7">
      <w:pPr>
        <w:spacing w:line="240" w:lineRule="auto"/>
        <w:jc w:val="left"/>
        <w:rPr>
          <w:rFonts w:ascii="Segoe UI" w:hAnsi="Segoe UI" w:cs="Calibri"/>
          <w:color w:val="000000" w:themeColor="text1"/>
          <w:lang w:val="en-US"/>
        </w:rPr>
      </w:pPr>
    </w:p>
    <w:p w14:paraId="00CEF969" w14:textId="77777777" w:rsidR="00C009BF" w:rsidRDefault="00C009BF">
      <w:pPr>
        <w:spacing w:after="160" w:line="259" w:lineRule="auto"/>
        <w:jc w:val="left"/>
        <w:rPr>
          <w:rFonts w:ascii="Segoe UI" w:hAnsi="Segoe UI" w:cs="Calibri"/>
          <w:color w:val="000000" w:themeColor="text1"/>
          <w:lang w:val="en-US"/>
        </w:rPr>
      </w:pPr>
      <w:r>
        <w:rPr>
          <w:rFonts w:ascii="Segoe UI" w:hAnsi="Segoe UI" w:cs="Calibri"/>
          <w:color w:val="000000" w:themeColor="text1"/>
          <w:lang w:val="en-US"/>
        </w:rPr>
        <w:br w:type="page"/>
      </w:r>
    </w:p>
    <w:p w14:paraId="2CA12701" w14:textId="2A8F2826" w:rsidR="007115F2" w:rsidRDefault="007115F2" w:rsidP="00C009BF">
      <w:pPr>
        <w:pStyle w:val="1fake"/>
      </w:pPr>
      <w:r w:rsidRPr="0082138A">
        <w:lastRenderedPageBreak/>
        <w:t xml:space="preserve">TABLE </w:t>
      </w:r>
      <w:r>
        <w:t>4 (II)</w:t>
      </w:r>
    </w:p>
    <w:tbl>
      <w:tblPr>
        <w:tblW w:w="14175" w:type="dxa"/>
        <w:jc w:val="center"/>
        <w:tblLayout w:type="fixed"/>
        <w:tblCellMar>
          <w:top w:w="11" w:type="dxa"/>
          <w:left w:w="28" w:type="dxa"/>
          <w:bottom w:w="11" w:type="dxa"/>
          <w:right w:w="28" w:type="dxa"/>
        </w:tblCellMar>
        <w:tblLook w:val="04A0" w:firstRow="1" w:lastRow="0" w:firstColumn="1" w:lastColumn="0" w:noHBand="0" w:noVBand="1"/>
      </w:tblPr>
      <w:tblGrid>
        <w:gridCol w:w="818"/>
        <w:gridCol w:w="4212"/>
        <w:gridCol w:w="652"/>
        <w:gridCol w:w="652"/>
        <w:gridCol w:w="654"/>
        <w:gridCol w:w="653"/>
        <w:gridCol w:w="653"/>
        <w:gridCol w:w="654"/>
        <w:gridCol w:w="653"/>
        <w:gridCol w:w="653"/>
        <w:gridCol w:w="654"/>
        <w:gridCol w:w="653"/>
        <w:gridCol w:w="653"/>
        <w:gridCol w:w="654"/>
        <w:gridCol w:w="653"/>
        <w:gridCol w:w="654"/>
      </w:tblGrid>
      <w:tr w:rsidR="007115F2" w:rsidRPr="007115F2" w14:paraId="4ED5D8A5" w14:textId="77777777" w:rsidTr="00D137E4">
        <w:trPr>
          <w:trHeight w:val="238"/>
          <w:jc w:val="center"/>
        </w:trPr>
        <w:tc>
          <w:tcPr>
            <w:tcW w:w="818" w:type="dxa"/>
            <w:tcBorders>
              <w:top w:val="single" w:sz="4" w:space="0" w:color="auto"/>
              <w:bottom w:val="single" w:sz="4" w:space="0" w:color="auto"/>
            </w:tcBorders>
            <w:vAlign w:val="center"/>
          </w:tcPr>
          <w:p w14:paraId="4003CC62" w14:textId="77777777" w:rsidR="00A7726F" w:rsidRPr="007115F2" w:rsidRDefault="00A7726F" w:rsidP="00D137E4">
            <w:pPr>
              <w:widowControl w:val="0"/>
              <w:autoSpaceDE w:val="0"/>
              <w:autoSpaceDN w:val="0"/>
              <w:adjustRightInd w:val="0"/>
              <w:spacing w:line="240" w:lineRule="auto"/>
              <w:jc w:val="left"/>
              <w:rPr>
                <w:b/>
                <w:bCs/>
                <w:color w:val="000000" w:themeColor="text1"/>
                <w:sz w:val="22"/>
              </w:rPr>
            </w:pPr>
            <w:r w:rsidRPr="007115F2">
              <w:rPr>
                <w:b/>
                <w:bCs/>
                <w:color w:val="000000" w:themeColor="text1"/>
                <w:sz w:val="22"/>
              </w:rPr>
              <w:t>#</w:t>
            </w:r>
          </w:p>
        </w:tc>
        <w:tc>
          <w:tcPr>
            <w:tcW w:w="4212" w:type="dxa"/>
            <w:tcBorders>
              <w:top w:val="single" w:sz="4" w:space="0" w:color="auto"/>
              <w:bottom w:val="single" w:sz="4" w:space="0" w:color="auto"/>
            </w:tcBorders>
            <w:vAlign w:val="center"/>
          </w:tcPr>
          <w:p w14:paraId="6CC4B39A" w14:textId="77777777" w:rsidR="00A7726F" w:rsidRPr="007115F2" w:rsidRDefault="00A7726F" w:rsidP="006F4762">
            <w:pPr>
              <w:widowControl w:val="0"/>
              <w:autoSpaceDE w:val="0"/>
              <w:autoSpaceDN w:val="0"/>
              <w:adjustRightInd w:val="0"/>
              <w:spacing w:line="240" w:lineRule="auto"/>
              <w:jc w:val="left"/>
              <w:rPr>
                <w:b/>
                <w:bCs/>
                <w:color w:val="000000" w:themeColor="text1"/>
                <w:sz w:val="22"/>
              </w:rPr>
            </w:pPr>
            <w:r w:rsidRPr="007115F2">
              <w:rPr>
                <w:b/>
                <w:bCs/>
                <w:color w:val="000000" w:themeColor="text1"/>
                <w:sz w:val="22"/>
              </w:rPr>
              <w:t>Variable</w:t>
            </w:r>
          </w:p>
        </w:tc>
        <w:tc>
          <w:tcPr>
            <w:tcW w:w="652" w:type="dxa"/>
            <w:tcBorders>
              <w:top w:val="single" w:sz="4" w:space="0" w:color="auto"/>
              <w:bottom w:val="single" w:sz="4" w:space="0" w:color="auto"/>
            </w:tcBorders>
            <w:vAlign w:val="center"/>
          </w:tcPr>
          <w:p w14:paraId="730D40A6" w14:textId="77777777" w:rsidR="00A7726F" w:rsidRPr="007115F2" w:rsidRDefault="00A7726F" w:rsidP="006F4762">
            <w:pPr>
              <w:widowControl w:val="0"/>
              <w:autoSpaceDE w:val="0"/>
              <w:autoSpaceDN w:val="0"/>
              <w:adjustRightInd w:val="0"/>
              <w:spacing w:line="240" w:lineRule="auto"/>
              <w:jc w:val="right"/>
              <w:rPr>
                <w:b/>
                <w:bCs/>
                <w:color w:val="000000" w:themeColor="text1"/>
                <w:sz w:val="22"/>
              </w:rPr>
            </w:pPr>
            <w:r w:rsidRPr="007115F2">
              <w:rPr>
                <w:b/>
                <w:bCs/>
                <w:color w:val="000000" w:themeColor="text1"/>
                <w:sz w:val="22"/>
              </w:rPr>
              <w:t>(15)</w:t>
            </w:r>
          </w:p>
        </w:tc>
        <w:tc>
          <w:tcPr>
            <w:tcW w:w="652" w:type="dxa"/>
            <w:tcBorders>
              <w:top w:val="single" w:sz="4" w:space="0" w:color="auto"/>
              <w:bottom w:val="single" w:sz="4" w:space="0" w:color="auto"/>
            </w:tcBorders>
            <w:vAlign w:val="center"/>
          </w:tcPr>
          <w:p w14:paraId="5E760B87" w14:textId="77777777" w:rsidR="00A7726F" w:rsidRPr="007115F2" w:rsidRDefault="00A7726F" w:rsidP="006F4762">
            <w:pPr>
              <w:widowControl w:val="0"/>
              <w:autoSpaceDE w:val="0"/>
              <w:autoSpaceDN w:val="0"/>
              <w:adjustRightInd w:val="0"/>
              <w:spacing w:line="240" w:lineRule="auto"/>
              <w:jc w:val="right"/>
              <w:rPr>
                <w:b/>
                <w:bCs/>
                <w:color w:val="000000" w:themeColor="text1"/>
                <w:sz w:val="22"/>
              </w:rPr>
            </w:pPr>
            <w:r w:rsidRPr="007115F2">
              <w:rPr>
                <w:b/>
                <w:bCs/>
                <w:color w:val="000000" w:themeColor="text1"/>
                <w:sz w:val="22"/>
              </w:rPr>
              <w:t>(16)</w:t>
            </w:r>
          </w:p>
        </w:tc>
        <w:tc>
          <w:tcPr>
            <w:tcW w:w="654" w:type="dxa"/>
            <w:tcBorders>
              <w:top w:val="single" w:sz="4" w:space="0" w:color="auto"/>
              <w:bottom w:val="single" w:sz="4" w:space="0" w:color="auto"/>
            </w:tcBorders>
            <w:vAlign w:val="center"/>
          </w:tcPr>
          <w:p w14:paraId="71A5112F" w14:textId="77777777" w:rsidR="00A7726F" w:rsidRPr="007115F2" w:rsidRDefault="00A7726F" w:rsidP="006F4762">
            <w:pPr>
              <w:widowControl w:val="0"/>
              <w:autoSpaceDE w:val="0"/>
              <w:autoSpaceDN w:val="0"/>
              <w:adjustRightInd w:val="0"/>
              <w:spacing w:line="240" w:lineRule="auto"/>
              <w:jc w:val="right"/>
              <w:rPr>
                <w:b/>
                <w:bCs/>
                <w:color w:val="000000" w:themeColor="text1"/>
                <w:sz w:val="22"/>
              </w:rPr>
            </w:pPr>
            <w:r w:rsidRPr="007115F2">
              <w:rPr>
                <w:b/>
                <w:bCs/>
                <w:color w:val="000000" w:themeColor="text1"/>
                <w:sz w:val="22"/>
              </w:rPr>
              <w:t>(17)</w:t>
            </w:r>
          </w:p>
        </w:tc>
        <w:tc>
          <w:tcPr>
            <w:tcW w:w="653" w:type="dxa"/>
            <w:tcBorders>
              <w:top w:val="single" w:sz="4" w:space="0" w:color="auto"/>
              <w:bottom w:val="single" w:sz="4" w:space="0" w:color="auto"/>
            </w:tcBorders>
            <w:vAlign w:val="center"/>
          </w:tcPr>
          <w:p w14:paraId="64911B6D" w14:textId="77777777" w:rsidR="00A7726F" w:rsidRPr="007115F2" w:rsidRDefault="00A7726F" w:rsidP="006F4762">
            <w:pPr>
              <w:widowControl w:val="0"/>
              <w:autoSpaceDE w:val="0"/>
              <w:autoSpaceDN w:val="0"/>
              <w:adjustRightInd w:val="0"/>
              <w:spacing w:line="240" w:lineRule="auto"/>
              <w:jc w:val="right"/>
              <w:rPr>
                <w:b/>
                <w:bCs/>
                <w:color w:val="000000" w:themeColor="text1"/>
                <w:sz w:val="22"/>
              </w:rPr>
            </w:pPr>
            <w:r w:rsidRPr="007115F2">
              <w:rPr>
                <w:b/>
                <w:bCs/>
                <w:color w:val="000000" w:themeColor="text1"/>
                <w:sz w:val="22"/>
              </w:rPr>
              <w:t>(18)</w:t>
            </w:r>
          </w:p>
        </w:tc>
        <w:tc>
          <w:tcPr>
            <w:tcW w:w="653" w:type="dxa"/>
            <w:tcBorders>
              <w:top w:val="single" w:sz="4" w:space="0" w:color="auto"/>
              <w:bottom w:val="single" w:sz="4" w:space="0" w:color="auto"/>
            </w:tcBorders>
            <w:vAlign w:val="center"/>
          </w:tcPr>
          <w:p w14:paraId="2DD61F68" w14:textId="77777777" w:rsidR="00A7726F" w:rsidRPr="007115F2" w:rsidRDefault="00A7726F" w:rsidP="006F4762">
            <w:pPr>
              <w:widowControl w:val="0"/>
              <w:autoSpaceDE w:val="0"/>
              <w:autoSpaceDN w:val="0"/>
              <w:adjustRightInd w:val="0"/>
              <w:spacing w:line="240" w:lineRule="auto"/>
              <w:jc w:val="right"/>
              <w:rPr>
                <w:b/>
                <w:bCs/>
                <w:color w:val="000000" w:themeColor="text1"/>
                <w:sz w:val="22"/>
              </w:rPr>
            </w:pPr>
            <w:r w:rsidRPr="007115F2">
              <w:rPr>
                <w:b/>
                <w:bCs/>
                <w:color w:val="000000" w:themeColor="text1"/>
                <w:sz w:val="22"/>
              </w:rPr>
              <w:t>(19)</w:t>
            </w:r>
          </w:p>
        </w:tc>
        <w:tc>
          <w:tcPr>
            <w:tcW w:w="654" w:type="dxa"/>
            <w:tcBorders>
              <w:top w:val="single" w:sz="4" w:space="0" w:color="auto"/>
              <w:bottom w:val="single" w:sz="4" w:space="0" w:color="auto"/>
            </w:tcBorders>
            <w:vAlign w:val="center"/>
          </w:tcPr>
          <w:p w14:paraId="0A7FA776" w14:textId="77777777" w:rsidR="00A7726F" w:rsidRPr="007115F2" w:rsidRDefault="00A7726F" w:rsidP="006F4762">
            <w:pPr>
              <w:widowControl w:val="0"/>
              <w:autoSpaceDE w:val="0"/>
              <w:autoSpaceDN w:val="0"/>
              <w:adjustRightInd w:val="0"/>
              <w:spacing w:line="240" w:lineRule="auto"/>
              <w:jc w:val="right"/>
              <w:rPr>
                <w:b/>
                <w:bCs/>
                <w:color w:val="000000" w:themeColor="text1"/>
                <w:sz w:val="22"/>
              </w:rPr>
            </w:pPr>
            <w:r w:rsidRPr="007115F2">
              <w:rPr>
                <w:b/>
                <w:bCs/>
                <w:color w:val="000000" w:themeColor="text1"/>
                <w:sz w:val="22"/>
              </w:rPr>
              <w:t>(20)</w:t>
            </w:r>
          </w:p>
        </w:tc>
        <w:tc>
          <w:tcPr>
            <w:tcW w:w="653" w:type="dxa"/>
            <w:tcBorders>
              <w:top w:val="single" w:sz="4" w:space="0" w:color="auto"/>
              <w:bottom w:val="single" w:sz="4" w:space="0" w:color="auto"/>
            </w:tcBorders>
            <w:vAlign w:val="center"/>
          </w:tcPr>
          <w:p w14:paraId="5E4802B4" w14:textId="77777777" w:rsidR="00A7726F" w:rsidRPr="007115F2" w:rsidRDefault="00A7726F" w:rsidP="006F4762">
            <w:pPr>
              <w:widowControl w:val="0"/>
              <w:autoSpaceDE w:val="0"/>
              <w:autoSpaceDN w:val="0"/>
              <w:adjustRightInd w:val="0"/>
              <w:spacing w:line="240" w:lineRule="auto"/>
              <w:jc w:val="right"/>
              <w:rPr>
                <w:b/>
                <w:bCs/>
                <w:color w:val="000000" w:themeColor="text1"/>
                <w:sz w:val="22"/>
              </w:rPr>
            </w:pPr>
            <w:r w:rsidRPr="007115F2">
              <w:rPr>
                <w:b/>
                <w:bCs/>
                <w:color w:val="000000" w:themeColor="text1"/>
                <w:sz w:val="22"/>
              </w:rPr>
              <w:t>(21)</w:t>
            </w:r>
          </w:p>
        </w:tc>
        <w:tc>
          <w:tcPr>
            <w:tcW w:w="653" w:type="dxa"/>
            <w:tcBorders>
              <w:top w:val="single" w:sz="4" w:space="0" w:color="auto"/>
              <w:bottom w:val="single" w:sz="4" w:space="0" w:color="auto"/>
            </w:tcBorders>
            <w:vAlign w:val="center"/>
          </w:tcPr>
          <w:p w14:paraId="0B9C8D02" w14:textId="77777777" w:rsidR="00A7726F" w:rsidRPr="007115F2" w:rsidRDefault="00A7726F" w:rsidP="006F4762">
            <w:pPr>
              <w:widowControl w:val="0"/>
              <w:autoSpaceDE w:val="0"/>
              <w:autoSpaceDN w:val="0"/>
              <w:adjustRightInd w:val="0"/>
              <w:spacing w:line="240" w:lineRule="auto"/>
              <w:jc w:val="right"/>
              <w:rPr>
                <w:b/>
                <w:bCs/>
                <w:color w:val="000000" w:themeColor="text1"/>
                <w:sz w:val="22"/>
              </w:rPr>
            </w:pPr>
            <w:r w:rsidRPr="007115F2">
              <w:rPr>
                <w:b/>
                <w:bCs/>
                <w:color w:val="000000" w:themeColor="text1"/>
                <w:sz w:val="22"/>
              </w:rPr>
              <w:t>(22)</w:t>
            </w:r>
          </w:p>
        </w:tc>
        <w:tc>
          <w:tcPr>
            <w:tcW w:w="654" w:type="dxa"/>
            <w:tcBorders>
              <w:top w:val="single" w:sz="4" w:space="0" w:color="auto"/>
              <w:bottom w:val="single" w:sz="4" w:space="0" w:color="auto"/>
            </w:tcBorders>
            <w:vAlign w:val="center"/>
          </w:tcPr>
          <w:p w14:paraId="0FDA427F" w14:textId="77777777" w:rsidR="00A7726F" w:rsidRPr="007115F2" w:rsidRDefault="00A7726F" w:rsidP="006F4762">
            <w:pPr>
              <w:widowControl w:val="0"/>
              <w:autoSpaceDE w:val="0"/>
              <w:autoSpaceDN w:val="0"/>
              <w:adjustRightInd w:val="0"/>
              <w:spacing w:line="240" w:lineRule="auto"/>
              <w:jc w:val="right"/>
              <w:rPr>
                <w:b/>
                <w:bCs/>
                <w:color w:val="000000" w:themeColor="text1"/>
                <w:sz w:val="22"/>
              </w:rPr>
            </w:pPr>
            <w:r w:rsidRPr="007115F2">
              <w:rPr>
                <w:b/>
                <w:bCs/>
                <w:color w:val="000000" w:themeColor="text1"/>
                <w:sz w:val="22"/>
              </w:rPr>
              <w:t>(23)</w:t>
            </w:r>
          </w:p>
        </w:tc>
        <w:tc>
          <w:tcPr>
            <w:tcW w:w="653" w:type="dxa"/>
            <w:tcBorders>
              <w:top w:val="single" w:sz="4" w:space="0" w:color="auto"/>
              <w:bottom w:val="single" w:sz="4" w:space="0" w:color="auto"/>
            </w:tcBorders>
            <w:vAlign w:val="center"/>
          </w:tcPr>
          <w:p w14:paraId="4335C187" w14:textId="77777777" w:rsidR="00A7726F" w:rsidRPr="007115F2" w:rsidRDefault="00A7726F" w:rsidP="006F4762">
            <w:pPr>
              <w:widowControl w:val="0"/>
              <w:autoSpaceDE w:val="0"/>
              <w:autoSpaceDN w:val="0"/>
              <w:adjustRightInd w:val="0"/>
              <w:spacing w:line="240" w:lineRule="auto"/>
              <w:jc w:val="right"/>
              <w:rPr>
                <w:b/>
                <w:bCs/>
                <w:color w:val="000000" w:themeColor="text1"/>
                <w:sz w:val="22"/>
              </w:rPr>
            </w:pPr>
            <w:r w:rsidRPr="007115F2">
              <w:rPr>
                <w:b/>
                <w:bCs/>
                <w:color w:val="000000" w:themeColor="text1"/>
                <w:sz w:val="22"/>
              </w:rPr>
              <w:t>(24)</w:t>
            </w:r>
          </w:p>
        </w:tc>
        <w:tc>
          <w:tcPr>
            <w:tcW w:w="653" w:type="dxa"/>
            <w:tcBorders>
              <w:top w:val="single" w:sz="4" w:space="0" w:color="auto"/>
              <w:bottom w:val="single" w:sz="4" w:space="0" w:color="auto"/>
            </w:tcBorders>
            <w:vAlign w:val="center"/>
          </w:tcPr>
          <w:p w14:paraId="004E2526" w14:textId="77777777" w:rsidR="00A7726F" w:rsidRPr="007115F2" w:rsidRDefault="00A7726F" w:rsidP="006F4762">
            <w:pPr>
              <w:widowControl w:val="0"/>
              <w:autoSpaceDE w:val="0"/>
              <w:autoSpaceDN w:val="0"/>
              <w:adjustRightInd w:val="0"/>
              <w:spacing w:line="240" w:lineRule="auto"/>
              <w:jc w:val="right"/>
              <w:rPr>
                <w:b/>
                <w:bCs/>
                <w:color w:val="000000" w:themeColor="text1"/>
                <w:sz w:val="22"/>
              </w:rPr>
            </w:pPr>
            <w:r w:rsidRPr="007115F2">
              <w:rPr>
                <w:b/>
                <w:bCs/>
                <w:color w:val="000000" w:themeColor="text1"/>
                <w:sz w:val="22"/>
              </w:rPr>
              <w:t>(25)</w:t>
            </w:r>
          </w:p>
        </w:tc>
        <w:tc>
          <w:tcPr>
            <w:tcW w:w="654" w:type="dxa"/>
            <w:tcBorders>
              <w:top w:val="single" w:sz="4" w:space="0" w:color="auto"/>
              <w:bottom w:val="single" w:sz="4" w:space="0" w:color="auto"/>
            </w:tcBorders>
            <w:vAlign w:val="center"/>
          </w:tcPr>
          <w:p w14:paraId="50F3D2C2" w14:textId="77777777" w:rsidR="00A7726F" w:rsidRPr="007115F2" w:rsidRDefault="00A7726F" w:rsidP="006F4762">
            <w:pPr>
              <w:widowControl w:val="0"/>
              <w:autoSpaceDE w:val="0"/>
              <w:autoSpaceDN w:val="0"/>
              <w:adjustRightInd w:val="0"/>
              <w:spacing w:line="240" w:lineRule="auto"/>
              <w:jc w:val="right"/>
              <w:rPr>
                <w:b/>
                <w:bCs/>
                <w:color w:val="000000" w:themeColor="text1"/>
                <w:sz w:val="22"/>
              </w:rPr>
            </w:pPr>
            <w:r w:rsidRPr="007115F2">
              <w:rPr>
                <w:b/>
                <w:bCs/>
                <w:color w:val="000000" w:themeColor="text1"/>
                <w:sz w:val="22"/>
              </w:rPr>
              <w:t>(26)</w:t>
            </w:r>
          </w:p>
        </w:tc>
        <w:tc>
          <w:tcPr>
            <w:tcW w:w="653" w:type="dxa"/>
            <w:tcBorders>
              <w:top w:val="single" w:sz="4" w:space="0" w:color="auto"/>
              <w:bottom w:val="single" w:sz="4" w:space="0" w:color="auto"/>
            </w:tcBorders>
            <w:vAlign w:val="center"/>
          </w:tcPr>
          <w:p w14:paraId="34E93FE9" w14:textId="77777777" w:rsidR="00A7726F" w:rsidRPr="007115F2" w:rsidRDefault="00A7726F" w:rsidP="006F4762">
            <w:pPr>
              <w:widowControl w:val="0"/>
              <w:autoSpaceDE w:val="0"/>
              <w:autoSpaceDN w:val="0"/>
              <w:adjustRightInd w:val="0"/>
              <w:spacing w:line="240" w:lineRule="auto"/>
              <w:jc w:val="right"/>
              <w:rPr>
                <w:b/>
                <w:bCs/>
                <w:color w:val="000000" w:themeColor="text1"/>
                <w:sz w:val="22"/>
              </w:rPr>
            </w:pPr>
            <w:r w:rsidRPr="007115F2">
              <w:rPr>
                <w:b/>
                <w:bCs/>
                <w:color w:val="000000" w:themeColor="text1"/>
                <w:sz w:val="22"/>
              </w:rPr>
              <w:t>(27)</w:t>
            </w:r>
          </w:p>
        </w:tc>
        <w:tc>
          <w:tcPr>
            <w:tcW w:w="654" w:type="dxa"/>
            <w:tcBorders>
              <w:top w:val="single" w:sz="4" w:space="0" w:color="auto"/>
              <w:bottom w:val="single" w:sz="4" w:space="0" w:color="auto"/>
            </w:tcBorders>
            <w:vAlign w:val="center"/>
          </w:tcPr>
          <w:p w14:paraId="734590ED" w14:textId="77777777" w:rsidR="00A7726F" w:rsidRPr="007115F2" w:rsidRDefault="00A7726F" w:rsidP="006F4762">
            <w:pPr>
              <w:widowControl w:val="0"/>
              <w:autoSpaceDE w:val="0"/>
              <w:autoSpaceDN w:val="0"/>
              <w:adjustRightInd w:val="0"/>
              <w:spacing w:line="240" w:lineRule="auto"/>
              <w:jc w:val="right"/>
              <w:rPr>
                <w:b/>
                <w:bCs/>
                <w:color w:val="000000" w:themeColor="text1"/>
                <w:sz w:val="22"/>
              </w:rPr>
            </w:pPr>
            <w:r w:rsidRPr="007115F2">
              <w:rPr>
                <w:b/>
                <w:bCs/>
                <w:color w:val="000000" w:themeColor="text1"/>
                <w:sz w:val="22"/>
              </w:rPr>
              <w:t>(28)</w:t>
            </w:r>
          </w:p>
        </w:tc>
      </w:tr>
      <w:tr w:rsidR="007115F2" w:rsidRPr="007115F2" w14:paraId="6C6F627D" w14:textId="77777777" w:rsidTr="00D137E4">
        <w:trPr>
          <w:trHeight w:val="238"/>
          <w:jc w:val="center"/>
        </w:trPr>
        <w:tc>
          <w:tcPr>
            <w:tcW w:w="818" w:type="dxa"/>
            <w:vAlign w:val="center"/>
          </w:tcPr>
          <w:p w14:paraId="2F1CAB3F" w14:textId="77777777" w:rsidR="00A7726F" w:rsidRPr="007115F2" w:rsidRDefault="00A7726F" w:rsidP="00D137E4">
            <w:pPr>
              <w:widowControl w:val="0"/>
              <w:autoSpaceDE w:val="0"/>
              <w:autoSpaceDN w:val="0"/>
              <w:adjustRightInd w:val="0"/>
              <w:spacing w:line="240" w:lineRule="auto"/>
              <w:jc w:val="left"/>
              <w:rPr>
                <w:color w:val="000000" w:themeColor="text1"/>
                <w:sz w:val="22"/>
              </w:rPr>
            </w:pPr>
            <w:r w:rsidRPr="007115F2">
              <w:rPr>
                <w:color w:val="000000" w:themeColor="text1"/>
                <w:sz w:val="22"/>
              </w:rPr>
              <w:t>15.</w:t>
            </w:r>
          </w:p>
        </w:tc>
        <w:tc>
          <w:tcPr>
            <w:tcW w:w="4212" w:type="dxa"/>
            <w:vAlign w:val="center"/>
          </w:tcPr>
          <w:p w14:paraId="79E25963" w14:textId="77777777" w:rsidR="00A7726F" w:rsidRPr="007115F2" w:rsidRDefault="00A7726F" w:rsidP="006F4762">
            <w:pPr>
              <w:widowControl w:val="0"/>
              <w:autoSpaceDE w:val="0"/>
              <w:autoSpaceDN w:val="0"/>
              <w:adjustRightInd w:val="0"/>
              <w:spacing w:line="240" w:lineRule="auto"/>
              <w:jc w:val="left"/>
              <w:rPr>
                <w:color w:val="000000" w:themeColor="text1"/>
                <w:sz w:val="22"/>
              </w:rPr>
            </w:pPr>
            <w:r w:rsidRPr="007115F2">
              <w:rPr>
                <w:color w:val="000000" w:themeColor="text1"/>
                <w:sz w:val="22"/>
              </w:rPr>
              <w:t>Alliance_Relational_Embeddedness</w:t>
            </w:r>
          </w:p>
        </w:tc>
        <w:tc>
          <w:tcPr>
            <w:tcW w:w="652" w:type="dxa"/>
            <w:vAlign w:val="center"/>
          </w:tcPr>
          <w:p w14:paraId="2E988453"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1</w:t>
            </w:r>
          </w:p>
        </w:tc>
        <w:tc>
          <w:tcPr>
            <w:tcW w:w="652" w:type="dxa"/>
            <w:vAlign w:val="center"/>
          </w:tcPr>
          <w:p w14:paraId="2C1921AC"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4" w:type="dxa"/>
            <w:vAlign w:val="center"/>
          </w:tcPr>
          <w:p w14:paraId="5B2D7BD4"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7AF464A1"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0CC574EB"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4" w:type="dxa"/>
            <w:vAlign w:val="center"/>
          </w:tcPr>
          <w:p w14:paraId="0E231BBD"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73EBD642"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39878F73"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4" w:type="dxa"/>
            <w:vAlign w:val="center"/>
          </w:tcPr>
          <w:p w14:paraId="2096F0CB"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59A05032"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76316DB2"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4" w:type="dxa"/>
            <w:vAlign w:val="center"/>
          </w:tcPr>
          <w:p w14:paraId="614A3634"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770E627F"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4" w:type="dxa"/>
            <w:vAlign w:val="center"/>
          </w:tcPr>
          <w:p w14:paraId="7DE59AC5"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r>
      <w:tr w:rsidR="007115F2" w:rsidRPr="007115F2" w14:paraId="417C61AD" w14:textId="77777777" w:rsidTr="00D137E4">
        <w:trPr>
          <w:trHeight w:val="238"/>
          <w:jc w:val="center"/>
        </w:trPr>
        <w:tc>
          <w:tcPr>
            <w:tcW w:w="818" w:type="dxa"/>
            <w:vAlign w:val="center"/>
          </w:tcPr>
          <w:p w14:paraId="0822370C" w14:textId="77777777" w:rsidR="00A7726F" w:rsidRPr="007115F2" w:rsidRDefault="00A7726F" w:rsidP="00D137E4">
            <w:pPr>
              <w:widowControl w:val="0"/>
              <w:autoSpaceDE w:val="0"/>
              <w:autoSpaceDN w:val="0"/>
              <w:adjustRightInd w:val="0"/>
              <w:spacing w:line="240" w:lineRule="auto"/>
              <w:jc w:val="left"/>
              <w:rPr>
                <w:color w:val="000000" w:themeColor="text1"/>
                <w:sz w:val="22"/>
              </w:rPr>
            </w:pPr>
            <w:r w:rsidRPr="007115F2">
              <w:rPr>
                <w:color w:val="000000" w:themeColor="text1"/>
                <w:sz w:val="22"/>
              </w:rPr>
              <w:t>16.</w:t>
            </w:r>
          </w:p>
        </w:tc>
        <w:tc>
          <w:tcPr>
            <w:tcW w:w="4212" w:type="dxa"/>
            <w:vAlign w:val="center"/>
          </w:tcPr>
          <w:p w14:paraId="23A66E8D" w14:textId="77777777" w:rsidR="00A7726F" w:rsidRPr="007115F2" w:rsidRDefault="00A7726F" w:rsidP="006F4762">
            <w:pPr>
              <w:widowControl w:val="0"/>
              <w:autoSpaceDE w:val="0"/>
              <w:autoSpaceDN w:val="0"/>
              <w:adjustRightInd w:val="0"/>
              <w:spacing w:line="240" w:lineRule="auto"/>
              <w:jc w:val="left"/>
              <w:rPr>
                <w:color w:val="000000" w:themeColor="text1"/>
                <w:sz w:val="22"/>
              </w:rPr>
            </w:pPr>
            <w:r w:rsidRPr="007115F2">
              <w:rPr>
                <w:color w:val="000000" w:themeColor="text1"/>
                <w:sz w:val="22"/>
              </w:rPr>
              <w:t>Alliance_Structural_Embeddedness</w:t>
            </w:r>
          </w:p>
        </w:tc>
        <w:tc>
          <w:tcPr>
            <w:tcW w:w="652" w:type="dxa"/>
            <w:vAlign w:val="center"/>
          </w:tcPr>
          <w:p w14:paraId="376F1B54"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0.14</w:t>
            </w:r>
          </w:p>
        </w:tc>
        <w:tc>
          <w:tcPr>
            <w:tcW w:w="652" w:type="dxa"/>
            <w:vAlign w:val="center"/>
          </w:tcPr>
          <w:p w14:paraId="3C7831A5"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1</w:t>
            </w:r>
          </w:p>
        </w:tc>
        <w:tc>
          <w:tcPr>
            <w:tcW w:w="654" w:type="dxa"/>
            <w:vAlign w:val="center"/>
          </w:tcPr>
          <w:p w14:paraId="6A154F65"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4E93C855"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16793B46"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4" w:type="dxa"/>
            <w:vAlign w:val="center"/>
          </w:tcPr>
          <w:p w14:paraId="43E3B077"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10F59C60"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397CCBDE"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4" w:type="dxa"/>
            <w:vAlign w:val="center"/>
          </w:tcPr>
          <w:p w14:paraId="03A5D7F2"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0C5A1FA8"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787D211B"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4" w:type="dxa"/>
            <w:vAlign w:val="center"/>
          </w:tcPr>
          <w:p w14:paraId="736C0809"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127D2B99"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4" w:type="dxa"/>
            <w:vAlign w:val="center"/>
          </w:tcPr>
          <w:p w14:paraId="66FE3677"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r>
      <w:tr w:rsidR="007115F2" w:rsidRPr="007115F2" w14:paraId="5AD6E90A" w14:textId="77777777" w:rsidTr="00D137E4">
        <w:trPr>
          <w:trHeight w:val="238"/>
          <w:jc w:val="center"/>
        </w:trPr>
        <w:tc>
          <w:tcPr>
            <w:tcW w:w="818" w:type="dxa"/>
            <w:vAlign w:val="center"/>
          </w:tcPr>
          <w:p w14:paraId="5BBBF9A5" w14:textId="77777777" w:rsidR="00A7726F" w:rsidRPr="007115F2" w:rsidRDefault="00A7726F" w:rsidP="00D137E4">
            <w:pPr>
              <w:widowControl w:val="0"/>
              <w:autoSpaceDE w:val="0"/>
              <w:autoSpaceDN w:val="0"/>
              <w:adjustRightInd w:val="0"/>
              <w:spacing w:line="240" w:lineRule="auto"/>
              <w:jc w:val="left"/>
              <w:rPr>
                <w:color w:val="000000" w:themeColor="text1"/>
                <w:sz w:val="22"/>
              </w:rPr>
            </w:pPr>
            <w:r w:rsidRPr="007115F2">
              <w:rPr>
                <w:color w:val="000000" w:themeColor="text1"/>
                <w:sz w:val="22"/>
              </w:rPr>
              <w:t>17.</w:t>
            </w:r>
          </w:p>
        </w:tc>
        <w:tc>
          <w:tcPr>
            <w:tcW w:w="4212" w:type="dxa"/>
            <w:vAlign w:val="center"/>
          </w:tcPr>
          <w:p w14:paraId="556519F0" w14:textId="77777777" w:rsidR="00A7726F" w:rsidRPr="007115F2" w:rsidRDefault="00A7726F" w:rsidP="006F4762">
            <w:pPr>
              <w:widowControl w:val="0"/>
              <w:autoSpaceDE w:val="0"/>
              <w:autoSpaceDN w:val="0"/>
              <w:adjustRightInd w:val="0"/>
              <w:spacing w:line="240" w:lineRule="auto"/>
              <w:jc w:val="left"/>
              <w:rPr>
                <w:color w:val="000000" w:themeColor="text1"/>
                <w:sz w:val="22"/>
              </w:rPr>
            </w:pPr>
            <w:r w:rsidRPr="007115F2">
              <w:rPr>
                <w:color w:val="000000" w:themeColor="text1"/>
                <w:sz w:val="22"/>
              </w:rPr>
              <w:t>JV_Indicator</w:t>
            </w:r>
          </w:p>
        </w:tc>
        <w:tc>
          <w:tcPr>
            <w:tcW w:w="652" w:type="dxa"/>
            <w:vAlign w:val="center"/>
          </w:tcPr>
          <w:p w14:paraId="025FB762"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0.07</w:t>
            </w:r>
          </w:p>
        </w:tc>
        <w:tc>
          <w:tcPr>
            <w:tcW w:w="652" w:type="dxa"/>
            <w:vAlign w:val="center"/>
          </w:tcPr>
          <w:p w14:paraId="2D0AE6C5"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-0.16</w:t>
            </w:r>
          </w:p>
        </w:tc>
        <w:tc>
          <w:tcPr>
            <w:tcW w:w="654" w:type="dxa"/>
            <w:vAlign w:val="center"/>
          </w:tcPr>
          <w:p w14:paraId="1643E7F1"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1</w:t>
            </w:r>
          </w:p>
        </w:tc>
        <w:tc>
          <w:tcPr>
            <w:tcW w:w="653" w:type="dxa"/>
            <w:vAlign w:val="center"/>
          </w:tcPr>
          <w:p w14:paraId="4625C0E6"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316601CF"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4" w:type="dxa"/>
            <w:vAlign w:val="center"/>
          </w:tcPr>
          <w:p w14:paraId="31603C44"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53F4BCEA"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6F005065"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4" w:type="dxa"/>
            <w:vAlign w:val="center"/>
          </w:tcPr>
          <w:p w14:paraId="7A192867"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322FDF0C"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718C8AED"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4" w:type="dxa"/>
            <w:vAlign w:val="center"/>
          </w:tcPr>
          <w:p w14:paraId="37BA8F73"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0B1DF13E"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4" w:type="dxa"/>
            <w:vAlign w:val="center"/>
          </w:tcPr>
          <w:p w14:paraId="16BC8F6C"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r>
      <w:tr w:rsidR="007115F2" w:rsidRPr="007115F2" w14:paraId="50C7C875" w14:textId="77777777" w:rsidTr="00D137E4">
        <w:trPr>
          <w:trHeight w:val="238"/>
          <w:jc w:val="center"/>
        </w:trPr>
        <w:tc>
          <w:tcPr>
            <w:tcW w:w="818" w:type="dxa"/>
            <w:vAlign w:val="center"/>
          </w:tcPr>
          <w:p w14:paraId="01B7176D" w14:textId="77777777" w:rsidR="00A7726F" w:rsidRPr="007115F2" w:rsidRDefault="00A7726F" w:rsidP="00D137E4">
            <w:pPr>
              <w:widowControl w:val="0"/>
              <w:autoSpaceDE w:val="0"/>
              <w:autoSpaceDN w:val="0"/>
              <w:adjustRightInd w:val="0"/>
              <w:spacing w:line="240" w:lineRule="auto"/>
              <w:jc w:val="left"/>
              <w:rPr>
                <w:color w:val="000000" w:themeColor="text1"/>
                <w:sz w:val="22"/>
              </w:rPr>
            </w:pPr>
            <w:r w:rsidRPr="007115F2">
              <w:rPr>
                <w:color w:val="000000" w:themeColor="text1"/>
                <w:sz w:val="22"/>
              </w:rPr>
              <w:t>18.</w:t>
            </w:r>
          </w:p>
        </w:tc>
        <w:tc>
          <w:tcPr>
            <w:tcW w:w="4212" w:type="dxa"/>
            <w:vAlign w:val="center"/>
          </w:tcPr>
          <w:p w14:paraId="680A6E90" w14:textId="77777777" w:rsidR="00A7726F" w:rsidRPr="007115F2" w:rsidRDefault="00A7726F" w:rsidP="006F4762">
            <w:pPr>
              <w:widowControl w:val="0"/>
              <w:autoSpaceDE w:val="0"/>
              <w:autoSpaceDN w:val="0"/>
              <w:adjustRightInd w:val="0"/>
              <w:spacing w:line="240" w:lineRule="auto"/>
              <w:jc w:val="left"/>
              <w:rPr>
                <w:color w:val="000000" w:themeColor="text1"/>
                <w:sz w:val="22"/>
              </w:rPr>
            </w:pPr>
            <w:r w:rsidRPr="007115F2">
              <w:rPr>
                <w:color w:val="000000" w:themeColor="text1"/>
                <w:sz w:val="22"/>
              </w:rPr>
              <w:t>EquityAlliance_Indicator</w:t>
            </w:r>
          </w:p>
        </w:tc>
        <w:tc>
          <w:tcPr>
            <w:tcW w:w="652" w:type="dxa"/>
            <w:vAlign w:val="center"/>
          </w:tcPr>
          <w:p w14:paraId="2A658204"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-0.02</w:t>
            </w:r>
          </w:p>
        </w:tc>
        <w:tc>
          <w:tcPr>
            <w:tcW w:w="652" w:type="dxa"/>
            <w:vAlign w:val="center"/>
          </w:tcPr>
          <w:p w14:paraId="13398E20"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-0.06</w:t>
            </w:r>
          </w:p>
        </w:tc>
        <w:tc>
          <w:tcPr>
            <w:tcW w:w="654" w:type="dxa"/>
            <w:vAlign w:val="center"/>
          </w:tcPr>
          <w:p w14:paraId="220E1DB8"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0.10</w:t>
            </w:r>
          </w:p>
        </w:tc>
        <w:tc>
          <w:tcPr>
            <w:tcW w:w="653" w:type="dxa"/>
            <w:vAlign w:val="center"/>
          </w:tcPr>
          <w:p w14:paraId="1296E93F"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1</w:t>
            </w:r>
          </w:p>
        </w:tc>
        <w:tc>
          <w:tcPr>
            <w:tcW w:w="653" w:type="dxa"/>
            <w:vAlign w:val="center"/>
          </w:tcPr>
          <w:p w14:paraId="427EE1B7"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4" w:type="dxa"/>
            <w:vAlign w:val="center"/>
          </w:tcPr>
          <w:p w14:paraId="18A5FC6E"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32D1BE5C"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3380A451"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4" w:type="dxa"/>
            <w:vAlign w:val="center"/>
          </w:tcPr>
          <w:p w14:paraId="692C898C"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6CA59CB1"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28793487"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4" w:type="dxa"/>
            <w:vAlign w:val="center"/>
          </w:tcPr>
          <w:p w14:paraId="4CE0ED31"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6BF85BF2"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4" w:type="dxa"/>
            <w:vAlign w:val="center"/>
          </w:tcPr>
          <w:p w14:paraId="31EC4960"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r>
      <w:tr w:rsidR="007115F2" w:rsidRPr="007115F2" w14:paraId="1695951E" w14:textId="77777777" w:rsidTr="00D137E4">
        <w:trPr>
          <w:trHeight w:val="238"/>
          <w:jc w:val="center"/>
        </w:trPr>
        <w:tc>
          <w:tcPr>
            <w:tcW w:w="818" w:type="dxa"/>
            <w:vAlign w:val="center"/>
          </w:tcPr>
          <w:p w14:paraId="1B620F84" w14:textId="77777777" w:rsidR="00A7726F" w:rsidRPr="007115F2" w:rsidRDefault="00A7726F" w:rsidP="00D137E4">
            <w:pPr>
              <w:widowControl w:val="0"/>
              <w:autoSpaceDE w:val="0"/>
              <w:autoSpaceDN w:val="0"/>
              <w:adjustRightInd w:val="0"/>
              <w:spacing w:line="240" w:lineRule="auto"/>
              <w:jc w:val="left"/>
              <w:rPr>
                <w:color w:val="000000" w:themeColor="text1"/>
                <w:sz w:val="22"/>
              </w:rPr>
            </w:pPr>
            <w:r w:rsidRPr="007115F2">
              <w:rPr>
                <w:color w:val="000000" w:themeColor="text1"/>
                <w:sz w:val="22"/>
              </w:rPr>
              <w:t>19.</w:t>
            </w:r>
          </w:p>
        </w:tc>
        <w:tc>
          <w:tcPr>
            <w:tcW w:w="4212" w:type="dxa"/>
            <w:vAlign w:val="center"/>
          </w:tcPr>
          <w:p w14:paraId="1BF9FAB8" w14:textId="77777777" w:rsidR="00A7726F" w:rsidRPr="007115F2" w:rsidRDefault="00A7726F" w:rsidP="006F4762">
            <w:pPr>
              <w:widowControl w:val="0"/>
              <w:autoSpaceDE w:val="0"/>
              <w:autoSpaceDN w:val="0"/>
              <w:adjustRightInd w:val="0"/>
              <w:spacing w:line="240" w:lineRule="auto"/>
              <w:jc w:val="left"/>
              <w:rPr>
                <w:color w:val="000000" w:themeColor="text1"/>
                <w:sz w:val="22"/>
              </w:rPr>
            </w:pPr>
            <w:r w:rsidRPr="007115F2">
              <w:rPr>
                <w:color w:val="000000" w:themeColor="text1"/>
                <w:sz w:val="22"/>
              </w:rPr>
              <w:t>TechnologyAlliance_Indicator</w:t>
            </w:r>
          </w:p>
        </w:tc>
        <w:tc>
          <w:tcPr>
            <w:tcW w:w="652" w:type="dxa"/>
            <w:vAlign w:val="center"/>
          </w:tcPr>
          <w:p w14:paraId="7335A398"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-0.02</w:t>
            </w:r>
          </w:p>
        </w:tc>
        <w:tc>
          <w:tcPr>
            <w:tcW w:w="652" w:type="dxa"/>
            <w:vAlign w:val="center"/>
          </w:tcPr>
          <w:p w14:paraId="6BD1F9FF"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0.20</w:t>
            </w:r>
          </w:p>
        </w:tc>
        <w:tc>
          <w:tcPr>
            <w:tcW w:w="654" w:type="dxa"/>
            <w:vAlign w:val="center"/>
          </w:tcPr>
          <w:p w14:paraId="7170AE89"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-0.21</w:t>
            </w:r>
          </w:p>
        </w:tc>
        <w:tc>
          <w:tcPr>
            <w:tcW w:w="653" w:type="dxa"/>
            <w:vAlign w:val="center"/>
          </w:tcPr>
          <w:p w14:paraId="0AE4A433"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-0.05</w:t>
            </w:r>
          </w:p>
        </w:tc>
        <w:tc>
          <w:tcPr>
            <w:tcW w:w="653" w:type="dxa"/>
            <w:vAlign w:val="center"/>
          </w:tcPr>
          <w:p w14:paraId="007BF7B2"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1</w:t>
            </w:r>
          </w:p>
        </w:tc>
        <w:tc>
          <w:tcPr>
            <w:tcW w:w="654" w:type="dxa"/>
            <w:vAlign w:val="center"/>
          </w:tcPr>
          <w:p w14:paraId="2EDA1FDD"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01051D9C"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3C4D8AC1"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4" w:type="dxa"/>
            <w:vAlign w:val="center"/>
          </w:tcPr>
          <w:p w14:paraId="05D0DC3B"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389D7D0E"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0CD34FB7"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4" w:type="dxa"/>
            <w:vAlign w:val="center"/>
          </w:tcPr>
          <w:p w14:paraId="21A5D9DA"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72A346C6"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4" w:type="dxa"/>
            <w:vAlign w:val="center"/>
          </w:tcPr>
          <w:p w14:paraId="7CDF1E2D"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r>
      <w:tr w:rsidR="007115F2" w:rsidRPr="007115F2" w14:paraId="6F6719D4" w14:textId="77777777" w:rsidTr="00D137E4">
        <w:trPr>
          <w:trHeight w:val="238"/>
          <w:jc w:val="center"/>
        </w:trPr>
        <w:tc>
          <w:tcPr>
            <w:tcW w:w="818" w:type="dxa"/>
            <w:vAlign w:val="center"/>
          </w:tcPr>
          <w:p w14:paraId="0386619D" w14:textId="77777777" w:rsidR="00A7726F" w:rsidRPr="007115F2" w:rsidRDefault="00A7726F" w:rsidP="00D137E4">
            <w:pPr>
              <w:widowControl w:val="0"/>
              <w:autoSpaceDE w:val="0"/>
              <w:autoSpaceDN w:val="0"/>
              <w:adjustRightInd w:val="0"/>
              <w:spacing w:line="240" w:lineRule="auto"/>
              <w:jc w:val="left"/>
              <w:rPr>
                <w:color w:val="000000" w:themeColor="text1"/>
                <w:sz w:val="22"/>
              </w:rPr>
            </w:pPr>
            <w:r w:rsidRPr="007115F2">
              <w:rPr>
                <w:color w:val="000000" w:themeColor="text1"/>
                <w:sz w:val="22"/>
              </w:rPr>
              <w:t>20.</w:t>
            </w:r>
          </w:p>
        </w:tc>
        <w:tc>
          <w:tcPr>
            <w:tcW w:w="4212" w:type="dxa"/>
            <w:vAlign w:val="center"/>
          </w:tcPr>
          <w:p w14:paraId="555B82F9" w14:textId="77777777" w:rsidR="00A7726F" w:rsidRPr="007115F2" w:rsidRDefault="00A7726F" w:rsidP="006F4762">
            <w:pPr>
              <w:widowControl w:val="0"/>
              <w:autoSpaceDE w:val="0"/>
              <w:autoSpaceDN w:val="0"/>
              <w:adjustRightInd w:val="0"/>
              <w:spacing w:line="240" w:lineRule="auto"/>
              <w:jc w:val="left"/>
              <w:rPr>
                <w:color w:val="000000" w:themeColor="text1"/>
                <w:sz w:val="22"/>
              </w:rPr>
            </w:pPr>
            <w:r w:rsidRPr="007115F2">
              <w:rPr>
                <w:color w:val="000000" w:themeColor="text1"/>
                <w:sz w:val="22"/>
              </w:rPr>
              <w:t>ExplorationAlliance_Indicator</w:t>
            </w:r>
          </w:p>
        </w:tc>
        <w:tc>
          <w:tcPr>
            <w:tcW w:w="652" w:type="dxa"/>
            <w:vAlign w:val="center"/>
          </w:tcPr>
          <w:p w14:paraId="760A1918"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-0.02</w:t>
            </w:r>
          </w:p>
        </w:tc>
        <w:tc>
          <w:tcPr>
            <w:tcW w:w="652" w:type="dxa"/>
            <w:vAlign w:val="center"/>
          </w:tcPr>
          <w:p w14:paraId="7C71B1AA"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0.05</w:t>
            </w:r>
          </w:p>
        </w:tc>
        <w:tc>
          <w:tcPr>
            <w:tcW w:w="654" w:type="dxa"/>
            <w:vAlign w:val="center"/>
          </w:tcPr>
          <w:p w14:paraId="30B9C204"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-0.19</w:t>
            </w:r>
          </w:p>
        </w:tc>
        <w:tc>
          <w:tcPr>
            <w:tcW w:w="653" w:type="dxa"/>
            <w:vAlign w:val="center"/>
          </w:tcPr>
          <w:p w14:paraId="6154E5A6"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-0.04</w:t>
            </w:r>
          </w:p>
        </w:tc>
        <w:tc>
          <w:tcPr>
            <w:tcW w:w="653" w:type="dxa"/>
            <w:vAlign w:val="center"/>
          </w:tcPr>
          <w:p w14:paraId="10FAF51D"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0.09</w:t>
            </w:r>
          </w:p>
        </w:tc>
        <w:tc>
          <w:tcPr>
            <w:tcW w:w="654" w:type="dxa"/>
            <w:vAlign w:val="center"/>
          </w:tcPr>
          <w:p w14:paraId="069A0AEB"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1</w:t>
            </w:r>
          </w:p>
        </w:tc>
        <w:tc>
          <w:tcPr>
            <w:tcW w:w="653" w:type="dxa"/>
            <w:vAlign w:val="center"/>
          </w:tcPr>
          <w:p w14:paraId="5EA18162"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74ED664A"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4" w:type="dxa"/>
            <w:vAlign w:val="center"/>
          </w:tcPr>
          <w:p w14:paraId="527A0EFB"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2F9D94D1"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4B62E367"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4" w:type="dxa"/>
            <w:vAlign w:val="center"/>
          </w:tcPr>
          <w:p w14:paraId="2BBAB937"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356041CE"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4" w:type="dxa"/>
            <w:vAlign w:val="center"/>
          </w:tcPr>
          <w:p w14:paraId="48C958F9"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r>
      <w:tr w:rsidR="007115F2" w:rsidRPr="007115F2" w14:paraId="7ED81FEE" w14:textId="77777777" w:rsidTr="00D137E4">
        <w:trPr>
          <w:trHeight w:val="238"/>
          <w:jc w:val="center"/>
        </w:trPr>
        <w:tc>
          <w:tcPr>
            <w:tcW w:w="818" w:type="dxa"/>
            <w:vAlign w:val="center"/>
          </w:tcPr>
          <w:p w14:paraId="6156BDE5" w14:textId="77777777" w:rsidR="00A7726F" w:rsidRPr="007115F2" w:rsidRDefault="00A7726F" w:rsidP="00D137E4">
            <w:pPr>
              <w:widowControl w:val="0"/>
              <w:autoSpaceDE w:val="0"/>
              <w:autoSpaceDN w:val="0"/>
              <w:adjustRightInd w:val="0"/>
              <w:spacing w:line="240" w:lineRule="auto"/>
              <w:jc w:val="left"/>
              <w:rPr>
                <w:color w:val="000000" w:themeColor="text1"/>
                <w:sz w:val="22"/>
              </w:rPr>
            </w:pPr>
            <w:r w:rsidRPr="007115F2">
              <w:rPr>
                <w:color w:val="000000" w:themeColor="text1"/>
                <w:sz w:val="22"/>
              </w:rPr>
              <w:t>21.</w:t>
            </w:r>
          </w:p>
        </w:tc>
        <w:tc>
          <w:tcPr>
            <w:tcW w:w="4212" w:type="dxa"/>
            <w:vAlign w:val="center"/>
          </w:tcPr>
          <w:p w14:paraId="57BFD8F9" w14:textId="77777777" w:rsidR="00A7726F" w:rsidRPr="007115F2" w:rsidRDefault="00A7726F" w:rsidP="006F4762">
            <w:pPr>
              <w:widowControl w:val="0"/>
              <w:autoSpaceDE w:val="0"/>
              <w:autoSpaceDN w:val="0"/>
              <w:adjustRightInd w:val="0"/>
              <w:spacing w:line="240" w:lineRule="auto"/>
              <w:jc w:val="left"/>
              <w:rPr>
                <w:color w:val="000000" w:themeColor="text1"/>
                <w:sz w:val="22"/>
              </w:rPr>
            </w:pPr>
            <w:r w:rsidRPr="007115F2">
              <w:rPr>
                <w:color w:val="000000" w:themeColor="text1"/>
                <w:sz w:val="22"/>
              </w:rPr>
              <w:t>InternationalAlliance_Indicator</w:t>
            </w:r>
          </w:p>
        </w:tc>
        <w:tc>
          <w:tcPr>
            <w:tcW w:w="652" w:type="dxa"/>
            <w:vAlign w:val="center"/>
          </w:tcPr>
          <w:p w14:paraId="0CA29FE1"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-0.03</w:t>
            </w:r>
          </w:p>
        </w:tc>
        <w:tc>
          <w:tcPr>
            <w:tcW w:w="652" w:type="dxa"/>
            <w:vAlign w:val="center"/>
          </w:tcPr>
          <w:p w14:paraId="55DC3B40"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-0.05</w:t>
            </w:r>
          </w:p>
        </w:tc>
        <w:tc>
          <w:tcPr>
            <w:tcW w:w="654" w:type="dxa"/>
            <w:vAlign w:val="center"/>
          </w:tcPr>
          <w:p w14:paraId="7CD9EF25"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0.14</w:t>
            </w:r>
          </w:p>
        </w:tc>
        <w:tc>
          <w:tcPr>
            <w:tcW w:w="653" w:type="dxa"/>
            <w:vAlign w:val="center"/>
          </w:tcPr>
          <w:p w14:paraId="4FB86A08"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0.02</w:t>
            </w:r>
          </w:p>
        </w:tc>
        <w:tc>
          <w:tcPr>
            <w:tcW w:w="653" w:type="dxa"/>
            <w:vAlign w:val="center"/>
          </w:tcPr>
          <w:p w14:paraId="70C89E07"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-0.02</w:t>
            </w:r>
          </w:p>
        </w:tc>
        <w:tc>
          <w:tcPr>
            <w:tcW w:w="654" w:type="dxa"/>
            <w:vAlign w:val="center"/>
          </w:tcPr>
          <w:p w14:paraId="5B636CAD"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-0.03</w:t>
            </w:r>
          </w:p>
        </w:tc>
        <w:tc>
          <w:tcPr>
            <w:tcW w:w="653" w:type="dxa"/>
            <w:vAlign w:val="center"/>
          </w:tcPr>
          <w:p w14:paraId="104D05B0"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1</w:t>
            </w:r>
          </w:p>
        </w:tc>
        <w:tc>
          <w:tcPr>
            <w:tcW w:w="653" w:type="dxa"/>
            <w:vAlign w:val="center"/>
          </w:tcPr>
          <w:p w14:paraId="75DFE66F"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4" w:type="dxa"/>
            <w:vAlign w:val="center"/>
          </w:tcPr>
          <w:p w14:paraId="299824B1"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4CC45139"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226CD705"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4" w:type="dxa"/>
            <w:vAlign w:val="center"/>
          </w:tcPr>
          <w:p w14:paraId="44819017"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3981A1D1"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4" w:type="dxa"/>
            <w:vAlign w:val="center"/>
          </w:tcPr>
          <w:p w14:paraId="3D299223"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r>
      <w:tr w:rsidR="007115F2" w:rsidRPr="007115F2" w14:paraId="6814C13A" w14:textId="77777777" w:rsidTr="00D137E4">
        <w:trPr>
          <w:trHeight w:val="238"/>
          <w:jc w:val="center"/>
        </w:trPr>
        <w:tc>
          <w:tcPr>
            <w:tcW w:w="818" w:type="dxa"/>
            <w:vAlign w:val="center"/>
          </w:tcPr>
          <w:p w14:paraId="444DD7C9" w14:textId="77777777" w:rsidR="00A7726F" w:rsidRPr="007115F2" w:rsidRDefault="00A7726F" w:rsidP="00D137E4">
            <w:pPr>
              <w:widowControl w:val="0"/>
              <w:autoSpaceDE w:val="0"/>
              <w:autoSpaceDN w:val="0"/>
              <w:adjustRightInd w:val="0"/>
              <w:spacing w:line="240" w:lineRule="auto"/>
              <w:jc w:val="left"/>
              <w:rPr>
                <w:color w:val="000000" w:themeColor="text1"/>
                <w:sz w:val="22"/>
              </w:rPr>
            </w:pPr>
            <w:r w:rsidRPr="007115F2">
              <w:rPr>
                <w:color w:val="000000" w:themeColor="text1"/>
                <w:sz w:val="22"/>
              </w:rPr>
              <w:t>22.</w:t>
            </w:r>
          </w:p>
        </w:tc>
        <w:tc>
          <w:tcPr>
            <w:tcW w:w="4212" w:type="dxa"/>
            <w:vAlign w:val="center"/>
          </w:tcPr>
          <w:p w14:paraId="795C0A44" w14:textId="77777777" w:rsidR="00A7726F" w:rsidRPr="007115F2" w:rsidRDefault="00A7726F" w:rsidP="006F4762">
            <w:pPr>
              <w:widowControl w:val="0"/>
              <w:autoSpaceDE w:val="0"/>
              <w:autoSpaceDN w:val="0"/>
              <w:adjustRightInd w:val="0"/>
              <w:spacing w:line="240" w:lineRule="auto"/>
              <w:jc w:val="left"/>
              <w:rPr>
                <w:color w:val="000000" w:themeColor="text1"/>
                <w:sz w:val="22"/>
              </w:rPr>
            </w:pPr>
            <w:r w:rsidRPr="007115F2">
              <w:rPr>
                <w:color w:val="000000" w:themeColor="text1"/>
                <w:sz w:val="22"/>
              </w:rPr>
              <w:t>HorizontalAlliance_Indicator</w:t>
            </w:r>
          </w:p>
        </w:tc>
        <w:tc>
          <w:tcPr>
            <w:tcW w:w="652" w:type="dxa"/>
            <w:vAlign w:val="center"/>
          </w:tcPr>
          <w:p w14:paraId="440A5DB2"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0.07</w:t>
            </w:r>
          </w:p>
        </w:tc>
        <w:tc>
          <w:tcPr>
            <w:tcW w:w="652" w:type="dxa"/>
            <w:vAlign w:val="center"/>
          </w:tcPr>
          <w:p w14:paraId="5CB949BB"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-0.11</w:t>
            </w:r>
          </w:p>
        </w:tc>
        <w:tc>
          <w:tcPr>
            <w:tcW w:w="654" w:type="dxa"/>
            <w:vAlign w:val="center"/>
          </w:tcPr>
          <w:p w14:paraId="4B4E837E"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0.10</w:t>
            </w:r>
          </w:p>
        </w:tc>
        <w:tc>
          <w:tcPr>
            <w:tcW w:w="653" w:type="dxa"/>
            <w:vAlign w:val="center"/>
          </w:tcPr>
          <w:p w14:paraId="1E175C95"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0.02</w:t>
            </w:r>
          </w:p>
        </w:tc>
        <w:tc>
          <w:tcPr>
            <w:tcW w:w="653" w:type="dxa"/>
            <w:vAlign w:val="center"/>
          </w:tcPr>
          <w:p w14:paraId="01477183"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-0.12</w:t>
            </w:r>
          </w:p>
        </w:tc>
        <w:tc>
          <w:tcPr>
            <w:tcW w:w="654" w:type="dxa"/>
            <w:vAlign w:val="center"/>
          </w:tcPr>
          <w:p w14:paraId="2CDA569A"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-0.05</w:t>
            </w:r>
          </w:p>
        </w:tc>
        <w:tc>
          <w:tcPr>
            <w:tcW w:w="653" w:type="dxa"/>
            <w:vAlign w:val="center"/>
          </w:tcPr>
          <w:p w14:paraId="4F392BA3"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0.04</w:t>
            </w:r>
          </w:p>
        </w:tc>
        <w:tc>
          <w:tcPr>
            <w:tcW w:w="653" w:type="dxa"/>
            <w:vAlign w:val="center"/>
          </w:tcPr>
          <w:p w14:paraId="5F4BDB73"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1</w:t>
            </w:r>
          </w:p>
        </w:tc>
        <w:tc>
          <w:tcPr>
            <w:tcW w:w="654" w:type="dxa"/>
            <w:vAlign w:val="center"/>
          </w:tcPr>
          <w:p w14:paraId="7C2EBB04"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27C98C67"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7A1C204F"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4" w:type="dxa"/>
            <w:vAlign w:val="center"/>
          </w:tcPr>
          <w:p w14:paraId="24106F30"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25863AEA"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4" w:type="dxa"/>
            <w:vAlign w:val="center"/>
          </w:tcPr>
          <w:p w14:paraId="298ED882"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r>
      <w:tr w:rsidR="007115F2" w:rsidRPr="007115F2" w14:paraId="77C7B85F" w14:textId="77777777" w:rsidTr="00D137E4">
        <w:trPr>
          <w:trHeight w:val="238"/>
          <w:jc w:val="center"/>
        </w:trPr>
        <w:tc>
          <w:tcPr>
            <w:tcW w:w="818" w:type="dxa"/>
            <w:vAlign w:val="center"/>
          </w:tcPr>
          <w:p w14:paraId="7F45AB47" w14:textId="77777777" w:rsidR="00A7726F" w:rsidRPr="007115F2" w:rsidRDefault="00A7726F" w:rsidP="00D137E4">
            <w:pPr>
              <w:widowControl w:val="0"/>
              <w:autoSpaceDE w:val="0"/>
              <w:autoSpaceDN w:val="0"/>
              <w:adjustRightInd w:val="0"/>
              <w:spacing w:line="240" w:lineRule="auto"/>
              <w:jc w:val="left"/>
              <w:rPr>
                <w:color w:val="000000" w:themeColor="text1"/>
                <w:sz w:val="22"/>
              </w:rPr>
            </w:pPr>
            <w:r w:rsidRPr="007115F2">
              <w:rPr>
                <w:color w:val="000000" w:themeColor="text1"/>
                <w:sz w:val="22"/>
              </w:rPr>
              <w:t>23.</w:t>
            </w:r>
          </w:p>
        </w:tc>
        <w:tc>
          <w:tcPr>
            <w:tcW w:w="4212" w:type="dxa"/>
            <w:vAlign w:val="center"/>
          </w:tcPr>
          <w:p w14:paraId="2EC8C180" w14:textId="77777777" w:rsidR="00A7726F" w:rsidRPr="007115F2" w:rsidRDefault="00A7726F" w:rsidP="006F4762">
            <w:pPr>
              <w:widowControl w:val="0"/>
              <w:autoSpaceDE w:val="0"/>
              <w:autoSpaceDN w:val="0"/>
              <w:adjustRightInd w:val="0"/>
              <w:spacing w:line="240" w:lineRule="auto"/>
              <w:jc w:val="left"/>
              <w:rPr>
                <w:color w:val="000000" w:themeColor="text1"/>
                <w:sz w:val="22"/>
              </w:rPr>
            </w:pPr>
            <w:r w:rsidRPr="007115F2">
              <w:rPr>
                <w:color w:val="000000" w:themeColor="text1"/>
                <w:sz w:val="22"/>
              </w:rPr>
              <w:t>Industry_RelatedScope</w:t>
            </w:r>
          </w:p>
        </w:tc>
        <w:tc>
          <w:tcPr>
            <w:tcW w:w="652" w:type="dxa"/>
            <w:vAlign w:val="center"/>
          </w:tcPr>
          <w:p w14:paraId="7EA1C0AE"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-0.02</w:t>
            </w:r>
          </w:p>
        </w:tc>
        <w:tc>
          <w:tcPr>
            <w:tcW w:w="652" w:type="dxa"/>
            <w:vAlign w:val="center"/>
          </w:tcPr>
          <w:p w14:paraId="1E69CAA6"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0.15</w:t>
            </w:r>
          </w:p>
        </w:tc>
        <w:tc>
          <w:tcPr>
            <w:tcW w:w="654" w:type="dxa"/>
            <w:vAlign w:val="center"/>
          </w:tcPr>
          <w:p w14:paraId="5B900A76"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0.11</w:t>
            </w:r>
          </w:p>
        </w:tc>
        <w:tc>
          <w:tcPr>
            <w:tcW w:w="653" w:type="dxa"/>
            <w:vAlign w:val="center"/>
          </w:tcPr>
          <w:p w14:paraId="3FEE27A2"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-0.02</w:t>
            </w:r>
          </w:p>
        </w:tc>
        <w:tc>
          <w:tcPr>
            <w:tcW w:w="653" w:type="dxa"/>
            <w:vAlign w:val="center"/>
          </w:tcPr>
          <w:p w14:paraId="2E7358BB"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0.02</w:t>
            </w:r>
          </w:p>
        </w:tc>
        <w:tc>
          <w:tcPr>
            <w:tcW w:w="654" w:type="dxa"/>
            <w:vAlign w:val="center"/>
          </w:tcPr>
          <w:p w14:paraId="1A1FC079"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-0.01</w:t>
            </w:r>
          </w:p>
        </w:tc>
        <w:tc>
          <w:tcPr>
            <w:tcW w:w="653" w:type="dxa"/>
            <w:vAlign w:val="center"/>
          </w:tcPr>
          <w:p w14:paraId="4F27A0D2"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0.12</w:t>
            </w:r>
          </w:p>
        </w:tc>
        <w:tc>
          <w:tcPr>
            <w:tcW w:w="653" w:type="dxa"/>
            <w:vAlign w:val="center"/>
          </w:tcPr>
          <w:p w14:paraId="3E518157"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-0.28</w:t>
            </w:r>
          </w:p>
        </w:tc>
        <w:tc>
          <w:tcPr>
            <w:tcW w:w="654" w:type="dxa"/>
            <w:vAlign w:val="center"/>
          </w:tcPr>
          <w:p w14:paraId="57DBB368"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1</w:t>
            </w:r>
          </w:p>
        </w:tc>
        <w:tc>
          <w:tcPr>
            <w:tcW w:w="653" w:type="dxa"/>
            <w:vAlign w:val="center"/>
          </w:tcPr>
          <w:p w14:paraId="227E7D97"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69A4D767"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4" w:type="dxa"/>
            <w:vAlign w:val="center"/>
          </w:tcPr>
          <w:p w14:paraId="73E88A8B"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3B17E790"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4" w:type="dxa"/>
            <w:vAlign w:val="center"/>
          </w:tcPr>
          <w:p w14:paraId="1F1B5CE6"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r>
      <w:tr w:rsidR="007115F2" w:rsidRPr="007115F2" w14:paraId="6B236F51" w14:textId="77777777" w:rsidTr="00D137E4">
        <w:trPr>
          <w:trHeight w:val="238"/>
          <w:jc w:val="center"/>
        </w:trPr>
        <w:tc>
          <w:tcPr>
            <w:tcW w:w="818" w:type="dxa"/>
            <w:vAlign w:val="center"/>
          </w:tcPr>
          <w:p w14:paraId="43F90607" w14:textId="77777777" w:rsidR="00A7726F" w:rsidRPr="007115F2" w:rsidRDefault="00A7726F" w:rsidP="00D137E4">
            <w:pPr>
              <w:widowControl w:val="0"/>
              <w:autoSpaceDE w:val="0"/>
              <w:autoSpaceDN w:val="0"/>
              <w:adjustRightInd w:val="0"/>
              <w:spacing w:line="240" w:lineRule="auto"/>
              <w:jc w:val="left"/>
              <w:rPr>
                <w:color w:val="000000" w:themeColor="text1"/>
                <w:sz w:val="22"/>
              </w:rPr>
            </w:pPr>
            <w:r w:rsidRPr="007115F2">
              <w:rPr>
                <w:color w:val="000000" w:themeColor="text1"/>
                <w:sz w:val="22"/>
              </w:rPr>
              <w:t>24.</w:t>
            </w:r>
          </w:p>
        </w:tc>
        <w:tc>
          <w:tcPr>
            <w:tcW w:w="4212" w:type="dxa"/>
            <w:vAlign w:val="center"/>
          </w:tcPr>
          <w:p w14:paraId="43691B93" w14:textId="77777777" w:rsidR="00A7726F" w:rsidRPr="007115F2" w:rsidRDefault="00A7726F" w:rsidP="006F4762">
            <w:pPr>
              <w:widowControl w:val="0"/>
              <w:autoSpaceDE w:val="0"/>
              <w:autoSpaceDN w:val="0"/>
              <w:adjustRightInd w:val="0"/>
              <w:spacing w:line="240" w:lineRule="auto"/>
              <w:jc w:val="left"/>
              <w:rPr>
                <w:color w:val="000000" w:themeColor="text1"/>
                <w:sz w:val="22"/>
              </w:rPr>
            </w:pPr>
            <w:r w:rsidRPr="007115F2">
              <w:rPr>
                <w:color w:val="000000" w:themeColor="text1"/>
                <w:sz w:val="22"/>
              </w:rPr>
              <w:t>Industry_Complementarity</w:t>
            </w:r>
          </w:p>
        </w:tc>
        <w:tc>
          <w:tcPr>
            <w:tcW w:w="652" w:type="dxa"/>
            <w:vAlign w:val="center"/>
          </w:tcPr>
          <w:p w14:paraId="1237E41B"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-0.03</w:t>
            </w:r>
          </w:p>
        </w:tc>
        <w:tc>
          <w:tcPr>
            <w:tcW w:w="652" w:type="dxa"/>
            <w:vAlign w:val="center"/>
          </w:tcPr>
          <w:p w14:paraId="0536AC3D"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0.11</w:t>
            </w:r>
          </w:p>
        </w:tc>
        <w:tc>
          <w:tcPr>
            <w:tcW w:w="654" w:type="dxa"/>
            <w:vAlign w:val="center"/>
          </w:tcPr>
          <w:p w14:paraId="1D7A5E21"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-0.12</w:t>
            </w:r>
          </w:p>
        </w:tc>
        <w:tc>
          <w:tcPr>
            <w:tcW w:w="653" w:type="dxa"/>
            <w:vAlign w:val="center"/>
          </w:tcPr>
          <w:p w14:paraId="7A79D3C7"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-0.04</w:t>
            </w:r>
          </w:p>
        </w:tc>
        <w:tc>
          <w:tcPr>
            <w:tcW w:w="653" w:type="dxa"/>
            <w:vAlign w:val="center"/>
          </w:tcPr>
          <w:p w14:paraId="2EBE778C"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0.08</w:t>
            </w:r>
          </w:p>
        </w:tc>
        <w:tc>
          <w:tcPr>
            <w:tcW w:w="654" w:type="dxa"/>
            <w:vAlign w:val="center"/>
          </w:tcPr>
          <w:p w14:paraId="5BFD123F"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0.12</w:t>
            </w:r>
          </w:p>
        </w:tc>
        <w:tc>
          <w:tcPr>
            <w:tcW w:w="653" w:type="dxa"/>
            <w:vAlign w:val="center"/>
          </w:tcPr>
          <w:p w14:paraId="16B1D34E"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-0.04</w:t>
            </w:r>
          </w:p>
        </w:tc>
        <w:tc>
          <w:tcPr>
            <w:tcW w:w="653" w:type="dxa"/>
            <w:vAlign w:val="center"/>
          </w:tcPr>
          <w:p w14:paraId="3F0417B3"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-0.44</w:t>
            </w:r>
          </w:p>
        </w:tc>
        <w:tc>
          <w:tcPr>
            <w:tcW w:w="654" w:type="dxa"/>
            <w:vAlign w:val="center"/>
          </w:tcPr>
          <w:p w14:paraId="1B0E08FE"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0.37</w:t>
            </w:r>
          </w:p>
        </w:tc>
        <w:tc>
          <w:tcPr>
            <w:tcW w:w="653" w:type="dxa"/>
            <w:vAlign w:val="center"/>
          </w:tcPr>
          <w:p w14:paraId="047BBF62"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1</w:t>
            </w:r>
          </w:p>
        </w:tc>
        <w:tc>
          <w:tcPr>
            <w:tcW w:w="653" w:type="dxa"/>
            <w:vAlign w:val="center"/>
          </w:tcPr>
          <w:p w14:paraId="1A69D48B"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4" w:type="dxa"/>
            <w:vAlign w:val="center"/>
          </w:tcPr>
          <w:p w14:paraId="690B85FA"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7A1FAB79"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4" w:type="dxa"/>
            <w:vAlign w:val="center"/>
          </w:tcPr>
          <w:p w14:paraId="2C023120"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r>
      <w:tr w:rsidR="007115F2" w:rsidRPr="007115F2" w14:paraId="1BBEC084" w14:textId="77777777" w:rsidTr="00D137E4">
        <w:trPr>
          <w:trHeight w:val="238"/>
          <w:jc w:val="center"/>
        </w:trPr>
        <w:tc>
          <w:tcPr>
            <w:tcW w:w="818" w:type="dxa"/>
            <w:vAlign w:val="center"/>
          </w:tcPr>
          <w:p w14:paraId="49725655" w14:textId="77777777" w:rsidR="00A7726F" w:rsidRPr="007115F2" w:rsidRDefault="00A7726F" w:rsidP="00D137E4">
            <w:pPr>
              <w:widowControl w:val="0"/>
              <w:autoSpaceDE w:val="0"/>
              <w:autoSpaceDN w:val="0"/>
              <w:adjustRightInd w:val="0"/>
              <w:spacing w:line="240" w:lineRule="auto"/>
              <w:jc w:val="left"/>
              <w:rPr>
                <w:color w:val="000000" w:themeColor="text1"/>
                <w:sz w:val="22"/>
              </w:rPr>
            </w:pPr>
            <w:r w:rsidRPr="007115F2">
              <w:rPr>
                <w:color w:val="000000" w:themeColor="text1"/>
                <w:sz w:val="22"/>
              </w:rPr>
              <w:t>25.</w:t>
            </w:r>
          </w:p>
        </w:tc>
        <w:tc>
          <w:tcPr>
            <w:tcW w:w="4212" w:type="dxa"/>
            <w:vAlign w:val="center"/>
          </w:tcPr>
          <w:p w14:paraId="4266E7E6" w14:textId="77777777" w:rsidR="00A7726F" w:rsidRPr="007115F2" w:rsidRDefault="00A7726F" w:rsidP="006F4762">
            <w:pPr>
              <w:widowControl w:val="0"/>
              <w:autoSpaceDE w:val="0"/>
              <w:autoSpaceDN w:val="0"/>
              <w:adjustRightInd w:val="0"/>
              <w:spacing w:line="240" w:lineRule="auto"/>
              <w:jc w:val="left"/>
              <w:rPr>
                <w:color w:val="000000" w:themeColor="text1"/>
                <w:sz w:val="22"/>
              </w:rPr>
            </w:pPr>
            <w:r w:rsidRPr="007115F2">
              <w:rPr>
                <w:color w:val="000000" w:themeColor="text1"/>
                <w:sz w:val="22"/>
              </w:rPr>
              <w:t>Industry_Growth</w:t>
            </w:r>
          </w:p>
        </w:tc>
        <w:tc>
          <w:tcPr>
            <w:tcW w:w="652" w:type="dxa"/>
            <w:vAlign w:val="center"/>
          </w:tcPr>
          <w:p w14:paraId="6BA5BF55"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0.06</w:t>
            </w:r>
          </w:p>
        </w:tc>
        <w:tc>
          <w:tcPr>
            <w:tcW w:w="652" w:type="dxa"/>
            <w:vAlign w:val="center"/>
          </w:tcPr>
          <w:p w14:paraId="50AA173D"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-0.14</w:t>
            </w:r>
          </w:p>
        </w:tc>
        <w:tc>
          <w:tcPr>
            <w:tcW w:w="654" w:type="dxa"/>
            <w:vAlign w:val="center"/>
          </w:tcPr>
          <w:p w14:paraId="284A66A3"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-0.09</w:t>
            </w:r>
          </w:p>
        </w:tc>
        <w:tc>
          <w:tcPr>
            <w:tcW w:w="653" w:type="dxa"/>
            <w:vAlign w:val="center"/>
          </w:tcPr>
          <w:p w14:paraId="49504F22"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0.01</w:t>
            </w:r>
          </w:p>
        </w:tc>
        <w:tc>
          <w:tcPr>
            <w:tcW w:w="653" w:type="dxa"/>
            <w:vAlign w:val="center"/>
          </w:tcPr>
          <w:p w14:paraId="28F8B5FA"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-0.07</w:t>
            </w:r>
          </w:p>
        </w:tc>
        <w:tc>
          <w:tcPr>
            <w:tcW w:w="654" w:type="dxa"/>
            <w:vAlign w:val="center"/>
          </w:tcPr>
          <w:p w14:paraId="6869FD80"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0.09</w:t>
            </w:r>
          </w:p>
        </w:tc>
        <w:tc>
          <w:tcPr>
            <w:tcW w:w="653" w:type="dxa"/>
            <w:vAlign w:val="center"/>
          </w:tcPr>
          <w:p w14:paraId="452F14DB"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-0.10</w:t>
            </w:r>
          </w:p>
        </w:tc>
        <w:tc>
          <w:tcPr>
            <w:tcW w:w="653" w:type="dxa"/>
            <w:vAlign w:val="center"/>
          </w:tcPr>
          <w:p w14:paraId="3A3FEAFA"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0.07</w:t>
            </w:r>
          </w:p>
        </w:tc>
        <w:tc>
          <w:tcPr>
            <w:tcW w:w="654" w:type="dxa"/>
            <w:vAlign w:val="center"/>
          </w:tcPr>
          <w:p w14:paraId="4126555B"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-0.26</w:t>
            </w:r>
          </w:p>
        </w:tc>
        <w:tc>
          <w:tcPr>
            <w:tcW w:w="653" w:type="dxa"/>
            <w:vAlign w:val="center"/>
          </w:tcPr>
          <w:p w14:paraId="76A56A68"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-0.05</w:t>
            </w:r>
          </w:p>
        </w:tc>
        <w:tc>
          <w:tcPr>
            <w:tcW w:w="653" w:type="dxa"/>
            <w:vAlign w:val="center"/>
          </w:tcPr>
          <w:p w14:paraId="42F01CA1"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1</w:t>
            </w:r>
          </w:p>
        </w:tc>
        <w:tc>
          <w:tcPr>
            <w:tcW w:w="654" w:type="dxa"/>
            <w:vAlign w:val="center"/>
          </w:tcPr>
          <w:p w14:paraId="10872847"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3" w:type="dxa"/>
            <w:vAlign w:val="center"/>
          </w:tcPr>
          <w:p w14:paraId="2C20F2D4"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4" w:type="dxa"/>
            <w:vAlign w:val="center"/>
          </w:tcPr>
          <w:p w14:paraId="071069FD"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r>
      <w:tr w:rsidR="007115F2" w:rsidRPr="007115F2" w14:paraId="4B5D8F51" w14:textId="77777777" w:rsidTr="00D137E4">
        <w:trPr>
          <w:trHeight w:val="238"/>
          <w:jc w:val="center"/>
        </w:trPr>
        <w:tc>
          <w:tcPr>
            <w:tcW w:w="818" w:type="dxa"/>
            <w:vAlign w:val="center"/>
          </w:tcPr>
          <w:p w14:paraId="7FEC44DE" w14:textId="77777777" w:rsidR="00A7726F" w:rsidRPr="007115F2" w:rsidRDefault="00A7726F" w:rsidP="00D137E4">
            <w:pPr>
              <w:widowControl w:val="0"/>
              <w:autoSpaceDE w:val="0"/>
              <w:autoSpaceDN w:val="0"/>
              <w:adjustRightInd w:val="0"/>
              <w:spacing w:line="240" w:lineRule="auto"/>
              <w:jc w:val="left"/>
              <w:rPr>
                <w:color w:val="000000" w:themeColor="text1"/>
                <w:sz w:val="22"/>
              </w:rPr>
            </w:pPr>
            <w:r w:rsidRPr="007115F2">
              <w:rPr>
                <w:color w:val="000000" w:themeColor="text1"/>
                <w:sz w:val="22"/>
              </w:rPr>
              <w:t>26.</w:t>
            </w:r>
          </w:p>
        </w:tc>
        <w:tc>
          <w:tcPr>
            <w:tcW w:w="4212" w:type="dxa"/>
            <w:vAlign w:val="center"/>
          </w:tcPr>
          <w:p w14:paraId="261AEC57" w14:textId="77777777" w:rsidR="00A7726F" w:rsidRPr="007115F2" w:rsidRDefault="00A7726F" w:rsidP="006F4762">
            <w:pPr>
              <w:widowControl w:val="0"/>
              <w:autoSpaceDE w:val="0"/>
              <w:autoSpaceDN w:val="0"/>
              <w:adjustRightInd w:val="0"/>
              <w:spacing w:line="240" w:lineRule="auto"/>
              <w:jc w:val="left"/>
              <w:rPr>
                <w:color w:val="000000" w:themeColor="text1"/>
                <w:sz w:val="22"/>
              </w:rPr>
            </w:pPr>
            <w:r w:rsidRPr="007115F2">
              <w:rPr>
                <w:color w:val="000000" w:themeColor="text1"/>
                <w:sz w:val="22"/>
              </w:rPr>
              <w:t>Relative_CEODuality</w:t>
            </w:r>
          </w:p>
        </w:tc>
        <w:tc>
          <w:tcPr>
            <w:tcW w:w="652" w:type="dxa"/>
            <w:vAlign w:val="center"/>
          </w:tcPr>
          <w:p w14:paraId="68A6D0BD"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0.03</w:t>
            </w:r>
          </w:p>
        </w:tc>
        <w:tc>
          <w:tcPr>
            <w:tcW w:w="652" w:type="dxa"/>
            <w:vAlign w:val="center"/>
          </w:tcPr>
          <w:p w14:paraId="62A2D4B3"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0.15</w:t>
            </w:r>
          </w:p>
        </w:tc>
        <w:tc>
          <w:tcPr>
            <w:tcW w:w="654" w:type="dxa"/>
            <w:vAlign w:val="center"/>
          </w:tcPr>
          <w:p w14:paraId="1BC6C267"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-0.08</w:t>
            </w:r>
          </w:p>
        </w:tc>
        <w:tc>
          <w:tcPr>
            <w:tcW w:w="653" w:type="dxa"/>
            <w:vAlign w:val="center"/>
          </w:tcPr>
          <w:p w14:paraId="331CA80F"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-0.01</w:t>
            </w:r>
          </w:p>
        </w:tc>
        <w:tc>
          <w:tcPr>
            <w:tcW w:w="653" w:type="dxa"/>
            <w:vAlign w:val="center"/>
          </w:tcPr>
          <w:p w14:paraId="6D681B97"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0.03</w:t>
            </w:r>
          </w:p>
        </w:tc>
        <w:tc>
          <w:tcPr>
            <w:tcW w:w="654" w:type="dxa"/>
            <w:vAlign w:val="center"/>
          </w:tcPr>
          <w:p w14:paraId="4DF76F62"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0.07</w:t>
            </w:r>
          </w:p>
        </w:tc>
        <w:tc>
          <w:tcPr>
            <w:tcW w:w="653" w:type="dxa"/>
            <w:vAlign w:val="center"/>
          </w:tcPr>
          <w:p w14:paraId="2878E270"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-0.07</w:t>
            </w:r>
          </w:p>
        </w:tc>
        <w:tc>
          <w:tcPr>
            <w:tcW w:w="653" w:type="dxa"/>
            <w:vAlign w:val="center"/>
          </w:tcPr>
          <w:p w14:paraId="4093A260"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-0.08</w:t>
            </w:r>
          </w:p>
        </w:tc>
        <w:tc>
          <w:tcPr>
            <w:tcW w:w="654" w:type="dxa"/>
            <w:vAlign w:val="center"/>
          </w:tcPr>
          <w:p w14:paraId="7AC925D9"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0.15</w:t>
            </w:r>
          </w:p>
        </w:tc>
        <w:tc>
          <w:tcPr>
            <w:tcW w:w="653" w:type="dxa"/>
            <w:vAlign w:val="center"/>
          </w:tcPr>
          <w:p w14:paraId="11BDE208"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0.14</w:t>
            </w:r>
          </w:p>
        </w:tc>
        <w:tc>
          <w:tcPr>
            <w:tcW w:w="653" w:type="dxa"/>
            <w:vAlign w:val="center"/>
          </w:tcPr>
          <w:p w14:paraId="3C950B79"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0.03</w:t>
            </w:r>
          </w:p>
        </w:tc>
        <w:tc>
          <w:tcPr>
            <w:tcW w:w="654" w:type="dxa"/>
            <w:vAlign w:val="center"/>
          </w:tcPr>
          <w:p w14:paraId="3CE5EE22"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1</w:t>
            </w:r>
          </w:p>
        </w:tc>
        <w:tc>
          <w:tcPr>
            <w:tcW w:w="653" w:type="dxa"/>
            <w:vAlign w:val="center"/>
          </w:tcPr>
          <w:p w14:paraId="5BED6BA3"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c>
          <w:tcPr>
            <w:tcW w:w="654" w:type="dxa"/>
            <w:vAlign w:val="center"/>
          </w:tcPr>
          <w:p w14:paraId="3E472B86"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r>
      <w:tr w:rsidR="007115F2" w:rsidRPr="007115F2" w14:paraId="7B2C22B7" w14:textId="77777777" w:rsidTr="00D137E4">
        <w:trPr>
          <w:trHeight w:val="238"/>
          <w:jc w:val="center"/>
        </w:trPr>
        <w:tc>
          <w:tcPr>
            <w:tcW w:w="818" w:type="dxa"/>
            <w:vAlign w:val="center"/>
          </w:tcPr>
          <w:p w14:paraId="5F4FF5E2" w14:textId="77777777" w:rsidR="00A7726F" w:rsidRPr="007115F2" w:rsidRDefault="00A7726F" w:rsidP="00D137E4">
            <w:pPr>
              <w:widowControl w:val="0"/>
              <w:autoSpaceDE w:val="0"/>
              <w:autoSpaceDN w:val="0"/>
              <w:adjustRightInd w:val="0"/>
              <w:spacing w:line="240" w:lineRule="auto"/>
              <w:jc w:val="left"/>
              <w:rPr>
                <w:color w:val="000000" w:themeColor="text1"/>
                <w:sz w:val="22"/>
              </w:rPr>
            </w:pPr>
            <w:r w:rsidRPr="007115F2">
              <w:rPr>
                <w:color w:val="000000" w:themeColor="text1"/>
                <w:sz w:val="22"/>
              </w:rPr>
              <w:t>27.</w:t>
            </w:r>
          </w:p>
        </w:tc>
        <w:tc>
          <w:tcPr>
            <w:tcW w:w="4212" w:type="dxa"/>
            <w:vAlign w:val="center"/>
          </w:tcPr>
          <w:p w14:paraId="1998C8AE" w14:textId="77777777" w:rsidR="00A7726F" w:rsidRPr="007115F2" w:rsidRDefault="00A7726F" w:rsidP="006F4762">
            <w:pPr>
              <w:widowControl w:val="0"/>
              <w:autoSpaceDE w:val="0"/>
              <w:autoSpaceDN w:val="0"/>
              <w:adjustRightInd w:val="0"/>
              <w:spacing w:line="240" w:lineRule="auto"/>
              <w:jc w:val="left"/>
              <w:rPr>
                <w:color w:val="000000" w:themeColor="text1"/>
                <w:sz w:val="22"/>
              </w:rPr>
            </w:pPr>
            <w:r w:rsidRPr="007115F2">
              <w:rPr>
                <w:color w:val="000000" w:themeColor="text1"/>
                <w:sz w:val="22"/>
              </w:rPr>
              <w:t>Relative_AnalystCoverage</w:t>
            </w:r>
          </w:p>
        </w:tc>
        <w:tc>
          <w:tcPr>
            <w:tcW w:w="652" w:type="dxa"/>
            <w:vAlign w:val="center"/>
          </w:tcPr>
          <w:p w14:paraId="242B299B"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-0.04</w:t>
            </w:r>
          </w:p>
        </w:tc>
        <w:tc>
          <w:tcPr>
            <w:tcW w:w="652" w:type="dxa"/>
            <w:vAlign w:val="center"/>
          </w:tcPr>
          <w:p w14:paraId="26E7DF13"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0.06</w:t>
            </w:r>
          </w:p>
        </w:tc>
        <w:tc>
          <w:tcPr>
            <w:tcW w:w="654" w:type="dxa"/>
            <w:vAlign w:val="center"/>
          </w:tcPr>
          <w:p w14:paraId="2865A57C"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-0.07</w:t>
            </w:r>
          </w:p>
        </w:tc>
        <w:tc>
          <w:tcPr>
            <w:tcW w:w="653" w:type="dxa"/>
            <w:vAlign w:val="center"/>
          </w:tcPr>
          <w:p w14:paraId="5E8A47C2"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0.01</w:t>
            </w:r>
          </w:p>
        </w:tc>
        <w:tc>
          <w:tcPr>
            <w:tcW w:w="653" w:type="dxa"/>
            <w:vAlign w:val="center"/>
          </w:tcPr>
          <w:p w14:paraId="79EFC2C7"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0.01</w:t>
            </w:r>
          </w:p>
        </w:tc>
        <w:tc>
          <w:tcPr>
            <w:tcW w:w="654" w:type="dxa"/>
            <w:vAlign w:val="center"/>
          </w:tcPr>
          <w:p w14:paraId="7E103C4F"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0.05</w:t>
            </w:r>
          </w:p>
        </w:tc>
        <w:tc>
          <w:tcPr>
            <w:tcW w:w="653" w:type="dxa"/>
            <w:vAlign w:val="center"/>
          </w:tcPr>
          <w:p w14:paraId="4FE691D1"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-0.08</w:t>
            </w:r>
          </w:p>
        </w:tc>
        <w:tc>
          <w:tcPr>
            <w:tcW w:w="653" w:type="dxa"/>
            <w:vAlign w:val="center"/>
          </w:tcPr>
          <w:p w14:paraId="5B74E726"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-0.01</w:t>
            </w:r>
          </w:p>
        </w:tc>
        <w:tc>
          <w:tcPr>
            <w:tcW w:w="654" w:type="dxa"/>
            <w:vAlign w:val="center"/>
          </w:tcPr>
          <w:p w14:paraId="2ED4900C"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-0.06</w:t>
            </w:r>
          </w:p>
        </w:tc>
        <w:tc>
          <w:tcPr>
            <w:tcW w:w="653" w:type="dxa"/>
            <w:vAlign w:val="center"/>
          </w:tcPr>
          <w:p w14:paraId="2BA6DDC6"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0.04</w:t>
            </w:r>
          </w:p>
        </w:tc>
        <w:tc>
          <w:tcPr>
            <w:tcW w:w="653" w:type="dxa"/>
            <w:vAlign w:val="center"/>
          </w:tcPr>
          <w:p w14:paraId="3B96BE5C"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0.11</w:t>
            </w:r>
          </w:p>
        </w:tc>
        <w:tc>
          <w:tcPr>
            <w:tcW w:w="654" w:type="dxa"/>
            <w:vAlign w:val="center"/>
          </w:tcPr>
          <w:p w14:paraId="2111A990"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0.14</w:t>
            </w:r>
          </w:p>
        </w:tc>
        <w:tc>
          <w:tcPr>
            <w:tcW w:w="653" w:type="dxa"/>
            <w:vAlign w:val="center"/>
          </w:tcPr>
          <w:p w14:paraId="3DA2C07F"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1</w:t>
            </w:r>
          </w:p>
        </w:tc>
        <w:tc>
          <w:tcPr>
            <w:tcW w:w="654" w:type="dxa"/>
            <w:vAlign w:val="center"/>
          </w:tcPr>
          <w:p w14:paraId="27BF910B"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p>
        </w:tc>
      </w:tr>
      <w:tr w:rsidR="007115F2" w:rsidRPr="007115F2" w14:paraId="653158B9" w14:textId="77777777" w:rsidTr="00D137E4">
        <w:trPr>
          <w:trHeight w:val="238"/>
          <w:jc w:val="center"/>
        </w:trPr>
        <w:tc>
          <w:tcPr>
            <w:tcW w:w="818" w:type="dxa"/>
            <w:tcBorders>
              <w:bottom w:val="single" w:sz="4" w:space="0" w:color="auto"/>
            </w:tcBorders>
            <w:vAlign w:val="center"/>
          </w:tcPr>
          <w:p w14:paraId="673CD0DF" w14:textId="77777777" w:rsidR="00A7726F" w:rsidRPr="007115F2" w:rsidRDefault="00A7726F" w:rsidP="00D137E4">
            <w:pPr>
              <w:widowControl w:val="0"/>
              <w:autoSpaceDE w:val="0"/>
              <w:autoSpaceDN w:val="0"/>
              <w:adjustRightInd w:val="0"/>
              <w:spacing w:line="240" w:lineRule="auto"/>
              <w:jc w:val="left"/>
              <w:rPr>
                <w:color w:val="000000" w:themeColor="text1"/>
                <w:sz w:val="22"/>
              </w:rPr>
            </w:pPr>
            <w:r w:rsidRPr="007115F2">
              <w:rPr>
                <w:color w:val="000000" w:themeColor="text1"/>
                <w:sz w:val="22"/>
              </w:rPr>
              <w:t>28.</w:t>
            </w:r>
          </w:p>
        </w:tc>
        <w:tc>
          <w:tcPr>
            <w:tcW w:w="4212" w:type="dxa"/>
            <w:tcBorders>
              <w:bottom w:val="single" w:sz="4" w:space="0" w:color="auto"/>
            </w:tcBorders>
            <w:vAlign w:val="center"/>
          </w:tcPr>
          <w:p w14:paraId="2325E7BC" w14:textId="77777777" w:rsidR="00A7726F" w:rsidRPr="007115F2" w:rsidRDefault="00A7726F" w:rsidP="006F4762">
            <w:pPr>
              <w:widowControl w:val="0"/>
              <w:autoSpaceDE w:val="0"/>
              <w:autoSpaceDN w:val="0"/>
              <w:adjustRightInd w:val="0"/>
              <w:spacing w:line="240" w:lineRule="auto"/>
              <w:jc w:val="left"/>
              <w:rPr>
                <w:color w:val="000000" w:themeColor="text1"/>
                <w:sz w:val="22"/>
              </w:rPr>
            </w:pPr>
            <w:r w:rsidRPr="007115F2">
              <w:rPr>
                <w:color w:val="000000" w:themeColor="text1"/>
                <w:sz w:val="22"/>
              </w:rPr>
              <w:t>Year</w:t>
            </w:r>
          </w:p>
        </w:tc>
        <w:tc>
          <w:tcPr>
            <w:tcW w:w="652" w:type="dxa"/>
            <w:tcBorders>
              <w:bottom w:val="single" w:sz="4" w:space="0" w:color="auto"/>
            </w:tcBorders>
            <w:vAlign w:val="center"/>
          </w:tcPr>
          <w:p w14:paraId="1B2FDF2E"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0.04</w:t>
            </w:r>
          </w:p>
        </w:tc>
        <w:tc>
          <w:tcPr>
            <w:tcW w:w="652" w:type="dxa"/>
            <w:tcBorders>
              <w:bottom w:val="single" w:sz="4" w:space="0" w:color="auto"/>
            </w:tcBorders>
            <w:vAlign w:val="center"/>
          </w:tcPr>
          <w:p w14:paraId="1691950C"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-0.02</w:t>
            </w:r>
          </w:p>
        </w:tc>
        <w:tc>
          <w:tcPr>
            <w:tcW w:w="654" w:type="dxa"/>
            <w:tcBorders>
              <w:bottom w:val="single" w:sz="4" w:space="0" w:color="auto"/>
            </w:tcBorders>
            <w:vAlign w:val="center"/>
          </w:tcPr>
          <w:p w14:paraId="6A0F9CB6"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0.06</w:t>
            </w:r>
          </w:p>
        </w:tc>
        <w:tc>
          <w:tcPr>
            <w:tcW w:w="653" w:type="dxa"/>
            <w:tcBorders>
              <w:bottom w:val="single" w:sz="4" w:space="0" w:color="auto"/>
            </w:tcBorders>
            <w:vAlign w:val="center"/>
          </w:tcPr>
          <w:p w14:paraId="73FBEA86"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0.06</w:t>
            </w:r>
          </w:p>
        </w:tc>
        <w:tc>
          <w:tcPr>
            <w:tcW w:w="653" w:type="dxa"/>
            <w:tcBorders>
              <w:bottom w:val="single" w:sz="4" w:space="0" w:color="auto"/>
            </w:tcBorders>
            <w:vAlign w:val="center"/>
          </w:tcPr>
          <w:p w14:paraId="226112EA"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0.07</w:t>
            </w:r>
          </w:p>
        </w:tc>
        <w:tc>
          <w:tcPr>
            <w:tcW w:w="654" w:type="dxa"/>
            <w:tcBorders>
              <w:bottom w:val="single" w:sz="4" w:space="0" w:color="auto"/>
            </w:tcBorders>
            <w:vAlign w:val="center"/>
          </w:tcPr>
          <w:p w14:paraId="011F54C8"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-0.07</w:t>
            </w:r>
          </w:p>
        </w:tc>
        <w:tc>
          <w:tcPr>
            <w:tcW w:w="653" w:type="dxa"/>
            <w:tcBorders>
              <w:bottom w:val="single" w:sz="4" w:space="0" w:color="auto"/>
            </w:tcBorders>
            <w:vAlign w:val="center"/>
          </w:tcPr>
          <w:p w14:paraId="2A0431DB"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0.10</w:t>
            </w:r>
          </w:p>
        </w:tc>
        <w:tc>
          <w:tcPr>
            <w:tcW w:w="653" w:type="dxa"/>
            <w:tcBorders>
              <w:bottom w:val="single" w:sz="4" w:space="0" w:color="auto"/>
            </w:tcBorders>
            <w:vAlign w:val="center"/>
          </w:tcPr>
          <w:p w14:paraId="7DF9770C"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-0.01</w:t>
            </w:r>
          </w:p>
        </w:tc>
        <w:tc>
          <w:tcPr>
            <w:tcW w:w="654" w:type="dxa"/>
            <w:tcBorders>
              <w:bottom w:val="single" w:sz="4" w:space="0" w:color="auto"/>
            </w:tcBorders>
            <w:vAlign w:val="center"/>
          </w:tcPr>
          <w:p w14:paraId="6659008E"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0.05</w:t>
            </w:r>
          </w:p>
        </w:tc>
        <w:tc>
          <w:tcPr>
            <w:tcW w:w="653" w:type="dxa"/>
            <w:tcBorders>
              <w:bottom w:val="single" w:sz="4" w:space="0" w:color="auto"/>
            </w:tcBorders>
            <w:vAlign w:val="center"/>
          </w:tcPr>
          <w:p w14:paraId="7F772D1C"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0.02</w:t>
            </w:r>
          </w:p>
        </w:tc>
        <w:tc>
          <w:tcPr>
            <w:tcW w:w="653" w:type="dxa"/>
            <w:tcBorders>
              <w:bottom w:val="single" w:sz="4" w:space="0" w:color="auto"/>
            </w:tcBorders>
            <w:vAlign w:val="center"/>
          </w:tcPr>
          <w:p w14:paraId="1A0A9019"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-0.11</w:t>
            </w:r>
          </w:p>
        </w:tc>
        <w:tc>
          <w:tcPr>
            <w:tcW w:w="654" w:type="dxa"/>
            <w:tcBorders>
              <w:bottom w:val="single" w:sz="4" w:space="0" w:color="auto"/>
            </w:tcBorders>
            <w:vAlign w:val="center"/>
          </w:tcPr>
          <w:p w14:paraId="2246CB8D"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-0.01</w:t>
            </w:r>
          </w:p>
        </w:tc>
        <w:tc>
          <w:tcPr>
            <w:tcW w:w="653" w:type="dxa"/>
            <w:tcBorders>
              <w:bottom w:val="single" w:sz="4" w:space="0" w:color="auto"/>
            </w:tcBorders>
            <w:vAlign w:val="center"/>
          </w:tcPr>
          <w:p w14:paraId="10FBAA1B"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-0.18</w:t>
            </w:r>
          </w:p>
        </w:tc>
        <w:tc>
          <w:tcPr>
            <w:tcW w:w="654" w:type="dxa"/>
            <w:tcBorders>
              <w:bottom w:val="single" w:sz="4" w:space="0" w:color="auto"/>
            </w:tcBorders>
            <w:vAlign w:val="center"/>
          </w:tcPr>
          <w:p w14:paraId="21B98508" w14:textId="77777777" w:rsidR="00A7726F" w:rsidRPr="007115F2" w:rsidRDefault="00A7726F" w:rsidP="006F4762">
            <w:pPr>
              <w:widowControl w:val="0"/>
              <w:autoSpaceDE w:val="0"/>
              <w:autoSpaceDN w:val="0"/>
              <w:adjustRightInd w:val="0"/>
              <w:spacing w:line="240" w:lineRule="auto"/>
              <w:jc w:val="right"/>
              <w:rPr>
                <w:color w:val="000000" w:themeColor="text1"/>
                <w:sz w:val="22"/>
              </w:rPr>
            </w:pPr>
            <w:r w:rsidRPr="007115F2">
              <w:rPr>
                <w:color w:val="000000" w:themeColor="text1"/>
                <w:sz w:val="22"/>
              </w:rPr>
              <w:t>1</w:t>
            </w:r>
          </w:p>
        </w:tc>
      </w:tr>
    </w:tbl>
    <w:p w14:paraId="6E934710" w14:textId="77777777" w:rsidR="00A7726F" w:rsidRDefault="00A7726F" w:rsidP="00403DA7">
      <w:pPr>
        <w:spacing w:line="240" w:lineRule="auto"/>
        <w:jc w:val="left"/>
        <w:rPr>
          <w:rFonts w:ascii="Segoe UI" w:hAnsi="Segoe UI" w:cs="Calibri"/>
          <w:color w:val="000000" w:themeColor="text1"/>
          <w:lang w:val="en-US"/>
        </w:rPr>
      </w:pPr>
    </w:p>
    <w:p w14:paraId="3ECBB8B8" w14:textId="77777777" w:rsidR="00A7726F" w:rsidRDefault="00A7726F" w:rsidP="00403DA7">
      <w:pPr>
        <w:spacing w:line="240" w:lineRule="auto"/>
        <w:jc w:val="left"/>
        <w:rPr>
          <w:rFonts w:ascii="Segoe UI" w:hAnsi="Segoe UI" w:cs="Calibri"/>
          <w:color w:val="000000" w:themeColor="text1"/>
          <w:lang w:val="en-US"/>
        </w:rPr>
      </w:pPr>
    </w:p>
    <w:p w14:paraId="6F5FA107" w14:textId="77777777" w:rsidR="00A71058" w:rsidRDefault="00A71058" w:rsidP="00403DA7">
      <w:pPr>
        <w:spacing w:line="240" w:lineRule="auto"/>
        <w:jc w:val="left"/>
        <w:rPr>
          <w:rFonts w:ascii="Segoe UI" w:hAnsi="Segoe UI" w:cs="Calibri"/>
          <w:color w:val="000000" w:themeColor="text1"/>
          <w:lang w:val="en-US"/>
        </w:rPr>
        <w:sectPr w:rsidR="00A71058" w:rsidSect="00794C6C">
          <w:pgSz w:w="16838" w:h="11906" w:orient="landscape"/>
          <w:pgMar w:top="1417" w:right="1417" w:bottom="1134" w:left="1417" w:header="709" w:footer="709" w:gutter="0"/>
          <w:cols w:space="708"/>
          <w:docGrid w:linePitch="360"/>
        </w:sectPr>
      </w:pPr>
    </w:p>
    <w:p w14:paraId="37700870" w14:textId="365CC1FD" w:rsidR="00403DA7" w:rsidRDefault="00403DA7" w:rsidP="0005400E">
      <w:pPr>
        <w:pStyle w:val="1fake"/>
      </w:pPr>
      <w:r w:rsidRPr="0082138A">
        <w:lastRenderedPageBreak/>
        <w:t xml:space="preserve">TABLE </w:t>
      </w:r>
      <w:r w:rsidR="00764DAC">
        <w:t>4</w:t>
      </w:r>
    </w:p>
    <w:p w14:paraId="273CD91B" w14:textId="676AFCB8" w:rsidR="005E57A0" w:rsidRDefault="005E57A0" w:rsidP="0037709C">
      <w:pPr>
        <w:pStyle w:val="Beschriftung"/>
      </w:pPr>
      <w:bookmarkStart w:id="394" w:name="_Toc180594817"/>
      <w:r>
        <w:t xml:space="preserve">T - II - </w:t>
      </w:r>
      <w:r>
        <w:fldChar w:fldCharType="begin"/>
      </w:r>
      <w:r>
        <w:instrText xml:space="preserve"> SEQ T_-_II_- \* ARABIC </w:instrText>
      </w:r>
      <w:r>
        <w:fldChar w:fldCharType="separate"/>
      </w:r>
      <w:r w:rsidR="00E91088">
        <w:rPr>
          <w:noProof/>
        </w:rPr>
        <w:t>5</w:t>
      </w:r>
      <w:r>
        <w:fldChar w:fldCharType="end"/>
      </w:r>
      <w:r>
        <w:t xml:space="preserve">: </w:t>
      </w:r>
      <w:r w:rsidRPr="00841F1B">
        <w:t>Regression analysis of direct effects</w:t>
      </w:r>
      <w:bookmarkEnd w:id="394"/>
    </w:p>
    <w:tbl>
      <w:tblPr>
        <w:tblW w:w="9072" w:type="dxa"/>
        <w:tblLayout w:type="fixed"/>
        <w:tblLook w:val="0420" w:firstRow="1" w:lastRow="0" w:firstColumn="0" w:lastColumn="0" w:noHBand="0" w:noVBand="1"/>
      </w:tblPr>
      <w:tblGrid>
        <w:gridCol w:w="4799"/>
        <w:gridCol w:w="1067"/>
        <w:gridCol w:w="1067"/>
        <w:gridCol w:w="1067"/>
        <w:gridCol w:w="1072"/>
      </w:tblGrid>
      <w:tr w:rsidR="00284207" w:rsidRPr="007115F2" w14:paraId="1AC1C6AE" w14:textId="77777777" w:rsidTr="00BB280B">
        <w:trPr>
          <w:trHeight w:val="20"/>
        </w:trPr>
        <w:tc>
          <w:tcPr>
            <w:tcW w:w="510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13EBB6B" w14:textId="77777777" w:rsidR="00284207" w:rsidRPr="007115F2" w:rsidRDefault="00284207" w:rsidP="007C051A">
            <w:pPr>
              <w:widowControl w:val="0"/>
              <w:suppressLineNumbers/>
              <w:suppressAutoHyphens/>
              <w:autoSpaceDE w:val="0"/>
              <w:autoSpaceDN w:val="0"/>
              <w:adjustRightInd w:val="0"/>
              <w:spacing w:line="240" w:lineRule="auto"/>
              <w:jc w:val="left"/>
              <w:rPr>
                <w:b/>
                <w:bCs/>
                <w:color w:val="000000" w:themeColor="text1"/>
                <w:sz w:val="22"/>
              </w:rPr>
            </w:pPr>
            <w:r w:rsidRPr="007115F2">
              <w:rPr>
                <w:b/>
                <w:bCs/>
                <w:color w:val="000000" w:themeColor="text1"/>
                <w:sz w:val="22"/>
              </w:rPr>
              <w:t>Model</w:t>
            </w:r>
          </w:p>
        </w:tc>
        <w:tc>
          <w:tcPr>
            <w:tcW w:w="113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EA8D9CE" w14:textId="77777777" w:rsidR="00284207" w:rsidRPr="007115F2" w:rsidRDefault="00284207" w:rsidP="007C051A">
            <w:pPr>
              <w:widowControl w:val="0"/>
              <w:suppressLineNumbers/>
              <w:suppressAutoHyphens/>
              <w:autoSpaceDE w:val="0"/>
              <w:autoSpaceDN w:val="0"/>
              <w:adjustRightInd w:val="0"/>
              <w:spacing w:line="240" w:lineRule="auto"/>
              <w:jc w:val="center"/>
              <w:rPr>
                <w:b/>
                <w:bCs/>
                <w:color w:val="000000" w:themeColor="text1"/>
                <w:sz w:val="22"/>
              </w:rPr>
            </w:pPr>
            <w:r w:rsidRPr="007115F2">
              <w:rPr>
                <w:b/>
                <w:bCs/>
                <w:color w:val="000000" w:themeColor="text1"/>
                <w:sz w:val="22"/>
              </w:rPr>
              <w:t>(1)</w:t>
            </w:r>
          </w:p>
          <w:p w14:paraId="7EB876E5" w14:textId="77777777" w:rsidR="00284207" w:rsidRPr="007115F2" w:rsidRDefault="00284207" w:rsidP="007C051A">
            <w:pPr>
              <w:widowControl w:val="0"/>
              <w:suppressLineNumbers/>
              <w:suppressAutoHyphens/>
              <w:autoSpaceDE w:val="0"/>
              <w:autoSpaceDN w:val="0"/>
              <w:adjustRightInd w:val="0"/>
              <w:spacing w:line="240" w:lineRule="auto"/>
              <w:jc w:val="center"/>
              <w:rPr>
                <w:b/>
                <w:bCs/>
                <w:color w:val="000000" w:themeColor="text1"/>
                <w:sz w:val="22"/>
              </w:rPr>
            </w:pPr>
            <w:r w:rsidRPr="007115F2">
              <w:rPr>
                <w:b/>
                <w:bCs/>
                <w:color w:val="000000" w:themeColor="text1"/>
                <w:sz w:val="22"/>
              </w:rPr>
              <w:t>Base</w:t>
            </w:r>
          </w:p>
        </w:tc>
        <w:tc>
          <w:tcPr>
            <w:tcW w:w="113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5B61ED7" w14:textId="77777777" w:rsidR="00284207" w:rsidRPr="007115F2" w:rsidRDefault="00284207" w:rsidP="007C051A">
            <w:pPr>
              <w:widowControl w:val="0"/>
              <w:suppressLineNumbers/>
              <w:suppressAutoHyphens/>
              <w:autoSpaceDE w:val="0"/>
              <w:autoSpaceDN w:val="0"/>
              <w:adjustRightInd w:val="0"/>
              <w:spacing w:line="240" w:lineRule="auto"/>
              <w:jc w:val="center"/>
              <w:rPr>
                <w:b/>
                <w:bCs/>
                <w:color w:val="000000" w:themeColor="text1"/>
                <w:sz w:val="22"/>
              </w:rPr>
            </w:pPr>
            <w:r w:rsidRPr="007115F2">
              <w:rPr>
                <w:b/>
                <w:bCs/>
                <w:color w:val="000000" w:themeColor="text1"/>
                <w:sz w:val="22"/>
              </w:rPr>
              <w:t>(2)</w:t>
            </w:r>
          </w:p>
          <w:p w14:paraId="36C9C418" w14:textId="77777777" w:rsidR="00284207" w:rsidRPr="007115F2" w:rsidRDefault="00284207" w:rsidP="007C051A">
            <w:pPr>
              <w:widowControl w:val="0"/>
              <w:suppressLineNumbers/>
              <w:suppressAutoHyphens/>
              <w:autoSpaceDE w:val="0"/>
              <w:autoSpaceDN w:val="0"/>
              <w:adjustRightInd w:val="0"/>
              <w:spacing w:line="240" w:lineRule="auto"/>
              <w:jc w:val="center"/>
              <w:rPr>
                <w:b/>
                <w:bCs/>
                <w:color w:val="000000" w:themeColor="text1"/>
                <w:sz w:val="22"/>
              </w:rPr>
            </w:pPr>
            <w:r w:rsidRPr="007115F2">
              <w:rPr>
                <w:b/>
                <w:bCs/>
                <w:color w:val="000000" w:themeColor="text1"/>
                <w:sz w:val="22"/>
              </w:rPr>
              <w:t>Direct BI</w:t>
            </w:r>
          </w:p>
        </w:tc>
        <w:tc>
          <w:tcPr>
            <w:tcW w:w="113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574AA14" w14:textId="77777777" w:rsidR="00284207" w:rsidRPr="007115F2" w:rsidRDefault="00284207" w:rsidP="007C051A">
            <w:pPr>
              <w:widowControl w:val="0"/>
              <w:suppressLineNumbers/>
              <w:suppressAutoHyphens/>
              <w:autoSpaceDE w:val="0"/>
              <w:autoSpaceDN w:val="0"/>
              <w:adjustRightInd w:val="0"/>
              <w:spacing w:line="240" w:lineRule="auto"/>
              <w:jc w:val="center"/>
              <w:rPr>
                <w:b/>
                <w:bCs/>
                <w:color w:val="000000" w:themeColor="text1"/>
                <w:sz w:val="22"/>
              </w:rPr>
            </w:pPr>
            <w:r w:rsidRPr="007115F2">
              <w:rPr>
                <w:b/>
                <w:bCs/>
                <w:color w:val="000000" w:themeColor="text1"/>
                <w:sz w:val="22"/>
              </w:rPr>
              <w:t>(3)</w:t>
            </w:r>
          </w:p>
          <w:p w14:paraId="17ADA78C" w14:textId="77777777" w:rsidR="00284207" w:rsidRPr="007115F2" w:rsidRDefault="00284207" w:rsidP="007C051A">
            <w:pPr>
              <w:widowControl w:val="0"/>
              <w:suppressLineNumbers/>
              <w:suppressAutoHyphens/>
              <w:autoSpaceDE w:val="0"/>
              <w:autoSpaceDN w:val="0"/>
              <w:adjustRightInd w:val="0"/>
              <w:spacing w:line="240" w:lineRule="auto"/>
              <w:jc w:val="center"/>
              <w:rPr>
                <w:b/>
                <w:bCs/>
                <w:color w:val="000000" w:themeColor="text1"/>
                <w:sz w:val="22"/>
              </w:rPr>
            </w:pPr>
            <w:r w:rsidRPr="007115F2">
              <w:rPr>
                <w:b/>
                <w:bCs/>
                <w:color w:val="000000" w:themeColor="text1"/>
                <w:sz w:val="22"/>
              </w:rPr>
              <w:t>Indirect BI</w:t>
            </w:r>
          </w:p>
        </w:tc>
        <w:tc>
          <w:tcPr>
            <w:tcW w:w="1139"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C015715" w14:textId="77777777" w:rsidR="00284207" w:rsidRPr="007115F2" w:rsidRDefault="00284207" w:rsidP="007C051A">
            <w:pPr>
              <w:widowControl w:val="0"/>
              <w:suppressLineNumbers/>
              <w:suppressAutoHyphens/>
              <w:autoSpaceDE w:val="0"/>
              <w:autoSpaceDN w:val="0"/>
              <w:adjustRightInd w:val="0"/>
              <w:spacing w:line="240" w:lineRule="auto"/>
              <w:jc w:val="center"/>
              <w:rPr>
                <w:b/>
                <w:bCs/>
                <w:color w:val="000000" w:themeColor="text1"/>
                <w:sz w:val="22"/>
              </w:rPr>
            </w:pPr>
            <w:r w:rsidRPr="007115F2">
              <w:rPr>
                <w:b/>
                <w:bCs/>
                <w:color w:val="000000" w:themeColor="text1"/>
                <w:sz w:val="22"/>
              </w:rPr>
              <w:t>(4)</w:t>
            </w:r>
          </w:p>
          <w:p w14:paraId="5A76CDCB" w14:textId="77777777" w:rsidR="00284207" w:rsidRPr="007115F2" w:rsidRDefault="00284207" w:rsidP="007C051A">
            <w:pPr>
              <w:widowControl w:val="0"/>
              <w:suppressLineNumbers/>
              <w:suppressAutoHyphens/>
              <w:autoSpaceDE w:val="0"/>
              <w:autoSpaceDN w:val="0"/>
              <w:adjustRightInd w:val="0"/>
              <w:spacing w:line="240" w:lineRule="auto"/>
              <w:jc w:val="center"/>
              <w:rPr>
                <w:b/>
                <w:bCs/>
                <w:color w:val="000000" w:themeColor="text1"/>
                <w:sz w:val="22"/>
              </w:rPr>
            </w:pPr>
            <w:r w:rsidRPr="007115F2">
              <w:rPr>
                <w:b/>
                <w:bCs/>
                <w:color w:val="000000" w:themeColor="text1"/>
                <w:sz w:val="22"/>
              </w:rPr>
              <w:t>Full Model</w:t>
            </w:r>
          </w:p>
        </w:tc>
      </w:tr>
      <w:tr w:rsidR="00284207" w:rsidRPr="007115F2" w14:paraId="2C479594" w14:textId="77777777" w:rsidTr="00BB280B">
        <w:trPr>
          <w:trHeight w:val="20"/>
        </w:trPr>
        <w:tc>
          <w:tcPr>
            <w:tcW w:w="5101" w:type="dxa"/>
            <w:tcBorders>
              <w:top w:val="single" w:sz="4" w:space="0" w:color="auto"/>
            </w:tcBorders>
            <w:shd w:val="clear" w:color="auto" w:fill="FFFFFF"/>
            <w:tcMar>
              <w:top w:w="0" w:type="dxa"/>
              <w:left w:w="0" w:type="dxa"/>
              <w:bottom w:w="0" w:type="dxa"/>
              <w:right w:w="0" w:type="dxa"/>
            </w:tcMar>
            <w:vAlign w:val="center"/>
          </w:tcPr>
          <w:p w14:paraId="16EFC433"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r w:rsidRPr="007115F2">
              <w:rPr>
                <w:color w:val="000000" w:themeColor="text1"/>
                <w:sz w:val="22"/>
              </w:rPr>
              <w:t>Direct_BoardInterlocks</w:t>
            </w:r>
          </w:p>
        </w:tc>
        <w:tc>
          <w:tcPr>
            <w:tcW w:w="1133" w:type="dxa"/>
            <w:tcBorders>
              <w:top w:val="single" w:sz="4" w:space="0" w:color="auto"/>
            </w:tcBorders>
            <w:shd w:val="clear" w:color="auto" w:fill="FFFFFF"/>
            <w:tcMar>
              <w:top w:w="0" w:type="dxa"/>
              <w:left w:w="0" w:type="dxa"/>
              <w:bottom w:w="0" w:type="dxa"/>
              <w:right w:w="0" w:type="dxa"/>
            </w:tcMar>
            <w:vAlign w:val="center"/>
          </w:tcPr>
          <w:p w14:paraId="07469AD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133" w:type="dxa"/>
            <w:tcBorders>
              <w:top w:val="single" w:sz="4" w:space="0" w:color="auto"/>
            </w:tcBorders>
            <w:shd w:val="clear" w:color="auto" w:fill="FFFFFF"/>
            <w:tcMar>
              <w:top w:w="0" w:type="dxa"/>
              <w:left w:w="0" w:type="dxa"/>
              <w:bottom w:w="0" w:type="dxa"/>
              <w:right w:w="0" w:type="dxa"/>
            </w:tcMar>
            <w:vAlign w:val="center"/>
          </w:tcPr>
          <w:p w14:paraId="3AAEFA6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0.015</w:t>
            </w:r>
          </w:p>
        </w:tc>
        <w:tc>
          <w:tcPr>
            <w:tcW w:w="1133" w:type="dxa"/>
            <w:tcBorders>
              <w:top w:val="single" w:sz="4" w:space="0" w:color="auto"/>
            </w:tcBorders>
            <w:shd w:val="clear" w:color="auto" w:fill="FFFFFF"/>
            <w:tcMar>
              <w:top w:w="0" w:type="dxa"/>
              <w:left w:w="0" w:type="dxa"/>
              <w:bottom w:w="0" w:type="dxa"/>
              <w:right w:w="0" w:type="dxa"/>
            </w:tcMar>
            <w:vAlign w:val="center"/>
          </w:tcPr>
          <w:p w14:paraId="65CA1D0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139" w:type="dxa"/>
            <w:tcBorders>
              <w:top w:val="single" w:sz="4" w:space="0" w:color="auto"/>
            </w:tcBorders>
            <w:shd w:val="clear" w:color="auto" w:fill="FFFFFF"/>
            <w:tcMar>
              <w:top w:w="0" w:type="dxa"/>
              <w:left w:w="0" w:type="dxa"/>
              <w:bottom w:w="0" w:type="dxa"/>
              <w:right w:w="0" w:type="dxa"/>
            </w:tcMar>
            <w:vAlign w:val="center"/>
          </w:tcPr>
          <w:p w14:paraId="15C7C7C5"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0.016</w:t>
            </w:r>
          </w:p>
        </w:tc>
      </w:tr>
      <w:tr w:rsidR="00284207" w:rsidRPr="007115F2" w14:paraId="5556351D" w14:textId="77777777" w:rsidTr="00BB280B">
        <w:trPr>
          <w:trHeight w:val="20"/>
        </w:trPr>
        <w:tc>
          <w:tcPr>
            <w:tcW w:w="5101" w:type="dxa"/>
            <w:shd w:val="clear" w:color="auto" w:fill="FFFFFF"/>
            <w:tcMar>
              <w:top w:w="0" w:type="dxa"/>
              <w:left w:w="0" w:type="dxa"/>
              <w:bottom w:w="0" w:type="dxa"/>
              <w:right w:w="0" w:type="dxa"/>
            </w:tcMar>
            <w:vAlign w:val="center"/>
          </w:tcPr>
          <w:p w14:paraId="51420D68"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133" w:type="dxa"/>
            <w:shd w:val="clear" w:color="auto" w:fill="FFFFFF"/>
            <w:tcMar>
              <w:top w:w="0" w:type="dxa"/>
              <w:left w:w="0" w:type="dxa"/>
              <w:bottom w:w="0" w:type="dxa"/>
              <w:right w:w="0" w:type="dxa"/>
            </w:tcMar>
            <w:vAlign w:val="center"/>
          </w:tcPr>
          <w:p w14:paraId="6E0922E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133" w:type="dxa"/>
            <w:shd w:val="clear" w:color="auto" w:fill="FFFFFF"/>
            <w:tcMar>
              <w:top w:w="0" w:type="dxa"/>
              <w:left w:w="0" w:type="dxa"/>
              <w:bottom w:w="0" w:type="dxa"/>
              <w:right w:w="0" w:type="dxa"/>
            </w:tcMar>
            <w:vAlign w:val="center"/>
          </w:tcPr>
          <w:p w14:paraId="6F8DB74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(0.007)</w:t>
            </w:r>
          </w:p>
        </w:tc>
        <w:tc>
          <w:tcPr>
            <w:tcW w:w="1133" w:type="dxa"/>
            <w:shd w:val="clear" w:color="auto" w:fill="FFFFFF"/>
            <w:tcMar>
              <w:top w:w="0" w:type="dxa"/>
              <w:left w:w="0" w:type="dxa"/>
              <w:bottom w:w="0" w:type="dxa"/>
              <w:right w:w="0" w:type="dxa"/>
            </w:tcMar>
            <w:vAlign w:val="center"/>
          </w:tcPr>
          <w:p w14:paraId="2ABC652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139" w:type="dxa"/>
            <w:shd w:val="clear" w:color="auto" w:fill="FFFFFF"/>
            <w:tcMar>
              <w:top w:w="0" w:type="dxa"/>
              <w:left w:w="0" w:type="dxa"/>
              <w:bottom w:w="0" w:type="dxa"/>
              <w:right w:w="0" w:type="dxa"/>
            </w:tcMar>
            <w:vAlign w:val="center"/>
          </w:tcPr>
          <w:p w14:paraId="18822F1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(0.008)</w:t>
            </w:r>
          </w:p>
        </w:tc>
      </w:tr>
      <w:tr w:rsidR="00284207" w:rsidRPr="007115F2" w14:paraId="4FE6ED1A" w14:textId="77777777" w:rsidTr="00BB280B">
        <w:trPr>
          <w:trHeight w:val="20"/>
        </w:trPr>
        <w:tc>
          <w:tcPr>
            <w:tcW w:w="5101" w:type="dxa"/>
            <w:shd w:val="clear" w:color="auto" w:fill="FFFFFF"/>
            <w:tcMar>
              <w:top w:w="0" w:type="dxa"/>
              <w:left w:w="0" w:type="dxa"/>
              <w:bottom w:w="0" w:type="dxa"/>
              <w:right w:w="0" w:type="dxa"/>
            </w:tcMar>
            <w:vAlign w:val="center"/>
          </w:tcPr>
          <w:p w14:paraId="6740819C"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133" w:type="dxa"/>
            <w:shd w:val="clear" w:color="auto" w:fill="FFFFFF"/>
            <w:tcMar>
              <w:top w:w="0" w:type="dxa"/>
              <w:left w:w="0" w:type="dxa"/>
              <w:bottom w:w="0" w:type="dxa"/>
              <w:right w:w="0" w:type="dxa"/>
            </w:tcMar>
            <w:vAlign w:val="center"/>
          </w:tcPr>
          <w:p w14:paraId="30B922F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133" w:type="dxa"/>
            <w:shd w:val="clear" w:color="auto" w:fill="FFFFFF"/>
            <w:tcMar>
              <w:top w:w="0" w:type="dxa"/>
              <w:left w:w="0" w:type="dxa"/>
              <w:bottom w:w="0" w:type="dxa"/>
              <w:right w:w="0" w:type="dxa"/>
            </w:tcMar>
            <w:vAlign w:val="center"/>
          </w:tcPr>
          <w:p w14:paraId="497F9A79"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[0.044]</w:t>
            </w:r>
          </w:p>
        </w:tc>
        <w:tc>
          <w:tcPr>
            <w:tcW w:w="1133" w:type="dxa"/>
            <w:shd w:val="clear" w:color="auto" w:fill="FFFFFF"/>
            <w:tcMar>
              <w:top w:w="0" w:type="dxa"/>
              <w:left w:w="0" w:type="dxa"/>
              <w:bottom w:w="0" w:type="dxa"/>
              <w:right w:w="0" w:type="dxa"/>
            </w:tcMar>
            <w:vAlign w:val="center"/>
          </w:tcPr>
          <w:p w14:paraId="3F560300"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139" w:type="dxa"/>
            <w:shd w:val="clear" w:color="auto" w:fill="FFFFFF"/>
            <w:tcMar>
              <w:top w:w="0" w:type="dxa"/>
              <w:left w:w="0" w:type="dxa"/>
              <w:bottom w:w="0" w:type="dxa"/>
              <w:right w:w="0" w:type="dxa"/>
            </w:tcMar>
            <w:vAlign w:val="center"/>
          </w:tcPr>
          <w:p w14:paraId="61BDF82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[0.040]</w:t>
            </w:r>
          </w:p>
        </w:tc>
      </w:tr>
      <w:tr w:rsidR="00284207" w:rsidRPr="007115F2" w14:paraId="009DE467" w14:textId="77777777" w:rsidTr="00BB280B">
        <w:trPr>
          <w:trHeight w:val="20"/>
        </w:trPr>
        <w:tc>
          <w:tcPr>
            <w:tcW w:w="5101" w:type="dxa"/>
            <w:shd w:val="clear" w:color="auto" w:fill="FFFFFF"/>
            <w:tcMar>
              <w:top w:w="0" w:type="dxa"/>
              <w:left w:w="0" w:type="dxa"/>
              <w:bottom w:w="0" w:type="dxa"/>
              <w:right w:w="0" w:type="dxa"/>
            </w:tcMar>
            <w:vAlign w:val="center"/>
          </w:tcPr>
          <w:p w14:paraId="6922E9F7"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r w:rsidRPr="007115F2">
              <w:rPr>
                <w:color w:val="000000" w:themeColor="text1"/>
                <w:sz w:val="22"/>
              </w:rPr>
              <w:t>Indirect_BoardInterlocks</w:t>
            </w:r>
          </w:p>
        </w:tc>
        <w:tc>
          <w:tcPr>
            <w:tcW w:w="1133" w:type="dxa"/>
            <w:shd w:val="clear" w:color="auto" w:fill="FFFFFF"/>
            <w:tcMar>
              <w:top w:w="0" w:type="dxa"/>
              <w:left w:w="0" w:type="dxa"/>
              <w:bottom w:w="0" w:type="dxa"/>
              <w:right w:w="0" w:type="dxa"/>
            </w:tcMar>
            <w:vAlign w:val="center"/>
          </w:tcPr>
          <w:p w14:paraId="7B769BA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133" w:type="dxa"/>
            <w:shd w:val="clear" w:color="auto" w:fill="FFFFFF"/>
            <w:tcMar>
              <w:top w:w="0" w:type="dxa"/>
              <w:left w:w="0" w:type="dxa"/>
              <w:bottom w:w="0" w:type="dxa"/>
              <w:right w:w="0" w:type="dxa"/>
            </w:tcMar>
            <w:vAlign w:val="center"/>
          </w:tcPr>
          <w:p w14:paraId="103EE164"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133" w:type="dxa"/>
            <w:shd w:val="clear" w:color="auto" w:fill="FFFFFF"/>
            <w:tcMar>
              <w:top w:w="0" w:type="dxa"/>
              <w:left w:w="0" w:type="dxa"/>
              <w:bottom w:w="0" w:type="dxa"/>
              <w:right w:w="0" w:type="dxa"/>
            </w:tcMar>
            <w:vAlign w:val="center"/>
          </w:tcPr>
          <w:p w14:paraId="57596CF4"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0.004</w:t>
            </w:r>
          </w:p>
        </w:tc>
        <w:tc>
          <w:tcPr>
            <w:tcW w:w="1139" w:type="dxa"/>
            <w:shd w:val="clear" w:color="auto" w:fill="FFFFFF"/>
            <w:tcMar>
              <w:top w:w="0" w:type="dxa"/>
              <w:left w:w="0" w:type="dxa"/>
              <w:bottom w:w="0" w:type="dxa"/>
              <w:right w:w="0" w:type="dxa"/>
            </w:tcMar>
            <w:vAlign w:val="center"/>
          </w:tcPr>
          <w:p w14:paraId="1CB5AC40"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0.004</w:t>
            </w:r>
          </w:p>
        </w:tc>
      </w:tr>
      <w:tr w:rsidR="00284207" w:rsidRPr="007115F2" w14:paraId="4009BC9A" w14:textId="77777777" w:rsidTr="00BB280B">
        <w:trPr>
          <w:trHeight w:val="20"/>
        </w:trPr>
        <w:tc>
          <w:tcPr>
            <w:tcW w:w="5101" w:type="dxa"/>
            <w:shd w:val="clear" w:color="auto" w:fill="FFFFFF"/>
            <w:tcMar>
              <w:top w:w="0" w:type="dxa"/>
              <w:left w:w="0" w:type="dxa"/>
              <w:bottom w:w="0" w:type="dxa"/>
              <w:right w:w="0" w:type="dxa"/>
            </w:tcMar>
            <w:vAlign w:val="center"/>
          </w:tcPr>
          <w:p w14:paraId="444FEC07"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133" w:type="dxa"/>
            <w:shd w:val="clear" w:color="auto" w:fill="FFFFFF"/>
            <w:tcMar>
              <w:top w:w="0" w:type="dxa"/>
              <w:left w:w="0" w:type="dxa"/>
              <w:bottom w:w="0" w:type="dxa"/>
              <w:right w:w="0" w:type="dxa"/>
            </w:tcMar>
            <w:vAlign w:val="center"/>
          </w:tcPr>
          <w:p w14:paraId="491EB39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133" w:type="dxa"/>
            <w:shd w:val="clear" w:color="auto" w:fill="FFFFFF"/>
            <w:tcMar>
              <w:top w:w="0" w:type="dxa"/>
              <w:left w:w="0" w:type="dxa"/>
              <w:bottom w:w="0" w:type="dxa"/>
              <w:right w:w="0" w:type="dxa"/>
            </w:tcMar>
            <w:vAlign w:val="center"/>
          </w:tcPr>
          <w:p w14:paraId="39DD88F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133" w:type="dxa"/>
            <w:shd w:val="clear" w:color="auto" w:fill="FFFFFF"/>
            <w:tcMar>
              <w:top w:w="0" w:type="dxa"/>
              <w:left w:w="0" w:type="dxa"/>
              <w:bottom w:w="0" w:type="dxa"/>
              <w:right w:w="0" w:type="dxa"/>
            </w:tcMar>
            <w:vAlign w:val="center"/>
          </w:tcPr>
          <w:p w14:paraId="02DD54E4"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139" w:type="dxa"/>
            <w:shd w:val="clear" w:color="auto" w:fill="FFFFFF"/>
            <w:tcMar>
              <w:top w:w="0" w:type="dxa"/>
              <w:left w:w="0" w:type="dxa"/>
              <w:bottom w:w="0" w:type="dxa"/>
              <w:right w:w="0" w:type="dxa"/>
            </w:tcMar>
            <w:vAlign w:val="center"/>
          </w:tcPr>
          <w:p w14:paraId="000E4F6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r>
      <w:tr w:rsidR="00284207" w:rsidRPr="007115F2" w14:paraId="43FB7524" w14:textId="77777777" w:rsidTr="00BB280B">
        <w:trPr>
          <w:trHeight w:val="20"/>
        </w:trPr>
        <w:tc>
          <w:tcPr>
            <w:tcW w:w="5101" w:type="dxa"/>
            <w:shd w:val="clear" w:color="auto" w:fill="FFFFFF"/>
            <w:tcMar>
              <w:top w:w="0" w:type="dxa"/>
              <w:left w:w="0" w:type="dxa"/>
              <w:bottom w:w="0" w:type="dxa"/>
              <w:right w:w="0" w:type="dxa"/>
            </w:tcMar>
            <w:vAlign w:val="center"/>
          </w:tcPr>
          <w:p w14:paraId="50952CAA"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133" w:type="dxa"/>
            <w:shd w:val="clear" w:color="auto" w:fill="FFFFFF"/>
            <w:tcMar>
              <w:top w:w="0" w:type="dxa"/>
              <w:left w:w="0" w:type="dxa"/>
              <w:bottom w:w="0" w:type="dxa"/>
              <w:right w:w="0" w:type="dxa"/>
            </w:tcMar>
            <w:vAlign w:val="center"/>
          </w:tcPr>
          <w:p w14:paraId="05DF650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133" w:type="dxa"/>
            <w:shd w:val="clear" w:color="auto" w:fill="FFFFFF"/>
            <w:tcMar>
              <w:top w:w="0" w:type="dxa"/>
              <w:left w:w="0" w:type="dxa"/>
              <w:bottom w:w="0" w:type="dxa"/>
              <w:right w:w="0" w:type="dxa"/>
            </w:tcMar>
            <w:vAlign w:val="center"/>
          </w:tcPr>
          <w:p w14:paraId="66338D44"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133" w:type="dxa"/>
            <w:shd w:val="clear" w:color="auto" w:fill="FFFFFF"/>
            <w:tcMar>
              <w:top w:w="0" w:type="dxa"/>
              <w:left w:w="0" w:type="dxa"/>
              <w:bottom w:w="0" w:type="dxa"/>
              <w:right w:w="0" w:type="dxa"/>
            </w:tcMar>
            <w:vAlign w:val="center"/>
          </w:tcPr>
          <w:p w14:paraId="62BF4DB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[0.027]</w:t>
            </w:r>
          </w:p>
        </w:tc>
        <w:tc>
          <w:tcPr>
            <w:tcW w:w="1139" w:type="dxa"/>
            <w:shd w:val="clear" w:color="auto" w:fill="FFFFFF"/>
            <w:tcMar>
              <w:top w:w="0" w:type="dxa"/>
              <w:left w:w="0" w:type="dxa"/>
              <w:bottom w:w="0" w:type="dxa"/>
              <w:right w:w="0" w:type="dxa"/>
            </w:tcMar>
            <w:vAlign w:val="center"/>
          </w:tcPr>
          <w:p w14:paraId="6015EB94"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[0.021]</w:t>
            </w:r>
          </w:p>
        </w:tc>
      </w:tr>
      <w:tr w:rsidR="00284207" w:rsidRPr="007115F2" w14:paraId="078B6F48" w14:textId="77777777" w:rsidTr="00BB280B">
        <w:trPr>
          <w:trHeight w:val="20"/>
        </w:trPr>
        <w:tc>
          <w:tcPr>
            <w:tcW w:w="5101" w:type="dxa"/>
            <w:shd w:val="clear" w:color="auto" w:fill="FFFFFF"/>
            <w:tcMar>
              <w:top w:w="0" w:type="dxa"/>
              <w:left w:w="0" w:type="dxa"/>
              <w:bottom w:w="0" w:type="dxa"/>
              <w:right w:w="0" w:type="dxa"/>
            </w:tcMar>
            <w:vAlign w:val="center"/>
          </w:tcPr>
          <w:p w14:paraId="20C9C0E5"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r w:rsidRPr="007115F2">
              <w:rPr>
                <w:color w:val="000000" w:themeColor="text1"/>
                <w:sz w:val="22"/>
              </w:rPr>
              <w:t>Prior_Board_Ties</w:t>
            </w:r>
          </w:p>
        </w:tc>
        <w:tc>
          <w:tcPr>
            <w:tcW w:w="1133" w:type="dxa"/>
            <w:shd w:val="clear" w:color="auto" w:fill="FFFFFF"/>
            <w:tcMar>
              <w:top w:w="0" w:type="dxa"/>
              <w:left w:w="0" w:type="dxa"/>
              <w:bottom w:w="0" w:type="dxa"/>
              <w:right w:w="0" w:type="dxa"/>
            </w:tcMar>
            <w:vAlign w:val="center"/>
          </w:tcPr>
          <w:p w14:paraId="76F9CA5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133" w:type="dxa"/>
            <w:shd w:val="clear" w:color="auto" w:fill="FFFFFF"/>
            <w:tcMar>
              <w:top w:w="0" w:type="dxa"/>
              <w:left w:w="0" w:type="dxa"/>
              <w:bottom w:w="0" w:type="dxa"/>
              <w:right w:w="0" w:type="dxa"/>
            </w:tcMar>
            <w:vAlign w:val="center"/>
          </w:tcPr>
          <w:p w14:paraId="67D51BF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133" w:type="dxa"/>
            <w:shd w:val="clear" w:color="auto" w:fill="FFFFFF"/>
            <w:tcMar>
              <w:top w:w="0" w:type="dxa"/>
              <w:left w:w="0" w:type="dxa"/>
              <w:bottom w:w="0" w:type="dxa"/>
              <w:right w:w="0" w:type="dxa"/>
            </w:tcMar>
            <w:vAlign w:val="center"/>
          </w:tcPr>
          <w:p w14:paraId="759EA5F9"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139" w:type="dxa"/>
            <w:shd w:val="clear" w:color="auto" w:fill="FFFFFF"/>
            <w:tcMar>
              <w:top w:w="0" w:type="dxa"/>
              <w:left w:w="0" w:type="dxa"/>
              <w:bottom w:w="0" w:type="dxa"/>
              <w:right w:w="0" w:type="dxa"/>
            </w:tcMar>
            <w:vAlign w:val="center"/>
          </w:tcPr>
          <w:p w14:paraId="62523A17"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r>
      <w:tr w:rsidR="00284207" w:rsidRPr="007115F2" w14:paraId="0B6CFE59" w14:textId="77777777" w:rsidTr="00BB280B">
        <w:trPr>
          <w:trHeight w:val="20"/>
        </w:trPr>
        <w:tc>
          <w:tcPr>
            <w:tcW w:w="5101" w:type="dxa"/>
            <w:shd w:val="clear" w:color="auto" w:fill="FFFFFF"/>
            <w:tcMar>
              <w:top w:w="0" w:type="dxa"/>
              <w:left w:w="0" w:type="dxa"/>
              <w:bottom w:w="0" w:type="dxa"/>
              <w:right w:w="0" w:type="dxa"/>
            </w:tcMar>
            <w:vAlign w:val="center"/>
          </w:tcPr>
          <w:p w14:paraId="0B38D85A"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133" w:type="dxa"/>
            <w:shd w:val="clear" w:color="auto" w:fill="FFFFFF"/>
            <w:tcMar>
              <w:top w:w="0" w:type="dxa"/>
              <w:left w:w="0" w:type="dxa"/>
              <w:bottom w:w="0" w:type="dxa"/>
              <w:right w:w="0" w:type="dxa"/>
            </w:tcMar>
            <w:vAlign w:val="center"/>
          </w:tcPr>
          <w:p w14:paraId="1ED0BB35"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133" w:type="dxa"/>
            <w:shd w:val="clear" w:color="auto" w:fill="FFFFFF"/>
            <w:tcMar>
              <w:top w:w="0" w:type="dxa"/>
              <w:left w:w="0" w:type="dxa"/>
              <w:bottom w:w="0" w:type="dxa"/>
              <w:right w:w="0" w:type="dxa"/>
            </w:tcMar>
            <w:vAlign w:val="center"/>
          </w:tcPr>
          <w:p w14:paraId="48AA90C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133" w:type="dxa"/>
            <w:shd w:val="clear" w:color="auto" w:fill="FFFFFF"/>
            <w:tcMar>
              <w:top w:w="0" w:type="dxa"/>
              <w:left w:w="0" w:type="dxa"/>
              <w:bottom w:w="0" w:type="dxa"/>
              <w:right w:w="0" w:type="dxa"/>
            </w:tcMar>
            <w:vAlign w:val="center"/>
          </w:tcPr>
          <w:p w14:paraId="528223A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139" w:type="dxa"/>
            <w:shd w:val="clear" w:color="auto" w:fill="FFFFFF"/>
            <w:tcMar>
              <w:top w:w="0" w:type="dxa"/>
              <w:left w:w="0" w:type="dxa"/>
              <w:bottom w:w="0" w:type="dxa"/>
              <w:right w:w="0" w:type="dxa"/>
            </w:tcMar>
            <w:vAlign w:val="center"/>
          </w:tcPr>
          <w:p w14:paraId="659E77F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r>
      <w:tr w:rsidR="00284207" w:rsidRPr="007115F2" w14:paraId="4638A8A5" w14:textId="77777777" w:rsidTr="00BB280B">
        <w:trPr>
          <w:trHeight w:val="20"/>
        </w:trPr>
        <w:tc>
          <w:tcPr>
            <w:tcW w:w="5101" w:type="dxa"/>
            <w:shd w:val="clear" w:color="auto" w:fill="FFFFFF"/>
            <w:tcMar>
              <w:top w:w="0" w:type="dxa"/>
              <w:left w:w="0" w:type="dxa"/>
              <w:bottom w:w="0" w:type="dxa"/>
              <w:right w:w="0" w:type="dxa"/>
            </w:tcMar>
            <w:vAlign w:val="center"/>
          </w:tcPr>
          <w:p w14:paraId="6F6657F9"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133" w:type="dxa"/>
            <w:shd w:val="clear" w:color="auto" w:fill="FFFFFF"/>
            <w:tcMar>
              <w:top w:w="0" w:type="dxa"/>
              <w:left w:w="0" w:type="dxa"/>
              <w:bottom w:w="0" w:type="dxa"/>
              <w:right w:w="0" w:type="dxa"/>
            </w:tcMar>
            <w:vAlign w:val="center"/>
          </w:tcPr>
          <w:p w14:paraId="4449DBC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[0.848]</w:t>
            </w:r>
          </w:p>
        </w:tc>
        <w:tc>
          <w:tcPr>
            <w:tcW w:w="1133" w:type="dxa"/>
            <w:shd w:val="clear" w:color="auto" w:fill="FFFFFF"/>
            <w:tcMar>
              <w:top w:w="0" w:type="dxa"/>
              <w:left w:w="0" w:type="dxa"/>
              <w:bottom w:w="0" w:type="dxa"/>
              <w:right w:w="0" w:type="dxa"/>
            </w:tcMar>
            <w:vAlign w:val="center"/>
          </w:tcPr>
          <w:p w14:paraId="60811F8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[0.936]</w:t>
            </w:r>
          </w:p>
        </w:tc>
        <w:tc>
          <w:tcPr>
            <w:tcW w:w="1133" w:type="dxa"/>
            <w:shd w:val="clear" w:color="auto" w:fill="FFFFFF"/>
            <w:tcMar>
              <w:top w:w="0" w:type="dxa"/>
              <w:left w:w="0" w:type="dxa"/>
              <w:bottom w:w="0" w:type="dxa"/>
              <w:right w:w="0" w:type="dxa"/>
            </w:tcMar>
            <w:vAlign w:val="center"/>
          </w:tcPr>
          <w:p w14:paraId="54A4889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[0.828]</w:t>
            </w:r>
          </w:p>
        </w:tc>
        <w:tc>
          <w:tcPr>
            <w:tcW w:w="1139" w:type="dxa"/>
            <w:shd w:val="clear" w:color="auto" w:fill="FFFFFF"/>
            <w:tcMar>
              <w:top w:w="0" w:type="dxa"/>
              <w:left w:w="0" w:type="dxa"/>
              <w:bottom w:w="0" w:type="dxa"/>
              <w:right w:w="0" w:type="dxa"/>
            </w:tcMar>
            <w:vAlign w:val="center"/>
          </w:tcPr>
          <w:p w14:paraId="4719DCC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[0.919]</w:t>
            </w:r>
          </w:p>
        </w:tc>
      </w:tr>
      <w:tr w:rsidR="00284207" w:rsidRPr="007115F2" w14:paraId="72547553" w14:textId="77777777" w:rsidTr="00BB280B">
        <w:trPr>
          <w:trHeight w:val="20"/>
        </w:trPr>
        <w:tc>
          <w:tcPr>
            <w:tcW w:w="5101" w:type="dxa"/>
            <w:shd w:val="clear" w:color="auto" w:fill="FFFFFF"/>
            <w:tcMar>
              <w:top w:w="0" w:type="dxa"/>
              <w:left w:w="0" w:type="dxa"/>
              <w:bottom w:w="0" w:type="dxa"/>
              <w:right w:w="0" w:type="dxa"/>
            </w:tcMar>
            <w:vAlign w:val="center"/>
          </w:tcPr>
          <w:p w14:paraId="06AAABAB"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r w:rsidRPr="007115F2">
              <w:rPr>
                <w:color w:val="000000" w:themeColor="text1"/>
                <w:sz w:val="22"/>
              </w:rPr>
              <w:t>Relative_Board_NetworkSize</w:t>
            </w:r>
          </w:p>
        </w:tc>
        <w:tc>
          <w:tcPr>
            <w:tcW w:w="1133" w:type="dxa"/>
            <w:shd w:val="clear" w:color="auto" w:fill="FFFFFF"/>
            <w:tcMar>
              <w:top w:w="0" w:type="dxa"/>
              <w:left w:w="0" w:type="dxa"/>
              <w:bottom w:w="0" w:type="dxa"/>
              <w:right w:w="0" w:type="dxa"/>
            </w:tcMar>
            <w:vAlign w:val="center"/>
          </w:tcPr>
          <w:p w14:paraId="5C887DE9"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133" w:type="dxa"/>
            <w:shd w:val="clear" w:color="auto" w:fill="FFFFFF"/>
            <w:tcMar>
              <w:top w:w="0" w:type="dxa"/>
              <w:left w:w="0" w:type="dxa"/>
              <w:bottom w:w="0" w:type="dxa"/>
              <w:right w:w="0" w:type="dxa"/>
            </w:tcMar>
            <w:vAlign w:val="center"/>
          </w:tcPr>
          <w:p w14:paraId="7B5335B9"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133" w:type="dxa"/>
            <w:shd w:val="clear" w:color="auto" w:fill="FFFFFF"/>
            <w:tcMar>
              <w:top w:w="0" w:type="dxa"/>
              <w:left w:w="0" w:type="dxa"/>
              <w:bottom w:w="0" w:type="dxa"/>
              <w:right w:w="0" w:type="dxa"/>
            </w:tcMar>
            <w:vAlign w:val="center"/>
          </w:tcPr>
          <w:p w14:paraId="4240F17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139" w:type="dxa"/>
            <w:shd w:val="clear" w:color="auto" w:fill="FFFFFF"/>
            <w:tcMar>
              <w:top w:w="0" w:type="dxa"/>
              <w:left w:w="0" w:type="dxa"/>
              <w:bottom w:w="0" w:type="dxa"/>
              <w:right w:w="0" w:type="dxa"/>
            </w:tcMar>
            <w:vAlign w:val="center"/>
          </w:tcPr>
          <w:p w14:paraId="507D4F35"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r>
      <w:tr w:rsidR="00284207" w:rsidRPr="007115F2" w14:paraId="6523DE09" w14:textId="77777777" w:rsidTr="00BB280B">
        <w:trPr>
          <w:trHeight w:val="20"/>
        </w:trPr>
        <w:tc>
          <w:tcPr>
            <w:tcW w:w="5101"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5DF86"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133"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CE09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133"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0AA3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133"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EE40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139"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E0D5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r>
      <w:tr w:rsidR="00284207" w:rsidRPr="007115F2" w14:paraId="1AD6C938"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9E819"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9BEF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[0.342]</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069F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[0.333]</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F01B3"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[0.420]</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1145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[0.419]</w:t>
            </w:r>
          </w:p>
        </w:tc>
      </w:tr>
      <w:tr w:rsidR="00284207" w:rsidRPr="007115F2" w14:paraId="25040FEE"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21ADF"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7115F2">
              <w:rPr>
                <w:color w:val="000000" w:themeColor="text1"/>
                <w:sz w:val="22"/>
              </w:rPr>
              <w:t>Ln(Total_FirmSize)</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DB953"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-0.002</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B7699"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-0.002</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1B66D"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-0.002</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0748C"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-0.002</w:t>
            </w:r>
          </w:p>
        </w:tc>
      </w:tr>
      <w:tr w:rsidR="00284207" w:rsidRPr="007115F2" w14:paraId="6767719B"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3D49C"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03285"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F0DF5"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72A39"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BABB8"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r>
      <w:tr w:rsidR="00284207" w:rsidRPr="007115F2" w14:paraId="1C23A696"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E3741"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A7A54"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[&lt;0.001]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3A775"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[&lt;0.001]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BFD28"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[&lt;0.001]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BD694"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[&lt;0.001]</w:t>
            </w:r>
          </w:p>
        </w:tc>
      </w:tr>
      <w:tr w:rsidR="00284207" w:rsidRPr="007115F2" w14:paraId="7A645837"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A9286"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7115F2">
              <w:rPr>
                <w:color w:val="000000" w:themeColor="text1"/>
                <w:sz w:val="22"/>
              </w:rPr>
              <w:t>Relative_FirmSize</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3E3D6"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87BAF"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DB4A0"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0.000</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745FA"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0.000</w:t>
            </w:r>
          </w:p>
        </w:tc>
      </w:tr>
      <w:tr w:rsidR="00284207" w:rsidRPr="007115F2" w14:paraId="7525E840"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9325C"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DE157"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AB26D"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BE820"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4D615"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r>
      <w:tr w:rsidR="00284207" w:rsidRPr="007115F2" w14:paraId="7481FE57"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BCC92"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3D77A"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[&lt;0.001]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E4661"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[&lt;0.001]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EAFA8"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[&lt;0.001]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5B79E"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[&lt;0.001]</w:t>
            </w:r>
          </w:p>
        </w:tc>
      </w:tr>
      <w:tr w:rsidR="00284207" w:rsidRPr="007115F2" w14:paraId="011276EA"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7368F"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7115F2">
              <w:rPr>
                <w:color w:val="000000" w:themeColor="text1"/>
                <w:sz w:val="22"/>
              </w:rPr>
              <w:t>Relative_FirmPerformance</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4D59B"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0.010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363FD"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0.010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FC218"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0.010</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5DCC0"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0.010</w:t>
            </w:r>
          </w:p>
        </w:tc>
      </w:tr>
      <w:tr w:rsidR="00284207" w:rsidRPr="007115F2" w14:paraId="77BD1E62"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89539"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1779D"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(0.016)</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6810C"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(0.016)</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1A059"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(0.016)</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13AE5"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(0.016)</w:t>
            </w:r>
          </w:p>
        </w:tc>
      </w:tr>
      <w:tr w:rsidR="00284207" w:rsidRPr="007115F2" w14:paraId="16893619"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38279"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132F4"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[0.521]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C69B1"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[0.524]</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FAE33"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[0.533]</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AC0F5"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[0.537]</w:t>
            </w:r>
          </w:p>
        </w:tc>
      </w:tr>
      <w:tr w:rsidR="00284207" w:rsidRPr="007115F2" w14:paraId="6D337632"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D0E50"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7115F2">
              <w:rPr>
                <w:color w:val="000000" w:themeColor="text1"/>
                <w:sz w:val="22"/>
              </w:rPr>
              <w:t>Relative_RDIntensity</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AD381"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0B76F"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9E04F"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F1F5F"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-0.001</w:t>
            </w:r>
          </w:p>
        </w:tc>
      </w:tr>
      <w:tr w:rsidR="00284207" w:rsidRPr="007115F2" w14:paraId="5307B4DE"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A5193"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86685"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1C84B"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DC621"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6B482"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r>
      <w:tr w:rsidR="00284207" w:rsidRPr="007115F2" w14:paraId="533CE241"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29A16"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E3E59"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[0.481]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A9594"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[0.477]</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91FE9"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[0.482]</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A22FC"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[0.479]</w:t>
            </w:r>
          </w:p>
        </w:tc>
      </w:tr>
      <w:tr w:rsidR="00284207" w:rsidRPr="007115F2" w14:paraId="2B5B03BF"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0C71B"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7115F2">
              <w:rPr>
                <w:color w:val="000000" w:themeColor="text1"/>
                <w:sz w:val="22"/>
              </w:rPr>
              <w:t>Relative_AllianceExperience</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33B70"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C0F5C"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5DD77"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0.000</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DFC0B"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0.000</w:t>
            </w:r>
          </w:p>
        </w:tc>
      </w:tr>
      <w:tr w:rsidR="00284207" w:rsidRPr="007115F2" w14:paraId="22C1FF77"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B7061"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329B5"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3D0E2"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1368E"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6D83A"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r>
      <w:tr w:rsidR="00284207" w:rsidRPr="007115F2" w14:paraId="447519E5"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23C45"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ED3D8"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[0.270]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1E8D3"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[0.214]</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DBAF3"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[0.206]</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9BD04"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[0.152]</w:t>
            </w:r>
          </w:p>
        </w:tc>
      </w:tr>
      <w:tr w:rsidR="00284207" w:rsidRPr="007115F2" w14:paraId="169EB6A1"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F3F0E"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7115F2">
              <w:rPr>
                <w:color w:val="000000" w:themeColor="text1"/>
                <w:sz w:val="22"/>
              </w:rPr>
              <w:t>Alliance_RelationalEmbeddedness</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2E642"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85A94"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A920"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FDD6E"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-0.001</w:t>
            </w:r>
          </w:p>
        </w:tc>
      </w:tr>
      <w:tr w:rsidR="00284207" w:rsidRPr="007115F2" w14:paraId="4B050E4A"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10718"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9FDEF"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F87FA"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0469B"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17868"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r>
      <w:tr w:rsidR="00284207" w:rsidRPr="007115F2" w14:paraId="0953C486"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204ED"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3BBFC"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[0.064]</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F7BC1"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[0.053]</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B6058"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[0.084]</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C09E1"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[0.072]</w:t>
            </w:r>
          </w:p>
        </w:tc>
      </w:tr>
      <w:tr w:rsidR="00284207" w:rsidRPr="007115F2" w14:paraId="3FB6577A"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6FC9A"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7115F2">
              <w:rPr>
                <w:color w:val="000000" w:themeColor="text1"/>
                <w:sz w:val="22"/>
              </w:rPr>
              <w:t>Alliance_StructuralEmbeddedness</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59B6E"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0.004</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88BA0"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0.003</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14999"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0.003</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14F91"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0.002</w:t>
            </w:r>
          </w:p>
        </w:tc>
      </w:tr>
      <w:tr w:rsidR="00284207" w:rsidRPr="007115F2" w14:paraId="3E932509"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6A914"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1423A"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(0.006)</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67C5E"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(0.005)</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DFF10"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(0.005)</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EC548"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(0.005)</w:t>
            </w:r>
          </w:p>
        </w:tc>
      </w:tr>
      <w:tr w:rsidR="00284207" w:rsidRPr="007115F2" w14:paraId="377F4411"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0A7DB"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45160"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[0.519]</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2C163"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[0.563]</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1FA48"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[0.591]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B9E28"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[0.651]</w:t>
            </w:r>
          </w:p>
        </w:tc>
      </w:tr>
      <w:tr w:rsidR="00284207" w:rsidRPr="007115F2" w14:paraId="561E080F"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30A6E"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7115F2">
              <w:rPr>
                <w:color w:val="000000" w:themeColor="text1"/>
                <w:sz w:val="22"/>
              </w:rPr>
              <w:t>JV_Indicator</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3F806"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EE4C2"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AB393"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0.000</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80B15"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0.000</w:t>
            </w:r>
          </w:p>
        </w:tc>
      </w:tr>
      <w:tr w:rsidR="00284207" w:rsidRPr="007115F2" w14:paraId="523D559B"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802B6"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CE318"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10DE5"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F05E7"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21E33"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r>
      <w:tr w:rsidR="00284207" w:rsidRPr="007115F2" w14:paraId="6B4216BC"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9F54D"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44438"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[0.797]</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9E97D"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[0.828]</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F55BF"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[0.786]</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96B9B"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[0.816]</w:t>
            </w:r>
          </w:p>
        </w:tc>
      </w:tr>
      <w:tr w:rsidR="00284207" w:rsidRPr="007115F2" w14:paraId="4E37C9A8"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F2D32"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7115F2">
              <w:rPr>
                <w:color w:val="000000" w:themeColor="text1"/>
                <w:sz w:val="22"/>
              </w:rPr>
              <w:t>Equity_Indicator</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5BD98"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0.006</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72F50"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0.006</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EC14C"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0.006</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A262F"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0.006</w:t>
            </w:r>
          </w:p>
        </w:tc>
      </w:tr>
      <w:tr w:rsidR="00284207" w:rsidRPr="007115F2" w14:paraId="15BC9930"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00C65"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85AC8"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(0.007)</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F6734"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(0.007)</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6E060"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(0.007)</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A9C56"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(0.007)</w:t>
            </w:r>
          </w:p>
        </w:tc>
      </w:tr>
      <w:tr w:rsidR="00284207" w:rsidRPr="007115F2" w14:paraId="26F38171"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D8958"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AFD09"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[0.355]</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A3D14"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[0.425]</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5F6F0"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[0.357]</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F4AC0"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[0.428]</w:t>
            </w:r>
          </w:p>
        </w:tc>
      </w:tr>
      <w:tr w:rsidR="00284207" w:rsidRPr="007115F2" w14:paraId="60BBB39D"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98FC9"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7115F2">
              <w:rPr>
                <w:color w:val="000000" w:themeColor="text1"/>
                <w:sz w:val="22"/>
              </w:rPr>
              <w:t>Technology_Indicator</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DF3A6"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0.002</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91B25"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0.002</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32D62"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0.002</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10BBB"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0.002</w:t>
            </w:r>
          </w:p>
        </w:tc>
      </w:tr>
      <w:tr w:rsidR="00284207" w:rsidRPr="007115F2" w14:paraId="595D307C"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66E19"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A634F"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0D0AC"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243CF"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01047"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r>
      <w:tr w:rsidR="00284207" w:rsidRPr="007115F2" w14:paraId="1BA540FC"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9E3D4"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63399"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[0.312]</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670E4"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[0.310]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59B6B"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[0.310]</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82161"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[0.308]</w:t>
            </w:r>
          </w:p>
        </w:tc>
      </w:tr>
      <w:tr w:rsidR="00284207" w:rsidRPr="007115F2" w14:paraId="2FA4EC14"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AC69C"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7115F2">
              <w:rPr>
                <w:color w:val="000000" w:themeColor="text1"/>
                <w:sz w:val="22"/>
              </w:rPr>
              <w:t>ExplorationAlliance_Indicator</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22373"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-0.004</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6F3FD"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-0.004</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B273A"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-0.004</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C8848"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-0.003</w:t>
            </w:r>
          </w:p>
        </w:tc>
      </w:tr>
      <w:tr w:rsidR="00284207" w:rsidRPr="007115F2" w14:paraId="0BA3A25A"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17E66"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B05AC"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53935"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04FB0"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DFDF0"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(0.001)</w:t>
            </w:r>
          </w:p>
        </w:tc>
      </w:tr>
      <w:tr w:rsidR="00284207" w:rsidRPr="007115F2" w14:paraId="21FBB21F"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81916"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711EC"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rFonts w:eastAsia="Helvetica"/>
                <w:color w:val="000000" w:themeColor="text1"/>
                <w:sz w:val="22"/>
              </w:rPr>
              <w:t>[&lt;0.001]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755AA"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rFonts w:eastAsia="Helvetica"/>
                <w:color w:val="000000" w:themeColor="text1"/>
                <w:sz w:val="22"/>
              </w:rPr>
              <w:t>[&lt;0.001]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E26CF"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rFonts w:eastAsia="Helvetica"/>
                <w:color w:val="000000" w:themeColor="text1"/>
                <w:sz w:val="22"/>
              </w:rPr>
              <w:t>[&lt;0.001]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3BB0D"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rFonts w:eastAsia="Helvetica"/>
                <w:color w:val="000000" w:themeColor="text1"/>
                <w:sz w:val="22"/>
              </w:rPr>
              <w:t>[&lt;0.001]</w:t>
            </w:r>
          </w:p>
        </w:tc>
      </w:tr>
      <w:tr w:rsidR="00284207" w:rsidRPr="007115F2" w14:paraId="2366C5D9"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D2547"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7115F2">
              <w:rPr>
                <w:color w:val="000000" w:themeColor="text1"/>
                <w:sz w:val="22"/>
              </w:rPr>
              <w:t>InternationalAlliance_Indicator</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C02B6"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-0.002</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0EBDD"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-0.002</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55EC5"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-0.002</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16B1C"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-0.002</w:t>
            </w:r>
          </w:p>
        </w:tc>
      </w:tr>
      <w:tr w:rsidR="00284207" w:rsidRPr="007115F2" w14:paraId="442D1EEE"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0E3E8"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41F76"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7C616"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71A20"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2192F"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r>
      <w:tr w:rsidR="00284207" w:rsidRPr="007115F2" w14:paraId="78489F4D"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857DF"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FBD75"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[0.178]</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41B3B"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[0.216]</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56539"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[0.187]</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91DCB"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[0.230]</w:t>
            </w:r>
          </w:p>
        </w:tc>
      </w:tr>
      <w:tr w:rsidR="00284207" w:rsidRPr="007115F2" w14:paraId="15324ACE"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453C6"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7115F2">
              <w:rPr>
                <w:color w:val="000000" w:themeColor="text1"/>
                <w:sz w:val="22"/>
              </w:rPr>
              <w:t>Relatedness_Indicator</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E7DB7"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9A475"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6E136"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0.000</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AC41C"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0.000</w:t>
            </w:r>
          </w:p>
        </w:tc>
      </w:tr>
      <w:tr w:rsidR="00284207" w:rsidRPr="007115F2" w14:paraId="72F8CEC7"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C7224"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3967B"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0F0DB"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4EB49"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30E4F"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r>
      <w:tr w:rsidR="00284207" w:rsidRPr="007115F2" w14:paraId="649AD070"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19F94"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3D132"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[0.866]</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D6299"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[0.861]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C7619"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[0.926]</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B9A4A"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[0.924]</w:t>
            </w:r>
          </w:p>
        </w:tc>
      </w:tr>
      <w:tr w:rsidR="00284207" w:rsidRPr="007115F2" w14:paraId="3D7F56A0"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B4470"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7115F2">
              <w:rPr>
                <w:color w:val="000000" w:themeColor="text1"/>
                <w:sz w:val="22"/>
              </w:rPr>
              <w:t>Industry_Growth</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D37CE"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0.007</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2BFBD"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0.007</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290B3"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0.007</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5F11A"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0.007</w:t>
            </w:r>
          </w:p>
        </w:tc>
      </w:tr>
      <w:tr w:rsidR="00284207" w:rsidRPr="007115F2" w14:paraId="425960B1"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B0C58"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56C1A"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0FD03"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70E38"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941AD"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r>
      <w:tr w:rsidR="00284207" w:rsidRPr="007115F2" w14:paraId="1D7D86C2"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F2DC7"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C3670"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[0.003]</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12600"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[0.003]</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BBA81"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[0.003]</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E8B93"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[0.003]</w:t>
            </w:r>
          </w:p>
        </w:tc>
      </w:tr>
      <w:tr w:rsidR="00284207" w:rsidRPr="007115F2" w14:paraId="29D04AA4"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779CB"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7115F2">
              <w:rPr>
                <w:color w:val="000000" w:themeColor="text1"/>
                <w:sz w:val="22"/>
              </w:rPr>
              <w:t>Industry_Complementarity</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85F39"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-0.003</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9FEED"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-0.003</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58F41"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-0.004</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5A38E"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-0.003</w:t>
            </w:r>
          </w:p>
        </w:tc>
      </w:tr>
      <w:tr w:rsidR="00284207" w:rsidRPr="007115F2" w14:paraId="5EBB1E78"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C3711"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95793"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(0.003)</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1786C"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(0.003)</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58ECA"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(0.003)</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3C721"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(0.003)</w:t>
            </w:r>
          </w:p>
        </w:tc>
      </w:tr>
      <w:tr w:rsidR="00284207" w:rsidRPr="007115F2" w14:paraId="219CC65C"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CC77F"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E2E2C"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[0.221]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E426C"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[0.256]</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70D91"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[0.196]</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02F8C"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[0.227]</w:t>
            </w:r>
          </w:p>
        </w:tc>
      </w:tr>
      <w:tr w:rsidR="00284207" w:rsidRPr="007115F2" w14:paraId="015413FF"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26941"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7115F2">
              <w:rPr>
                <w:color w:val="000000" w:themeColor="text1"/>
                <w:sz w:val="22"/>
              </w:rPr>
              <w:t>Industry_RelatedScope</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C8E12"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32FDE"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01DA2"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0.000</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D9C5A"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0.000</w:t>
            </w:r>
          </w:p>
        </w:tc>
      </w:tr>
      <w:tr w:rsidR="00284207" w:rsidRPr="007115F2" w14:paraId="038BDEB1"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FD550"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70FF7"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C5B07"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CC0B4"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9BD31"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r>
      <w:tr w:rsidR="00284207" w:rsidRPr="007115F2" w14:paraId="4041FE62" w14:textId="77777777" w:rsidTr="00BB280B">
        <w:trPr>
          <w:trHeight w:val="20"/>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AD045"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4A1BB"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[0.719]</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D8BC1"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[0.761]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738AA"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[0.721]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5AB85"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[0.764]</w:t>
            </w:r>
          </w:p>
        </w:tc>
      </w:tr>
      <w:tr w:rsidR="00284207" w:rsidRPr="007115F2" w14:paraId="00FEAAE9" w14:textId="77777777" w:rsidTr="00BB280B">
        <w:trPr>
          <w:trHeight w:val="20"/>
        </w:trPr>
        <w:tc>
          <w:tcPr>
            <w:tcW w:w="5101" w:type="dxa"/>
            <w:shd w:val="clear" w:color="auto" w:fill="FFFFFF"/>
            <w:tcMar>
              <w:top w:w="0" w:type="dxa"/>
              <w:left w:w="0" w:type="dxa"/>
              <w:bottom w:w="0" w:type="dxa"/>
              <w:right w:w="0" w:type="dxa"/>
            </w:tcMar>
            <w:vAlign w:val="center"/>
          </w:tcPr>
          <w:p w14:paraId="3EC8D31D"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7115F2">
              <w:rPr>
                <w:color w:val="000000" w:themeColor="text1"/>
                <w:sz w:val="22"/>
              </w:rPr>
              <w:t>Year FE</w:t>
            </w:r>
          </w:p>
        </w:tc>
        <w:tc>
          <w:tcPr>
            <w:tcW w:w="1133" w:type="dxa"/>
            <w:shd w:val="clear" w:color="auto" w:fill="FFFFFF"/>
            <w:tcMar>
              <w:top w:w="0" w:type="dxa"/>
              <w:left w:w="0" w:type="dxa"/>
              <w:bottom w:w="0" w:type="dxa"/>
              <w:right w:w="0" w:type="dxa"/>
            </w:tcMar>
            <w:vAlign w:val="center"/>
          </w:tcPr>
          <w:p w14:paraId="3957CD63"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True</w:t>
            </w:r>
          </w:p>
        </w:tc>
        <w:tc>
          <w:tcPr>
            <w:tcW w:w="1133" w:type="dxa"/>
            <w:shd w:val="clear" w:color="auto" w:fill="FFFFFF"/>
            <w:tcMar>
              <w:top w:w="0" w:type="dxa"/>
              <w:left w:w="0" w:type="dxa"/>
              <w:bottom w:w="0" w:type="dxa"/>
              <w:right w:w="0" w:type="dxa"/>
            </w:tcMar>
            <w:vAlign w:val="center"/>
          </w:tcPr>
          <w:p w14:paraId="786F1E3C"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True</w:t>
            </w:r>
          </w:p>
        </w:tc>
        <w:tc>
          <w:tcPr>
            <w:tcW w:w="1133" w:type="dxa"/>
            <w:shd w:val="clear" w:color="auto" w:fill="FFFFFF"/>
            <w:tcMar>
              <w:top w:w="0" w:type="dxa"/>
              <w:left w:w="0" w:type="dxa"/>
              <w:bottom w:w="0" w:type="dxa"/>
              <w:right w:w="0" w:type="dxa"/>
            </w:tcMar>
            <w:vAlign w:val="center"/>
          </w:tcPr>
          <w:p w14:paraId="59E7EABE"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True</w:t>
            </w:r>
          </w:p>
        </w:tc>
        <w:tc>
          <w:tcPr>
            <w:tcW w:w="1139" w:type="dxa"/>
            <w:shd w:val="clear" w:color="auto" w:fill="FFFFFF"/>
            <w:tcMar>
              <w:top w:w="0" w:type="dxa"/>
              <w:left w:w="0" w:type="dxa"/>
              <w:bottom w:w="0" w:type="dxa"/>
              <w:right w:w="0" w:type="dxa"/>
            </w:tcMar>
            <w:vAlign w:val="center"/>
          </w:tcPr>
          <w:p w14:paraId="31255A1C"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True</w:t>
            </w:r>
          </w:p>
        </w:tc>
      </w:tr>
      <w:tr w:rsidR="00284207" w:rsidRPr="007115F2" w14:paraId="39958E2D" w14:textId="77777777" w:rsidTr="00BB280B">
        <w:trPr>
          <w:trHeight w:val="20"/>
        </w:trPr>
        <w:tc>
          <w:tcPr>
            <w:tcW w:w="5101" w:type="dxa"/>
            <w:shd w:val="clear" w:color="auto" w:fill="FFFFFF"/>
            <w:tcMar>
              <w:top w:w="0" w:type="dxa"/>
              <w:left w:w="0" w:type="dxa"/>
              <w:bottom w:w="0" w:type="dxa"/>
              <w:right w:w="0" w:type="dxa"/>
            </w:tcMar>
            <w:vAlign w:val="center"/>
          </w:tcPr>
          <w:p w14:paraId="44EF4BBD"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7115F2">
              <w:rPr>
                <w:color w:val="000000" w:themeColor="text1"/>
                <w:sz w:val="22"/>
              </w:rPr>
              <w:t>Industry Combination FE</w:t>
            </w:r>
          </w:p>
        </w:tc>
        <w:tc>
          <w:tcPr>
            <w:tcW w:w="1133" w:type="dxa"/>
            <w:shd w:val="clear" w:color="auto" w:fill="FFFFFF"/>
            <w:tcMar>
              <w:top w:w="0" w:type="dxa"/>
              <w:left w:w="0" w:type="dxa"/>
              <w:bottom w:w="0" w:type="dxa"/>
              <w:right w:w="0" w:type="dxa"/>
            </w:tcMar>
            <w:vAlign w:val="center"/>
          </w:tcPr>
          <w:p w14:paraId="2B397A1D"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True</w:t>
            </w:r>
          </w:p>
        </w:tc>
        <w:tc>
          <w:tcPr>
            <w:tcW w:w="1133" w:type="dxa"/>
            <w:shd w:val="clear" w:color="auto" w:fill="FFFFFF"/>
            <w:tcMar>
              <w:top w:w="0" w:type="dxa"/>
              <w:left w:w="0" w:type="dxa"/>
              <w:bottom w:w="0" w:type="dxa"/>
              <w:right w:w="0" w:type="dxa"/>
            </w:tcMar>
            <w:vAlign w:val="center"/>
          </w:tcPr>
          <w:p w14:paraId="570E716B"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True</w:t>
            </w:r>
          </w:p>
        </w:tc>
        <w:tc>
          <w:tcPr>
            <w:tcW w:w="1133" w:type="dxa"/>
            <w:shd w:val="clear" w:color="auto" w:fill="FFFFFF"/>
            <w:tcMar>
              <w:top w:w="0" w:type="dxa"/>
              <w:left w:w="0" w:type="dxa"/>
              <w:bottom w:w="0" w:type="dxa"/>
              <w:right w:w="0" w:type="dxa"/>
            </w:tcMar>
            <w:vAlign w:val="center"/>
          </w:tcPr>
          <w:p w14:paraId="6021E944"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True</w:t>
            </w:r>
          </w:p>
        </w:tc>
        <w:tc>
          <w:tcPr>
            <w:tcW w:w="1139" w:type="dxa"/>
            <w:shd w:val="clear" w:color="auto" w:fill="FFFFFF"/>
            <w:tcMar>
              <w:top w:w="0" w:type="dxa"/>
              <w:left w:w="0" w:type="dxa"/>
              <w:bottom w:w="0" w:type="dxa"/>
              <w:right w:w="0" w:type="dxa"/>
            </w:tcMar>
            <w:vAlign w:val="center"/>
          </w:tcPr>
          <w:p w14:paraId="0FFEB5EA"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True</w:t>
            </w:r>
          </w:p>
        </w:tc>
      </w:tr>
      <w:tr w:rsidR="00284207" w:rsidRPr="007115F2" w14:paraId="36B4E346" w14:textId="77777777" w:rsidTr="00BB280B">
        <w:trPr>
          <w:trHeight w:val="20"/>
        </w:trPr>
        <w:tc>
          <w:tcPr>
            <w:tcW w:w="5101" w:type="dxa"/>
            <w:shd w:val="clear" w:color="auto" w:fill="FFFFFF"/>
            <w:tcMar>
              <w:top w:w="0" w:type="dxa"/>
              <w:left w:w="0" w:type="dxa"/>
              <w:bottom w:w="0" w:type="dxa"/>
              <w:right w:w="0" w:type="dxa"/>
            </w:tcMar>
            <w:vAlign w:val="center"/>
          </w:tcPr>
          <w:p w14:paraId="397C28B8"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jc w:val="left"/>
              <w:rPr>
                <w:color w:val="000000" w:themeColor="text1"/>
                <w:sz w:val="22"/>
              </w:rPr>
            </w:pPr>
            <w:r w:rsidRPr="007115F2">
              <w:rPr>
                <w:color w:val="000000" w:themeColor="text1"/>
                <w:sz w:val="22"/>
              </w:rPr>
              <w:t>Adjusted R-Squared</w:t>
            </w:r>
          </w:p>
        </w:tc>
        <w:tc>
          <w:tcPr>
            <w:tcW w:w="1133" w:type="dxa"/>
            <w:shd w:val="clear" w:color="auto" w:fill="FFFFFF"/>
            <w:tcMar>
              <w:top w:w="0" w:type="dxa"/>
              <w:left w:w="0" w:type="dxa"/>
              <w:bottom w:w="0" w:type="dxa"/>
              <w:right w:w="0" w:type="dxa"/>
            </w:tcMar>
            <w:vAlign w:val="center"/>
          </w:tcPr>
          <w:p w14:paraId="6B32E28C"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0.125</w:t>
            </w:r>
          </w:p>
        </w:tc>
        <w:tc>
          <w:tcPr>
            <w:tcW w:w="1133" w:type="dxa"/>
            <w:shd w:val="clear" w:color="auto" w:fill="FFFFFF"/>
            <w:tcMar>
              <w:top w:w="0" w:type="dxa"/>
              <w:left w:w="0" w:type="dxa"/>
              <w:bottom w:w="0" w:type="dxa"/>
              <w:right w:w="0" w:type="dxa"/>
            </w:tcMar>
            <w:vAlign w:val="center"/>
          </w:tcPr>
          <w:p w14:paraId="1A2A0E8C"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0.129</w:t>
            </w:r>
          </w:p>
        </w:tc>
        <w:tc>
          <w:tcPr>
            <w:tcW w:w="1133" w:type="dxa"/>
            <w:shd w:val="clear" w:color="auto" w:fill="FFFFFF"/>
            <w:tcMar>
              <w:top w:w="0" w:type="dxa"/>
              <w:left w:w="0" w:type="dxa"/>
              <w:bottom w:w="0" w:type="dxa"/>
              <w:right w:w="0" w:type="dxa"/>
            </w:tcMar>
            <w:vAlign w:val="center"/>
          </w:tcPr>
          <w:p w14:paraId="5A7CC3BC"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0.126</w:t>
            </w:r>
          </w:p>
        </w:tc>
        <w:tc>
          <w:tcPr>
            <w:tcW w:w="1139" w:type="dxa"/>
            <w:shd w:val="clear" w:color="auto" w:fill="FFFFFF"/>
            <w:tcMar>
              <w:top w:w="0" w:type="dxa"/>
              <w:left w:w="0" w:type="dxa"/>
              <w:bottom w:w="0" w:type="dxa"/>
              <w:right w:w="0" w:type="dxa"/>
            </w:tcMar>
            <w:vAlign w:val="center"/>
          </w:tcPr>
          <w:p w14:paraId="7F6DE9F2"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0.130</w:t>
            </w:r>
          </w:p>
        </w:tc>
      </w:tr>
      <w:tr w:rsidR="00284207" w:rsidRPr="007115F2" w14:paraId="4D8FE309" w14:textId="77777777" w:rsidTr="00BB280B">
        <w:trPr>
          <w:trHeight w:val="20"/>
        </w:trPr>
        <w:tc>
          <w:tcPr>
            <w:tcW w:w="5101" w:type="dxa"/>
            <w:tcBorders>
              <w:bottom w:val="single" w:sz="4" w:space="0" w:color="auto"/>
            </w:tcBorders>
            <w:shd w:val="clear" w:color="auto" w:fill="FFFFFF"/>
            <w:tcMar>
              <w:top w:w="0" w:type="dxa"/>
              <w:left w:w="0" w:type="dxa"/>
              <w:bottom w:w="0" w:type="dxa"/>
              <w:right w:w="0" w:type="dxa"/>
            </w:tcMar>
            <w:vAlign w:val="center"/>
          </w:tcPr>
          <w:p w14:paraId="547FBFBB"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r w:rsidRPr="007115F2">
              <w:rPr>
                <w:color w:val="000000" w:themeColor="text1"/>
                <w:sz w:val="22"/>
              </w:rPr>
              <w:t>Observations</w:t>
            </w:r>
          </w:p>
        </w:tc>
        <w:tc>
          <w:tcPr>
            <w:tcW w:w="1133" w:type="dxa"/>
            <w:tcBorders>
              <w:bottom w:val="single" w:sz="4" w:space="0" w:color="auto"/>
            </w:tcBorders>
            <w:shd w:val="clear" w:color="auto" w:fill="FFFFFF"/>
            <w:tcMar>
              <w:top w:w="0" w:type="dxa"/>
              <w:left w:w="0" w:type="dxa"/>
              <w:bottom w:w="0" w:type="dxa"/>
              <w:right w:w="0" w:type="dxa"/>
            </w:tcMar>
            <w:vAlign w:val="center"/>
          </w:tcPr>
          <w:p w14:paraId="43EB57D4"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2,102</w:t>
            </w:r>
          </w:p>
        </w:tc>
        <w:tc>
          <w:tcPr>
            <w:tcW w:w="1133" w:type="dxa"/>
            <w:tcBorders>
              <w:bottom w:val="single" w:sz="4" w:space="0" w:color="auto"/>
            </w:tcBorders>
            <w:shd w:val="clear" w:color="auto" w:fill="FFFFFF"/>
            <w:tcMar>
              <w:top w:w="0" w:type="dxa"/>
              <w:left w:w="0" w:type="dxa"/>
              <w:bottom w:w="0" w:type="dxa"/>
              <w:right w:w="0" w:type="dxa"/>
            </w:tcMar>
            <w:vAlign w:val="center"/>
          </w:tcPr>
          <w:p w14:paraId="36953343"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2,102</w:t>
            </w:r>
          </w:p>
        </w:tc>
        <w:tc>
          <w:tcPr>
            <w:tcW w:w="1133" w:type="dxa"/>
            <w:tcBorders>
              <w:bottom w:val="single" w:sz="4" w:space="0" w:color="auto"/>
            </w:tcBorders>
            <w:shd w:val="clear" w:color="auto" w:fill="FFFFFF"/>
            <w:tcMar>
              <w:top w:w="0" w:type="dxa"/>
              <w:left w:w="0" w:type="dxa"/>
              <w:bottom w:w="0" w:type="dxa"/>
              <w:right w:w="0" w:type="dxa"/>
            </w:tcMar>
            <w:vAlign w:val="center"/>
          </w:tcPr>
          <w:p w14:paraId="14DC639D"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2,102</w:t>
            </w:r>
          </w:p>
        </w:tc>
        <w:tc>
          <w:tcPr>
            <w:tcW w:w="1139" w:type="dxa"/>
            <w:tcBorders>
              <w:bottom w:val="single" w:sz="4" w:space="0" w:color="auto"/>
            </w:tcBorders>
            <w:shd w:val="clear" w:color="auto" w:fill="FFFFFF"/>
            <w:tcMar>
              <w:top w:w="0" w:type="dxa"/>
              <w:left w:w="0" w:type="dxa"/>
              <w:bottom w:w="0" w:type="dxa"/>
              <w:right w:w="0" w:type="dxa"/>
            </w:tcMar>
            <w:vAlign w:val="center"/>
          </w:tcPr>
          <w:p w14:paraId="65E64271" w14:textId="77777777" w:rsidR="00284207" w:rsidRPr="007115F2" w:rsidRDefault="00284207" w:rsidP="007C051A">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ind w:left="100"/>
              <w:jc w:val="center"/>
              <w:rPr>
                <w:color w:val="000000" w:themeColor="text1"/>
                <w:sz w:val="22"/>
              </w:rPr>
            </w:pPr>
            <w:r w:rsidRPr="007115F2">
              <w:rPr>
                <w:color w:val="000000" w:themeColor="text1"/>
                <w:sz w:val="22"/>
              </w:rPr>
              <w:t>2,102</w:t>
            </w:r>
          </w:p>
        </w:tc>
      </w:tr>
      <w:tr w:rsidR="00284207" w:rsidRPr="00BE5632" w14:paraId="06B258FD" w14:textId="77777777" w:rsidTr="00BB280B">
        <w:trPr>
          <w:trHeight w:val="409"/>
        </w:trPr>
        <w:tc>
          <w:tcPr>
            <w:tcW w:w="9639" w:type="dxa"/>
            <w:gridSpan w:val="5"/>
            <w:tcBorders>
              <w:top w:val="single" w:sz="4" w:space="0" w:color="auto"/>
            </w:tcBorders>
            <w:shd w:val="clear" w:color="auto" w:fill="FFFFFF"/>
            <w:tcMar>
              <w:top w:w="0" w:type="dxa"/>
              <w:left w:w="0" w:type="dxa"/>
              <w:bottom w:w="0" w:type="dxa"/>
              <w:right w:w="0" w:type="dxa"/>
            </w:tcMar>
            <w:vAlign w:val="center"/>
          </w:tcPr>
          <w:p w14:paraId="24059F05" w14:textId="77777777" w:rsidR="00284207" w:rsidRPr="007115F2" w:rsidRDefault="00284207" w:rsidP="00D137E4">
            <w:pPr>
              <w:widowControl w:val="0"/>
              <w:suppressLineNumbers/>
              <w:suppressAutoHyphens/>
              <w:autoSpaceDE w:val="0"/>
              <w:autoSpaceDN w:val="0"/>
              <w:adjustRightInd w:val="0"/>
              <w:spacing w:line="240" w:lineRule="auto"/>
              <w:rPr>
                <w:color w:val="000000" w:themeColor="text1"/>
                <w:sz w:val="22"/>
                <w:lang w:val="en-US"/>
              </w:rPr>
            </w:pPr>
            <w:r w:rsidRPr="007115F2">
              <w:rPr>
                <w:i/>
                <w:iCs/>
                <w:color w:val="000000" w:themeColor="text1"/>
                <w:sz w:val="22"/>
                <w:lang w:val="en-US"/>
              </w:rPr>
              <w:t xml:space="preserve">Notes. </w:t>
            </w:r>
            <w:r w:rsidRPr="007115F2">
              <w:rPr>
                <w:color w:val="000000" w:themeColor="text1"/>
                <w:sz w:val="22"/>
                <w:lang w:val="en-US"/>
              </w:rPr>
              <w:t>This table presents results from a two-way fixed effects regression examining the influence of direct and indirect board interlocks on differential returns for the three days around the alliance announcement date [-1;1]. Constant terms are estimated but not reported. Standard errors are clustered by 2-digit SIC code combinations of alliance partners to account for potential industry-related correlations in the error terms. Industry combination and year fixed effects are included to control for unobservable heterogeneity and common time-related factors. Standard errors in parentheses. Exact p-values in brackets. A detailed description of the variables can be found in the online supplement.</w:t>
            </w:r>
          </w:p>
        </w:tc>
      </w:tr>
    </w:tbl>
    <w:p w14:paraId="7310D7BF" w14:textId="77777777" w:rsidR="00D438D5" w:rsidRDefault="00D438D5">
      <w:pPr>
        <w:spacing w:after="160" w:line="259" w:lineRule="auto"/>
        <w:jc w:val="left"/>
        <w:rPr>
          <w:rFonts w:eastAsiaTheme="majorEastAsia" w:cstheme="majorBidi"/>
          <w:b/>
          <w:caps/>
          <w:szCs w:val="32"/>
          <w:lang w:val="en-US"/>
        </w:rPr>
      </w:pPr>
      <w:r w:rsidRPr="00024B2F">
        <w:rPr>
          <w:lang w:val="en-US"/>
        </w:rPr>
        <w:br w:type="page"/>
      </w:r>
    </w:p>
    <w:p w14:paraId="285B6EE7" w14:textId="70E74361" w:rsidR="00403DA7" w:rsidRDefault="00403DA7" w:rsidP="0005400E">
      <w:pPr>
        <w:pStyle w:val="1fake"/>
      </w:pPr>
      <w:r w:rsidRPr="0082138A">
        <w:lastRenderedPageBreak/>
        <w:t xml:space="preserve">TABLE </w:t>
      </w:r>
      <w:r w:rsidR="00764DAC">
        <w:t>5</w:t>
      </w:r>
    </w:p>
    <w:p w14:paraId="57E7E261" w14:textId="4E2194E6" w:rsidR="005E57A0" w:rsidRDefault="005E57A0" w:rsidP="0037709C">
      <w:pPr>
        <w:pStyle w:val="Beschriftung"/>
      </w:pPr>
      <w:bookmarkStart w:id="395" w:name="_Toc180594818"/>
      <w:r>
        <w:t xml:space="preserve">T - II - </w:t>
      </w:r>
      <w:r>
        <w:fldChar w:fldCharType="begin"/>
      </w:r>
      <w:r>
        <w:instrText xml:space="preserve"> SEQ T_-_II_- \* ARABIC </w:instrText>
      </w:r>
      <w:r>
        <w:fldChar w:fldCharType="separate"/>
      </w:r>
      <w:r w:rsidR="00E91088">
        <w:rPr>
          <w:noProof/>
        </w:rPr>
        <w:t>6</w:t>
      </w:r>
      <w:r>
        <w:fldChar w:fldCharType="end"/>
      </w:r>
      <w:r>
        <w:t xml:space="preserve">: </w:t>
      </w:r>
      <w:r w:rsidRPr="003029E8">
        <w:t>Regression analysis of moderating effects</w:t>
      </w:r>
      <w:bookmarkEnd w:id="395"/>
    </w:p>
    <w:tbl>
      <w:tblPr>
        <w:tblW w:w="9072" w:type="dxa"/>
        <w:tblLayout w:type="fixed"/>
        <w:tblCellMar>
          <w:top w:w="28" w:type="dxa"/>
          <w:left w:w="28" w:type="dxa"/>
          <w:bottom w:w="28" w:type="dxa"/>
          <w:right w:w="28" w:type="dxa"/>
        </w:tblCellMar>
        <w:tblLook w:val="0420" w:firstRow="1" w:lastRow="0" w:firstColumn="0" w:lastColumn="0" w:noHBand="0" w:noVBand="1"/>
      </w:tblPr>
      <w:tblGrid>
        <w:gridCol w:w="3119"/>
        <w:gridCol w:w="1417"/>
        <w:gridCol w:w="1267"/>
        <w:gridCol w:w="217"/>
        <w:gridCol w:w="217"/>
        <w:gridCol w:w="1418"/>
        <w:gridCol w:w="1285"/>
        <w:gridCol w:w="132"/>
      </w:tblGrid>
      <w:tr w:rsidR="00284207" w:rsidRPr="007115F2" w14:paraId="1B530D5C" w14:textId="77777777" w:rsidTr="001930F6">
        <w:tc>
          <w:tcPr>
            <w:tcW w:w="3119" w:type="dxa"/>
            <w:tcBorders>
              <w:top w:val="single" w:sz="4" w:space="0" w:color="auto"/>
            </w:tcBorders>
            <w:shd w:val="clear" w:color="auto" w:fill="FFFFFF"/>
            <w:tcMar>
              <w:top w:w="0" w:type="dxa"/>
              <w:left w:w="0" w:type="dxa"/>
              <w:bottom w:w="0" w:type="dxa"/>
              <w:right w:w="0" w:type="dxa"/>
            </w:tcMar>
          </w:tcPr>
          <w:p w14:paraId="532BD3C2" w14:textId="77777777" w:rsidR="00284207" w:rsidRPr="007115F2" w:rsidRDefault="00284207" w:rsidP="007C051A">
            <w:pPr>
              <w:widowControl w:val="0"/>
              <w:suppressLineNumbers/>
              <w:suppressAutoHyphens/>
              <w:autoSpaceDE w:val="0"/>
              <w:autoSpaceDN w:val="0"/>
              <w:adjustRightInd w:val="0"/>
              <w:spacing w:line="240" w:lineRule="auto"/>
              <w:jc w:val="left"/>
              <w:rPr>
                <w:b/>
                <w:bCs/>
                <w:color w:val="000000" w:themeColor="text1"/>
                <w:sz w:val="22"/>
                <w:lang w:val="en-US"/>
              </w:rPr>
            </w:pPr>
          </w:p>
        </w:tc>
        <w:tc>
          <w:tcPr>
            <w:tcW w:w="2684" w:type="dxa"/>
            <w:gridSpan w:val="2"/>
            <w:tcBorders>
              <w:top w:val="single" w:sz="4" w:space="0" w:color="auto"/>
            </w:tcBorders>
            <w:shd w:val="clear" w:color="auto" w:fill="FFFFFF"/>
            <w:tcMar>
              <w:top w:w="0" w:type="dxa"/>
              <w:left w:w="0" w:type="dxa"/>
              <w:bottom w:w="0" w:type="dxa"/>
              <w:right w:w="0" w:type="dxa"/>
            </w:tcMar>
          </w:tcPr>
          <w:p w14:paraId="53678E38" w14:textId="77777777" w:rsidR="00284207" w:rsidRPr="007115F2" w:rsidRDefault="00284207" w:rsidP="007C051A">
            <w:pPr>
              <w:widowControl w:val="0"/>
              <w:suppressLineNumbers/>
              <w:suppressAutoHyphens/>
              <w:autoSpaceDE w:val="0"/>
              <w:autoSpaceDN w:val="0"/>
              <w:adjustRightInd w:val="0"/>
              <w:spacing w:line="240" w:lineRule="auto"/>
              <w:jc w:val="center"/>
              <w:rPr>
                <w:b/>
                <w:bCs/>
                <w:color w:val="000000" w:themeColor="text1"/>
                <w:sz w:val="22"/>
              </w:rPr>
            </w:pPr>
            <w:r w:rsidRPr="007115F2">
              <w:rPr>
                <w:b/>
                <w:bCs/>
                <w:color w:val="000000" w:themeColor="text1"/>
                <w:sz w:val="22"/>
              </w:rPr>
              <w:t>Direct Board Interlocks</w:t>
            </w:r>
          </w:p>
        </w:tc>
        <w:tc>
          <w:tcPr>
            <w:tcW w:w="217" w:type="dxa"/>
            <w:tcBorders>
              <w:top w:val="single" w:sz="4" w:space="0" w:color="auto"/>
            </w:tcBorders>
            <w:shd w:val="clear" w:color="auto" w:fill="FFFFFF"/>
            <w:tcMar>
              <w:top w:w="0" w:type="dxa"/>
              <w:left w:w="0" w:type="dxa"/>
              <w:bottom w:w="0" w:type="dxa"/>
              <w:right w:w="0" w:type="dxa"/>
            </w:tcMar>
          </w:tcPr>
          <w:p w14:paraId="46C7E4E4" w14:textId="77777777" w:rsidR="00284207" w:rsidRPr="007115F2" w:rsidRDefault="00284207" w:rsidP="007C051A">
            <w:pPr>
              <w:widowControl w:val="0"/>
              <w:suppressLineNumbers/>
              <w:suppressAutoHyphens/>
              <w:autoSpaceDE w:val="0"/>
              <w:autoSpaceDN w:val="0"/>
              <w:adjustRightInd w:val="0"/>
              <w:spacing w:line="240" w:lineRule="auto"/>
              <w:jc w:val="center"/>
              <w:rPr>
                <w:b/>
                <w:bCs/>
                <w:color w:val="000000" w:themeColor="text1"/>
                <w:sz w:val="22"/>
              </w:rPr>
            </w:pPr>
          </w:p>
        </w:tc>
        <w:tc>
          <w:tcPr>
            <w:tcW w:w="217" w:type="dxa"/>
            <w:tcBorders>
              <w:top w:val="single" w:sz="4" w:space="0" w:color="auto"/>
            </w:tcBorders>
            <w:shd w:val="clear" w:color="auto" w:fill="FFFFFF"/>
          </w:tcPr>
          <w:p w14:paraId="7DA4E3E7" w14:textId="77777777" w:rsidR="00284207" w:rsidRPr="007115F2" w:rsidRDefault="00284207" w:rsidP="007C051A">
            <w:pPr>
              <w:widowControl w:val="0"/>
              <w:suppressLineNumbers/>
              <w:suppressAutoHyphens/>
              <w:autoSpaceDE w:val="0"/>
              <w:autoSpaceDN w:val="0"/>
              <w:adjustRightInd w:val="0"/>
              <w:spacing w:line="240" w:lineRule="auto"/>
              <w:jc w:val="center"/>
              <w:rPr>
                <w:b/>
                <w:bCs/>
                <w:color w:val="000000" w:themeColor="text1"/>
                <w:sz w:val="22"/>
              </w:rPr>
            </w:pPr>
          </w:p>
        </w:tc>
        <w:tc>
          <w:tcPr>
            <w:tcW w:w="2703" w:type="dxa"/>
            <w:gridSpan w:val="2"/>
            <w:tcBorders>
              <w:top w:val="single" w:sz="4" w:space="0" w:color="auto"/>
            </w:tcBorders>
            <w:shd w:val="clear" w:color="auto" w:fill="FFFFFF"/>
            <w:tcMar>
              <w:top w:w="0" w:type="dxa"/>
              <w:left w:w="0" w:type="dxa"/>
              <w:bottom w:w="0" w:type="dxa"/>
              <w:right w:w="0" w:type="dxa"/>
            </w:tcMar>
          </w:tcPr>
          <w:p w14:paraId="39C81665" w14:textId="77777777" w:rsidR="00284207" w:rsidRPr="007115F2" w:rsidRDefault="00284207" w:rsidP="007C051A">
            <w:pPr>
              <w:widowControl w:val="0"/>
              <w:suppressLineNumbers/>
              <w:suppressAutoHyphens/>
              <w:autoSpaceDE w:val="0"/>
              <w:autoSpaceDN w:val="0"/>
              <w:adjustRightInd w:val="0"/>
              <w:spacing w:line="240" w:lineRule="auto"/>
              <w:jc w:val="center"/>
              <w:rPr>
                <w:b/>
                <w:bCs/>
                <w:color w:val="000000" w:themeColor="text1"/>
                <w:sz w:val="22"/>
              </w:rPr>
            </w:pPr>
            <w:r w:rsidRPr="007115F2">
              <w:rPr>
                <w:b/>
                <w:bCs/>
                <w:color w:val="000000" w:themeColor="text1"/>
                <w:sz w:val="22"/>
              </w:rPr>
              <w:t>Indirect Board Interlocks</w:t>
            </w:r>
          </w:p>
        </w:tc>
        <w:tc>
          <w:tcPr>
            <w:tcW w:w="132" w:type="dxa"/>
            <w:tcBorders>
              <w:top w:val="single" w:sz="4" w:space="0" w:color="auto"/>
            </w:tcBorders>
            <w:shd w:val="clear" w:color="auto" w:fill="FFFFFF"/>
            <w:tcMar>
              <w:top w:w="0" w:type="dxa"/>
              <w:left w:w="0" w:type="dxa"/>
              <w:bottom w:w="0" w:type="dxa"/>
              <w:right w:w="0" w:type="dxa"/>
            </w:tcMar>
          </w:tcPr>
          <w:p w14:paraId="4C0FF5BC" w14:textId="77777777" w:rsidR="00284207" w:rsidRPr="007115F2" w:rsidRDefault="00284207" w:rsidP="007C051A">
            <w:pPr>
              <w:widowControl w:val="0"/>
              <w:suppressLineNumbers/>
              <w:suppressAutoHyphens/>
              <w:autoSpaceDE w:val="0"/>
              <w:autoSpaceDN w:val="0"/>
              <w:adjustRightInd w:val="0"/>
              <w:spacing w:line="240" w:lineRule="auto"/>
              <w:jc w:val="center"/>
              <w:rPr>
                <w:b/>
                <w:bCs/>
                <w:color w:val="000000" w:themeColor="text1"/>
                <w:sz w:val="22"/>
              </w:rPr>
            </w:pPr>
          </w:p>
        </w:tc>
      </w:tr>
      <w:tr w:rsidR="00284207" w:rsidRPr="007115F2" w14:paraId="65E9E439" w14:textId="77777777" w:rsidTr="001930F6">
        <w:trPr>
          <w:trHeight w:val="20"/>
        </w:trPr>
        <w:tc>
          <w:tcPr>
            <w:tcW w:w="3119" w:type="dxa"/>
            <w:tcBorders>
              <w:bottom w:val="single" w:sz="4" w:space="0" w:color="auto"/>
            </w:tcBorders>
            <w:shd w:val="clear" w:color="auto" w:fill="FFFFFF"/>
            <w:tcMar>
              <w:top w:w="0" w:type="dxa"/>
              <w:left w:w="0" w:type="dxa"/>
              <w:bottom w:w="0" w:type="dxa"/>
              <w:right w:w="0" w:type="dxa"/>
            </w:tcMar>
            <w:vAlign w:val="center"/>
          </w:tcPr>
          <w:p w14:paraId="5C3430A7" w14:textId="77777777" w:rsidR="00284207" w:rsidRPr="007115F2" w:rsidRDefault="00284207" w:rsidP="007C051A">
            <w:pPr>
              <w:widowControl w:val="0"/>
              <w:suppressLineNumbers/>
              <w:suppressAutoHyphens/>
              <w:autoSpaceDE w:val="0"/>
              <w:autoSpaceDN w:val="0"/>
              <w:adjustRightInd w:val="0"/>
              <w:spacing w:line="240" w:lineRule="auto"/>
              <w:jc w:val="left"/>
              <w:rPr>
                <w:b/>
                <w:bCs/>
                <w:color w:val="000000" w:themeColor="text1"/>
                <w:sz w:val="22"/>
              </w:rPr>
            </w:pPr>
            <w:r w:rsidRPr="007115F2">
              <w:rPr>
                <w:b/>
                <w:bCs/>
                <w:color w:val="000000" w:themeColor="text1"/>
                <w:sz w:val="22"/>
              </w:rPr>
              <w:t>Model</w:t>
            </w:r>
          </w:p>
        </w:tc>
        <w:tc>
          <w:tcPr>
            <w:tcW w:w="1417" w:type="dxa"/>
            <w:tcBorders>
              <w:bottom w:val="single" w:sz="4" w:space="0" w:color="auto"/>
            </w:tcBorders>
            <w:shd w:val="clear" w:color="auto" w:fill="FFFFFF"/>
            <w:tcMar>
              <w:top w:w="0" w:type="dxa"/>
              <w:left w:w="0" w:type="dxa"/>
              <w:bottom w:w="0" w:type="dxa"/>
              <w:right w:w="0" w:type="dxa"/>
            </w:tcMar>
            <w:vAlign w:val="center"/>
          </w:tcPr>
          <w:p w14:paraId="593B5347" w14:textId="77777777" w:rsidR="00284207" w:rsidRPr="007115F2" w:rsidRDefault="00284207" w:rsidP="007C051A">
            <w:pPr>
              <w:widowControl w:val="0"/>
              <w:suppressLineNumbers/>
              <w:suppressAutoHyphens/>
              <w:autoSpaceDE w:val="0"/>
              <w:autoSpaceDN w:val="0"/>
              <w:adjustRightInd w:val="0"/>
              <w:spacing w:line="240" w:lineRule="auto"/>
              <w:jc w:val="center"/>
              <w:rPr>
                <w:b/>
                <w:bCs/>
                <w:color w:val="000000" w:themeColor="text1"/>
                <w:sz w:val="22"/>
              </w:rPr>
            </w:pPr>
            <w:r w:rsidRPr="007115F2">
              <w:rPr>
                <w:b/>
                <w:bCs/>
                <w:color w:val="000000" w:themeColor="text1"/>
                <w:sz w:val="22"/>
              </w:rPr>
              <w:t>(5)</w:t>
            </w:r>
          </w:p>
        </w:tc>
        <w:tc>
          <w:tcPr>
            <w:tcW w:w="1267" w:type="dxa"/>
            <w:tcBorders>
              <w:bottom w:val="single" w:sz="4" w:space="0" w:color="auto"/>
            </w:tcBorders>
            <w:shd w:val="clear" w:color="auto" w:fill="FFFFFF"/>
            <w:tcMar>
              <w:top w:w="0" w:type="dxa"/>
              <w:left w:w="0" w:type="dxa"/>
              <w:bottom w:w="0" w:type="dxa"/>
              <w:right w:w="0" w:type="dxa"/>
            </w:tcMar>
          </w:tcPr>
          <w:p w14:paraId="53F6B81D" w14:textId="77777777" w:rsidR="00284207" w:rsidRPr="007115F2" w:rsidRDefault="00284207" w:rsidP="007C051A">
            <w:pPr>
              <w:widowControl w:val="0"/>
              <w:suppressLineNumbers/>
              <w:suppressAutoHyphens/>
              <w:autoSpaceDE w:val="0"/>
              <w:autoSpaceDN w:val="0"/>
              <w:adjustRightInd w:val="0"/>
              <w:spacing w:line="240" w:lineRule="auto"/>
              <w:jc w:val="center"/>
              <w:rPr>
                <w:b/>
                <w:bCs/>
                <w:color w:val="000000" w:themeColor="text1"/>
                <w:sz w:val="22"/>
              </w:rPr>
            </w:pPr>
            <w:r w:rsidRPr="007115F2">
              <w:rPr>
                <w:b/>
                <w:bCs/>
                <w:color w:val="000000" w:themeColor="text1"/>
                <w:sz w:val="22"/>
              </w:rPr>
              <w:t>(6)</w:t>
            </w:r>
          </w:p>
        </w:tc>
        <w:tc>
          <w:tcPr>
            <w:tcW w:w="217" w:type="dxa"/>
            <w:tcBorders>
              <w:bottom w:val="single" w:sz="4" w:space="0" w:color="auto"/>
            </w:tcBorders>
            <w:shd w:val="clear" w:color="auto" w:fill="FFFFFF"/>
            <w:tcMar>
              <w:top w:w="0" w:type="dxa"/>
              <w:left w:w="0" w:type="dxa"/>
              <w:bottom w:w="0" w:type="dxa"/>
              <w:right w:w="0" w:type="dxa"/>
            </w:tcMar>
          </w:tcPr>
          <w:p w14:paraId="3B020AE6" w14:textId="77777777" w:rsidR="00284207" w:rsidRPr="007115F2" w:rsidRDefault="00284207" w:rsidP="007C051A">
            <w:pPr>
              <w:widowControl w:val="0"/>
              <w:suppressLineNumbers/>
              <w:suppressAutoHyphens/>
              <w:autoSpaceDE w:val="0"/>
              <w:autoSpaceDN w:val="0"/>
              <w:adjustRightInd w:val="0"/>
              <w:spacing w:line="240" w:lineRule="auto"/>
              <w:jc w:val="center"/>
              <w:rPr>
                <w:b/>
                <w:bCs/>
                <w:color w:val="000000" w:themeColor="text1"/>
                <w:sz w:val="22"/>
              </w:rPr>
            </w:pPr>
          </w:p>
        </w:tc>
        <w:tc>
          <w:tcPr>
            <w:tcW w:w="217" w:type="dxa"/>
            <w:tcBorders>
              <w:bottom w:val="single" w:sz="4" w:space="0" w:color="auto"/>
            </w:tcBorders>
            <w:shd w:val="clear" w:color="auto" w:fill="FFFFFF"/>
            <w:vAlign w:val="center"/>
          </w:tcPr>
          <w:p w14:paraId="5868F5A4" w14:textId="77777777" w:rsidR="00284207" w:rsidRPr="007115F2" w:rsidRDefault="00284207" w:rsidP="007C051A">
            <w:pPr>
              <w:widowControl w:val="0"/>
              <w:suppressLineNumbers/>
              <w:suppressAutoHyphens/>
              <w:autoSpaceDE w:val="0"/>
              <w:autoSpaceDN w:val="0"/>
              <w:adjustRightInd w:val="0"/>
              <w:spacing w:line="240" w:lineRule="auto"/>
              <w:jc w:val="center"/>
              <w:rPr>
                <w:b/>
                <w:bCs/>
                <w:color w:val="000000" w:themeColor="text1"/>
                <w:sz w:val="22"/>
              </w:rPr>
            </w:pPr>
          </w:p>
        </w:tc>
        <w:tc>
          <w:tcPr>
            <w:tcW w:w="1418" w:type="dxa"/>
            <w:tcBorders>
              <w:bottom w:val="single" w:sz="4" w:space="0" w:color="auto"/>
            </w:tcBorders>
            <w:shd w:val="clear" w:color="auto" w:fill="FFFFFF"/>
            <w:tcMar>
              <w:top w:w="0" w:type="dxa"/>
              <w:left w:w="0" w:type="dxa"/>
              <w:bottom w:w="0" w:type="dxa"/>
              <w:right w:w="0" w:type="dxa"/>
            </w:tcMar>
            <w:vAlign w:val="center"/>
          </w:tcPr>
          <w:p w14:paraId="4DA4777C" w14:textId="77777777" w:rsidR="00284207" w:rsidRPr="007115F2" w:rsidRDefault="00284207" w:rsidP="007C051A">
            <w:pPr>
              <w:widowControl w:val="0"/>
              <w:suppressLineNumbers/>
              <w:suppressAutoHyphens/>
              <w:autoSpaceDE w:val="0"/>
              <w:autoSpaceDN w:val="0"/>
              <w:adjustRightInd w:val="0"/>
              <w:spacing w:line="240" w:lineRule="auto"/>
              <w:jc w:val="center"/>
              <w:rPr>
                <w:b/>
                <w:bCs/>
                <w:color w:val="000000" w:themeColor="text1"/>
                <w:sz w:val="22"/>
              </w:rPr>
            </w:pPr>
            <w:r w:rsidRPr="007115F2">
              <w:rPr>
                <w:b/>
                <w:bCs/>
                <w:color w:val="000000" w:themeColor="text1"/>
                <w:sz w:val="22"/>
              </w:rPr>
              <w:t>(7)</w:t>
            </w:r>
          </w:p>
        </w:tc>
        <w:tc>
          <w:tcPr>
            <w:tcW w:w="1285" w:type="dxa"/>
            <w:tcBorders>
              <w:bottom w:val="single" w:sz="4" w:space="0" w:color="auto"/>
            </w:tcBorders>
            <w:shd w:val="clear" w:color="auto" w:fill="FFFFFF"/>
            <w:tcMar>
              <w:top w:w="0" w:type="dxa"/>
              <w:left w:w="0" w:type="dxa"/>
              <w:bottom w:w="0" w:type="dxa"/>
              <w:right w:w="0" w:type="dxa"/>
            </w:tcMar>
            <w:vAlign w:val="center"/>
          </w:tcPr>
          <w:p w14:paraId="3988A0E5" w14:textId="77777777" w:rsidR="00284207" w:rsidRPr="007115F2" w:rsidRDefault="00284207" w:rsidP="007C051A">
            <w:pPr>
              <w:widowControl w:val="0"/>
              <w:suppressLineNumbers/>
              <w:suppressAutoHyphens/>
              <w:autoSpaceDE w:val="0"/>
              <w:autoSpaceDN w:val="0"/>
              <w:adjustRightInd w:val="0"/>
              <w:spacing w:line="240" w:lineRule="auto"/>
              <w:jc w:val="center"/>
              <w:rPr>
                <w:b/>
                <w:bCs/>
                <w:color w:val="000000" w:themeColor="text1"/>
                <w:sz w:val="22"/>
              </w:rPr>
            </w:pPr>
            <w:r w:rsidRPr="007115F2">
              <w:rPr>
                <w:b/>
                <w:bCs/>
                <w:color w:val="000000" w:themeColor="text1"/>
                <w:sz w:val="22"/>
              </w:rPr>
              <w:t>(8)</w:t>
            </w:r>
          </w:p>
        </w:tc>
        <w:tc>
          <w:tcPr>
            <w:tcW w:w="132" w:type="dxa"/>
            <w:tcBorders>
              <w:bottom w:val="single" w:sz="4" w:space="0" w:color="auto"/>
            </w:tcBorders>
            <w:shd w:val="clear" w:color="auto" w:fill="FFFFFF"/>
            <w:tcMar>
              <w:top w:w="0" w:type="dxa"/>
              <w:left w:w="0" w:type="dxa"/>
              <w:bottom w:w="0" w:type="dxa"/>
              <w:right w:w="0" w:type="dxa"/>
            </w:tcMar>
          </w:tcPr>
          <w:p w14:paraId="49914AA8" w14:textId="77777777" w:rsidR="00284207" w:rsidRPr="007115F2" w:rsidRDefault="00284207" w:rsidP="007C051A">
            <w:pPr>
              <w:widowControl w:val="0"/>
              <w:suppressLineNumbers/>
              <w:suppressAutoHyphens/>
              <w:autoSpaceDE w:val="0"/>
              <w:autoSpaceDN w:val="0"/>
              <w:adjustRightInd w:val="0"/>
              <w:spacing w:line="240" w:lineRule="auto"/>
              <w:jc w:val="center"/>
              <w:rPr>
                <w:b/>
                <w:bCs/>
                <w:color w:val="000000" w:themeColor="text1"/>
                <w:sz w:val="22"/>
              </w:rPr>
            </w:pPr>
          </w:p>
        </w:tc>
      </w:tr>
      <w:tr w:rsidR="00284207" w:rsidRPr="007115F2" w14:paraId="04FF71E7" w14:textId="77777777" w:rsidTr="001930F6">
        <w:tc>
          <w:tcPr>
            <w:tcW w:w="3119" w:type="dxa"/>
            <w:tcBorders>
              <w:top w:val="single" w:sz="4" w:space="0" w:color="auto"/>
            </w:tcBorders>
            <w:shd w:val="clear" w:color="auto" w:fill="FFFFFF"/>
            <w:tcMar>
              <w:top w:w="0" w:type="dxa"/>
              <w:left w:w="0" w:type="dxa"/>
              <w:bottom w:w="0" w:type="dxa"/>
              <w:right w:w="0" w:type="dxa"/>
            </w:tcMar>
          </w:tcPr>
          <w:p w14:paraId="58E54CB3"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r w:rsidRPr="007115F2">
              <w:rPr>
                <w:color w:val="000000" w:themeColor="text1"/>
                <w:sz w:val="22"/>
              </w:rPr>
              <w:t>Direct_BoardInterlocks</w:t>
            </w:r>
          </w:p>
        </w:tc>
        <w:tc>
          <w:tcPr>
            <w:tcW w:w="1417" w:type="dxa"/>
            <w:tcBorders>
              <w:top w:val="single" w:sz="4" w:space="0" w:color="auto"/>
            </w:tcBorders>
            <w:shd w:val="clear" w:color="auto" w:fill="FFFFFF"/>
            <w:tcMar>
              <w:top w:w="0" w:type="dxa"/>
              <w:left w:w="0" w:type="dxa"/>
              <w:bottom w:w="0" w:type="dxa"/>
              <w:right w:w="0" w:type="dxa"/>
            </w:tcMar>
          </w:tcPr>
          <w:p w14:paraId="6FBC61B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-0.015</w:t>
            </w:r>
          </w:p>
        </w:tc>
        <w:tc>
          <w:tcPr>
            <w:tcW w:w="1267" w:type="dxa"/>
            <w:tcBorders>
              <w:top w:val="single" w:sz="4" w:space="0" w:color="auto"/>
            </w:tcBorders>
            <w:shd w:val="clear" w:color="auto" w:fill="FFFFFF"/>
            <w:tcMar>
              <w:top w:w="0" w:type="dxa"/>
              <w:left w:w="0" w:type="dxa"/>
              <w:bottom w:w="0" w:type="dxa"/>
              <w:right w:w="0" w:type="dxa"/>
            </w:tcMar>
          </w:tcPr>
          <w:p w14:paraId="28FE9363"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217" w:type="dxa"/>
            <w:tcBorders>
              <w:top w:val="single" w:sz="4" w:space="0" w:color="auto"/>
            </w:tcBorders>
            <w:shd w:val="clear" w:color="auto" w:fill="FFFFFF"/>
            <w:tcMar>
              <w:top w:w="0" w:type="dxa"/>
              <w:left w:w="0" w:type="dxa"/>
              <w:bottom w:w="0" w:type="dxa"/>
              <w:right w:w="0" w:type="dxa"/>
            </w:tcMar>
          </w:tcPr>
          <w:p w14:paraId="4968FD07"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single" w:sz="4" w:space="0" w:color="auto"/>
            </w:tcBorders>
            <w:shd w:val="clear" w:color="auto" w:fill="FFFFFF"/>
          </w:tcPr>
          <w:p w14:paraId="5BBFDAF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single" w:sz="4" w:space="0" w:color="auto"/>
            </w:tcBorders>
            <w:shd w:val="clear" w:color="auto" w:fill="FFFFFF"/>
            <w:tcMar>
              <w:top w:w="0" w:type="dxa"/>
              <w:left w:w="0" w:type="dxa"/>
              <w:bottom w:w="0" w:type="dxa"/>
              <w:right w:w="0" w:type="dxa"/>
            </w:tcMar>
          </w:tcPr>
          <w:p w14:paraId="6A41403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285" w:type="dxa"/>
            <w:tcBorders>
              <w:top w:val="single" w:sz="4" w:space="0" w:color="auto"/>
            </w:tcBorders>
            <w:shd w:val="clear" w:color="auto" w:fill="FFFFFF"/>
            <w:tcMar>
              <w:top w:w="0" w:type="dxa"/>
              <w:left w:w="0" w:type="dxa"/>
              <w:bottom w:w="0" w:type="dxa"/>
              <w:right w:w="0" w:type="dxa"/>
            </w:tcMar>
          </w:tcPr>
          <w:p w14:paraId="6449D7D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32" w:type="dxa"/>
            <w:tcBorders>
              <w:top w:val="single" w:sz="4" w:space="0" w:color="auto"/>
            </w:tcBorders>
            <w:shd w:val="clear" w:color="auto" w:fill="FFFFFF"/>
            <w:tcMar>
              <w:top w:w="0" w:type="dxa"/>
              <w:left w:w="0" w:type="dxa"/>
              <w:bottom w:w="0" w:type="dxa"/>
              <w:right w:w="0" w:type="dxa"/>
            </w:tcMar>
          </w:tcPr>
          <w:p w14:paraId="7FEB67F0"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39FCE183" w14:textId="77777777" w:rsidTr="001930F6">
        <w:tc>
          <w:tcPr>
            <w:tcW w:w="3119" w:type="dxa"/>
            <w:shd w:val="clear" w:color="auto" w:fill="FFFFFF"/>
            <w:tcMar>
              <w:top w:w="0" w:type="dxa"/>
              <w:left w:w="0" w:type="dxa"/>
              <w:bottom w:w="0" w:type="dxa"/>
              <w:right w:w="0" w:type="dxa"/>
            </w:tcMar>
          </w:tcPr>
          <w:p w14:paraId="56C16D61"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shd w:val="clear" w:color="auto" w:fill="FFFFFF"/>
            <w:tcMar>
              <w:top w:w="0" w:type="dxa"/>
              <w:left w:w="0" w:type="dxa"/>
              <w:bottom w:w="0" w:type="dxa"/>
              <w:right w:w="0" w:type="dxa"/>
            </w:tcMar>
          </w:tcPr>
          <w:p w14:paraId="558E007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(0.007)</w:t>
            </w:r>
          </w:p>
        </w:tc>
        <w:tc>
          <w:tcPr>
            <w:tcW w:w="1267" w:type="dxa"/>
            <w:shd w:val="clear" w:color="auto" w:fill="FFFFFF"/>
            <w:tcMar>
              <w:top w:w="0" w:type="dxa"/>
              <w:left w:w="0" w:type="dxa"/>
              <w:bottom w:w="0" w:type="dxa"/>
              <w:right w:w="0" w:type="dxa"/>
            </w:tcMar>
          </w:tcPr>
          <w:p w14:paraId="43B5F54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(0.008)</w:t>
            </w:r>
          </w:p>
        </w:tc>
        <w:tc>
          <w:tcPr>
            <w:tcW w:w="217" w:type="dxa"/>
            <w:shd w:val="clear" w:color="auto" w:fill="FFFFFF"/>
            <w:tcMar>
              <w:top w:w="0" w:type="dxa"/>
              <w:left w:w="0" w:type="dxa"/>
              <w:bottom w:w="0" w:type="dxa"/>
              <w:right w:w="0" w:type="dxa"/>
            </w:tcMar>
          </w:tcPr>
          <w:p w14:paraId="3690A421"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shd w:val="clear" w:color="auto" w:fill="FFFFFF"/>
          </w:tcPr>
          <w:p w14:paraId="65F543F4"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shd w:val="clear" w:color="auto" w:fill="FFFFFF"/>
            <w:tcMar>
              <w:top w:w="0" w:type="dxa"/>
              <w:left w:w="0" w:type="dxa"/>
              <w:bottom w:w="0" w:type="dxa"/>
              <w:right w:w="0" w:type="dxa"/>
            </w:tcMar>
          </w:tcPr>
          <w:p w14:paraId="0D3CC9C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285" w:type="dxa"/>
            <w:shd w:val="clear" w:color="auto" w:fill="FFFFFF"/>
            <w:tcMar>
              <w:top w:w="0" w:type="dxa"/>
              <w:left w:w="0" w:type="dxa"/>
              <w:bottom w:w="0" w:type="dxa"/>
              <w:right w:w="0" w:type="dxa"/>
            </w:tcMar>
          </w:tcPr>
          <w:p w14:paraId="70166EF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32" w:type="dxa"/>
            <w:shd w:val="clear" w:color="auto" w:fill="FFFFFF"/>
            <w:tcMar>
              <w:top w:w="0" w:type="dxa"/>
              <w:left w:w="0" w:type="dxa"/>
              <w:bottom w:w="0" w:type="dxa"/>
              <w:right w:w="0" w:type="dxa"/>
            </w:tcMar>
          </w:tcPr>
          <w:p w14:paraId="27AD2F50"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62813D39" w14:textId="77777777" w:rsidTr="001930F6">
        <w:tc>
          <w:tcPr>
            <w:tcW w:w="3119" w:type="dxa"/>
            <w:shd w:val="clear" w:color="auto" w:fill="FFFFFF"/>
            <w:tcMar>
              <w:top w:w="0" w:type="dxa"/>
              <w:left w:w="0" w:type="dxa"/>
              <w:bottom w:w="0" w:type="dxa"/>
              <w:right w:w="0" w:type="dxa"/>
            </w:tcMar>
          </w:tcPr>
          <w:p w14:paraId="35642313"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shd w:val="clear" w:color="auto" w:fill="FFFFFF"/>
            <w:tcMar>
              <w:top w:w="0" w:type="dxa"/>
              <w:left w:w="0" w:type="dxa"/>
              <w:bottom w:w="0" w:type="dxa"/>
              <w:right w:w="0" w:type="dxa"/>
            </w:tcMar>
          </w:tcPr>
          <w:p w14:paraId="5DA26A7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[0.032]</w:t>
            </w:r>
          </w:p>
        </w:tc>
        <w:tc>
          <w:tcPr>
            <w:tcW w:w="1267" w:type="dxa"/>
            <w:shd w:val="clear" w:color="auto" w:fill="FFFFFF"/>
            <w:tcMar>
              <w:top w:w="0" w:type="dxa"/>
              <w:left w:w="0" w:type="dxa"/>
              <w:bottom w:w="0" w:type="dxa"/>
              <w:right w:w="0" w:type="dxa"/>
            </w:tcMar>
          </w:tcPr>
          <w:p w14:paraId="3ADC2E67"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[0.945]</w:t>
            </w:r>
          </w:p>
        </w:tc>
        <w:tc>
          <w:tcPr>
            <w:tcW w:w="217" w:type="dxa"/>
            <w:shd w:val="clear" w:color="auto" w:fill="FFFFFF"/>
            <w:tcMar>
              <w:top w:w="0" w:type="dxa"/>
              <w:left w:w="0" w:type="dxa"/>
              <w:bottom w:w="0" w:type="dxa"/>
              <w:right w:w="0" w:type="dxa"/>
            </w:tcMar>
          </w:tcPr>
          <w:p w14:paraId="2BECFBF6" w14:textId="77777777" w:rsidR="00284207" w:rsidRPr="007115F2" w:rsidRDefault="00284207" w:rsidP="007C051A">
            <w:pPr>
              <w:widowControl w:val="0"/>
              <w:suppressLineNumbers/>
              <w:suppressAutoHyphens/>
              <w:autoSpaceDE w:val="0"/>
              <w:autoSpaceDN w:val="0"/>
              <w:adjustRightInd w:val="0"/>
              <w:spacing w:line="240" w:lineRule="auto"/>
              <w:rPr>
                <w:color w:val="000000" w:themeColor="text1"/>
                <w:sz w:val="22"/>
              </w:rPr>
            </w:pPr>
          </w:p>
        </w:tc>
        <w:tc>
          <w:tcPr>
            <w:tcW w:w="217" w:type="dxa"/>
            <w:shd w:val="clear" w:color="auto" w:fill="FFFFFF"/>
          </w:tcPr>
          <w:p w14:paraId="3D8ADE57"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shd w:val="clear" w:color="auto" w:fill="FFFFFF"/>
            <w:tcMar>
              <w:top w:w="0" w:type="dxa"/>
              <w:left w:w="0" w:type="dxa"/>
              <w:bottom w:w="0" w:type="dxa"/>
              <w:right w:w="0" w:type="dxa"/>
            </w:tcMar>
          </w:tcPr>
          <w:p w14:paraId="13807E8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285" w:type="dxa"/>
            <w:shd w:val="clear" w:color="auto" w:fill="FFFFFF"/>
            <w:tcMar>
              <w:top w:w="0" w:type="dxa"/>
              <w:left w:w="0" w:type="dxa"/>
              <w:bottom w:w="0" w:type="dxa"/>
              <w:right w:w="0" w:type="dxa"/>
            </w:tcMar>
          </w:tcPr>
          <w:p w14:paraId="4381FEF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32" w:type="dxa"/>
            <w:shd w:val="clear" w:color="auto" w:fill="FFFFFF"/>
            <w:tcMar>
              <w:top w:w="0" w:type="dxa"/>
              <w:left w:w="0" w:type="dxa"/>
              <w:bottom w:w="0" w:type="dxa"/>
              <w:right w:w="0" w:type="dxa"/>
            </w:tcMar>
          </w:tcPr>
          <w:p w14:paraId="6D1F3D5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0795F46F" w14:textId="77777777" w:rsidTr="001930F6">
        <w:tc>
          <w:tcPr>
            <w:tcW w:w="3119" w:type="dxa"/>
            <w:shd w:val="clear" w:color="auto" w:fill="FFFFFF"/>
            <w:tcMar>
              <w:top w:w="0" w:type="dxa"/>
              <w:left w:w="0" w:type="dxa"/>
              <w:bottom w:w="0" w:type="dxa"/>
              <w:right w:w="0" w:type="dxa"/>
            </w:tcMar>
          </w:tcPr>
          <w:p w14:paraId="13168F0C"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r w:rsidRPr="007115F2">
              <w:rPr>
                <w:color w:val="000000" w:themeColor="text1"/>
                <w:sz w:val="22"/>
              </w:rPr>
              <w:t>Indirect_BoardInterlocks</w:t>
            </w:r>
          </w:p>
        </w:tc>
        <w:tc>
          <w:tcPr>
            <w:tcW w:w="1417" w:type="dxa"/>
            <w:shd w:val="clear" w:color="auto" w:fill="FFFFFF"/>
            <w:tcMar>
              <w:top w:w="0" w:type="dxa"/>
              <w:left w:w="0" w:type="dxa"/>
              <w:bottom w:w="0" w:type="dxa"/>
              <w:right w:w="0" w:type="dxa"/>
            </w:tcMar>
          </w:tcPr>
          <w:p w14:paraId="637A82F1"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267" w:type="dxa"/>
            <w:shd w:val="clear" w:color="auto" w:fill="FFFFFF"/>
            <w:tcMar>
              <w:top w:w="0" w:type="dxa"/>
              <w:left w:w="0" w:type="dxa"/>
              <w:bottom w:w="0" w:type="dxa"/>
              <w:right w:w="0" w:type="dxa"/>
            </w:tcMar>
          </w:tcPr>
          <w:p w14:paraId="6DFE519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shd w:val="clear" w:color="auto" w:fill="FFFFFF"/>
            <w:tcMar>
              <w:top w:w="0" w:type="dxa"/>
              <w:left w:w="0" w:type="dxa"/>
              <w:bottom w:w="0" w:type="dxa"/>
              <w:right w:w="0" w:type="dxa"/>
            </w:tcMar>
          </w:tcPr>
          <w:p w14:paraId="508DA364"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shd w:val="clear" w:color="auto" w:fill="FFFFFF"/>
          </w:tcPr>
          <w:p w14:paraId="64C2055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shd w:val="clear" w:color="auto" w:fill="FFFFFF"/>
            <w:tcMar>
              <w:top w:w="0" w:type="dxa"/>
              <w:left w:w="0" w:type="dxa"/>
              <w:bottom w:w="0" w:type="dxa"/>
              <w:right w:w="0" w:type="dxa"/>
            </w:tcMar>
          </w:tcPr>
          <w:p w14:paraId="025509B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-0.004</w:t>
            </w:r>
          </w:p>
        </w:tc>
        <w:tc>
          <w:tcPr>
            <w:tcW w:w="1285" w:type="dxa"/>
            <w:shd w:val="clear" w:color="auto" w:fill="FFFFFF"/>
            <w:tcMar>
              <w:top w:w="0" w:type="dxa"/>
              <w:left w:w="0" w:type="dxa"/>
              <w:bottom w:w="0" w:type="dxa"/>
              <w:right w:w="0" w:type="dxa"/>
            </w:tcMar>
          </w:tcPr>
          <w:p w14:paraId="13639E0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32" w:type="dxa"/>
            <w:shd w:val="clear" w:color="auto" w:fill="FFFFFF"/>
            <w:tcMar>
              <w:top w:w="0" w:type="dxa"/>
              <w:left w:w="0" w:type="dxa"/>
              <w:bottom w:w="0" w:type="dxa"/>
              <w:right w:w="0" w:type="dxa"/>
            </w:tcMar>
          </w:tcPr>
          <w:p w14:paraId="6FB1805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6A26BEA2" w14:textId="77777777" w:rsidTr="001930F6">
        <w:tc>
          <w:tcPr>
            <w:tcW w:w="3119" w:type="dxa"/>
            <w:shd w:val="clear" w:color="auto" w:fill="FFFFFF"/>
            <w:tcMar>
              <w:top w:w="0" w:type="dxa"/>
              <w:left w:w="0" w:type="dxa"/>
              <w:bottom w:w="0" w:type="dxa"/>
              <w:right w:w="0" w:type="dxa"/>
            </w:tcMar>
          </w:tcPr>
          <w:p w14:paraId="1ECF03FE"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shd w:val="clear" w:color="auto" w:fill="FFFFFF"/>
            <w:tcMar>
              <w:top w:w="0" w:type="dxa"/>
              <w:left w:w="0" w:type="dxa"/>
              <w:bottom w:w="0" w:type="dxa"/>
              <w:right w:w="0" w:type="dxa"/>
            </w:tcMar>
          </w:tcPr>
          <w:p w14:paraId="06D8ED8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267" w:type="dxa"/>
            <w:shd w:val="clear" w:color="auto" w:fill="FFFFFF"/>
            <w:tcMar>
              <w:top w:w="0" w:type="dxa"/>
              <w:left w:w="0" w:type="dxa"/>
              <w:bottom w:w="0" w:type="dxa"/>
              <w:right w:w="0" w:type="dxa"/>
            </w:tcMar>
          </w:tcPr>
          <w:p w14:paraId="4B1E48F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shd w:val="clear" w:color="auto" w:fill="FFFFFF"/>
            <w:tcMar>
              <w:top w:w="0" w:type="dxa"/>
              <w:left w:w="0" w:type="dxa"/>
              <w:bottom w:w="0" w:type="dxa"/>
              <w:right w:w="0" w:type="dxa"/>
            </w:tcMar>
          </w:tcPr>
          <w:p w14:paraId="63E1E02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shd w:val="clear" w:color="auto" w:fill="FFFFFF"/>
          </w:tcPr>
          <w:p w14:paraId="6B62243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shd w:val="clear" w:color="auto" w:fill="FFFFFF"/>
            <w:tcMar>
              <w:top w:w="0" w:type="dxa"/>
              <w:left w:w="0" w:type="dxa"/>
              <w:bottom w:w="0" w:type="dxa"/>
              <w:right w:w="0" w:type="dxa"/>
            </w:tcMar>
          </w:tcPr>
          <w:p w14:paraId="2F154F11"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(0.003)</w:t>
            </w:r>
          </w:p>
        </w:tc>
        <w:tc>
          <w:tcPr>
            <w:tcW w:w="1285" w:type="dxa"/>
            <w:shd w:val="clear" w:color="auto" w:fill="FFFFFF"/>
            <w:tcMar>
              <w:top w:w="0" w:type="dxa"/>
              <w:left w:w="0" w:type="dxa"/>
              <w:bottom w:w="0" w:type="dxa"/>
              <w:right w:w="0" w:type="dxa"/>
            </w:tcMar>
          </w:tcPr>
          <w:p w14:paraId="5F87126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(0.003)</w:t>
            </w:r>
          </w:p>
        </w:tc>
        <w:tc>
          <w:tcPr>
            <w:tcW w:w="132" w:type="dxa"/>
            <w:shd w:val="clear" w:color="auto" w:fill="FFFFFF"/>
            <w:tcMar>
              <w:top w:w="0" w:type="dxa"/>
              <w:left w:w="0" w:type="dxa"/>
              <w:bottom w:w="0" w:type="dxa"/>
              <w:right w:w="0" w:type="dxa"/>
            </w:tcMar>
          </w:tcPr>
          <w:p w14:paraId="5BDA8B81"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6EFF4950" w14:textId="77777777" w:rsidTr="001930F6">
        <w:tc>
          <w:tcPr>
            <w:tcW w:w="3119" w:type="dxa"/>
            <w:shd w:val="clear" w:color="auto" w:fill="FFFFFF"/>
            <w:tcMar>
              <w:top w:w="0" w:type="dxa"/>
              <w:left w:w="0" w:type="dxa"/>
              <w:bottom w:w="0" w:type="dxa"/>
              <w:right w:w="0" w:type="dxa"/>
            </w:tcMar>
          </w:tcPr>
          <w:p w14:paraId="6B6C46D5"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shd w:val="clear" w:color="auto" w:fill="FFFFFF"/>
            <w:tcMar>
              <w:top w:w="0" w:type="dxa"/>
              <w:left w:w="0" w:type="dxa"/>
              <w:bottom w:w="0" w:type="dxa"/>
              <w:right w:w="0" w:type="dxa"/>
            </w:tcMar>
          </w:tcPr>
          <w:p w14:paraId="33E64E7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267" w:type="dxa"/>
            <w:shd w:val="clear" w:color="auto" w:fill="FFFFFF"/>
            <w:tcMar>
              <w:top w:w="0" w:type="dxa"/>
              <w:left w:w="0" w:type="dxa"/>
              <w:bottom w:w="0" w:type="dxa"/>
              <w:right w:w="0" w:type="dxa"/>
            </w:tcMar>
          </w:tcPr>
          <w:p w14:paraId="255E0E05"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shd w:val="clear" w:color="auto" w:fill="FFFFFF"/>
            <w:tcMar>
              <w:top w:w="0" w:type="dxa"/>
              <w:left w:w="0" w:type="dxa"/>
              <w:bottom w:w="0" w:type="dxa"/>
              <w:right w:w="0" w:type="dxa"/>
            </w:tcMar>
          </w:tcPr>
          <w:p w14:paraId="244C8BE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shd w:val="clear" w:color="auto" w:fill="FFFFFF"/>
          </w:tcPr>
          <w:p w14:paraId="27A06F65"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shd w:val="clear" w:color="auto" w:fill="FFFFFF"/>
            <w:tcMar>
              <w:top w:w="0" w:type="dxa"/>
              <w:left w:w="0" w:type="dxa"/>
              <w:bottom w:w="0" w:type="dxa"/>
              <w:right w:w="0" w:type="dxa"/>
            </w:tcMar>
          </w:tcPr>
          <w:p w14:paraId="50DE31E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[0.208]</w:t>
            </w:r>
          </w:p>
        </w:tc>
        <w:tc>
          <w:tcPr>
            <w:tcW w:w="1285" w:type="dxa"/>
            <w:shd w:val="clear" w:color="auto" w:fill="FFFFFF"/>
            <w:tcMar>
              <w:top w:w="0" w:type="dxa"/>
              <w:left w:w="0" w:type="dxa"/>
              <w:bottom w:w="0" w:type="dxa"/>
              <w:right w:w="0" w:type="dxa"/>
            </w:tcMar>
          </w:tcPr>
          <w:p w14:paraId="772E7929"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[0.777]</w:t>
            </w:r>
          </w:p>
        </w:tc>
        <w:tc>
          <w:tcPr>
            <w:tcW w:w="132" w:type="dxa"/>
            <w:shd w:val="clear" w:color="auto" w:fill="FFFFFF"/>
            <w:tcMar>
              <w:top w:w="0" w:type="dxa"/>
              <w:left w:w="0" w:type="dxa"/>
              <w:bottom w:w="0" w:type="dxa"/>
              <w:right w:w="0" w:type="dxa"/>
            </w:tcMar>
          </w:tcPr>
          <w:p w14:paraId="4CEB03D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4C8F5916" w14:textId="77777777" w:rsidTr="001930F6">
        <w:tc>
          <w:tcPr>
            <w:tcW w:w="3119" w:type="dxa"/>
            <w:shd w:val="clear" w:color="auto" w:fill="FFFFFF"/>
            <w:tcMar>
              <w:top w:w="0" w:type="dxa"/>
              <w:left w:w="0" w:type="dxa"/>
              <w:bottom w:w="0" w:type="dxa"/>
              <w:right w:w="0" w:type="dxa"/>
            </w:tcMar>
          </w:tcPr>
          <w:p w14:paraId="52AC65B7"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r w:rsidRPr="007115F2">
              <w:rPr>
                <w:color w:val="000000" w:themeColor="text1"/>
                <w:sz w:val="22"/>
              </w:rPr>
              <w:t>Relative_BoardPower</w:t>
            </w:r>
          </w:p>
        </w:tc>
        <w:tc>
          <w:tcPr>
            <w:tcW w:w="1417" w:type="dxa"/>
            <w:shd w:val="clear" w:color="auto" w:fill="FFFFFF"/>
            <w:tcMar>
              <w:top w:w="0" w:type="dxa"/>
              <w:left w:w="0" w:type="dxa"/>
              <w:bottom w:w="0" w:type="dxa"/>
              <w:right w:w="0" w:type="dxa"/>
            </w:tcMar>
          </w:tcPr>
          <w:p w14:paraId="3AC70DC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267" w:type="dxa"/>
            <w:shd w:val="clear" w:color="auto" w:fill="FFFFFF"/>
            <w:tcMar>
              <w:top w:w="0" w:type="dxa"/>
              <w:left w:w="0" w:type="dxa"/>
              <w:bottom w:w="0" w:type="dxa"/>
              <w:right w:w="0" w:type="dxa"/>
            </w:tcMar>
          </w:tcPr>
          <w:p w14:paraId="01692FA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shd w:val="clear" w:color="auto" w:fill="FFFFFF"/>
            <w:tcMar>
              <w:top w:w="0" w:type="dxa"/>
              <w:left w:w="0" w:type="dxa"/>
              <w:bottom w:w="0" w:type="dxa"/>
              <w:right w:w="0" w:type="dxa"/>
            </w:tcMar>
          </w:tcPr>
          <w:p w14:paraId="3B565D75"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shd w:val="clear" w:color="auto" w:fill="FFFFFF"/>
          </w:tcPr>
          <w:p w14:paraId="7B4C1D0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shd w:val="clear" w:color="auto" w:fill="FFFFFF"/>
            <w:tcMar>
              <w:top w:w="0" w:type="dxa"/>
              <w:left w:w="0" w:type="dxa"/>
              <w:bottom w:w="0" w:type="dxa"/>
              <w:right w:w="0" w:type="dxa"/>
            </w:tcMar>
          </w:tcPr>
          <w:p w14:paraId="3202A4C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285" w:type="dxa"/>
            <w:shd w:val="clear" w:color="auto" w:fill="FFFFFF"/>
            <w:tcMar>
              <w:top w:w="0" w:type="dxa"/>
              <w:left w:w="0" w:type="dxa"/>
              <w:bottom w:w="0" w:type="dxa"/>
              <w:right w:w="0" w:type="dxa"/>
            </w:tcMar>
          </w:tcPr>
          <w:p w14:paraId="2A795811"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32" w:type="dxa"/>
            <w:shd w:val="clear" w:color="auto" w:fill="FFFFFF"/>
            <w:tcMar>
              <w:top w:w="0" w:type="dxa"/>
              <w:left w:w="0" w:type="dxa"/>
              <w:bottom w:w="0" w:type="dxa"/>
              <w:right w:w="0" w:type="dxa"/>
            </w:tcMar>
          </w:tcPr>
          <w:p w14:paraId="0C3446D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70C13794" w14:textId="77777777" w:rsidTr="001930F6">
        <w:tc>
          <w:tcPr>
            <w:tcW w:w="3119" w:type="dxa"/>
            <w:shd w:val="clear" w:color="auto" w:fill="FFFFFF"/>
            <w:tcMar>
              <w:top w:w="0" w:type="dxa"/>
              <w:left w:w="0" w:type="dxa"/>
              <w:bottom w:w="0" w:type="dxa"/>
              <w:right w:w="0" w:type="dxa"/>
            </w:tcMar>
          </w:tcPr>
          <w:p w14:paraId="325981CD"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shd w:val="clear" w:color="auto" w:fill="FFFFFF"/>
            <w:tcMar>
              <w:top w:w="0" w:type="dxa"/>
              <w:left w:w="0" w:type="dxa"/>
              <w:bottom w:w="0" w:type="dxa"/>
              <w:right w:w="0" w:type="dxa"/>
            </w:tcMar>
          </w:tcPr>
          <w:p w14:paraId="2ED5630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267" w:type="dxa"/>
            <w:shd w:val="clear" w:color="auto" w:fill="FFFFFF"/>
            <w:tcMar>
              <w:top w:w="0" w:type="dxa"/>
              <w:left w:w="0" w:type="dxa"/>
              <w:bottom w:w="0" w:type="dxa"/>
              <w:right w:w="0" w:type="dxa"/>
            </w:tcMar>
          </w:tcPr>
          <w:p w14:paraId="4B44B6F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shd w:val="clear" w:color="auto" w:fill="FFFFFF"/>
            <w:tcMar>
              <w:top w:w="0" w:type="dxa"/>
              <w:left w:w="0" w:type="dxa"/>
              <w:bottom w:w="0" w:type="dxa"/>
              <w:right w:w="0" w:type="dxa"/>
            </w:tcMar>
          </w:tcPr>
          <w:p w14:paraId="262B2C9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shd w:val="clear" w:color="auto" w:fill="FFFFFF"/>
          </w:tcPr>
          <w:p w14:paraId="615B86E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shd w:val="clear" w:color="auto" w:fill="FFFFFF"/>
            <w:tcMar>
              <w:top w:w="0" w:type="dxa"/>
              <w:left w:w="0" w:type="dxa"/>
              <w:bottom w:w="0" w:type="dxa"/>
              <w:right w:w="0" w:type="dxa"/>
            </w:tcMar>
          </w:tcPr>
          <w:p w14:paraId="0F536680"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285" w:type="dxa"/>
            <w:shd w:val="clear" w:color="auto" w:fill="FFFFFF"/>
            <w:tcMar>
              <w:top w:w="0" w:type="dxa"/>
              <w:left w:w="0" w:type="dxa"/>
              <w:bottom w:w="0" w:type="dxa"/>
              <w:right w:w="0" w:type="dxa"/>
            </w:tcMar>
          </w:tcPr>
          <w:p w14:paraId="0D8FE56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32" w:type="dxa"/>
            <w:shd w:val="clear" w:color="auto" w:fill="FFFFFF"/>
            <w:tcMar>
              <w:top w:w="0" w:type="dxa"/>
              <w:left w:w="0" w:type="dxa"/>
              <w:bottom w:w="0" w:type="dxa"/>
              <w:right w:w="0" w:type="dxa"/>
            </w:tcMar>
          </w:tcPr>
          <w:p w14:paraId="6460CDB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41F313AC" w14:textId="77777777" w:rsidTr="001930F6">
        <w:tc>
          <w:tcPr>
            <w:tcW w:w="3119" w:type="dxa"/>
            <w:shd w:val="clear" w:color="auto" w:fill="FFFFFF"/>
            <w:tcMar>
              <w:top w:w="0" w:type="dxa"/>
              <w:left w:w="0" w:type="dxa"/>
              <w:bottom w:w="0" w:type="dxa"/>
              <w:right w:w="0" w:type="dxa"/>
            </w:tcMar>
          </w:tcPr>
          <w:p w14:paraId="3F7E0EE5"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shd w:val="clear" w:color="auto" w:fill="FFFFFF"/>
            <w:tcMar>
              <w:top w:w="0" w:type="dxa"/>
              <w:left w:w="0" w:type="dxa"/>
              <w:bottom w:w="0" w:type="dxa"/>
              <w:right w:w="0" w:type="dxa"/>
            </w:tcMar>
          </w:tcPr>
          <w:p w14:paraId="620E30D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[0.017]</w:t>
            </w:r>
          </w:p>
        </w:tc>
        <w:tc>
          <w:tcPr>
            <w:tcW w:w="1267" w:type="dxa"/>
            <w:shd w:val="clear" w:color="auto" w:fill="FFFFFF"/>
            <w:tcMar>
              <w:top w:w="0" w:type="dxa"/>
              <w:left w:w="0" w:type="dxa"/>
              <w:bottom w:w="0" w:type="dxa"/>
              <w:right w:w="0" w:type="dxa"/>
            </w:tcMar>
          </w:tcPr>
          <w:p w14:paraId="5574BD83"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shd w:val="clear" w:color="auto" w:fill="FFFFFF"/>
            <w:tcMar>
              <w:top w:w="0" w:type="dxa"/>
              <w:left w:w="0" w:type="dxa"/>
              <w:bottom w:w="0" w:type="dxa"/>
              <w:right w:w="0" w:type="dxa"/>
            </w:tcMar>
          </w:tcPr>
          <w:p w14:paraId="7A972BC5"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shd w:val="clear" w:color="auto" w:fill="FFFFFF"/>
          </w:tcPr>
          <w:p w14:paraId="147714F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shd w:val="clear" w:color="auto" w:fill="FFFFFF"/>
            <w:tcMar>
              <w:top w:w="0" w:type="dxa"/>
              <w:left w:w="0" w:type="dxa"/>
              <w:bottom w:w="0" w:type="dxa"/>
              <w:right w:w="0" w:type="dxa"/>
            </w:tcMar>
          </w:tcPr>
          <w:p w14:paraId="376BE687"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[0.054]</w:t>
            </w:r>
          </w:p>
        </w:tc>
        <w:tc>
          <w:tcPr>
            <w:tcW w:w="1285" w:type="dxa"/>
            <w:shd w:val="clear" w:color="auto" w:fill="FFFFFF"/>
            <w:tcMar>
              <w:top w:w="0" w:type="dxa"/>
              <w:left w:w="0" w:type="dxa"/>
              <w:bottom w:w="0" w:type="dxa"/>
              <w:right w:w="0" w:type="dxa"/>
            </w:tcMar>
          </w:tcPr>
          <w:p w14:paraId="4177959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32" w:type="dxa"/>
            <w:shd w:val="clear" w:color="auto" w:fill="FFFFFF"/>
            <w:tcMar>
              <w:top w:w="0" w:type="dxa"/>
              <w:left w:w="0" w:type="dxa"/>
              <w:bottom w:w="0" w:type="dxa"/>
              <w:right w:w="0" w:type="dxa"/>
            </w:tcMar>
          </w:tcPr>
          <w:p w14:paraId="23B3C0A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74A08ADB" w14:textId="77777777" w:rsidTr="001930F6">
        <w:tc>
          <w:tcPr>
            <w:tcW w:w="3119" w:type="dxa"/>
            <w:shd w:val="clear" w:color="auto" w:fill="FFFFFF"/>
            <w:tcMar>
              <w:top w:w="0" w:type="dxa"/>
              <w:left w:w="0" w:type="dxa"/>
              <w:bottom w:w="0" w:type="dxa"/>
              <w:right w:w="0" w:type="dxa"/>
            </w:tcMar>
          </w:tcPr>
          <w:p w14:paraId="25468620"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r w:rsidRPr="007115F2">
              <w:rPr>
                <w:color w:val="000000" w:themeColor="text1"/>
                <w:sz w:val="22"/>
              </w:rPr>
              <w:t>Relative_FirmStatus</w:t>
            </w:r>
          </w:p>
        </w:tc>
        <w:tc>
          <w:tcPr>
            <w:tcW w:w="1417" w:type="dxa"/>
            <w:shd w:val="clear" w:color="auto" w:fill="FFFFFF"/>
            <w:tcMar>
              <w:top w:w="0" w:type="dxa"/>
              <w:left w:w="0" w:type="dxa"/>
              <w:bottom w:w="0" w:type="dxa"/>
              <w:right w:w="0" w:type="dxa"/>
            </w:tcMar>
          </w:tcPr>
          <w:p w14:paraId="1D944EE5"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267" w:type="dxa"/>
            <w:shd w:val="clear" w:color="auto" w:fill="FFFFFF"/>
            <w:tcMar>
              <w:top w:w="0" w:type="dxa"/>
              <w:left w:w="0" w:type="dxa"/>
              <w:bottom w:w="0" w:type="dxa"/>
              <w:right w:w="0" w:type="dxa"/>
            </w:tcMar>
          </w:tcPr>
          <w:p w14:paraId="5DA375C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217" w:type="dxa"/>
            <w:shd w:val="clear" w:color="auto" w:fill="FFFFFF"/>
            <w:tcMar>
              <w:top w:w="0" w:type="dxa"/>
              <w:left w:w="0" w:type="dxa"/>
              <w:bottom w:w="0" w:type="dxa"/>
              <w:right w:w="0" w:type="dxa"/>
            </w:tcMar>
          </w:tcPr>
          <w:p w14:paraId="62EAB4F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shd w:val="clear" w:color="auto" w:fill="FFFFFF"/>
          </w:tcPr>
          <w:p w14:paraId="612DB88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shd w:val="clear" w:color="auto" w:fill="FFFFFF"/>
            <w:tcMar>
              <w:top w:w="0" w:type="dxa"/>
              <w:left w:w="0" w:type="dxa"/>
              <w:bottom w:w="0" w:type="dxa"/>
              <w:right w:w="0" w:type="dxa"/>
            </w:tcMar>
          </w:tcPr>
          <w:p w14:paraId="320E025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285" w:type="dxa"/>
            <w:shd w:val="clear" w:color="auto" w:fill="FFFFFF"/>
            <w:tcMar>
              <w:top w:w="0" w:type="dxa"/>
              <w:left w:w="0" w:type="dxa"/>
              <w:bottom w:w="0" w:type="dxa"/>
              <w:right w:w="0" w:type="dxa"/>
            </w:tcMar>
          </w:tcPr>
          <w:p w14:paraId="5E7CACE1"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32" w:type="dxa"/>
            <w:shd w:val="clear" w:color="auto" w:fill="FFFFFF"/>
            <w:tcMar>
              <w:top w:w="0" w:type="dxa"/>
              <w:left w:w="0" w:type="dxa"/>
              <w:bottom w:w="0" w:type="dxa"/>
              <w:right w:w="0" w:type="dxa"/>
            </w:tcMar>
          </w:tcPr>
          <w:p w14:paraId="70011571"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07D6DD9A" w14:textId="77777777" w:rsidTr="001930F6">
        <w:tc>
          <w:tcPr>
            <w:tcW w:w="3119" w:type="dxa"/>
            <w:shd w:val="clear" w:color="auto" w:fill="FFFFFF"/>
            <w:tcMar>
              <w:top w:w="0" w:type="dxa"/>
              <w:left w:w="0" w:type="dxa"/>
              <w:bottom w:w="0" w:type="dxa"/>
              <w:right w:w="0" w:type="dxa"/>
            </w:tcMar>
          </w:tcPr>
          <w:p w14:paraId="4DFBE8AC"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shd w:val="clear" w:color="auto" w:fill="FFFFFF"/>
            <w:tcMar>
              <w:top w:w="0" w:type="dxa"/>
              <w:left w:w="0" w:type="dxa"/>
              <w:bottom w:w="0" w:type="dxa"/>
              <w:right w:w="0" w:type="dxa"/>
            </w:tcMar>
          </w:tcPr>
          <w:p w14:paraId="5419E4B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267" w:type="dxa"/>
            <w:shd w:val="clear" w:color="auto" w:fill="FFFFFF"/>
            <w:tcMar>
              <w:top w:w="0" w:type="dxa"/>
              <w:left w:w="0" w:type="dxa"/>
              <w:bottom w:w="0" w:type="dxa"/>
              <w:right w:w="0" w:type="dxa"/>
            </w:tcMar>
          </w:tcPr>
          <w:p w14:paraId="00689009"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217" w:type="dxa"/>
            <w:shd w:val="clear" w:color="auto" w:fill="FFFFFF"/>
            <w:tcMar>
              <w:top w:w="0" w:type="dxa"/>
              <w:left w:w="0" w:type="dxa"/>
              <w:bottom w:w="0" w:type="dxa"/>
              <w:right w:w="0" w:type="dxa"/>
            </w:tcMar>
          </w:tcPr>
          <w:p w14:paraId="466A624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shd w:val="clear" w:color="auto" w:fill="FFFFFF"/>
          </w:tcPr>
          <w:p w14:paraId="7A49937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shd w:val="clear" w:color="auto" w:fill="FFFFFF"/>
            <w:tcMar>
              <w:top w:w="0" w:type="dxa"/>
              <w:left w:w="0" w:type="dxa"/>
              <w:bottom w:w="0" w:type="dxa"/>
              <w:right w:w="0" w:type="dxa"/>
            </w:tcMar>
          </w:tcPr>
          <w:p w14:paraId="73AC0C2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285" w:type="dxa"/>
            <w:shd w:val="clear" w:color="auto" w:fill="FFFFFF"/>
            <w:tcMar>
              <w:top w:w="0" w:type="dxa"/>
              <w:left w:w="0" w:type="dxa"/>
              <w:bottom w:w="0" w:type="dxa"/>
              <w:right w:w="0" w:type="dxa"/>
            </w:tcMar>
          </w:tcPr>
          <w:p w14:paraId="2A5A5995"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32" w:type="dxa"/>
            <w:shd w:val="clear" w:color="auto" w:fill="FFFFFF"/>
            <w:tcMar>
              <w:top w:w="0" w:type="dxa"/>
              <w:left w:w="0" w:type="dxa"/>
              <w:bottom w:w="0" w:type="dxa"/>
              <w:right w:w="0" w:type="dxa"/>
            </w:tcMar>
          </w:tcPr>
          <w:p w14:paraId="672B6BE3"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2B4D6EF1" w14:textId="77777777" w:rsidTr="001930F6">
        <w:tc>
          <w:tcPr>
            <w:tcW w:w="3119" w:type="dxa"/>
            <w:shd w:val="clear" w:color="auto" w:fill="FFFFFF"/>
            <w:tcMar>
              <w:top w:w="0" w:type="dxa"/>
              <w:left w:w="0" w:type="dxa"/>
              <w:bottom w:w="0" w:type="dxa"/>
              <w:right w:w="0" w:type="dxa"/>
            </w:tcMar>
          </w:tcPr>
          <w:p w14:paraId="59001344"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shd w:val="clear" w:color="auto" w:fill="FFFFFF"/>
            <w:tcMar>
              <w:top w:w="0" w:type="dxa"/>
              <w:left w:w="0" w:type="dxa"/>
              <w:bottom w:w="0" w:type="dxa"/>
              <w:right w:w="0" w:type="dxa"/>
            </w:tcMar>
          </w:tcPr>
          <w:p w14:paraId="72F00BF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267" w:type="dxa"/>
            <w:shd w:val="clear" w:color="auto" w:fill="FFFFFF"/>
            <w:tcMar>
              <w:top w:w="0" w:type="dxa"/>
              <w:left w:w="0" w:type="dxa"/>
              <w:bottom w:w="0" w:type="dxa"/>
              <w:right w:w="0" w:type="dxa"/>
            </w:tcMar>
          </w:tcPr>
          <w:p w14:paraId="7E08E583"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[0.211]</w:t>
            </w:r>
          </w:p>
        </w:tc>
        <w:tc>
          <w:tcPr>
            <w:tcW w:w="217" w:type="dxa"/>
            <w:shd w:val="clear" w:color="auto" w:fill="FFFFFF"/>
            <w:tcMar>
              <w:top w:w="0" w:type="dxa"/>
              <w:left w:w="0" w:type="dxa"/>
              <w:bottom w:w="0" w:type="dxa"/>
              <w:right w:w="0" w:type="dxa"/>
            </w:tcMar>
          </w:tcPr>
          <w:p w14:paraId="3659D57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shd w:val="clear" w:color="auto" w:fill="FFFFFF"/>
          </w:tcPr>
          <w:p w14:paraId="2F6002D7"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shd w:val="clear" w:color="auto" w:fill="FFFFFF"/>
            <w:tcMar>
              <w:top w:w="0" w:type="dxa"/>
              <w:left w:w="0" w:type="dxa"/>
              <w:bottom w:w="0" w:type="dxa"/>
              <w:right w:w="0" w:type="dxa"/>
            </w:tcMar>
          </w:tcPr>
          <w:p w14:paraId="1159B133"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285" w:type="dxa"/>
            <w:shd w:val="clear" w:color="auto" w:fill="FFFFFF"/>
            <w:tcMar>
              <w:top w:w="0" w:type="dxa"/>
              <w:left w:w="0" w:type="dxa"/>
              <w:bottom w:w="0" w:type="dxa"/>
              <w:right w:w="0" w:type="dxa"/>
            </w:tcMar>
          </w:tcPr>
          <w:p w14:paraId="38EFA2C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[0.127]</w:t>
            </w:r>
          </w:p>
        </w:tc>
        <w:tc>
          <w:tcPr>
            <w:tcW w:w="132" w:type="dxa"/>
            <w:shd w:val="clear" w:color="auto" w:fill="FFFFFF"/>
            <w:tcMar>
              <w:top w:w="0" w:type="dxa"/>
              <w:left w:w="0" w:type="dxa"/>
              <w:bottom w:w="0" w:type="dxa"/>
              <w:right w:w="0" w:type="dxa"/>
            </w:tcMar>
          </w:tcPr>
          <w:p w14:paraId="5C43ACE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4E687F58" w14:textId="77777777" w:rsidTr="001930F6">
        <w:tc>
          <w:tcPr>
            <w:tcW w:w="3119" w:type="dxa"/>
            <w:shd w:val="clear" w:color="auto" w:fill="FFFFFF"/>
            <w:tcMar>
              <w:top w:w="0" w:type="dxa"/>
              <w:left w:w="0" w:type="dxa"/>
              <w:bottom w:w="0" w:type="dxa"/>
              <w:right w:w="0" w:type="dxa"/>
            </w:tcMar>
          </w:tcPr>
          <w:p w14:paraId="54A5D689"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lang w:val="en-US"/>
              </w:rPr>
            </w:pPr>
            <w:r w:rsidRPr="007115F2">
              <w:rPr>
                <w:color w:val="000000" w:themeColor="text1"/>
                <w:sz w:val="22"/>
                <w:lang w:val="en-US"/>
              </w:rPr>
              <w:t xml:space="preserve">Direct_BoardInterlocks x </w:t>
            </w:r>
            <w:r w:rsidRPr="007115F2">
              <w:rPr>
                <w:color w:val="000000" w:themeColor="text1"/>
                <w:sz w:val="22"/>
                <w:lang w:val="en-US"/>
              </w:rPr>
              <w:br/>
              <w:t>Relative_BoardPower</w:t>
            </w:r>
          </w:p>
        </w:tc>
        <w:tc>
          <w:tcPr>
            <w:tcW w:w="1417" w:type="dxa"/>
            <w:shd w:val="clear" w:color="auto" w:fill="FFFFFF"/>
            <w:tcMar>
              <w:top w:w="0" w:type="dxa"/>
              <w:left w:w="0" w:type="dxa"/>
              <w:bottom w:w="0" w:type="dxa"/>
              <w:right w:w="0" w:type="dxa"/>
            </w:tcMar>
          </w:tcPr>
          <w:p w14:paraId="79242E71"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0.015</w:t>
            </w:r>
          </w:p>
        </w:tc>
        <w:tc>
          <w:tcPr>
            <w:tcW w:w="1267" w:type="dxa"/>
            <w:shd w:val="clear" w:color="auto" w:fill="FFFFFF"/>
            <w:tcMar>
              <w:top w:w="0" w:type="dxa"/>
              <w:left w:w="0" w:type="dxa"/>
              <w:bottom w:w="0" w:type="dxa"/>
              <w:right w:w="0" w:type="dxa"/>
            </w:tcMar>
          </w:tcPr>
          <w:p w14:paraId="7C169BB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shd w:val="clear" w:color="auto" w:fill="FFFFFF"/>
            <w:tcMar>
              <w:top w:w="0" w:type="dxa"/>
              <w:left w:w="0" w:type="dxa"/>
              <w:bottom w:w="0" w:type="dxa"/>
              <w:right w:w="0" w:type="dxa"/>
            </w:tcMar>
          </w:tcPr>
          <w:p w14:paraId="0A6170B7"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shd w:val="clear" w:color="auto" w:fill="FFFFFF"/>
          </w:tcPr>
          <w:p w14:paraId="572DC1D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shd w:val="clear" w:color="auto" w:fill="FFFFFF"/>
            <w:tcMar>
              <w:top w:w="0" w:type="dxa"/>
              <w:left w:w="0" w:type="dxa"/>
              <w:bottom w:w="0" w:type="dxa"/>
              <w:right w:w="0" w:type="dxa"/>
            </w:tcMar>
          </w:tcPr>
          <w:p w14:paraId="117353F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285" w:type="dxa"/>
            <w:shd w:val="clear" w:color="auto" w:fill="FFFFFF"/>
            <w:tcMar>
              <w:top w:w="0" w:type="dxa"/>
              <w:left w:w="0" w:type="dxa"/>
              <w:bottom w:w="0" w:type="dxa"/>
              <w:right w:w="0" w:type="dxa"/>
            </w:tcMar>
          </w:tcPr>
          <w:p w14:paraId="1069F1C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32" w:type="dxa"/>
            <w:shd w:val="clear" w:color="auto" w:fill="FFFFFF"/>
            <w:tcMar>
              <w:top w:w="0" w:type="dxa"/>
              <w:left w:w="0" w:type="dxa"/>
              <w:bottom w:w="0" w:type="dxa"/>
              <w:right w:w="0" w:type="dxa"/>
            </w:tcMar>
          </w:tcPr>
          <w:p w14:paraId="4B6DCD44"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7603BD11" w14:textId="77777777" w:rsidTr="001930F6">
        <w:tc>
          <w:tcPr>
            <w:tcW w:w="3119" w:type="dxa"/>
            <w:shd w:val="clear" w:color="auto" w:fill="FFFFFF"/>
            <w:tcMar>
              <w:top w:w="0" w:type="dxa"/>
              <w:left w:w="0" w:type="dxa"/>
              <w:bottom w:w="0" w:type="dxa"/>
              <w:right w:w="0" w:type="dxa"/>
            </w:tcMar>
          </w:tcPr>
          <w:p w14:paraId="19EA446A"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shd w:val="clear" w:color="auto" w:fill="FFFFFF"/>
            <w:tcMar>
              <w:top w:w="0" w:type="dxa"/>
              <w:left w:w="0" w:type="dxa"/>
              <w:bottom w:w="0" w:type="dxa"/>
              <w:right w:w="0" w:type="dxa"/>
            </w:tcMar>
          </w:tcPr>
          <w:p w14:paraId="4B4F4A2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(0.005)</w:t>
            </w:r>
          </w:p>
        </w:tc>
        <w:tc>
          <w:tcPr>
            <w:tcW w:w="1267" w:type="dxa"/>
            <w:shd w:val="clear" w:color="auto" w:fill="FFFFFF"/>
            <w:tcMar>
              <w:top w:w="0" w:type="dxa"/>
              <w:left w:w="0" w:type="dxa"/>
              <w:bottom w:w="0" w:type="dxa"/>
              <w:right w:w="0" w:type="dxa"/>
            </w:tcMar>
          </w:tcPr>
          <w:p w14:paraId="3BDBD9F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shd w:val="clear" w:color="auto" w:fill="FFFFFF"/>
            <w:tcMar>
              <w:top w:w="0" w:type="dxa"/>
              <w:left w:w="0" w:type="dxa"/>
              <w:bottom w:w="0" w:type="dxa"/>
              <w:right w:w="0" w:type="dxa"/>
            </w:tcMar>
          </w:tcPr>
          <w:p w14:paraId="7C458383"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shd w:val="clear" w:color="auto" w:fill="FFFFFF"/>
          </w:tcPr>
          <w:p w14:paraId="11D32DE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shd w:val="clear" w:color="auto" w:fill="FFFFFF"/>
            <w:tcMar>
              <w:top w:w="0" w:type="dxa"/>
              <w:left w:w="0" w:type="dxa"/>
              <w:bottom w:w="0" w:type="dxa"/>
              <w:right w:w="0" w:type="dxa"/>
            </w:tcMar>
          </w:tcPr>
          <w:p w14:paraId="6D95C851"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285" w:type="dxa"/>
            <w:shd w:val="clear" w:color="auto" w:fill="FFFFFF"/>
            <w:tcMar>
              <w:top w:w="0" w:type="dxa"/>
              <w:left w:w="0" w:type="dxa"/>
              <w:bottom w:w="0" w:type="dxa"/>
              <w:right w:w="0" w:type="dxa"/>
            </w:tcMar>
          </w:tcPr>
          <w:p w14:paraId="2632C8D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32" w:type="dxa"/>
            <w:shd w:val="clear" w:color="auto" w:fill="FFFFFF"/>
            <w:tcMar>
              <w:top w:w="0" w:type="dxa"/>
              <w:left w:w="0" w:type="dxa"/>
              <w:bottom w:w="0" w:type="dxa"/>
              <w:right w:w="0" w:type="dxa"/>
            </w:tcMar>
          </w:tcPr>
          <w:p w14:paraId="05505619"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0D30233A" w14:textId="77777777" w:rsidTr="001930F6">
        <w:tc>
          <w:tcPr>
            <w:tcW w:w="3119" w:type="dxa"/>
            <w:shd w:val="clear" w:color="auto" w:fill="FFFFFF"/>
            <w:tcMar>
              <w:top w:w="0" w:type="dxa"/>
              <w:left w:w="0" w:type="dxa"/>
              <w:bottom w:w="0" w:type="dxa"/>
              <w:right w:w="0" w:type="dxa"/>
            </w:tcMar>
          </w:tcPr>
          <w:p w14:paraId="08793A07"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shd w:val="clear" w:color="auto" w:fill="FFFFFF"/>
            <w:tcMar>
              <w:top w:w="0" w:type="dxa"/>
              <w:left w:w="0" w:type="dxa"/>
              <w:bottom w:w="0" w:type="dxa"/>
              <w:right w:w="0" w:type="dxa"/>
            </w:tcMar>
          </w:tcPr>
          <w:p w14:paraId="2DB3D3F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[&lt;0.001]</w:t>
            </w:r>
          </w:p>
        </w:tc>
        <w:tc>
          <w:tcPr>
            <w:tcW w:w="1267" w:type="dxa"/>
            <w:shd w:val="clear" w:color="auto" w:fill="FFFFFF"/>
            <w:tcMar>
              <w:top w:w="0" w:type="dxa"/>
              <w:left w:w="0" w:type="dxa"/>
              <w:bottom w:w="0" w:type="dxa"/>
              <w:right w:w="0" w:type="dxa"/>
            </w:tcMar>
          </w:tcPr>
          <w:p w14:paraId="66D79820"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shd w:val="clear" w:color="auto" w:fill="FFFFFF"/>
            <w:tcMar>
              <w:top w:w="0" w:type="dxa"/>
              <w:left w:w="0" w:type="dxa"/>
              <w:bottom w:w="0" w:type="dxa"/>
              <w:right w:w="0" w:type="dxa"/>
            </w:tcMar>
          </w:tcPr>
          <w:p w14:paraId="77F3E4F4"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shd w:val="clear" w:color="auto" w:fill="FFFFFF"/>
          </w:tcPr>
          <w:p w14:paraId="62A362F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shd w:val="clear" w:color="auto" w:fill="FFFFFF"/>
            <w:tcMar>
              <w:top w:w="0" w:type="dxa"/>
              <w:left w:w="0" w:type="dxa"/>
              <w:bottom w:w="0" w:type="dxa"/>
              <w:right w:w="0" w:type="dxa"/>
            </w:tcMar>
          </w:tcPr>
          <w:p w14:paraId="3118A78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285" w:type="dxa"/>
            <w:shd w:val="clear" w:color="auto" w:fill="FFFFFF"/>
            <w:tcMar>
              <w:top w:w="0" w:type="dxa"/>
              <w:left w:w="0" w:type="dxa"/>
              <w:bottom w:w="0" w:type="dxa"/>
              <w:right w:w="0" w:type="dxa"/>
            </w:tcMar>
          </w:tcPr>
          <w:p w14:paraId="19DF9AF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32" w:type="dxa"/>
            <w:shd w:val="clear" w:color="auto" w:fill="FFFFFF"/>
            <w:tcMar>
              <w:top w:w="0" w:type="dxa"/>
              <w:left w:w="0" w:type="dxa"/>
              <w:bottom w:w="0" w:type="dxa"/>
              <w:right w:w="0" w:type="dxa"/>
            </w:tcMar>
          </w:tcPr>
          <w:p w14:paraId="3247F28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710889D9" w14:textId="77777777" w:rsidTr="001930F6">
        <w:tc>
          <w:tcPr>
            <w:tcW w:w="3119" w:type="dxa"/>
            <w:shd w:val="clear" w:color="auto" w:fill="FFFFFF"/>
            <w:tcMar>
              <w:top w:w="0" w:type="dxa"/>
              <w:left w:w="0" w:type="dxa"/>
              <w:bottom w:w="0" w:type="dxa"/>
              <w:right w:w="0" w:type="dxa"/>
            </w:tcMar>
          </w:tcPr>
          <w:p w14:paraId="0AC4170E"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lang w:val="en-US"/>
              </w:rPr>
            </w:pPr>
            <w:r w:rsidRPr="007115F2">
              <w:rPr>
                <w:color w:val="000000" w:themeColor="text1"/>
                <w:sz w:val="22"/>
                <w:lang w:val="en-US"/>
              </w:rPr>
              <w:t xml:space="preserve">Direct_BoardInterlocks x </w:t>
            </w:r>
            <w:r w:rsidRPr="007115F2">
              <w:rPr>
                <w:color w:val="000000" w:themeColor="text1"/>
                <w:sz w:val="22"/>
                <w:lang w:val="en-US"/>
              </w:rPr>
              <w:br/>
              <w:t>Relative_FirmStatus</w:t>
            </w:r>
          </w:p>
        </w:tc>
        <w:tc>
          <w:tcPr>
            <w:tcW w:w="1417" w:type="dxa"/>
            <w:shd w:val="clear" w:color="auto" w:fill="FFFFFF"/>
            <w:tcMar>
              <w:top w:w="0" w:type="dxa"/>
              <w:left w:w="0" w:type="dxa"/>
              <w:bottom w:w="0" w:type="dxa"/>
              <w:right w:w="0" w:type="dxa"/>
            </w:tcMar>
          </w:tcPr>
          <w:p w14:paraId="1FB5234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lang w:val="en-US"/>
              </w:rPr>
            </w:pPr>
          </w:p>
        </w:tc>
        <w:tc>
          <w:tcPr>
            <w:tcW w:w="1267" w:type="dxa"/>
            <w:shd w:val="clear" w:color="auto" w:fill="FFFFFF"/>
            <w:tcMar>
              <w:top w:w="0" w:type="dxa"/>
              <w:left w:w="0" w:type="dxa"/>
              <w:bottom w:w="0" w:type="dxa"/>
              <w:right w:w="0" w:type="dxa"/>
            </w:tcMar>
          </w:tcPr>
          <w:p w14:paraId="0317B85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217" w:type="dxa"/>
            <w:shd w:val="clear" w:color="auto" w:fill="FFFFFF"/>
            <w:tcMar>
              <w:top w:w="0" w:type="dxa"/>
              <w:left w:w="0" w:type="dxa"/>
              <w:bottom w:w="0" w:type="dxa"/>
              <w:right w:w="0" w:type="dxa"/>
            </w:tcMar>
          </w:tcPr>
          <w:p w14:paraId="4008592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shd w:val="clear" w:color="auto" w:fill="FFFFFF"/>
          </w:tcPr>
          <w:p w14:paraId="1B51A5D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shd w:val="clear" w:color="auto" w:fill="FFFFFF"/>
            <w:tcMar>
              <w:top w:w="0" w:type="dxa"/>
              <w:left w:w="0" w:type="dxa"/>
              <w:bottom w:w="0" w:type="dxa"/>
              <w:right w:w="0" w:type="dxa"/>
            </w:tcMar>
          </w:tcPr>
          <w:p w14:paraId="2654AE3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285" w:type="dxa"/>
            <w:shd w:val="clear" w:color="auto" w:fill="FFFFFF"/>
            <w:tcMar>
              <w:top w:w="0" w:type="dxa"/>
              <w:left w:w="0" w:type="dxa"/>
              <w:bottom w:w="0" w:type="dxa"/>
              <w:right w:w="0" w:type="dxa"/>
            </w:tcMar>
          </w:tcPr>
          <w:p w14:paraId="19ACE7F3"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32" w:type="dxa"/>
            <w:shd w:val="clear" w:color="auto" w:fill="FFFFFF"/>
            <w:tcMar>
              <w:top w:w="0" w:type="dxa"/>
              <w:left w:w="0" w:type="dxa"/>
              <w:bottom w:w="0" w:type="dxa"/>
              <w:right w:w="0" w:type="dxa"/>
            </w:tcMar>
          </w:tcPr>
          <w:p w14:paraId="194B18F1"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412EDE62" w14:textId="77777777" w:rsidTr="001930F6">
        <w:tc>
          <w:tcPr>
            <w:tcW w:w="3119" w:type="dxa"/>
            <w:shd w:val="clear" w:color="auto" w:fill="FFFFFF"/>
            <w:tcMar>
              <w:top w:w="0" w:type="dxa"/>
              <w:left w:w="0" w:type="dxa"/>
              <w:bottom w:w="0" w:type="dxa"/>
              <w:right w:w="0" w:type="dxa"/>
            </w:tcMar>
          </w:tcPr>
          <w:p w14:paraId="6F9D41CA"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shd w:val="clear" w:color="auto" w:fill="FFFFFF"/>
            <w:tcMar>
              <w:top w:w="0" w:type="dxa"/>
              <w:left w:w="0" w:type="dxa"/>
              <w:bottom w:w="0" w:type="dxa"/>
              <w:right w:w="0" w:type="dxa"/>
            </w:tcMar>
          </w:tcPr>
          <w:p w14:paraId="7EF1DB3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267" w:type="dxa"/>
            <w:shd w:val="clear" w:color="auto" w:fill="FFFFFF"/>
            <w:tcMar>
              <w:top w:w="0" w:type="dxa"/>
              <w:left w:w="0" w:type="dxa"/>
              <w:bottom w:w="0" w:type="dxa"/>
              <w:right w:w="0" w:type="dxa"/>
            </w:tcMar>
          </w:tcPr>
          <w:p w14:paraId="1F74B2E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217" w:type="dxa"/>
            <w:shd w:val="clear" w:color="auto" w:fill="FFFFFF"/>
            <w:tcMar>
              <w:top w:w="0" w:type="dxa"/>
              <w:left w:w="0" w:type="dxa"/>
              <w:bottom w:w="0" w:type="dxa"/>
              <w:right w:w="0" w:type="dxa"/>
            </w:tcMar>
          </w:tcPr>
          <w:p w14:paraId="5B00894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shd w:val="clear" w:color="auto" w:fill="FFFFFF"/>
          </w:tcPr>
          <w:p w14:paraId="3EA06E6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shd w:val="clear" w:color="auto" w:fill="FFFFFF"/>
            <w:tcMar>
              <w:top w:w="0" w:type="dxa"/>
              <w:left w:w="0" w:type="dxa"/>
              <w:bottom w:w="0" w:type="dxa"/>
              <w:right w:w="0" w:type="dxa"/>
            </w:tcMar>
          </w:tcPr>
          <w:p w14:paraId="2BB8ED1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285" w:type="dxa"/>
            <w:shd w:val="clear" w:color="auto" w:fill="FFFFFF"/>
            <w:tcMar>
              <w:top w:w="0" w:type="dxa"/>
              <w:left w:w="0" w:type="dxa"/>
              <w:bottom w:w="0" w:type="dxa"/>
              <w:right w:w="0" w:type="dxa"/>
            </w:tcMar>
          </w:tcPr>
          <w:p w14:paraId="706C6C9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32" w:type="dxa"/>
            <w:shd w:val="clear" w:color="auto" w:fill="FFFFFF"/>
            <w:tcMar>
              <w:top w:w="0" w:type="dxa"/>
              <w:left w:w="0" w:type="dxa"/>
              <w:bottom w:w="0" w:type="dxa"/>
              <w:right w:w="0" w:type="dxa"/>
            </w:tcMar>
          </w:tcPr>
          <w:p w14:paraId="0A8F9409"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59B6F82A" w14:textId="77777777" w:rsidTr="001930F6">
        <w:tc>
          <w:tcPr>
            <w:tcW w:w="3119" w:type="dxa"/>
            <w:shd w:val="clear" w:color="auto" w:fill="FFFFFF"/>
            <w:tcMar>
              <w:top w:w="0" w:type="dxa"/>
              <w:left w:w="0" w:type="dxa"/>
              <w:bottom w:w="0" w:type="dxa"/>
              <w:right w:w="0" w:type="dxa"/>
            </w:tcMar>
          </w:tcPr>
          <w:p w14:paraId="3E162986"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shd w:val="clear" w:color="auto" w:fill="FFFFFF"/>
            <w:tcMar>
              <w:top w:w="0" w:type="dxa"/>
              <w:left w:w="0" w:type="dxa"/>
              <w:bottom w:w="0" w:type="dxa"/>
              <w:right w:w="0" w:type="dxa"/>
            </w:tcMar>
          </w:tcPr>
          <w:p w14:paraId="7343BDF0"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267" w:type="dxa"/>
            <w:shd w:val="clear" w:color="auto" w:fill="FFFFFF"/>
            <w:tcMar>
              <w:top w:w="0" w:type="dxa"/>
              <w:left w:w="0" w:type="dxa"/>
              <w:bottom w:w="0" w:type="dxa"/>
              <w:right w:w="0" w:type="dxa"/>
            </w:tcMar>
          </w:tcPr>
          <w:p w14:paraId="08DA8C3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[0.011]</w:t>
            </w:r>
          </w:p>
        </w:tc>
        <w:tc>
          <w:tcPr>
            <w:tcW w:w="217" w:type="dxa"/>
            <w:shd w:val="clear" w:color="auto" w:fill="FFFFFF"/>
            <w:tcMar>
              <w:top w:w="0" w:type="dxa"/>
              <w:left w:w="0" w:type="dxa"/>
              <w:bottom w:w="0" w:type="dxa"/>
              <w:right w:w="0" w:type="dxa"/>
            </w:tcMar>
          </w:tcPr>
          <w:p w14:paraId="4342B0F0"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shd w:val="clear" w:color="auto" w:fill="FFFFFF"/>
          </w:tcPr>
          <w:p w14:paraId="708ACA8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shd w:val="clear" w:color="auto" w:fill="FFFFFF"/>
            <w:tcMar>
              <w:top w:w="0" w:type="dxa"/>
              <w:left w:w="0" w:type="dxa"/>
              <w:bottom w:w="0" w:type="dxa"/>
              <w:right w:w="0" w:type="dxa"/>
            </w:tcMar>
          </w:tcPr>
          <w:p w14:paraId="17890AC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285" w:type="dxa"/>
            <w:shd w:val="clear" w:color="auto" w:fill="FFFFFF"/>
            <w:tcMar>
              <w:top w:w="0" w:type="dxa"/>
              <w:left w:w="0" w:type="dxa"/>
              <w:bottom w:w="0" w:type="dxa"/>
              <w:right w:w="0" w:type="dxa"/>
            </w:tcMar>
          </w:tcPr>
          <w:p w14:paraId="7F6FCE8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32" w:type="dxa"/>
            <w:shd w:val="clear" w:color="auto" w:fill="FFFFFF"/>
            <w:tcMar>
              <w:top w:w="0" w:type="dxa"/>
              <w:left w:w="0" w:type="dxa"/>
              <w:bottom w:w="0" w:type="dxa"/>
              <w:right w:w="0" w:type="dxa"/>
            </w:tcMar>
          </w:tcPr>
          <w:p w14:paraId="7F54225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73F35BDC" w14:textId="77777777" w:rsidTr="001930F6">
        <w:tc>
          <w:tcPr>
            <w:tcW w:w="3119" w:type="dxa"/>
            <w:shd w:val="clear" w:color="auto" w:fill="FFFFFF"/>
            <w:tcMar>
              <w:top w:w="0" w:type="dxa"/>
              <w:left w:w="0" w:type="dxa"/>
              <w:bottom w:w="0" w:type="dxa"/>
              <w:right w:w="0" w:type="dxa"/>
            </w:tcMar>
          </w:tcPr>
          <w:p w14:paraId="5B5B4DE1"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lang w:val="en-US"/>
              </w:rPr>
            </w:pPr>
            <w:r w:rsidRPr="007115F2">
              <w:rPr>
                <w:color w:val="000000" w:themeColor="text1"/>
                <w:sz w:val="22"/>
                <w:lang w:val="en-US"/>
              </w:rPr>
              <w:t xml:space="preserve">Indirect_BoardInterlocks x </w:t>
            </w:r>
            <w:r w:rsidRPr="007115F2">
              <w:rPr>
                <w:color w:val="000000" w:themeColor="text1"/>
                <w:sz w:val="22"/>
                <w:lang w:val="en-US"/>
              </w:rPr>
              <w:br/>
              <w:t>Relative_BoardPower</w:t>
            </w:r>
          </w:p>
        </w:tc>
        <w:tc>
          <w:tcPr>
            <w:tcW w:w="1417" w:type="dxa"/>
            <w:shd w:val="clear" w:color="auto" w:fill="FFFFFF"/>
            <w:tcMar>
              <w:top w:w="0" w:type="dxa"/>
              <w:left w:w="0" w:type="dxa"/>
              <w:bottom w:w="0" w:type="dxa"/>
              <w:right w:w="0" w:type="dxa"/>
            </w:tcMar>
          </w:tcPr>
          <w:p w14:paraId="58C79CC9"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lang w:val="en-US"/>
              </w:rPr>
            </w:pPr>
          </w:p>
        </w:tc>
        <w:tc>
          <w:tcPr>
            <w:tcW w:w="1267" w:type="dxa"/>
            <w:shd w:val="clear" w:color="auto" w:fill="FFFFFF"/>
            <w:tcMar>
              <w:top w:w="0" w:type="dxa"/>
              <w:left w:w="0" w:type="dxa"/>
              <w:bottom w:w="0" w:type="dxa"/>
              <w:right w:w="0" w:type="dxa"/>
            </w:tcMar>
          </w:tcPr>
          <w:p w14:paraId="7CD6A20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lang w:val="en-US"/>
              </w:rPr>
            </w:pPr>
          </w:p>
        </w:tc>
        <w:tc>
          <w:tcPr>
            <w:tcW w:w="217" w:type="dxa"/>
            <w:shd w:val="clear" w:color="auto" w:fill="FFFFFF"/>
            <w:tcMar>
              <w:top w:w="0" w:type="dxa"/>
              <w:left w:w="0" w:type="dxa"/>
              <w:bottom w:w="0" w:type="dxa"/>
              <w:right w:w="0" w:type="dxa"/>
            </w:tcMar>
          </w:tcPr>
          <w:p w14:paraId="5112228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lang w:val="en-US"/>
              </w:rPr>
            </w:pPr>
          </w:p>
        </w:tc>
        <w:tc>
          <w:tcPr>
            <w:tcW w:w="217" w:type="dxa"/>
            <w:shd w:val="clear" w:color="auto" w:fill="FFFFFF"/>
          </w:tcPr>
          <w:p w14:paraId="3FC2B1C3"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lang w:val="en-US"/>
              </w:rPr>
            </w:pPr>
          </w:p>
        </w:tc>
        <w:tc>
          <w:tcPr>
            <w:tcW w:w="1418" w:type="dxa"/>
            <w:shd w:val="clear" w:color="auto" w:fill="FFFFFF"/>
            <w:tcMar>
              <w:top w:w="0" w:type="dxa"/>
              <w:left w:w="0" w:type="dxa"/>
              <w:bottom w:w="0" w:type="dxa"/>
              <w:right w:w="0" w:type="dxa"/>
            </w:tcMar>
          </w:tcPr>
          <w:p w14:paraId="2B2A6C3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0.003</w:t>
            </w:r>
          </w:p>
        </w:tc>
        <w:tc>
          <w:tcPr>
            <w:tcW w:w="1285" w:type="dxa"/>
            <w:shd w:val="clear" w:color="auto" w:fill="FFFFFF"/>
            <w:tcMar>
              <w:top w:w="0" w:type="dxa"/>
              <w:left w:w="0" w:type="dxa"/>
              <w:bottom w:w="0" w:type="dxa"/>
              <w:right w:w="0" w:type="dxa"/>
            </w:tcMar>
          </w:tcPr>
          <w:p w14:paraId="1585724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32" w:type="dxa"/>
            <w:shd w:val="clear" w:color="auto" w:fill="FFFFFF"/>
            <w:tcMar>
              <w:top w:w="0" w:type="dxa"/>
              <w:left w:w="0" w:type="dxa"/>
              <w:bottom w:w="0" w:type="dxa"/>
              <w:right w:w="0" w:type="dxa"/>
            </w:tcMar>
          </w:tcPr>
          <w:p w14:paraId="3B7E363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79BAC8F6" w14:textId="77777777" w:rsidTr="001930F6">
        <w:tc>
          <w:tcPr>
            <w:tcW w:w="3119" w:type="dxa"/>
            <w:shd w:val="clear" w:color="auto" w:fill="FFFFFF"/>
            <w:tcMar>
              <w:top w:w="0" w:type="dxa"/>
              <w:left w:w="0" w:type="dxa"/>
              <w:bottom w:w="0" w:type="dxa"/>
              <w:right w:w="0" w:type="dxa"/>
            </w:tcMar>
          </w:tcPr>
          <w:p w14:paraId="5A17EC60"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shd w:val="clear" w:color="auto" w:fill="FFFFFF"/>
            <w:tcMar>
              <w:top w:w="0" w:type="dxa"/>
              <w:left w:w="0" w:type="dxa"/>
              <w:bottom w:w="0" w:type="dxa"/>
              <w:right w:w="0" w:type="dxa"/>
            </w:tcMar>
          </w:tcPr>
          <w:p w14:paraId="62D3F69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267" w:type="dxa"/>
            <w:shd w:val="clear" w:color="auto" w:fill="FFFFFF"/>
            <w:tcMar>
              <w:top w:w="0" w:type="dxa"/>
              <w:left w:w="0" w:type="dxa"/>
              <w:bottom w:w="0" w:type="dxa"/>
              <w:right w:w="0" w:type="dxa"/>
            </w:tcMar>
          </w:tcPr>
          <w:p w14:paraId="78A8D9C5"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shd w:val="clear" w:color="auto" w:fill="FFFFFF"/>
            <w:tcMar>
              <w:top w:w="0" w:type="dxa"/>
              <w:left w:w="0" w:type="dxa"/>
              <w:bottom w:w="0" w:type="dxa"/>
              <w:right w:w="0" w:type="dxa"/>
            </w:tcMar>
          </w:tcPr>
          <w:p w14:paraId="00B75AA0"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shd w:val="clear" w:color="auto" w:fill="FFFFFF"/>
          </w:tcPr>
          <w:p w14:paraId="151C4993"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shd w:val="clear" w:color="auto" w:fill="FFFFFF"/>
            <w:tcMar>
              <w:top w:w="0" w:type="dxa"/>
              <w:left w:w="0" w:type="dxa"/>
              <w:bottom w:w="0" w:type="dxa"/>
              <w:right w:w="0" w:type="dxa"/>
            </w:tcMar>
          </w:tcPr>
          <w:p w14:paraId="793F4EA3"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285" w:type="dxa"/>
            <w:shd w:val="clear" w:color="auto" w:fill="FFFFFF"/>
            <w:tcMar>
              <w:top w:w="0" w:type="dxa"/>
              <w:left w:w="0" w:type="dxa"/>
              <w:bottom w:w="0" w:type="dxa"/>
              <w:right w:w="0" w:type="dxa"/>
            </w:tcMar>
          </w:tcPr>
          <w:p w14:paraId="0CB8BE70"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32" w:type="dxa"/>
            <w:shd w:val="clear" w:color="auto" w:fill="FFFFFF"/>
            <w:tcMar>
              <w:top w:w="0" w:type="dxa"/>
              <w:left w:w="0" w:type="dxa"/>
              <w:bottom w:w="0" w:type="dxa"/>
              <w:right w:w="0" w:type="dxa"/>
            </w:tcMar>
          </w:tcPr>
          <w:p w14:paraId="266E8A4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292DC5A7" w14:textId="77777777" w:rsidTr="001930F6">
        <w:tc>
          <w:tcPr>
            <w:tcW w:w="3119" w:type="dxa"/>
            <w:shd w:val="clear" w:color="auto" w:fill="FFFFFF"/>
            <w:tcMar>
              <w:top w:w="0" w:type="dxa"/>
              <w:left w:w="0" w:type="dxa"/>
              <w:bottom w:w="0" w:type="dxa"/>
              <w:right w:w="0" w:type="dxa"/>
            </w:tcMar>
          </w:tcPr>
          <w:p w14:paraId="0DBC6E0C"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shd w:val="clear" w:color="auto" w:fill="FFFFFF"/>
            <w:tcMar>
              <w:top w:w="0" w:type="dxa"/>
              <w:left w:w="0" w:type="dxa"/>
              <w:bottom w:w="0" w:type="dxa"/>
              <w:right w:w="0" w:type="dxa"/>
            </w:tcMar>
          </w:tcPr>
          <w:p w14:paraId="10D66C6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267" w:type="dxa"/>
            <w:shd w:val="clear" w:color="auto" w:fill="FFFFFF"/>
            <w:tcMar>
              <w:top w:w="0" w:type="dxa"/>
              <w:left w:w="0" w:type="dxa"/>
              <w:bottom w:w="0" w:type="dxa"/>
              <w:right w:w="0" w:type="dxa"/>
            </w:tcMar>
          </w:tcPr>
          <w:p w14:paraId="0D0934B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shd w:val="clear" w:color="auto" w:fill="FFFFFF"/>
            <w:tcMar>
              <w:top w:w="0" w:type="dxa"/>
              <w:left w:w="0" w:type="dxa"/>
              <w:bottom w:w="0" w:type="dxa"/>
              <w:right w:w="0" w:type="dxa"/>
            </w:tcMar>
          </w:tcPr>
          <w:p w14:paraId="3537F1A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shd w:val="clear" w:color="auto" w:fill="FFFFFF"/>
          </w:tcPr>
          <w:p w14:paraId="3E3F3F3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shd w:val="clear" w:color="auto" w:fill="FFFFFF"/>
            <w:tcMar>
              <w:top w:w="0" w:type="dxa"/>
              <w:left w:w="0" w:type="dxa"/>
              <w:bottom w:w="0" w:type="dxa"/>
              <w:right w:w="0" w:type="dxa"/>
            </w:tcMar>
          </w:tcPr>
          <w:p w14:paraId="1B699BE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[0.018]</w:t>
            </w:r>
          </w:p>
        </w:tc>
        <w:tc>
          <w:tcPr>
            <w:tcW w:w="1285" w:type="dxa"/>
            <w:shd w:val="clear" w:color="auto" w:fill="FFFFFF"/>
            <w:tcMar>
              <w:top w:w="0" w:type="dxa"/>
              <w:left w:w="0" w:type="dxa"/>
              <w:bottom w:w="0" w:type="dxa"/>
              <w:right w:w="0" w:type="dxa"/>
            </w:tcMar>
          </w:tcPr>
          <w:p w14:paraId="3D8F45E9"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32" w:type="dxa"/>
            <w:shd w:val="clear" w:color="auto" w:fill="FFFFFF"/>
            <w:tcMar>
              <w:top w:w="0" w:type="dxa"/>
              <w:left w:w="0" w:type="dxa"/>
              <w:bottom w:w="0" w:type="dxa"/>
              <w:right w:w="0" w:type="dxa"/>
            </w:tcMar>
          </w:tcPr>
          <w:p w14:paraId="3C79D6A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27EA87A1" w14:textId="77777777" w:rsidTr="001930F6">
        <w:tc>
          <w:tcPr>
            <w:tcW w:w="3119" w:type="dxa"/>
            <w:shd w:val="clear" w:color="auto" w:fill="FFFFFF"/>
            <w:tcMar>
              <w:top w:w="0" w:type="dxa"/>
              <w:left w:w="0" w:type="dxa"/>
              <w:bottom w:w="0" w:type="dxa"/>
              <w:right w:w="0" w:type="dxa"/>
            </w:tcMar>
          </w:tcPr>
          <w:p w14:paraId="5C04557C"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lang w:val="en-US"/>
              </w:rPr>
            </w:pPr>
            <w:r w:rsidRPr="007115F2">
              <w:rPr>
                <w:color w:val="000000" w:themeColor="text1"/>
                <w:sz w:val="22"/>
                <w:lang w:val="en-US"/>
              </w:rPr>
              <w:t xml:space="preserve">Indirect_BoardInterlocks x </w:t>
            </w:r>
            <w:r w:rsidRPr="007115F2">
              <w:rPr>
                <w:color w:val="000000" w:themeColor="text1"/>
                <w:sz w:val="22"/>
                <w:lang w:val="en-US"/>
              </w:rPr>
              <w:br/>
              <w:t>Relative_FirmStatus</w:t>
            </w:r>
          </w:p>
        </w:tc>
        <w:tc>
          <w:tcPr>
            <w:tcW w:w="1417" w:type="dxa"/>
            <w:shd w:val="clear" w:color="auto" w:fill="FFFFFF"/>
            <w:tcMar>
              <w:top w:w="0" w:type="dxa"/>
              <w:left w:w="0" w:type="dxa"/>
              <w:bottom w:w="0" w:type="dxa"/>
              <w:right w:w="0" w:type="dxa"/>
            </w:tcMar>
          </w:tcPr>
          <w:p w14:paraId="2D504A45"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lang w:val="en-US"/>
              </w:rPr>
            </w:pPr>
          </w:p>
        </w:tc>
        <w:tc>
          <w:tcPr>
            <w:tcW w:w="1267" w:type="dxa"/>
            <w:shd w:val="clear" w:color="auto" w:fill="FFFFFF"/>
            <w:tcMar>
              <w:top w:w="0" w:type="dxa"/>
              <w:left w:w="0" w:type="dxa"/>
              <w:bottom w:w="0" w:type="dxa"/>
              <w:right w:w="0" w:type="dxa"/>
            </w:tcMar>
          </w:tcPr>
          <w:p w14:paraId="7C3DF2D5"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lang w:val="en-US"/>
              </w:rPr>
            </w:pPr>
          </w:p>
        </w:tc>
        <w:tc>
          <w:tcPr>
            <w:tcW w:w="217" w:type="dxa"/>
            <w:shd w:val="clear" w:color="auto" w:fill="FFFFFF"/>
            <w:tcMar>
              <w:top w:w="0" w:type="dxa"/>
              <w:left w:w="0" w:type="dxa"/>
              <w:bottom w:w="0" w:type="dxa"/>
              <w:right w:w="0" w:type="dxa"/>
            </w:tcMar>
          </w:tcPr>
          <w:p w14:paraId="6F99D74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lang w:val="en-US"/>
              </w:rPr>
            </w:pPr>
          </w:p>
        </w:tc>
        <w:tc>
          <w:tcPr>
            <w:tcW w:w="217" w:type="dxa"/>
            <w:shd w:val="clear" w:color="auto" w:fill="FFFFFF"/>
          </w:tcPr>
          <w:p w14:paraId="7BE5A3F9"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lang w:val="en-US"/>
              </w:rPr>
            </w:pPr>
          </w:p>
        </w:tc>
        <w:tc>
          <w:tcPr>
            <w:tcW w:w="1418" w:type="dxa"/>
            <w:shd w:val="clear" w:color="auto" w:fill="FFFFFF"/>
            <w:tcMar>
              <w:top w:w="0" w:type="dxa"/>
              <w:left w:w="0" w:type="dxa"/>
              <w:bottom w:w="0" w:type="dxa"/>
              <w:right w:w="0" w:type="dxa"/>
            </w:tcMar>
          </w:tcPr>
          <w:p w14:paraId="33D0832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lang w:val="en-US"/>
              </w:rPr>
            </w:pPr>
          </w:p>
        </w:tc>
        <w:tc>
          <w:tcPr>
            <w:tcW w:w="1285" w:type="dxa"/>
            <w:shd w:val="clear" w:color="auto" w:fill="FFFFFF"/>
            <w:tcMar>
              <w:top w:w="0" w:type="dxa"/>
              <w:left w:w="0" w:type="dxa"/>
              <w:bottom w:w="0" w:type="dxa"/>
              <w:right w:w="0" w:type="dxa"/>
            </w:tcMar>
            <w:vAlign w:val="center"/>
          </w:tcPr>
          <w:p w14:paraId="6144B7E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32" w:type="dxa"/>
            <w:shd w:val="clear" w:color="auto" w:fill="FFFFFF"/>
            <w:tcMar>
              <w:top w:w="0" w:type="dxa"/>
              <w:left w:w="0" w:type="dxa"/>
              <w:bottom w:w="0" w:type="dxa"/>
              <w:right w:w="0" w:type="dxa"/>
            </w:tcMar>
          </w:tcPr>
          <w:p w14:paraId="244FE400"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lang w:val="en-US"/>
              </w:rPr>
            </w:pPr>
          </w:p>
        </w:tc>
      </w:tr>
      <w:tr w:rsidR="00284207" w:rsidRPr="007115F2" w14:paraId="469D445A" w14:textId="77777777" w:rsidTr="001930F6">
        <w:tc>
          <w:tcPr>
            <w:tcW w:w="3119" w:type="dxa"/>
            <w:shd w:val="clear" w:color="auto" w:fill="FFFFFF"/>
            <w:tcMar>
              <w:top w:w="0" w:type="dxa"/>
              <w:left w:w="0" w:type="dxa"/>
              <w:bottom w:w="0" w:type="dxa"/>
              <w:right w:w="0" w:type="dxa"/>
            </w:tcMar>
          </w:tcPr>
          <w:p w14:paraId="6B61E4BB"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lang w:val="en-US"/>
              </w:rPr>
            </w:pPr>
          </w:p>
        </w:tc>
        <w:tc>
          <w:tcPr>
            <w:tcW w:w="1417" w:type="dxa"/>
            <w:shd w:val="clear" w:color="auto" w:fill="FFFFFF"/>
            <w:tcMar>
              <w:top w:w="0" w:type="dxa"/>
              <w:left w:w="0" w:type="dxa"/>
              <w:bottom w:w="0" w:type="dxa"/>
              <w:right w:w="0" w:type="dxa"/>
            </w:tcMar>
          </w:tcPr>
          <w:p w14:paraId="2590D17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lang w:val="en-US"/>
              </w:rPr>
            </w:pPr>
          </w:p>
        </w:tc>
        <w:tc>
          <w:tcPr>
            <w:tcW w:w="1267" w:type="dxa"/>
            <w:shd w:val="clear" w:color="auto" w:fill="FFFFFF"/>
            <w:tcMar>
              <w:top w:w="0" w:type="dxa"/>
              <w:left w:w="0" w:type="dxa"/>
              <w:bottom w:w="0" w:type="dxa"/>
              <w:right w:w="0" w:type="dxa"/>
            </w:tcMar>
          </w:tcPr>
          <w:p w14:paraId="3FBFD177"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lang w:val="en-US"/>
              </w:rPr>
            </w:pPr>
          </w:p>
        </w:tc>
        <w:tc>
          <w:tcPr>
            <w:tcW w:w="217" w:type="dxa"/>
            <w:shd w:val="clear" w:color="auto" w:fill="FFFFFF"/>
            <w:tcMar>
              <w:top w:w="0" w:type="dxa"/>
              <w:left w:w="0" w:type="dxa"/>
              <w:bottom w:w="0" w:type="dxa"/>
              <w:right w:w="0" w:type="dxa"/>
            </w:tcMar>
          </w:tcPr>
          <w:p w14:paraId="3CD38DE9"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lang w:val="en-US"/>
              </w:rPr>
            </w:pPr>
          </w:p>
        </w:tc>
        <w:tc>
          <w:tcPr>
            <w:tcW w:w="217" w:type="dxa"/>
            <w:shd w:val="clear" w:color="auto" w:fill="FFFFFF"/>
          </w:tcPr>
          <w:p w14:paraId="1AF7E8A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lang w:val="en-US"/>
              </w:rPr>
            </w:pPr>
          </w:p>
        </w:tc>
        <w:tc>
          <w:tcPr>
            <w:tcW w:w="1418" w:type="dxa"/>
            <w:shd w:val="clear" w:color="auto" w:fill="FFFFFF"/>
            <w:tcMar>
              <w:top w:w="0" w:type="dxa"/>
              <w:left w:w="0" w:type="dxa"/>
              <w:bottom w:w="0" w:type="dxa"/>
              <w:right w:w="0" w:type="dxa"/>
            </w:tcMar>
          </w:tcPr>
          <w:p w14:paraId="33A533A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lang w:val="en-US"/>
              </w:rPr>
            </w:pPr>
          </w:p>
        </w:tc>
        <w:tc>
          <w:tcPr>
            <w:tcW w:w="1285" w:type="dxa"/>
            <w:shd w:val="clear" w:color="auto" w:fill="FFFFFF"/>
            <w:tcMar>
              <w:top w:w="0" w:type="dxa"/>
              <w:left w:w="0" w:type="dxa"/>
              <w:bottom w:w="0" w:type="dxa"/>
              <w:right w:w="0" w:type="dxa"/>
            </w:tcMar>
            <w:vAlign w:val="center"/>
          </w:tcPr>
          <w:p w14:paraId="63BC21A1"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32" w:type="dxa"/>
            <w:shd w:val="clear" w:color="auto" w:fill="FFFFFF"/>
            <w:tcMar>
              <w:top w:w="0" w:type="dxa"/>
              <w:left w:w="0" w:type="dxa"/>
              <w:bottom w:w="0" w:type="dxa"/>
              <w:right w:w="0" w:type="dxa"/>
            </w:tcMar>
          </w:tcPr>
          <w:p w14:paraId="4362F6A7"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lang w:val="en-US"/>
              </w:rPr>
            </w:pPr>
          </w:p>
        </w:tc>
      </w:tr>
      <w:tr w:rsidR="00284207" w:rsidRPr="007115F2" w14:paraId="7611573B" w14:textId="77777777" w:rsidTr="001930F6">
        <w:tc>
          <w:tcPr>
            <w:tcW w:w="3119" w:type="dxa"/>
            <w:shd w:val="clear" w:color="auto" w:fill="FFFFFF"/>
            <w:tcMar>
              <w:top w:w="0" w:type="dxa"/>
              <w:left w:w="0" w:type="dxa"/>
              <w:bottom w:w="0" w:type="dxa"/>
              <w:right w:w="0" w:type="dxa"/>
            </w:tcMar>
          </w:tcPr>
          <w:p w14:paraId="1A5408D0"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lang w:val="en-US"/>
              </w:rPr>
            </w:pPr>
          </w:p>
        </w:tc>
        <w:tc>
          <w:tcPr>
            <w:tcW w:w="1417" w:type="dxa"/>
            <w:shd w:val="clear" w:color="auto" w:fill="FFFFFF"/>
            <w:tcMar>
              <w:top w:w="0" w:type="dxa"/>
              <w:left w:w="0" w:type="dxa"/>
              <w:bottom w:w="0" w:type="dxa"/>
              <w:right w:w="0" w:type="dxa"/>
            </w:tcMar>
          </w:tcPr>
          <w:p w14:paraId="24E2DE6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lang w:val="en-US"/>
              </w:rPr>
            </w:pPr>
          </w:p>
        </w:tc>
        <w:tc>
          <w:tcPr>
            <w:tcW w:w="1267" w:type="dxa"/>
            <w:shd w:val="clear" w:color="auto" w:fill="FFFFFF"/>
            <w:tcMar>
              <w:top w:w="0" w:type="dxa"/>
              <w:left w:w="0" w:type="dxa"/>
              <w:bottom w:w="0" w:type="dxa"/>
              <w:right w:w="0" w:type="dxa"/>
            </w:tcMar>
          </w:tcPr>
          <w:p w14:paraId="2E7B73F5"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lang w:val="en-US"/>
              </w:rPr>
            </w:pPr>
          </w:p>
        </w:tc>
        <w:tc>
          <w:tcPr>
            <w:tcW w:w="217" w:type="dxa"/>
            <w:shd w:val="clear" w:color="auto" w:fill="FFFFFF"/>
            <w:tcMar>
              <w:top w:w="0" w:type="dxa"/>
              <w:left w:w="0" w:type="dxa"/>
              <w:bottom w:w="0" w:type="dxa"/>
              <w:right w:w="0" w:type="dxa"/>
            </w:tcMar>
          </w:tcPr>
          <w:p w14:paraId="511C439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lang w:val="en-US"/>
              </w:rPr>
            </w:pPr>
          </w:p>
        </w:tc>
        <w:tc>
          <w:tcPr>
            <w:tcW w:w="217" w:type="dxa"/>
            <w:shd w:val="clear" w:color="auto" w:fill="FFFFFF"/>
          </w:tcPr>
          <w:p w14:paraId="445AAE0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lang w:val="en-US"/>
              </w:rPr>
            </w:pPr>
          </w:p>
        </w:tc>
        <w:tc>
          <w:tcPr>
            <w:tcW w:w="1418" w:type="dxa"/>
            <w:shd w:val="clear" w:color="auto" w:fill="FFFFFF"/>
            <w:tcMar>
              <w:top w:w="0" w:type="dxa"/>
              <w:left w:w="0" w:type="dxa"/>
              <w:bottom w:w="0" w:type="dxa"/>
              <w:right w:w="0" w:type="dxa"/>
            </w:tcMar>
          </w:tcPr>
          <w:p w14:paraId="65D44EF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lang w:val="en-US"/>
              </w:rPr>
            </w:pPr>
          </w:p>
        </w:tc>
        <w:tc>
          <w:tcPr>
            <w:tcW w:w="1285" w:type="dxa"/>
            <w:shd w:val="clear" w:color="auto" w:fill="FFFFFF"/>
            <w:tcMar>
              <w:top w:w="0" w:type="dxa"/>
              <w:left w:w="0" w:type="dxa"/>
              <w:bottom w:w="0" w:type="dxa"/>
              <w:right w:w="0" w:type="dxa"/>
            </w:tcMar>
            <w:vAlign w:val="center"/>
          </w:tcPr>
          <w:p w14:paraId="1CE71C13"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[0.047]</w:t>
            </w:r>
          </w:p>
        </w:tc>
        <w:tc>
          <w:tcPr>
            <w:tcW w:w="132" w:type="dxa"/>
            <w:shd w:val="clear" w:color="auto" w:fill="FFFFFF"/>
            <w:tcMar>
              <w:top w:w="0" w:type="dxa"/>
              <w:left w:w="0" w:type="dxa"/>
              <w:bottom w:w="0" w:type="dxa"/>
              <w:right w:w="0" w:type="dxa"/>
            </w:tcMar>
          </w:tcPr>
          <w:p w14:paraId="692CC869"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lang w:val="en-US"/>
              </w:rPr>
            </w:pPr>
          </w:p>
        </w:tc>
      </w:tr>
      <w:tr w:rsidR="00284207" w:rsidRPr="007115F2" w14:paraId="539311DC" w14:textId="77777777" w:rsidTr="001930F6">
        <w:tc>
          <w:tcPr>
            <w:tcW w:w="3119" w:type="dxa"/>
            <w:shd w:val="clear" w:color="auto" w:fill="FFFFFF"/>
            <w:tcMar>
              <w:top w:w="0" w:type="dxa"/>
              <w:left w:w="0" w:type="dxa"/>
              <w:bottom w:w="0" w:type="dxa"/>
              <w:right w:w="0" w:type="dxa"/>
            </w:tcMar>
          </w:tcPr>
          <w:p w14:paraId="124C72A4"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r w:rsidRPr="007115F2">
              <w:rPr>
                <w:color w:val="000000" w:themeColor="text1"/>
                <w:sz w:val="22"/>
              </w:rPr>
              <w:t>Prior_Board_Ties</w:t>
            </w:r>
          </w:p>
        </w:tc>
        <w:tc>
          <w:tcPr>
            <w:tcW w:w="1417" w:type="dxa"/>
            <w:shd w:val="clear" w:color="auto" w:fill="FFFFFF"/>
            <w:tcMar>
              <w:top w:w="0" w:type="dxa"/>
              <w:left w:w="0" w:type="dxa"/>
              <w:bottom w:w="0" w:type="dxa"/>
              <w:right w:w="0" w:type="dxa"/>
            </w:tcMar>
          </w:tcPr>
          <w:p w14:paraId="19D6A8F7"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267" w:type="dxa"/>
            <w:shd w:val="clear" w:color="auto" w:fill="FFFFFF"/>
            <w:tcMar>
              <w:top w:w="0" w:type="dxa"/>
              <w:left w:w="0" w:type="dxa"/>
              <w:bottom w:w="0" w:type="dxa"/>
              <w:right w:w="0" w:type="dxa"/>
            </w:tcMar>
          </w:tcPr>
          <w:p w14:paraId="5B1CC5B9"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217" w:type="dxa"/>
            <w:shd w:val="clear" w:color="auto" w:fill="FFFFFF"/>
            <w:tcMar>
              <w:top w:w="0" w:type="dxa"/>
              <w:left w:w="0" w:type="dxa"/>
              <w:bottom w:w="0" w:type="dxa"/>
              <w:right w:w="0" w:type="dxa"/>
            </w:tcMar>
          </w:tcPr>
          <w:p w14:paraId="79DA3AA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shd w:val="clear" w:color="auto" w:fill="FFFFFF"/>
          </w:tcPr>
          <w:p w14:paraId="4409CAF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shd w:val="clear" w:color="auto" w:fill="FFFFFF"/>
            <w:tcMar>
              <w:top w:w="0" w:type="dxa"/>
              <w:left w:w="0" w:type="dxa"/>
              <w:bottom w:w="0" w:type="dxa"/>
              <w:right w:w="0" w:type="dxa"/>
            </w:tcMar>
          </w:tcPr>
          <w:p w14:paraId="46BCA147"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285" w:type="dxa"/>
            <w:shd w:val="clear" w:color="auto" w:fill="FFFFFF"/>
            <w:tcMar>
              <w:top w:w="0" w:type="dxa"/>
              <w:left w:w="0" w:type="dxa"/>
              <w:bottom w:w="0" w:type="dxa"/>
              <w:right w:w="0" w:type="dxa"/>
            </w:tcMar>
          </w:tcPr>
          <w:p w14:paraId="4D83ED1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32" w:type="dxa"/>
            <w:shd w:val="clear" w:color="auto" w:fill="FFFFFF"/>
            <w:tcMar>
              <w:top w:w="0" w:type="dxa"/>
              <w:left w:w="0" w:type="dxa"/>
              <w:bottom w:w="0" w:type="dxa"/>
              <w:right w:w="0" w:type="dxa"/>
            </w:tcMar>
          </w:tcPr>
          <w:p w14:paraId="592AA1E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677A3456" w14:textId="77777777" w:rsidTr="001930F6">
        <w:tc>
          <w:tcPr>
            <w:tcW w:w="3119"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0FC10"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2D52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267"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8A6E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217"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8461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left w:val="none" w:sz="0" w:space="0" w:color="000000"/>
              <w:bottom w:val="none" w:sz="0" w:space="0" w:color="000000"/>
              <w:right w:val="none" w:sz="0" w:space="0" w:color="000000"/>
            </w:tcBorders>
            <w:shd w:val="clear" w:color="auto" w:fill="FFFFFF"/>
          </w:tcPr>
          <w:p w14:paraId="2106779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79AE7"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285"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E53B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32"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EEF2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0B1C7F1E"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6C0C6"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E5D99"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[0.531]</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97F1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[0.797]</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E4EC7"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16A120E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90ED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[0.337]</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C54A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[0.986]</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7999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1EC17D21"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55107"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r w:rsidRPr="007115F2">
              <w:rPr>
                <w:color w:val="000000" w:themeColor="text1"/>
                <w:sz w:val="22"/>
              </w:rPr>
              <w:t>Relative_Board_NetworkSize</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25D0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87797"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0BAB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28D7E223"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B22A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DDEA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463B1"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47008231"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A3054"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D027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3BA09"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4D75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7D25156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37F4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7166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3ED3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28CF7D83"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F6D96"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C00E4"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[0.328]</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AE5C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[0.503]</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E9B1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65900B2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9D779"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[0.273]</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C2F2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[0.697]</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997C0"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17700D56"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EDF7C"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r w:rsidRPr="007115F2">
              <w:rPr>
                <w:color w:val="000000" w:themeColor="text1"/>
                <w:sz w:val="22"/>
              </w:rPr>
              <w:t>Ln(Total_FirmSize)</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06A2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5D075"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AF45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34AD882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CF705"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D2CC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C478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64BD661F"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C5E2E"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5DE8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7D13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30155"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5066CA2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5534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92F0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DDDA9"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5CCFF5C2"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3A946"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1BF7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[0.034]</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C0F2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[&lt;0.001]</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F195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0E7C49A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2F2E5"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[0.043]</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D29D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[&lt;0.001]</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BC1A1"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072823EF"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3FD20"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r w:rsidRPr="007115F2">
              <w:rPr>
                <w:color w:val="000000" w:themeColor="text1"/>
                <w:sz w:val="22"/>
              </w:rPr>
              <w:t>Relative_FirmSize</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292C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6F567"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140F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174627B0"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D4A6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C257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6FEC1"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03470CD8"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737EE"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9707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C5841"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272F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79E1D7F4"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6A47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19BE4"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6480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633A7870"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46015"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6E684"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[0.004]</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61B1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[&lt;0.001]</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AF41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2B63C870"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D4A9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[0.006]</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3CE9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[&lt;0.001]</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925C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5BB25453"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B4F5B"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r w:rsidRPr="007115F2">
              <w:rPr>
                <w:color w:val="000000" w:themeColor="text1"/>
                <w:sz w:val="22"/>
              </w:rPr>
              <w:t>Relative_FirmPerformance</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03AC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0.034</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B297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0.011</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2F0A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7C38285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15A05"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0.034</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72A63"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0.011</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1F71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42209790"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9DBED"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702E5"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(0.023)</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6BEF7"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(0.016)</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8F74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3E2327B3"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6CDC0"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(0.022)</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022C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(0.015)</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318F0"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45D83F1F"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34A33"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26D0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[0.156]</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D91F7"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[0.650]</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58434"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47FD7FB4"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8FAC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[0.131]</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A5F37"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[0.656]</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3AB8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207DA96B"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A6361"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r w:rsidRPr="007115F2">
              <w:rPr>
                <w:color w:val="000000" w:themeColor="text1"/>
                <w:sz w:val="22"/>
              </w:rPr>
              <w:t>Relative_RDIntensity</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32EE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BCD6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4C98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5E25293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A507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E7F6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ABB3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617E95E5"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91F67"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6685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EAF9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3451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704D77C3"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8733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84537"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43915"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1F443B32"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96608"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C13B4"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[0.522]</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CAF37"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[0.929]</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AAE1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6AC68645"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9E8F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[0.510]</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A6AB3"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[0.952]</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C2641"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43C4AC13"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FADC1"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r w:rsidRPr="007115F2">
              <w:rPr>
                <w:color w:val="000000" w:themeColor="text1"/>
                <w:sz w:val="22"/>
              </w:rPr>
              <w:t>Relative_AllianceExperience</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98E9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1248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25249"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71BBAA29"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BD97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2535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50C45"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12E4B329"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A3C3A"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5696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9FA87"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CB98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28D74303"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28AC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34E85"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83277"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0AA5C99D"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9DAA6"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5F954"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[0.384]</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B025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[0.524]</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613D4"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6CC3A3C0"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DE0A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[0.391]</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F5F4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[0.611]</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6D1A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67730E02"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44CB4"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r w:rsidRPr="007115F2">
              <w:rPr>
                <w:color w:val="000000" w:themeColor="text1"/>
                <w:sz w:val="22"/>
              </w:rPr>
              <w:t>Alliance_RelationalEmbeddedness</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F3F81"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3EE7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0F4D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7DFDEE9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6F4D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AC760"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F725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2651AD36"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D53B8"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19064"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CF7E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08117"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7B252419"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6BDA1"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5AEB7"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C8B8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52F8389A"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EAB10"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5525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[0.092]</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5938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[0.119]</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A5314"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3C21EB5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EA14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[0.106]</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EFD5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[0.215]</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A8BF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5CA1AB23"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05CCA"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r w:rsidRPr="007115F2">
              <w:rPr>
                <w:color w:val="000000" w:themeColor="text1"/>
                <w:sz w:val="22"/>
              </w:rPr>
              <w:t>Alliance_StructuralEmbeddedness</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479F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-0.005</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8B91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0.003</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2CEC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4EC36D27"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F483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-0.006</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3022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79D7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336BFBB3"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F38AE"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E3251"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(0.006)</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D35B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(0.006)</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2F46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43676A2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0970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(0.007)</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0176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(0.005)</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FAFE7"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02853A00"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3C024"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F152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[0.404]</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C08A3"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[0.651]</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40BE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09D9DA6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CD62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[0.380]</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027C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[0.646]</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2CB1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4FF81F11"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EB7EA"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r w:rsidRPr="007115F2">
              <w:rPr>
                <w:color w:val="000000" w:themeColor="text1"/>
                <w:sz w:val="22"/>
              </w:rPr>
              <w:t>JV_Indicator</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2626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5E475"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A2AA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14D333D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7A907"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C2BB0"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4D6F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70FCC14F"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CBEBE"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E6A9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D2950"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6837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601EDFF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32894"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8766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42A6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553A3DDF"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0DD93"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11D34"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[0.646]</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A34B3"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[0.876]</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48494"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683EFB87"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45B1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[0.570]</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81EB0"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[0.932]</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DED6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4D02EDAA"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482FB"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r w:rsidRPr="007115F2">
              <w:rPr>
                <w:color w:val="000000" w:themeColor="text1"/>
                <w:sz w:val="22"/>
              </w:rPr>
              <w:t>Equity_Indicator</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1B16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0.008</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F6434"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0.006</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40A0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55F1F1B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37371"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0.008</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08E17"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0.007</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7F29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3CB944A4"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465EF"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726C4"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(0.008)</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6F5B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(0.007)</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E008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07B7A6C5"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597F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(0.008)</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42571"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(0.007)</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D2EC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2F25AF2F"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B1D13"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71F0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[0.331]</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ECB39"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[0.431]</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74EE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40CBD8C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9103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[0.349]</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08684"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[0.408]</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5630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2FEBB129"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E6029"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r w:rsidRPr="007115F2">
              <w:rPr>
                <w:color w:val="000000" w:themeColor="text1"/>
                <w:sz w:val="22"/>
              </w:rPr>
              <w:t>Technology_Indicator</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BE6A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D5643"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312E4"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4E28AAC4"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BF773"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0ACD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4ECC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52C996A0"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82DD5"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35091"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6C52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77550"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0F9C64C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3745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34171"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24E10"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77FDF165"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457A9"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3B893"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[0.459]</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CB27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[0.350]</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89CD5"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57958A65"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B1790"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[0.385]</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3C51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[0.324]</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D75D4"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6B930DB3"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2B669"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r w:rsidRPr="007115F2">
              <w:rPr>
                <w:color w:val="000000" w:themeColor="text1"/>
                <w:sz w:val="22"/>
              </w:rPr>
              <w:t>ExplorationAlliance_Indicator</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CCAC4"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-0.005</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B74E7"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-0.004</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0A87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03CCDD2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D639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-0.005</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318D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-0.004</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D8AC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6FE1D9DD"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17874"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6A753"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DE2E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7C51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76D1BEA7"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BF3B1"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0C435"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42F9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3B879974"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FEDB8"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F7E30"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[&lt;0.001]</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8E92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[&lt;0.001]</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6593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1B093BB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5BAA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[0.001]</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71960"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[0.001]</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536E4"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6CF325F8"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6BBB3"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r w:rsidRPr="007115F2">
              <w:rPr>
                <w:color w:val="000000" w:themeColor="text1"/>
                <w:sz w:val="22"/>
              </w:rPr>
              <w:t>InternationalAlliance_Indicator</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BA395"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-0.004</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F77F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B6EF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477DDBC4"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4D1B5"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-0.004</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DEEF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61867"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65A5CC1F"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49347"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2F21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F553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61E65"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5FD8A743"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59361"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3AD9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7E41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0476157F"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4C0F1"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AA4C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[0.023]</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16914"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[0.767]</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8C9A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3B9CFE0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9739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[0.013]</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4FC3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[0.814]</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BB973"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2507970A"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35CC3"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r w:rsidRPr="007115F2">
              <w:rPr>
                <w:color w:val="000000" w:themeColor="text1"/>
                <w:sz w:val="22"/>
              </w:rPr>
              <w:t>Relatedness_Indicator</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A8474"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800E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8531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2FD7C49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E843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403C1"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0FD0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5BC1D942"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A1587"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8AD0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3400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C663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0C1A612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E548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DE22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A295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47C9134F"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89836"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42449"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[0.853]</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0E81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[0.705]</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4F04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47F2D4E5"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E2DC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[0.649]</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E39C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[0.797]</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B5A03"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50E36033"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69EF6"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r w:rsidRPr="007115F2">
              <w:rPr>
                <w:color w:val="000000" w:themeColor="text1"/>
                <w:sz w:val="22"/>
              </w:rPr>
              <w:t>Industry_Growth</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CEE01"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0.004</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35D6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0.006</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3055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0E11D5E5"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77780"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0.004</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04404"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0.007</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E111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3276BE49"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E5646"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09BC9"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(0.003)</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55E7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6AD9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16CF2F7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C8A0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(0.003)</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7DEF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0D0C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07C48D5A"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EB563"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159A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[0.159]</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9287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[0.097]</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2646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27F2A7F9"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2CC2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[0.134]</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EE610"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[0.043]</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CAAE3"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43F2B65B"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F62BB"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r w:rsidRPr="007115F2">
              <w:rPr>
                <w:color w:val="000000" w:themeColor="text1"/>
                <w:sz w:val="22"/>
              </w:rPr>
              <w:t>Industry_Complementarity</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B59C7"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-0.003</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009D3"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-0.004</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5B80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2A1185E3"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A28C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-0.004</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B8043"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-0.004</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44AB4"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6D3225D1"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A882A"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69B8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(0.004)</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A90C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(0.003)</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19F6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693CFC3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4ED6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(0.003)</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441F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(0.003)</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36763"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71D99DAA"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1AFA6"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C3C5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[0.293]</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4731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[0.081]</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FC86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69B877E7"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CBA3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[0.266]</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2013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[0.074]</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57E43"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1C104786"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284FC"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r w:rsidRPr="007115F2">
              <w:rPr>
                <w:color w:val="000000" w:themeColor="text1"/>
                <w:sz w:val="22"/>
              </w:rPr>
              <w:t>Industry_RelatedScope</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485B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9E8D0"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543A9"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34E18AE7"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A97F5"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47C4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F92D3"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7F3911AB"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4B33A"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C8B5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AE499"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08072"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18DC7E77"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C680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FDBB6"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CC907"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76D1FE9F" w14:textId="77777777" w:rsidTr="001930F6">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7BE30"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81505"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[0.959]</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B5BF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[0.973]</w:t>
            </w:r>
          </w:p>
        </w:tc>
        <w:tc>
          <w:tcPr>
            <w:tcW w:w="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53727"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tcBorders>
              <w:top w:val="none" w:sz="0" w:space="0" w:color="000000"/>
              <w:left w:val="none" w:sz="0" w:space="0" w:color="000000"/>
              <w:bottom w:val="none" w:sz="0" w:space="0" w:color="000000"/>
              <w:right w:val="none" w:sz="0" w:space="0" w:color="000000"/>
            </w:tcBorders>
            <w:shd w:val="clear" w:color="auto" w:fill="FFFFFF"/>
          </w:tcPr>
          <w:p w14:paraId="57F1B433"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AEAF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[0.900]</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592F3"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rFonts w:eastAsia="Helvetica"/>
                <w:color w:val="000000" w:themeColor="text1"/>
                <w:sz w:val="22"/>
              </w:rPr>
              <w:t>[0.988]</w:t>
            </w:r>
          </w:p>
        </w:tc>
        <w:tc>
          <w:tcPr>
            <w:tcW w:w="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3402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0A9A9114" w14:textId="77777777" w:rsidTr="001930F6">
        <w:tc>
          <w:tcPr>
            <w:tcW w:w="3119" w:type="dxa"/>
            <w:shd w:val="clear" w:color="auto" w:fill="FFFFFF"/>
            <w:tcMar>
              <w:top w:w="0" w:type="dxa"/>
              <w:left w:w="0" w:type="dxa"/>
              <w:bottom w:w="0" w:type="dxa"/>
              <w:right w:w="0" w:type="dxa"/>
            </w:tcMar>
          </w:tcPr>
          <w:p w14:paraId="712218C3"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r w:rsidRPr="007115F2">
              <w:rPr>
                <w:color w:val="000000" w:themeColor="text1"/>
                <w:sz w:val="22"/>
              </w:rPr>
              <w:t>Year FE</w:t>
            </w:r>
          </w:p>
        </w:tc>
        <w:tc>
          <w:tcPr>
            <w:tcW w:w="1417" w:type="dxa"/>
            <w:shd w:val="clear" w:color="auto" w:fill="FFFFFF"/>
            <w:tcMar>
              <w:top w:w="0" w:type="dxa"/>
              <w:left w:w="0" w:type="dxa"/>
              <w:bottom w:w="0" w:type="dxa"/>
              <w:right w:w="0" w:type="dxa"/>
            </w:tcMar>
          </w:tcPr>
          <w:p w14:paraId="441CEC8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True</w:t>
            </w:r>
          </w:p>
        </w:tc>
        <w:tc>
          <w:tcPr>
            <w:tcW w:w="1267" w:type="dxa"/>
            <w:shd w:val="clear" w:color="auto" w:fill="FFFFFF"/>
            <w:tcMar>
              <w:top w:w="0" w:type="dxa"/>
              <w:left w:w="0" w:type="dxa"/>
              <w:bottom w:w="0" w:type="dxa"/>
              <w:right w:w="0" w:type="dxa"/>
            </w:tcMar>
          </w:tcPr>
          <w:p w14:paraId="24AB8C81"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True</w:t>
            </w:r>
          </w:p>
        </w:tc>
        <w:tc>
          <w:tcPr>
            <w:tcW w:w="217" w:type="dxa"/>
            <w:shd w:val="clear" w:color="auto" w:fill="FFFFFF"/>
            <w:tcMar>
              <w:top w:w="0" w:type="dxa"/>
              <w:left w:w="0" w:type="dxa"/>
              <w:bottom w:w="0" w:type="dxa"/>
              <w:right w:w="0" w:type="dxa"/>
            </w:tcMar>
          </w:tcPr>
          <w:p w14:paraId="6439FBF1"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shd w:val="clear" w:color="auto" w:fill="FFFFFF"/>
          </w:tcPr>
          <w:p w14:paraId="1F83268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shd w:val="clear" w:color="auto" w:fill="FFFFFF"/>
            <w:tcMar>
              <w:top w:w="0" w:type="dxa"/>
              <w:left w:w="0" w:type="dxa"/>
              <w:bottom w:w="0" w:type="dxa"/>
              <w:right w:w="0" w:type="dxa"/>
            </w:tcMar>
          </w:tcPr>
          <w:p w14:paraId="056A5BBF"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True</w:t>
            </w:r>
          </w:p>
        </w:tc>
        <w:tc>
          <w:tcPr>
            <w:tcW w:w="1285" w:type="dxa"/>
            <w:shd w:val="clear" w:color="auto" w:fill="FFFFFF"/>
            <w:tcMar>
              <w:top w:w="0" w:type="dxa"/>
              <w:left w:w="0" w:type="dxa"/>
              <w:bottom w:w="0" w:type="dxa"/>
              <w:right w:w="0" w:type="dxa"/>
            </w:tcMar>
          </w:tcPr>
          <w:p w14:paraId="5C4E592B"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True</w:t>
            </w:r>
          </w:p>
        </w:tc>
        <w:tc>
          <w:tcPr>
            <w:tcW w:w="132" w:type="dxa"/>
            <w:shd w:val="clear" w:color="auto" w:fill="FFFFFF"/>
            <w:tcMar>
              <w:top w:w="0" w:type="dxa"/>
              <w:left w:w="0" w:type="dxa"/>
              <w:bottom w:w="0" w:type="dxa"/>
              <w:right w:w="0" w:type="dxa"/>
            </w:tcMar>
          </w:tcPr>
          <w:p w14:paraId="44BFBBF5"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357F2061" w14:textId="77777777" w:rsidTr="001930F6">
        <w:tc>
          <w:tcPr>
            <w:tcW w:w="3119" w:type="dxa"/>
            <w:shd w:val="clear" w:color="auto" w:fill="FFFFFF"/>
            <w:tcMar>
              <w:top w:w="0" w:type="dxa"/>
              <w:left w:w="0" w:type="dxa"/>
              <w:bottom w:w="0" w:type="dxa"/>
              <w:right w:w="0" w:type="dxa"/>
            </w:tcMar>
          </w:tcPr>
          <w:p w14:paraId="66BC7565"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r w:rsidRPr="007115F2">
              <w:rPr>
                <w:color w:val="000000" w:themeColor="text1"/>
                <w:sz w:val="22"/>
              </w:rPr>
              <w:t>Industry Combination FE</w:t>
            </w:r>
          </w:p>
        </w:tc>
        <w:tc>
          <w:tcPr>
            <w:tcW w:w="1417" w:type="dxa"/>
            <w:shd w:val="clear" w:color="auto" w:fill="FFFFFF"/>
            <w:tcMar>
              <w:top w:w="0" w:type="dxa"/>
              <w:left w:w="0" w:type="dxa"/>
              <w:bottom w:w="0" w:type="dxa"/>
              <w:right w:w="0" w:type="dxa"/>
            </w:tcMar>
          </w:tcPr>
          <w:p w14:paraId="66F08851"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True</w:t>
            </w:r>
          </w:p>
        </w:tc>
        <w:tc>
          <w:tcPr>
            <w:tcW w:w="1267" w:type="dxa"/>
            <w:shd w:val="clear" w:color="auto" w:fill="FFFFFF"/>
            <w:tcMar>
              <w:top w:w="0" w:type="dxa"/>
              <w:left w:w="0" w:type="dxa"/>
              <w:bottom w:w="0" w:type="dxa"/>
              <w:right w:w="0" w:type="dxa"/>
            </w:tcMar>
          </w:tcPr>
          <w:p w14:paraId="34AA8975"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True</w:t>
            </w:r>
          </w:p>
        </w:tc>
        <w:tc>
          <w:tcPr>
            <w:tcW w:w="217" w:type="dxa"/>
            <w:shd w:val="clear" w:color="auto" w:fill="FFFFFF"/>
            <w:tcMar>
              <w:top w:w="0" w:type="dxa"/>
              <w:left w:w="0" w:type="dxa"/>
              <w:bottom w:w="0" w:type="dxa"/>
              <w:right w:w="0" w:type="dxa"/>
            </w:tcMar>
          </w:tcPr>
          <w:p w14:paraId="0D6814E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shd w:val="clear" w:color="auto" w:fill="FFFFFF"/>
          </w:tcPr>
          <w:p w14:paraId="6CF70C74"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shd w:val="clear" w:color="auto" w:fill="FFFFFF"/>
            <w:tcMar>
              <w:top w:w="0" w:type="dxa"/>
              <w:left w:w="0" w:type="dxa"/>
              <w:bottom w:w="0" w:type="dxa"/>
              <w:right w:w="0" w:type="dxa"/>
            </w:tcMar>
          </w:tcPr>
          <w:p w14:paraId="5CA5A7D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True</w:t>
            </w:r>
          </w:p>
        </w:tc>
        <w:tc>
          <w:tcPr>
            <w:tcW w:w="1285" w:type="dxa"/>
            <w:shd w:val="clear" w:color="auto" w:fill="FFFFFF"/>
            <w:tcMar>
              <w:top w:w="0" w:type="dxa"/>
              <w:left w:w="0" w:type="dxa"/>
              <w:bottom w:w="0" w:type="dxa"/>
              <w:right w:w="0" w:type="dxa"/>
            </w:tcMar>
          </w:tcPr>
          <w:p w14:paraId="5A25AE83"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True</w:t>
            </w:r>
          </w:p>
        </w:tc>
        <w:tc>
          <w:tcPr>
            <w:tcW w:w="132" w:type="dxa"/>
            <w:shd w:val="clear" w:color="auto" w:fill="FFFFFF"/>
            <w:tcMar>
              <w:top w:w="0" w:type="dxa"/>
              <w:left w:w="0" w:type="dxa"/>
              <w:bottom w:w="0" w:type="dxa"/>
              <w:right w:w="0" w:type="dxa"/>
            </w:tcMar>
          </w:tcPr>
          <w:p w14:paraId="72A4C0A3"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5FFFF4FF" w14:textId="77777777" w:rsidTr="001930F6">
        <w:tc>
          <w:tcPr>
            <w:tcW w:w="3119" w:type="dxa"/>
            <w:shd w:val="clear" w:color="auto" w:fill="FFFFFF"/>
            <w:tcMar>
              <w:top w:w="0" w:type="dxa"/>
              <w:left w:w="0" w:type="dxa"/>
              <w:bottom w:w="0" w:type="dxa"/>
              <w:right w:w="0" w:type="dxa"/>
            </w:tcMar>
          </w:tcPr>
          <w:p w14:paraId="690A0A1E"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r w:rsidRPr="007115F2">
              <w:rPr>
                <w:color w:val="000000" w:themeColor="text1"/>
                <w:sz w:val="22"/>
              </w:rPr>
              <w:t>Adjusted R-Squared</w:t>
            </w:r>
          </w:p>
        </w:tc>
        <w:tc>
          <w:tcPr>
            <w:tcW w:w="1417" w:type="dxa"/>
            <w:shd w:val="clear" w:color="auto" w:fill="FFFFFF"/>
            <w:tcMar>
              <w:top w:w="0" w:type="dxa"/>
              <w:left w:w="0" w:type="dxa"/>
              <w:bottom w:w="0" w:type="dxa"/>
              <w:right w:w="0" w:type="dxa"/>
            </w:tcMar>
          </w:tcPr>
          <w:p w14:paraId="41331BC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0.132</w:t>
            </w:r>
          </w:p>
        </w:tc>
        <w:tc>
          <w:tcPr>
            <w:tcW w:w="1267" w:type="dxa"/>
            <w:shd w:val="clear" w:color="auto" w:fill="FFFFFF"/>
            <w:tcMar>
              <w:top w:w="0" w:type="dxa"/>
              <w:left w:w="0" w:type="dxa"/>
              <w:bottom w:w="0" w:type="dxa"/>
              <w:right w:w="0" w:type="dxa"/>
            </w:tcMar>
          </w:tcPr>
          <w:p w14:paraId="60BD9D4C"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0.137</w:t>
            </w:r>
          </w:p>
        </w:tc>
        <w:tc>
          <w:tcPr>
            <w:tcW w:w="217" w:type="dxa"/>
            <w:shd w:val="clear" w:color="auto" w:fill="FFFFFF"/>
            <w:tcMar>
              <w:top w:w="0" w:type="dxa"/>
              <w:left w:w="0" w:type="dxa"/>
              <w:bottom w:w="0" w:type="dxa"/>
              <w:right w:w="0" w:type="dxa"/>
            </w:tcMar>
          </w:tcPr>
          <w:p w14:paraId="65485E0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217" w:type="dxa"/>
            <w:shd w:val="clear" w:color="auto" w:fill="FFFFFF"/>
          </w:tcPr>
          <w:p w14:paraId="244CF2B7"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shd w:val="clear" w:color="auto" w:fill="FFFFFF"/>
            <w:tcMar>
              <w:top w:w="0" w:type="dxa"/>
              <w:left w:w="0" w:type="dxa"/>
              <w:bottom w:w="0" w:type="dxa"/>
              <w:right w:w="0" w:type="dxa"/>
            </w:tcMar>
          </w:tcPr>
          <w:p w14:paraId="37080FBA"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0.116</w:t>
            </w:r>
          </w:p>
        </w:tc>
        <w:tc>
          <w:tcPr>
            <w:tcW w:w="1285" w:type="dxa"/>
            <w:shd w:val="clear" w:color="auto" w:fill="FFFFFF"/>
            <w:tcMar>
              <w:top w:w="0" w:type="dxa"/>
              <w:left w:w="0" w:type="dxa"/>
              <w:bottom w:w="0" w:type="dxa"/>
              <w:right w:w="0" w:type="dxa"/>
            </w:tcMar>
          </w:tcPr>
          <w:p w14:paraId="4B5023B8"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0.131</w:t>
            </w:r>
          </w:p>
        </w:tc>
        <w:tc>
          <w:tcPr>
            <w:tcW w:w="132" w:type="dxa"/>
            <w:shd w:val="clear" w:color="auto" w:fill="FFFFFF"/>
            <w:tcMar>
              <w:top w:w="0" w:type="dxa"/>
              <w:left w:w="0" w:type="dxa"/>
              <w:bottom w:w="0" w:type="dxa"/>
              <w:right w:w="0" w:type="dxa"/>
            </w:tcMar>
          </w:tcPr>
          <w:p w14:paraId="5C7718D1"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7115F2" w14:paraId="2A12EFEE" w14:textId="77777777" w:rsidTr="001930F6">
        <w:tc>
          <w:tcPr>
            <w:tcW w:w="3119" w:type="dxa"/>
            <w:tcBorders>
              <w:bottom w:val="single" w:sz="4" w:space="0" w:color="auto"/>
            </w:tcBorders>
            <w:shd w:val="clear" w:color="auto" w:fill="FFFFFF"/>
            <w:tcMar>
              <w:top w:w="0" w:type="dxa"/>
              <w:left w:w="0" w:type="dxa"/>
              <w:bottom w:w="0" w:type="dxa"/>
              <w:right w:w="0" w:type="dxa"/>
            </w:tcMar>
          </w:tcPr>
          <w:p w14:paraId="7966CA20" w14:textId="77777777" w:rsidR="00284207" w:rsidRPr="007115F2" w:rsidRDefault="00284207" w:rsidP="007C051A">
            <w:pPr>
              <w:widowControl w:val="0"/>
              <w:suppressLineNumbers/>
              <w:suppressAutoHyphens/>
              <w:autoSpaceDE w:val="0"/>
              <w:autoSpaceDN w:val="0"/>
              <w:adjustRightInd w:val="0"/>
              <w:spacing w:line="240" w:lineRule="auto"/>
              <w:jc w:val="left"/>
              <w:rPr>
                <w:color w:val="000000" w:themeColor="text1"/>
                <w:sz w:val="22"/>
              </w:rPr>
            </w:pPr>
            <w:r w:rsidRPr="007115F2">
              <w:rPr>
                <w:color w:val="000000" w:themeColor="text1"/>
                <w:sz w:val="22"/>
              </w:rPr>
              <w:t>Observations</w:t>
            </w:r>
          </w:p>
        </w:tc>
        <w:tc>
          <w:tcPr>
            <w:tcW w:w="1417" w:type="dxa"/>
            <w:tcBorders>
              <w:bottom w:val="single" w:sz="4" w:space="0" w:color="auto"/>
            </w:tcBorders>
            <w:shd w:val="clear" w:color="auto" w:fill="FFFFFF"/>
            <w:tcMar>
              <w:top w:w="0" w:type="dxa"/>
              <w:left w:w="0" w:type="dxa"/>
              <w:bottom w:w="0" w:type="dxa"/>
              <w:right w:w="0" w:type="dxa"/>
            </w:tcMar>
          </w:tcPr>
          <w:p w14:paraId="7765389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1,528</w:t>
            </w:r>
          </w:p>
        </w:tc>
        <w:tc>
          <w:tcPr>
            <w:tcW w:w="1267" w:type="dxa"/>
            <w:tcBorders>
              <w:bottom w:val="single" w:sz="4" w:space="0" w:color="auto"/>
            </w:tcBorders>
            <w:shd w:val="clear" w:color="auto" w:fill="FFFFFF"/>
            <w:tcMar>
              <w:top w:w="0" w:type="dxa"/>
              <w:left w:w="0" w:type="dxa"/>
              <w:bottom w:w="0" w:type="dxa"/>
              <w:right w:w="0" w:type="dxa"/>
            </w:tcMar>
          </w:tcPr>
          <w:p w14:paraId="0139DD25"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1,824</w:t>
            </w:r>
          </w:p>
        </w:tc>
        <w:tc>
          <w:tcPr>
            <w:tcW w:w="217" w:type="dxa"/>
            <w:tcBorders>
              <w:bottom w:val="single" w:sz="4" w:space="0" w:color="auto"/>
            </w:tcBorders>
            <w:shd w:val="clear" w:color="auto" w:fill="FFFFFF"/>
            <w:tcMar>
              <w:top w:w="0" w:type="dxa"/>
              <w:left w:w="0" w:type="dxa"/>
              <w:bottom w:w="0" w:type="dxa"/>
              <w:right w:w="0" w:type="dxa"/>
            </w:tcMar>
          </w:tcPr>
          <w:p w14:paraId="23E57C88" w14:textId="77777777" w:rsidR="00284207" w:rsidRPr="007115F2" w:rsidRDefault="00284207" w:rsidP="007C051A">
            <w:pPr>
              <w:widowControl w:val="0"/>
              <w:suppressLineNumbers/>
              <w:suppressAutoHyphens/>
              <w:autoSpaceDE w:val="0"/>
              <w:autoSpaceDN w:val="0"/>
              <w:adjustRightInd w:val="0"/>
              <w:spacing w:line="240" w:lineRule="auto"/>
              <w:rPr>
                <w:color w:val="000000" w:themeColor="text1"/>
                <w:sz w:val="22"/>
              </w:rPr>
            </w:pPr>
          </w:p>
        </w:tc>
        <w:tc>
          <w:tcPr>
            <w:tcW w:w="217" w:type="dxa"/>
            <w:tcBorders>
              <w:bottom w:val="single" w:sz="4" w:space="0" w:color="auto"/>
            </w:tcBorders>
            <w:shd w:val="clear" w:color="auto" w:fill="FFFFFF"/>
          </w:tcPr>
          <w:p w14:paraId="35E727B4"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c>
          <w:tcPr>
            <w:tcW w:w="1418" w:type="dxa"/>
            <w:tcBorders>
              <w:bottom w:val="single" w:sz="4" w:space="0" w:color="auto"/>
            </w:tcBorders>
            <w:shd w:val="clear" w:color="auto" w:fill="FFFFFF"/>
            <w:tcMar>
              <w:top w:w="0" w:type="dxa"/>
              <w:left w:w="0" w:type="dxa"/>
              <w:bottom w:w="0" w:type="dxa"/>
              <w:right w:w="0" w:type="dxa"/>
            </w:tcMar>
          </w:tcPr>
          <w:p w14:paraId="7FEAEF81"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1,528</w:t>
            </w:r>
          </w:p>
        </w:tc>
        <w:tc>
          <w:tcPr>
            <w:tcW w:w="1285" w:type="dxa"/>
            <w:tcBorders>
              <w:bottom w:val="single" w:sz="4" w:space="0" w:color="auto"/>
            </w:tcBorders>
            <w:shd w:val="clear" w:color="auto" w:fill="FFFFFF"/>
            <w:tcMar>
              <w:top w:w="0" w:type="dxa"/>
              <w:left w:w="0" w:type="dxa"/>
              <w:bottom w:w="0" w:type="dxa"/>
              <w:right w:w="0" w:type="dxa"/>
            </w:tcMar>
          </w:tcPr>
          <w:p w14:paraId="72F3188D"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r w:rsidRPr="007115F2">
              <w:rPr>
                <w:color w:val="000000" w:themeColor="text1"/>
                <w:sz w:val="22"/>
              </w:rPr>
              <w:t>1,824</w:t>
            </w:r>
          </w:p>
        </w:tc>
        <w:tc>
          <w:tcPr>
            <w:tcW w:w="132" w:type="dxa"/>
            <w:tcBorders>
              <w:bottom w:val="single" w:sz="4" w:space="0" w:color="auto"/>
            </w:tcBorders>
            <w:shd w:val="clear" w:color="auto" w:fill="FFFFFF"/>
            <w:tcMar>
              <w:top w:w="0" w:type="dxa"/>
              <w:left w:w="0" w:type="dxa"/>
              <w:bottom w:w="0" w:type="dxa"/>
              <w:right w:w="0" w:type="dxa"/>
            </w:tcMar>
          </w:tcPr>
          <w:p w14:paraId="7301E09E" w14:textId="77777777" w:rsidR="00284207" w:rsidRPr="007115F2" w:rsidRDefault="00284207" w:rsidP="007C051A">
            <w:pPr>
              <w:widowControl w:val="0"/>
              <w:suppressLineNumbers/>
              <w:suppressAutoHyphens/>
              <w:autoSpaceDE w:val="0"/>
              <w:autoSpaceDN w:val="0"/>
              <w:adjustRightInd w:val="0"/>
              <w:spacing w:line="240" w:lineRule="auto"/>
              <w:jc w:val="center"/>
              <w:rPr>
                <w:color w:val="000000" w:themeColor="text1"/>
                <w:sz w:val="22"/>
              </w:rPr>
            </w:pPr>
          </w:p>
        </w:tc>
      </w:tr>
      <w:tr w:rsidR="00284207" w:rsidRPr="00BE5632" w14:paraId="02D1FFF6" w14:textId="77777777" w:rsidTr="001930F6">
        <w:tc>
          <w:tcPr>
            <w:tcW w:w="9072" w:type="dxa"/>
            <w:gridSpan w:val="8"/>
            <w:tcBorders>
              <w:top w:val="single" w:sz="4" w:space="0" w:color="auto"/>
            </w:tcBorders>
            <w:shd w:val="clear" w:color="auto" w:fill="FFFFFF"/>
            <w:tcMar>
              <w:top w:w="0" w:type="dxa"/>
              <w:left w:w="0" w:type="dxa"/>
              <w:bottom w:w="0" w:type="dxa"/>
              <w:right w:w="0" w:type="dxa"/>
            </w:tcMar>
          </w:tcPr>
          <w:p w14:paraId="338B51E8" w14:textId="77777777" w:rsidR="00284207" w:rsidRPr="007115F2" w:rsidRDefault="00284207" w:rsidP="00D137E4">
            <w:pPr>
              <w:widowControl w:val="0"/>
              <w:suppressLineNumbers/>
              <w:suppressAutoHyphens/>
              <w:autoSpaceDE w:val="0"/>
              <w:autoSpaceDN w:val="0"/>
              <w:adjustRightInd w:val="0"/>
              <w:spacing w:line="240" w:lineRule="auto"/>
              <w:rPr>
                <w:color w:val="000000" w:themeColor="text1"/>
                <w:sz w:val="22"/>
                <w:lang w:val="en-US"/>
              </w:rPr>
            </w:pPr>
            <w:r w:rsidRPr="007115F2">
              <w:rPr>
                <w:i/>
                <w:iCs/>
                <w:color w:val="000000" w:themeColor="text1"/>
                <w:sz w:val="22"/>
                <w:lang w:val="en-US"/>
              </w:rPr>
              <w:t>Notes</w:t>
            </w:r>
            <w:r w:rsidRPr="007115F2">
              <w:rPr>
                <w:color w:val="000000" w:themeColor="text1"/>
                <w:sz w:val="22"/>
                <w:lang w:val="en-US"/>
              </w:rPr>
              <w:t xml:space="preserve">. This table reports results from a two-way fixed effects regression examining the moderating </w:t>
            </w:r>
            <w:r w:rsidRPr="007115F2">
              <w:rPr>
                <w:color w:val="000000" w:themeColor="text1"/>
                <w:sz w:val="22"/>
                <w:lang w:val="en-US"/>
              </w:rPr>
              <w:lastRenderedPageBreak/>
              <w:t>influence of differences in board power, and firm status on differential benefits for the three days around the alliance announcement date [-1;1]. Constant terms are estimated but not reported. Standard errors are clustered by 2-digit SIC code combinations of alliance partners to account for potential industry-related correlations in the error terms. Industry combination and year fixed effects are included to control for unobservable heterogeneity and common time-related factors. Standard errors in parentheses. Exact p-values in brackets. A detailed description of the variables can be found in the online supplement.</w:t>
            </w:r>
          </w:p>
        </w:tc>
      </w:tr>
    </w:tbl>
    <w:p w14:paraId="6855EC47" w14:textId="77777777" w:rsidR="00403DA7" w:rsidRPr="00EB137B" w:rsidRDefault="00403DA7" w:rsidP="00403DA7">
      <w:pPr>
        <w:rPr>
          <w:color w:val="000000" w:themeColor="text1"/>
          <w:lang w:val="en-US"/>
        </w:rPr>
      </w:pPr>
    </w:p>
    <w:p w14:paraId="43565B80" w14:textId="77777777" w:rsidR="00403DA7" w:rsidRPr="00EB137B" w:rsidRDefault="00403DA7" w:rsidP="00403DA7">
      <w:pPr>
        <w:rPr>
          <w:color w:val="000000" w:themeColor="text1"/>
          <w:lang w:val="en-US"/>
        </w:rPr>
        <w:sectPr w:rsidR="00403DA7" w:rsidRPr="00EB137B" w:rsidSect="00794C6C">
          <w:pgSz w:w="11906" w:h="16838"/>
          <w:pgMar w:top="1417" w:right="1417" w:bottom="1134" w:left="1417" w:header="709" w:footer="709" w:gutter="0"/>
          <w:cols w:space="708"/>
          <w:docGrid w:linePitch="360"/>
        </w:sectPr>
      </w:pPr>
    </w:p>
    <w:p w14:paraId="63011311" w14:textId="011FF29F" w:rsidR="00403DA7" w:rsidRDefault="00403DA7" w:rsidP="00941A7A">
      <w:pPr>
        <w:pStyle w:val="1fake"/>
      </w:pPr>
      <w:r w:rsidRPr="0082138A">
        <w:lastRenderedPageBreak/>
        <w:t>FIGURE</w:t>
      </w:r>
      <w:r w:rsidR="00EE481F">
        <w:t xml:space="preserve"> </w:t>
      </w:r>
      <w:r w:rsidR="003C0AF1">
        <w:t>1</w:t>
      </w:r>
    </w:p>
    <w:p w14:paraId="4B8F569B" w14:textId="077B8393" w:rsidR="00284207" w:rsidRDefault="0037709C" w:rsidP="00284207">
      <w:pPr>
        <w:pStyle w:val="Beschriftung"/>
      </w:pPr>
      <w:bookmarkStart w:id="396" w:name="_Toc180594984"/>
      <w:r w:rsidRPr="0037709C">
        <w:t xml:space="preserve">F - II - </w:t>
      </w:r>
      <w:r w:rsidRPr="0037709C">
        <w:fldChar w:fldCharType="begin"/>
      </w:r>
      <w:r w:rsidRPr="0037709C">
        <w:instrText xml:space="preserve"> SEQ F_-_II_- \* ARABIC </w:instrText>
      </w:r>
      <w:r w:rsidRPr="0037709C">
        <w:fldChar w:fldCharType="separate"/>
      </w:r>
      <w:r w:rsidR="00E91088">
        <w:rPr>
          <w:noProof/>
        </w:rPr>
        <w:t>1</w:t>
      </w:r>
      <w:r w:rsidRPr="0037709C">
        <w:fldChar w:fldCharType="end"/>
      </w:r>
      <w:r w:rsidRPr="0037709C">
        <w:t xml:space="preserve">: Research </w:t>
      </w:r>
      <w:r w:rsidR="001A0F01">
        <w:t>m</w:t>
      </w:r>
      <w:r w:rsidRPr="0037709C">
        <w:t>odel</w:t>
      </w:r>
      <w:bookmarkEnd w:id="396"/>
    </w:p>
    <w:tbl>
      <w:tblPr>
        <w:tblW w:w="9072" w:type="dxa"/>
        <w:jc w:val="center"/>
        <w:tblBorders>
          <w:top w:val="single" w:sz="4" w:space="0" w:color="auto"/>
          <w:insideH w:val="single" w:sz="4" w:space="0" w:color="auto"/>
          <w:insideV w:val="single" w:sz="4" w:space="0" w:color="auto"/>
        </w:tblBorders>
        <w:tblLayout w:type="fixed"/>
        <w:tblCellMar>
          <w:top w:w="11" w:type="dxa"/>
          <w:left w:w="0" w:type="dxa"/>
          <w:bottom w:w="11" w:type="dxa"/>
          <w:right w:w="0" w:type="dxa"/>
        </w:tblCellMar>
        <w:tblLook w:val="0000" w:firstRow="0" w:lastRow="0" w:firstColumn="0" w:lastColumn="0" w:noHBand="0" w:noVBand="0"/>
      </w:tblPr>
      <w:tblGrid>
        <w:gridCol w:w="9072"/>
      </w:tblGrid>
      <w:tr w:rsidR="00284207" w:rsidRPr="001C6D7F" w14:paraId="7438DB25" w14:textId="77777777" w:rsidTr="001930F6">
        <w:trPr>
          <w:trHeight w:val="3051"/>
          <w:jc w:val="center"/>
        </w:trPr>
        <w:tc>
          <w:tcPr>
            <w:tcW w:w="9639" w:type="dxa"/>
            <w:vAlign w:val="center"/>
          </w:tcPr>
          <w:p w14:paraId="02864605" w14:textId="77777777" w:rsidR="00284207" w:rsidRPr="001C6D7F" w:rsidRDefault="00284207" w:rsidP="007C051A">
            <w:pPr>
              <w:widowControl w:val="0"/>
              <w:suppressLineNumbers/>
              <w:suppressAutoHyphens/>
              <w:autoSpaceDE w:val="0"/>
              <w:autoSpaceDN w:val="0"/>
              <w:adjustRightInd w:val="0"/>
              <w:spacing w:line="240" w:lineRule="auto"/>
              <w:jc w:val="center"/>
              <w:rPr>
                <w:i/>
                <w:iCs/>
                <w:color w:val="000000" w:themeColor="text1"/>
                <w:sz w:val="20"/>
                <w:szCs w:val="20"/>
                <w:lang w:val="en-US"/>
              </w:rPr>
            </w:pPr>
            <w:r w:rsidRPr="001C6D7F">
              <w:rPr>
                <w:i/>
                <w:iCs/>
                <w:noProof/>
                <w:color w:val="000000" w:themeColor="text1"/>
                <w:sz w:val="20"/>
                <w:szCs w:val="20"/>
                <w:lang w:val="en-US"/>
              </w:rPr>
              <w:drawing>
                <wp:inline distT="0" distB="0" distL="0" distR="0" wp14:anchorId="3520E19B" wp14:editId="71436816">
                  <wp:extent cx="5702061" cy="2297701"/>
                  <wp:effectExtent l="0" t="0" r="0" b="7620"/>
                  <wp:docPr id="488908250" name="Grafik 1" descr="Ein Bild, das Text, Reihe, Diagramm,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08250" name="Grafik 1" descr="Ein Bild, das Text, Reihe, Diagramm, parallel enthält.&#10;&#10;Automatisch generierte Beschreibung"/>
                          <pic:cNvPicPr/>
                        </pic:nvPicPr>
                        <pic:blipFill rotWithShape="1">
                          <a:blip r:embed="rId43"/>
                          <a:srcRect l="5720" t="22496" r="18512" b="23226"/>
                          <a:stretch/>
                        </pic:blipFill>
                        <pic:spPr bwMode="auto">
                          <a:xfrm>
                            <a:off x="0" y="0"/>
                            <a:ext cx="5724832" cy="2306877"/>
                          </a:xfrm>
                          <a:prstGeom prst="rect">
                            <a:avLst/>
                          </a:prstGeom>
                          <a:ln>
                            <a:noFill/>
                          </a:ln>
                          <a:extLst>
                            <a:ext uri="{53640926-AAD7-44D8-BBD7-CCE9431645EC}">
                              <a14:shadowObscured xmlns:a14="http://schemas.microsoft.com/office/drawing/2010/main"/>
                            </a:ext>
                          </a:extLst>
                        </pic:spPr>
                      </pic:pic>
                    </a:graphicData>
                  </a:graphic>
                </wp:inline>
              </w:drawing>
            </w:r>
          </w:p>
        </w:tc>
      </w:tr>
      <w:tr w:rsidR="00284207" w:rsidRPr="00BE5632" w14:paraId="5038FBCE" w14:textId="77777777" w:rsidTr="001930F6">
        <w:trPr>
          <w:trHeight w:val="23"/>
          <w:jc w:val="center"/>
        </w:trPr>
        <w:tc>
          <w:tcPr>
            <w:tcW w:w="9639" w:type="dxa"/>
            <w:vAlign w:val="center"/>
          </w:tcPr>
          <w:p w14:paraId="443C1686" w14:textId="77777777" w:rsidR="00284207" w:rsidRPr="001C6D7F" w:rsidRDefault="00284207" w:rsidP="007C051A">
            <w:pPr>
              <w:widowControl w:val="0"/>
              <w:suppressLineNumbers/>
              <w:suppressAutoHyphens/>
              <w:autoSpaceDE w:val="0"/>
              <w:autoSpaceDN w:val="0"/>
              <w:adjustRightInd w:val="0"/>
              <w:spacing w:line="240" w:lineRule="auto"/>
              <w:jc w:val="left"/>
              <w:rPr>
                <w:color w:val="000000" w:themeColor="text1"/>
                <w:sz w:val="20"/>
                <w:szCs w:val="20"/>
                <w:lang w:val="en-US"/>
              </w:rPr>
            </w:pPr>
            <w:r w:rsidRPr="007115F2">
              <w:rPr>
                <w:i/>
                <w:iCs/>
                <w:color w:val="000000" w:themeColor="text1"/>
                <w:sz w:val="22"/>
                <w:lang w:val="en-US"/>
              </w:rPr>
              <w:t>Notes</w:t>
            </w:r>
            <w:r w:rsidRPr="007115F2">
              <w:rPr>
                <w:color w:val="000000" w:themeColor="text1"/>
                <w:sz w:val="22"/>
                <w:lang w:val="en-US"/>
              </w:rPr>
              <w:t>. This figure depicts the research model for this study.</w:t>
            </w:r>
          </w:p>
        </w:tc>
      </w:tr>
    </w:tbl>
    <w:p w14:paraId="75E729BC" w14:textId="77777777" w:rsidR="00EE481F" w:rsidRDefault="00EE481F" w:rsidP="00284207">
      <w:pPr>
        <w:pStyle w:val="1fake"/>
        <w:jc w:val="left"/>
      </w:pPr>
    </w:p>
    <w:p w14:paraId="67AB63FA" w14:textId="0D038E7F" w:rsidR="00284207" w:rsidRDefault="00284207" w:rsidP="00284207">
      <w:pPr>
        <w:spacing w:after="160" w:line="259" w:lineRule="auto"/>
        <w:jc w:val="left"/>
        <w:rPr>
          <w:rFonts w:eastAsiaTheme="majorEastAsia" w:cstheme="majorBidi"/>
          <w:b/>
          <w:caps/>
          <w:szCs w:val="32"/>
          <w:lang w:val="en-US"/>
        </w:rPr>
      </w:pPr>
      <w:r w:rsidRPr="001A0F01">
        <w:rPr>
          <w:lang w:val="en-US"/>
        </w:rPr>
        <w:br w:type="page"/>
      </w:r>
    </w:p>
    <w:p w14:paraId="5D9C8708" w14:textId="68778A97" w:rsidR="00403DA7" w:rsidRPr="00EE481F" w:rsidRDefault="00EE481F" w:rsidP="00EE481F">
      <w:pPr>
        <w:pStyle w:val="1fake"/>
      </w:pPr>
      <w:r w:rsidRPr="00EE481F">
        <w:lastRenderedPageBreak/>
        <w:t xml:space="preserve">Figure </w:t>
      </w:r>
      <w:r w:rsidR="003C0AF1">
        <w:t>2</w:t>
      </w:r>
    </w:p>
    <w:p w14:paraId="6961AC28" w14:textId="53C5DE59" w:rsidR="0037709C" w:rsidRPr="0037709C" w:rsidRDefault="0037709C" w:rsidP="0037709C">
      <w:pPr>
        <w:pStyle w:val="Beschriftung"/>
      </w:pPr>
      <w:bookmarkStart w:id="397" w:name="_Toc180594985"/>
      <w:r>
        <w:t xml:space="preserve">F - II - </w:t>
      </w:r>
      <w:r>
        <w:fldChar w:fldCharType="begin"/>
      </w:r>
      <w:r>
        <w:instrText xml:space="preserve"> SEQ F_-_II_- \* ARABIC </w:instrText>
      </w:r>
      <w:r>
        <w:fldChar w:fldCharType="separate"/>
      </w:r>
      <w:r w:rsidR="00E91088">
        <w:rPr>
          <w:noProof/>
        </w:rPr>
        <w:t>2</w:t>
      </w:r>
      <w:r>
        <w:fldChar w:fldCharType="end"/>
      </w:r>
      <w:r>
        <w:t xml:space="preserve">: </w:t>
      </w:r>
      <w:r w:rsidR="001A0F01" w:rsidRPr="001A0F01">
        <w:t xml:space="preserve">Proposed </w:t>
      </w:r>
      <w:r w:rsidR="001A0F01">
        <w:t>e</w:t>
      </w:r>
      <w:r w:rsidR="001A0F01" w:rsidRPr="001A0F01">
        <w:t xml:space="preserve">ffect of </w:t>
      </w:r>
      <w:r w:rsidR="001A0F01">
        <w:t>d</w:t>
      </w:r>
      <w:r w:rsidR="001A0F01" w:rsidRPr="001A0F01">
        <w:t xml:space="preserve">irect </w:t>
      </w:r>
      <w:r w:rsidR="001A0F01">
        <w:t>b</w:t>
      </w:r>
      <w:r w:rsidR="001A0F01" w:rsidRPr="001A0F01">
        <w:t xml:space="preserve">oard </w:t>
      </w:r>
      <w:r w:rsidR="001A0F01">
        <w:t>i</w:t>
      </w:r>
      <w:r w:rsidR="001A0F01" w:rsidRPr="001A0F01">
        <w:t xml:space="preserve">nterlocks on </w:t>
      </w:r>
      <w:r w:rsidR="001A0F01">
        <w:t>a</w:t>
      </w:r>
      <w:r w:rsidR="001A0F01" w:rsidRPr="001A0F01">
        <w:t xml:space="preserve">lliance </w:t>
      </w:r>
      <w:r w:rsidR="001A0F01">
        <w:t>p</w:t>
      </w:r>
      <w:r w:rsidR="001A0F01" w:rsidRPr="001A0F01">
        <w:t xml:space="preserve">artner </w:t>
      </w:r>
      <w:r w:rsidR="001A0F01">
        <w:t>s</w:t>
      </w:r>
      <w:r w:rsidR="001A0F01" w:rsidRPr="001A0F01">
        <w:t>trategies</w:t>
      </w:r>
      <w:bookmarkEnd w:id="397"/>
    </w:p>
    <w:tbl>
      <w:tblPr>
        <w:tblW w:w="9072" w:type="dxa"/>
        <w:jc w:val="center"/>
        <w:tblLayout w:type="fixed"/>
        <w:tblCellMar>
          <w:top w:w="11" w:type="dxa"/>
          <w:left w:w="0" w:type="dxa"/>
          <w:bottom w:w="11" w:type="dxa"/>
          <w:right w:w="0" w:type="dxa"/>
        </w:tblCellMar>
        <w:tblLook w:val="0000" w:firstRow="0" w:lastRow="0" w:firstColumn="0" w:lastColumn="0" w:noHBand="0" w:noVBand="0"/>
      </w:tblPr>
      <w:tblGrid>
        <w:gridCol w:w="9072"/>
      </w:tblGrid>
      <w:tr w:rsidR="00403DA7" w:rsidRPr="00EB137B" w14:paraId="25AEEB2A" w14:textId="77777777" w:rsidTr="001930F6">
        <w:trPr>
          <w:trHeight w:val="3051"/>
          <w:jc w:val="center"/>
        </w:trPr>
        <w:tc>
          <w:tcPr>
            <w:tcW w:w="9639" w:type="dxa"/>
            <w:vAlign w:val="center"/>
          </w:tcPr>
          <w:p w14:paraId="542189C3" w14:textId="77777777" w:rsidR="00403DA7" w:rsidRPr="00EB137B" w:rsidRDefault="00403DA7" w:rsidP="00EE481F">
            <w:pPr>
              <w:widowControl w:val="0"/>
              <w:autoSpaceDE w:val="0"/>
              <w:autoSpaceDN w:val="0"/>
              <w:adjustRightInd w:val="0"/>
              <w:spacing w:line="240" w:lineRule="auto"/>
              <w:jc w:val="center"/>
              <w:rPr>
                <w:i/>
                <w:iCs/>
                <w:color w:val="000000" w:themeColor="text1"/>
                <w:sz w:val="20"/>
                <w:szCs w:val="20"/>
                <w:lang w:val="en-US"/>
              </w:rPr>
            </w:pPr>
            <w:r w:rsidRPr="00EB137B">
              <w:rPr>
                <w:i/>
                <w:iCs/>
                <w:noProof/>
                <w:color w:val="000000" w:themeColor="text1"/>
                <w:sz w:val="20"/>
                <w:szCs w:val="20"/>
                <w:lang w:val="en-US"/>
              </w:rPr>
              <w:drawing>
                <wp:inline distT="0" distB="0" distL="0" distR="0" wp14:anchorId="609FF6FF" wp14:editId="2B4D2B01">
                  <wp:extent cx="5690968" cy="2594694"/>
                  <wp:effectExtent l="0" t="0" r="5080" b="0"/>
                  <wp:docPr id="1152227381" name="Grafik 2" descr="Ein Bild, das Diagramm, Text, Entwurf,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27381" name="Grafik 2" descr="Ein Bild, das Diagramm, Text, Entwurf, Reihe enthält.&#10;&#10;Automatisch generierte Beschreibung"/>
                          <pic:cNvPicPr>
                            <a:picLocks noChangeAspect="1" noChangeArrowheads="1"/>
                          </pic:cNvPicPr>
                        </pic:nvPicPr>
                        <pic:blipFill rotWithShape="1">
                          <a:blip r:embed="rId44">
                            <a:extLst>
                              <a:ext uri="{28A0092B-C50C-407E-A947-70E740481C1C}">
                                <a14:useLocalDpi xmlns:a14="http://schemas.microsoft.com/office/drawing/2010/main" val="0"/>
                              </a:ext>
                            </a:extLst>
                          </a:blip>
                          <a:srcRect l="9932" t="18342" r="10804" b="17452"/>
                          <a:stretch/>
                        </pic:blipFill>
                        <pic:spPr bwMode="auto">
                          <a:xfrm>
                            <a:off x="0" y="0"/>
                            <a:ext cx="5716193" cy="260619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03DA7" w:rsidRPr="00BE5632" w14:paraId="51ACE610" w14:textId="77777777" w:rsidTr="001930F6">
        <w:trPr>
          <w:trHeight w:val="23"/>
          <w:jc w:val="center"/>
        </w:trPr>
        <w:tc>
          <w:tcPr>
            <w:tcW w:w="9639" w:type="dxa"/>
            <w:vAlign w:val="center"/>
          </w:tcPr>
          <w:p w14:paraId="42805E42" w14:textId="77777777" w:rsidR="00403DA7" w:rsidRPr="00EB137B" w:rsidRDefault="00403DA7" w:rsidP="00DA5543">
            <w:pPr>
              <w:widowControl w:val="0"/>
              <w:autoSpaceDE w:val="0"/>
              <w:autoSpaceDN w:val="0"/>
              <w:adjustRightInd w:val="0"/>
              <w:spacing w:line="240" w:lineRule="auto"/>
              <w:rPr>
                <w:color w:val="000000" w:themeColor="text1"/>
                <w:sz w:val="20"/>
                <w:szCs w:val="20"/>
                <w:lang w:val="en-US"/>
              </w:rPr>
            </w:pPr>
            <w:r w:rsidRPr="007115F2">
              <w:rPr>
                <w:i/>
                <w:iCs/>
                <w:color w:val="000000" w:themeColor="text1"/>
                <w:sz w:val="22"/>
                <w:lang w:val="en-US"/>
              </w:rPr>
              <w:t>Notes</w:t>
            </w:r>
            <w:r w:rsidRPr="007115F2">
              <w:rPr>
                <w:color w:val="000000" w:themeColor="text1"/>
                <w:sz w:val="22"/>
                <w:lang w:val="en-US"/>
              </w:rPr>
              <w:t>. This figure shows the evolution of alliance partners' strategy and the direction of resource flows from one alliance partner to another when they are linked by direct board interlocks, based on the model of Larsson et al. (1998). Alliance partner A reduces its own transparency vis-à-vis alliance partner B, while the transparency of alliance partner B is increased by a direct interlock. Both alliance partners increase their openness to information from the network due to the strategic relevance of the board interlock, which is reflected in higher receptivity. From the combination of competitive and cooperative strategies, Larsson et al. (1998) suggest unilateral resource flows from alliance partner B to A, as indicated by the dashed arrow.</w:t>
            </w:r>
          </w:p>
        </w:tc>
      </w:tr>
    </w:tbl>
    <w:p w14:paraId="496685E1" w14:textId="7BEB22F1" w:rsidR="00174E70" w:rsidRDefault="00174E70" w:rsidP="00174E70">
      <w:pPr>
        <w:tabs>
          <w:tab w:val="left" w:pos="6453"/>
        </w:tabs>
        <w:spacing w:after="160" w:line="259" w:lineRule="auto"/>
        <w:jc w:val="left"/>
        <w:rPr>
          <w:lang w:val="en-US"/>
        </w:rPr>
      </w:pPr>
    </w:p>
    <w:p w14:paraId="06A8701D" w14:textId="77777777" w:rsidR="00174E70" w:rsidRDefault="00174E70">
      <w:pPr>
        <w:spacing w:after="160" w:line="259" w:lineRule="auto"/>
        <w:jc w:val="left"/>
        <w:rPr>
          <w:lang w:val="en-US"/>
        </w:rPr>
      </w:pPr>
      <w:r>
        <w:rPr>
          <w:lang w:val="en-US"/>
        </w:rPr>
        <w:br w:type="page"/>
      </w:r>
    </w:p>
    <w:p w14:paraId="0B59DC5E" w14:textId="7C1A19D6" w:rsidR="00EE481F" w:rsidRDefault="00EE481F" w:rsidP="00EE481F">
      <w:pPr>
        <w:pStyle w:val="1fake"/>
      </w:pPr>
      <w:r w:rsidRPr="00EB137B">
        <w:lastRenderedPageBreak/>
        <w:t xml:space="preserve">Figure </w:t>
      </w:r>
      <w:r w:rsidR="003C0AF1">
        <w:t>3</w:t>
      </w:r>
    </w:p>
    <w:p w14:paraId="73C491A1" w14:textId="45540D5C" w:rsidR="0037709C" w:rsidRPr="0037709C" w:rsidRDefault="0037709C" w:rsidP="0037709C">
      <w:pPr>
        <w:pStyle w:val="Beschriftung"/>
      </w:pPr>
      <w:bookmarkStart w:id="398" w:name="_Toc180594986"/>
      <w:r>
        <w:t xml:space="preserve">F - II - </w:t>
      </w:r>
      <w:r>
        <w:fldChar w:fldCharType="begin"/>
      </w:r>
      <w:r>
        <w:instrText xml:space="preserve"> SEQ F_-_II_- \* ARABIC </w:instrText>
      </w:r>
      <w:r>
        <w:fldChar w:fldCharType="separate"/>
      </w:r>
      <w:r w:rsidR="00E91088">
        <w:rPr>
          <w:noProof/>
        </w:rPr>
        <w:t>3</w:t>
      </w:r>
      <w:r>
        <w:fldChar w:fldCharType="end"/>
      </w:r>
      <w:r>
        <w:t xml:space="preserve">: </w:t>
      </w:r>
      <w:r w:rsidR="001A0F01" w:rsidRPr="001A0F01">
        <w:t xml:space="preserve">Proposed </w:t>
      </w:r>
      <w:r w:rsidR="001A0F01">
        <w:t>e</w:t>
      </w:r>
      <w:r w:rsidR="001A0F01" w:rsidRPr="001A0F01">
        <w:t xml:space="preserve">ffect of </w:t>
      </w:r>
      <w:r w:rsidR="001A0F01">
        <w:t>ind</w:t>
      </w:r>
      <w:r w:rsidR="001A0F01" w:rsidRPr="001A0F01">
        <w:t xml:space="preserve">irect </w:t>
      </w:r>
      <w:r w:rsidR="001A0F01">
        <w:t>b</w:t>
      </w:r>
      <w:r w:rsidR="001A0F01" w:rsidRPr="001A0F01">
        <w:t xml:space="preserve">oard </w:t>
      </w:r>
      <w:r w:rsidR="001A0F01">
        <w:t>i</w:t>
      </w:r>
      <w:r w:rsidR="001A0F01" w:rsidRPr="001A0F01">
        <w:t xml:space="preserve">nterlocks on </w:t>
      </w:r>
      <w:r w:rsidR="001A0F01">
        <w:t>a</w:t>
      </w:r>
      <w:r w:rsidR="001A0F01" w:rsidRPr="001A0F01">
        <w:t xml:space="preserve">lliance </w:t>
      </w:r>
      <w:r w:rsidR="001A0F01">
        <w:t>p</w:t>
      </w:r>
      <w:r w:rsidR="001A0F01" w:rsidRPr="001A0F01">
        <w:t xml:space="preserve">artner </w:t>
      </w:r>
      <w:r w:rsidR="001A0F01">
        <w:t>s</w:t>
      </w:r>
      <w:r w:rsidR="001A0F01" w:rsidRPr="001A0F01">
        <w:t>trategies</w:t>
      </w:r>
      <w:bookmarkEnd w:id="398"/>
    </w:p>
    <w:tbl>
      <w:tblPr>
        <w:tblW w:w="9072" w:type="dxa"/>
        <w:jc w:val="center"/>
        <w:tblLayout w:type="fixed"/>
        <w:tblCellMar>
          <w:top w:w="11" w:type="dxa"/>
          <w:left w:w="0" w:type="dxa"/>
          <w:bottom w:w="11" w:type="dxa"/>
          <w:right w:w="0" w:type="dxa"/>
        </w:tblCellMar>
        <w:tblLook w:val="0000" w:firstRow="0" w:lastRow="0" w:firstColumn="0" w:lastColumn="0" w:noHBand="0" w:noVBand="0"/>
      </w:tblPr>
      <w:tblGrid>
        <w:gridCol w:w="9072"/>
      </w:tblGrid>
      <w:tr w:rsidR="00403DA7" w:rsidRPr="00EB137B" w14:paraId="77F04B64" w14:textId="77777777" w:rsidTr="001930F6">
        <w:trPr>
          <w:trHeight w:val="3051"/>
          <w:jc w:val="center"/>
        </w:trPr>
        <w:tc>
          <w:tcPr>
            <w:tcW w:w="9639" w:type="dxa"/>
            <w:vAlign w:val="center"/>
          </w:tcPr>
          <w:p w14:paraId="7624AC3B" w14:textId="77777777" w:rsidR="00403DA7" w:rsidRPr="00EB137B" w:rsidRDefault="00403DA7" w:rsidP="00AD1ABE">
            <w:pPr>
              <w:widowControl w:val="0"/>
              <w:autoSpaceDE w:val="0"/>
              <w:autoSpaceDN w:val="0"/>
              <w:adjustRightInd w:val="0"/>
              <w:spacing w:line="240" w:lineRule="auto"/>
              <w:jc w:val="center"/>
              <w:rPr>
                <w:i/>
                <w:iCs/>
                <w:color w:val="000000" w:themeColor="text1"/>
                <w:sz w:val="20"/>
                <w:szCs w:val="20"/>
                <w:lang w:val="en-US"/>
              </w:rPr>
            </w:pPr>
            <w:r w:rsidRPr="00EB137B">
              <w:rPr>
                <w:i/>
                <w:iCs/>
                <w:noProof/>
                <w:color w:val="000000" w:themeColor="text1"/>
                <w:sz w:val="20"/>
                <w:szCs w:val="20"/>
                <w:lang w:val="en-US"/>
              </w:rPr>
              <w:drawing>
                <wp:inline distT="0" distB="0" distL="0" distR="0" wp14:anchorId="11E8C87F" wp14:editId="52DEC1C9">
                  <wp:extent cx="5675874" cy="2603212"/>
                  <wp:effectExtent l="0" t="0" r="1270" b="6985"/>
                  <wp:docPr id="11931958" name="Grafik 3" descr="Ein Bild, das Diagramm, Text, Reihe, Origami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958" name="Grafik 3" descr="Ein Bild, das Diagramm, Text, Reihe, Origami enthält.&#10;&#10;Automatisch generierte Beschreibung"/>
                          <pic:cNvPicPr>
                            <a:picLocks noChangeAspect="1" noChangeArrowheads="1"/>
                          </pic:cNvPicPr>
                        </pic:nvPicPr>
                        <pic:blipFill rotWithShape="1">
                          <a:blip r:embed="rId45">
                            <a:extLst>
                              <a:ext uri="{28A0092B-C50C-407E-A947-70E740481C1C}">
                                <a14:useLocalDpi xmlns:a14="http://schemas.microsoft.com/office/drawing/2010/main" val="0"/>
                              </a:ext>
                            </a:extLst>
                          </a:blip>
                          <a:srcRect l="8671" t="17299" r="9788" b="16255"/>
                          <a:stretch/>
                        </pic:blipFill>
                        <pic:spPr bwMode="auto">
                          <a:xfrm>
                            <a:off x="0" y="0"/>
                            <a:ext cx="5693217" cy="261116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03DA7" w:rsidRPr="00BE5632" w14:paraId="22A3EED4" w14:textId="77777777" w:rsidTr="001930F6">
        <w:trPr>
          <w:trHeight w:val="23"/>
          <w:jc w:val="center"/>
        </w:trPr>
        <w:tc>
          <w:tcPr>
            <w:tcW w:w="9639" w:type="dxa"/>
            <w:vAlign w:val="center"/>
          </w:tcPr>
          <w:p w14:paraId="58893430" w14:textId="77777777" w:rsidR="00403DA7" w:rsidRPr="007115F2" w:rsidRDefault="00403DA7" w:rsidP="00AD1ABE">
            <w:pPr>
              <w:widowControl w:val="0"/>
              <w:autoSpaceDE w:val="0"/>
              <w:autoSpaceDN w:val="0"/>
              <w:adjustRightInd w:val="0"/>
              <w:spacing w:line="240" w:lineRule="auto"/>
              <w:rPr>
                <w:color w:val="000000" w:themeColor="text1"/>
                <w:sz w:val="22"/>
                <w:lang w:val="en-US"/>
              </w:rPr>
            </w:pPr>
            <w:r w:rsidRPr="007115F2">
              <w:rPr>
                <w:i/>
                <w:iCs/>
                <w:color w:val="000000" w:themeColor="text1"/>
                <w:sz w:val="22"/>
                <w:lang w:val="en-US"/>
              </w:rPr>
              <w:t>Notes</w:t>
            </w:r>
            <w:r w:rsidRPr="007115F2">
              <w:rPr>
                <w:color w:val="000000" w:themeColor="text1"/>
                <w:sz w:val="22"/>
                <w:lang w:val="en-US"/>
              </w:rPr>
              <w:t>. This figure shows the evolution of alliance partners' strategy and the direction of resource flows from one alliance partner to another when they are linked by indirect board interlocks, based on the model of Larsson et al. (1998). Alliance partner A increases its own transparency vis-à-vis alliance partner B, while the transparency of alliance partner B is also increased by an indirect interlock. Both alliance partners increase their openness to information from the network due to the strategic relevance of board interlocks, which is reflected in higher receptivity Larsson et al. (1998) suggest bilateral resource flows from the combination of two cooperative and cooperative strategies, as indicated by the dashed arrow.</w:t>
            </w:r>
          </w:p>
        </w:tc>
      </w:tr>
    </w:tbl>
    <w:p w14:paraId="0E0B7EC6" w14:textId="77777777" w:rsidR="00403DA7" w:rsidRPr="00EB137B" w:rsidRDefault="00403DA7" w:rsidP="00403DA7">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color w:val="000000" w:themeColor="text1"/>
          <w:sz w:val="16"/>
          <w:szCs w:val="16"/>
          <w:lang w:val="en-US"/>
        </w:rPr>
      </w:pPr>
      <w:bookmarkStart w:id="399" w:name="_Hlk143161439"/>
    </w:p>
    <w:bookmarkEnd w:id="399"/>
    <w:p w14:paraId="6A0B2C72" w14:textId="77777777" w:rsidR="0037709C" w:rsidRPr="00EB137B" w:rsidRDefault="0037709C" w:rsidP="00403DA7">
      <w:pPr>
        <w:rPr>
          <w:color w:val="000000" w:themeColor="text1"/>
          <w:lang w:val="en-US"/>
        </w:rPr>
        <w:sectPr w:rsidR="0037709C" w:rsidRPr="00EB137B" w:rsidSect="00794C6C">
          <w:headerReference w:type="even" r:id="rId46"/>
          <w:headerReference w:type="default" r:id="rId47"/>
          <w:footerReference w:type="even" r:id="rId48"/>
          <w:footerReference w:type="default" r:id="rId49"/>
          <w:headerReference w:type="first" r:id="rId50"/>
          <w:footerReference w:type="first" r:id="rId51"/>
          <w:pgSz w:w="11906" w:h="16838"/>
          <w:pgMar w:top="1417" w:right="1417" w:bottom="1134" w:left="1417" w:header="709" w:footer="709" w:gutter="0"/>
          <w:cols w:space="708"/>
          <w:docGrid w:linePitch="360"/>
        </w:sectPr>
      </w:pPr>
    </w:p>
    <w:p w14:paraId="14FAD50B" w14:textId="2E137351" w:rsidR="007E7736" w:rsidRDefault="007E7736" w:rsidP="007E7736">
      <w:pPr>
        <w:pStyle w:val="1fake"/>
      </w:pPr>
      <w:r>
        <w:lastRenderedPageBreak/>
        <w:t xml:space="preserve">Online SuPPLEMENT </w:t>
      </w:r>
      <w:r w:rsidR="00927125">
        <w:t>1</w:t>
      </w:r>
    </w:p>
    <w:p w14:paraId="63858401" w14:textId="7020DF1F" w:rsidR="00BA2405" w:rsidRDefault="00BA2405" w:rsidP="00BA2405">
      <w:pPr>
        <w:pStyle w:val="Beschriftung"/>
      </w:pPr>
      <w:bookmarkStart w:id="400" w:name="_Toc180594819"/>
      <w:r>
        <w:t xml:space="preserve">T - II - </w:t>
      </w:r>
      <w:r>
        <w:fldChar w:fldCharType="begin"/>
      </w:r>
      <w:r>
        <w:instrText xml:space="preserve"> SEQ T_-_II_- \* ARABIC </w:instrText>
      </w:r>
      <w:r>
        <w:fldChar w:fldCharType="separate"/>
      </w:r>
      <w:r w:rsidR="00E91088">
        <w:rPr>
          <w:noProof/>
        </w:rPr>
        <w:t>7</w:t>
      </w:r>
      <w:r>
        <w:fldChar w:fldCharType="end"/>
      </w:r>
      <w:r>
        <w:t xml:space="preserve">: </w:t>
      </w:r>
      <w:r w:rsidRPr="003B6A1B">
        <w:t>Regression analysis of direct effects using different event windows</w:t>
      </w:r>
      <w:bookmarkEnd w:id="400"/>
    </w:p>
    <w:tbl>
      <w:tblPr>
        <w:tblW w:w="9072" w:type="dxa"/>
        <w:tblLayout w:type="fixed"/>
        <w:tblLook w:val="0420" w:firstRow="1" w:lastRow="0" w:firstColumn="0" w:lastColumn="0" w:noHBand="0" w:noVBand="1"/>
      </w:tblPr>
      <w:tblGrid>
        <w:gridCol w:w="4799"/>
        <w:gridCol w:w="1068"/>
        <w:gridCol w:w="1068"/>
        <w:gridCol w:w="1068"/>
        <w:gridCol w:w="1069"/>
      </w:tblGrid>
      <w:tr w:rsidR="00927125" w:rsidRPr="007115F2" w14:paraId="71AB1508" w14:textId="77777777" w:rsidTr="001930F6">
        <w:tc>
          <w:tcPr>
            <w:tcW w:w="510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4A9E481"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b/>
                <w:bCs/>
                <w:color w:val="000000" w:themeColor="text1"/>
                <w:sz w:val="22"/>
              </w:rPr>
            </w:pPr>
            <w:r w:rsidRPr="007115F2">
              <w:rPr>
                <w:b/>
                <w:bCs/>
                <w:color w:val="000000" w:themeColor="text1"/>
                <w:sz w:val="22"/>
              </w:rPr>
              <w:t>Models</w:t>
            </w:r>
          </w:p>
        </w:tc>
        <w:tc>
          <w:tcPr>
            <w:tcW w:w="113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4B01236"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b/>
                <w:bCs/>
                <w:color w:val="000000" w:themeColor="text1"/>
                <w:sz w:val="22"/>
              </w:rPr>
            </w:pPr>
            <w:r w:rsidRPr="007115F2">
              <w:rPr>
                <w:b/>
                <w:bCs/>
                <w:color w:val="000000" w:themeColor="text1"/>
                <w:sz w:val="22"/>
              </w:rPr>
              <w:t>(1)</w:t>
            </w:r>
            <w:r w:rsidRPr="007115F2">
              <w:rPr>
                <w:b/>
                <w:bCs/>
                <w:color w:val="000000" w:themeColor="text1"/>
                <w:sz w:val="22"/>
              </w:rPr>
              <w:br/>
              <w:t>Direct</w:t>
            </w:r>
            <w:r w:rsidRPr="007115F2">
              <w:rPr>
                <w:b/>
                <w:bCs/>
                <w:color w:val="000000" w:themeColor="text1"/>
                <w:sz w:val="22"/>
              </w:rPr>
              <w:br/>
              <w:t>[-2;2]</w:t>
            </w:r>
          </w:p>
        </w:tc>
        <w:tc>
          <w:tcPr>
            <w:tcW w:w="113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1B78A4B"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b/>
                <w:bCs/>
                <w:color w:val="000000" w:themeColor="text1"/>
                <w:sz w:val="22"/>
              </w:rPr>
            </w:pPr>
            <w:r w:rsidRPr="007115F2">
              <w:rPr>
                <w:b/>
                <w:bCs/>
                <w:color w:val="000000" w:themeColor="text1"/>
                <w:sz w:val="22"/>
              </w:rPr>
              <w:t>(2)</w:t>
            </w:r>
            <w:r w:rsidRPr="007115F2">
              <w:rPr>
                <w:b/>
                <w:bCs/>
                <w:color w:val="000000" w:themeColor="text1"/>
                <w:sz w:val="22"/>
              </w:rPr>
              <w:br/>
              <w:t>Direct</w:t>
            </w:r>
            <w:r w:rsidRPr="007115F2">
              <w:rPr>
                <w:b/>
                <w:bCs/>
                <w:color w:val="000000" w:themeColor="text1"/>
                <w:sz w:val="22"/>
              </w:rPr>
              <w:br/>
              <w:t>[-5;5]</w:t>
            </w:r>
          </w:p>
        </w:tc>
        <w:tc>
          <w:tcPr>
            <w:tcW w:w="113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9412F91"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b/>
                <w:bCs/>
                <w:color w:val="000000" w:themeColor="text1"/>
                <w:sz w:val="22"/>
              </w:rPr>
            </w:pPr>
            <w:r w:rsidRPr="007115F2">
              <w:rPr>
                <w:b/>
                <w:bCs/>
                <w:color w:val="000000" w:themeColor="text1"/>
                <w:sz w:val="22"/>
              </w:rPr>
              <w:t>(3)</w:t>
            </w:r>
            <w:r w:rsidRPr="007115F2">
              <w:rPr>
                <w:b/>
                <w:bCs/>
                <w:color w:val="000000" w:themeColor="text1"/>
                <w:sz w:val="22"/>
              </w:rPr>
              <w:br/>
              <w:t>Indirect</w:t>
            </w:r>
            <w:r w:rsidRPr="007115F2">
              <w:rPr>
                <w:b/>
                <w:bCs/>
                <w:color w:val="000000" w:themeColor="text1"/>
                <w:sz w:val="22"/>
              </w:rPr>
              <w:br/>
              <w:t>[-2;2]</w:t>
            </w:r>
          </w:p>
        </w:tc>
        <w:tc>
          <w:tcPr>
            <w:tcW w:w="113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4CAC318"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b/>
                <w:bCs/>
                <w:color w:val="000000" w:themeColor="text1"/>
                <w:sz w:val="22"/>
              </w:rPr>
            </w:pPr>
            <w:r w:rsidRPr="007115F2">
              <w:rPr>
                <w:b/>
                <w:bCs/>
                <w:color w:val="000000" w:themeColor="text1"/>
                <w:sz w:val="22"/>
              </w:rPr>
              <w:t>(4)</w:t>
            </w:r>
            <w:r w:rsidRPr="007115F2">
              <w:rPr>
                <w:b/>
                <w:bCs/>
                <w:color w:val="000000" w:themeColor="text1"/>
                <w:sz w:val="22"/>
              </w:rPr>
              <w:br/>
              <w:t>Indirect</w:t>
            </w:r>
            <w:r w:rsidRPr="007115F2">
              <w:rPr>
                <w:b/>
                <w:bCs/>
                <w:color w:val="000000" w:themeColor="text1"/>
                <w:sz w:val="22"/>
              </w:rPr>
              <w:br/>
              <w:t>[-5;5]</w:t>
            </w:r>
          </w:p>
        </w:tc>
      </w:tr>
      <w:tr w:rsidR="00927125" w:rsidRPr="007115F2" w14:paraId="1B6B124F"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2BF47"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Direct_BoardInterlocks</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0EBDF"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0.017</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5A520"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0.017</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C91AC"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D2D2D"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r>
      <w:tr w:rsidR="00927125" w:rsidRPr="007115F2" w14:paraId="29883CDA"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A228F"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CBB31"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(0.008)</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6085C"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(0.009)</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BAF27"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B3D37"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p>
        </w:tc>
      </w:tr>
      <w:tr w:rsidR="00927125" w:rsidRPr="007115F2" w14:paraId="789A3490"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330D0"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48F8E"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[0.030]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3F4F5"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[0.046]</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92196"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A5561"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p>
        </w:tc>
      </w:tr>
      <w:tr w:rsidR="00927125" w:rsidRPr="007115F2" w14:paraId="75FE3960"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F7FB5"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Indirect_BoardInterlocks</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32548"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A35E4"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233B0"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0.006</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5A1D5"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0.007</w:t>
            </w:r>
          </w:p>
        </w:tc>
      </w:tr>
      <w:tr w:rsidR="00927125" w:rsidRPr="007115F2" w14:paraId="12FF4D5D" w14:textId="77777777" w:rsidTr="001930F6">
        <w:tc>
          <w:tcPr>
            <w:tcW w:w="5102"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34EBFF47"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4"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5CAD13BE"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p>
        </w:tc>
        <w:tc>
          <w:tcPr>
            <w:tcW w:w="1134"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76DB4EC4"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p>
        </w:tc>
        <w:tc>
          <w:tcPr>
            <w:tcW w:w="1134"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5669A0E0"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(0.002)</w:t>
            </w:r>
          </w:p>
        </w:tc>
        <w:tc>
          <w:tcPr>
            <w:tcW w:w="1135"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D4D8BF7"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(0.001)</w:t>
            </w:r>
          </w:p>
        </w:tc>
      </w:tr>
      <w:tr w:rsidR="00927125" w:rsidRPr="007115F2" w14:paraId="585F5326" w14:textId="77777777" w:rsidTr="001930F6">
        <w:tc>
          <w:tcPr>
            <w:tcW w:w="5102"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674798F6"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4"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40C40DB4"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p>
        </w:tc>
        <w:tc>
          <w:tcPr>
            <w:tcW w:w="1134"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3C4E814A"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p>
        </w:tc>
        <w:tc>
          <w:tcPr>
            <w:tcW w:w="1134"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AC2D7FD"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[0.001]</w:t>
            </w:r>
          </w:p>
        </w:tc>
        <w:tc>
          <w:tcPr>
            <w:tcW w:w="1135"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0FE4D22A"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[&lt;0.001]</w:t>
            </w:r>
          </w:p>
        </w:tc>
      </w:tr>
      <w:tr w:rsidR="00927125" w:rsidRPr="007115F2" w14:paraId="262A3814" w14:textId="77777777" w:rsidTr="001930F6">
        <w:tc>
          <w:tcPr>
            <w:tcW w:w="5102"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5B3FE"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Prior_Board_Ties</w:t>
            </w:r>
          </w:p>
        </w:tc>
        <w:tc>
          <w:tcPr>
            <w:tcW w:w="1134"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6F349"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134"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01376"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134"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74479"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135"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AAF0D"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r>
      <w:tr w:rsidR="00927125" w:rsidRPr="007115F2" w14:paraId="59B3CBE8"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60D24"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2E88F"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07E8D"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3E7CC"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(0.000)</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0719F"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(0.000)</w:t>
            </w:r>
          </w:p>
        </w:tc>
      </w:tr>
      <w:tr w:rsidR="00927125" w:rsidRPr="007115F2" w14:paraId="2FBE84B5"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279BE"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54E88"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[0.816]</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28F72"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[0.631]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5F2AA"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[0.879]</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B2D1D"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[0.665]</w:t>
            </w:r>
          </w:p>
        </w:tc>
      </w:tr>
      <w:tr w:rsidR="00927125" w:rsidRPr="007115F2" w14:paraId="4555D6E0"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5DF0F"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Relative_Board_NetworkSize</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B0AFC"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1126D"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CD83C"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03A34"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r>
      <w:tr w:rsidR="00927125" w:rsidRPr="007115F2" w14:paraId="4A96D2C5"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11E21"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D87CB"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F4C3E"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CA3AB"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(0.000)</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F92FE"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(0.000)</w:t>
            </w:r>
          </w:p>
        </w:tc>
      </w:tr>
      <w:tr w:rsidR="00927125" w:rsidRPr="007115F2" w14:paraId="0D0821F4"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0A7C3"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09AC3"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[0.314]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E0A27"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[0.987]</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82F71"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[0.412]</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0E183"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[0.780]</w:t>
            </w:r>
          </w:p>
        </w:tc>
      </w:tr>
      <w:tr w:rsidR="00927125" w:rsidRPr="007115F2" w14:paraId="5C4EBCA6"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B4C6F"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Ln(Total_FirmSize)</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FFA0B"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848EB"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23FCD"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692E8"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r>
      <w:tr w:rsidR="00927125" w:rsidRPr="007115F2" w14:paraId="3CF82160"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81B7F"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3C641"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993C4"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68C43"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(0.001)</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FB9D0"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(0.001)</w:t>
            </w:r>
          </w:p>
        </w:tc>
      </w:tr>
      <w:tr w:rsidR="00927125" w:rsidRPr="007115F2" w14:paraId="25F4B8B8"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53E4A"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34B44"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[&lt;0.001]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B33E4"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[&lt;0.001]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2708B"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[&lt;0.001]</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45F9B"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[&lt;0.001]</w:t>
            </w:r>
          </w:p>
        </w:tc>
      </w:tr>
      <w:tr w:rsidR="00927125" w:rsidRPr="007115F2" w14:paraId="16F93310"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F249D"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Relative_FirmSize</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C7699"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EA413"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9343C"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5B8A4"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r>
      <w:tr w:rsidR="00927125" w:rsidRPr="007115F2" w14:paraId="7C4CD9D9"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8AB3A"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DB5AC"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F6D04"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5EAA6"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(0.000)</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7C4FC"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(0.000)</w:t>
            </w:r>
          </w:p>
        </w:tc>
      </w:tr>
      <w:tr w:rsidR="00927125" w:rsidRPr="007115F2" w14:paraId="1D3C4764"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E6606"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CC852"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[&lt;0.001]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DF150"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[&lt;0.001]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F9043"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[&lt;0.001]</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E1A1B"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[&lt;0.001]</w:t>
            </w:r>
          </w:p>
        </w:tc>
      </w:tr>
      <w:tr w:rsidR="00927125" w:rsidRPr="007115F2" w14:paraId="0CA0BE7B"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B890B"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Relative_FirmPerformance</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529F1"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0.045</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6A5D8"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0.072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51826"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0.045</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C58A0"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0.072</w:t>
            </w:r>
          </w:p>
        </w:tc>
      </w:tr>
      <w:tr w:rsidR="00927125" w:rsidRPr="007115F2" w14:paraId="4DFB8790"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82BAF"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0987C"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(0.012)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6CAEE"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(0.015)</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3C5EF"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(0.012)</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D2184"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(0.015)</w:t>
            </w:r>
          </w:p>
        </w:tc>
      </w:tr>
      <w:tr w:rsidR="00927125" w:rsidRPr="007115F2" w14:paraId="72C0CA2F"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C8B82"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0DF28"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[&lt;0.001]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DCEB5"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[&lt;0.001]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FD30A"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[&lt;0.001]</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005F2"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[&lt;0.001]</w:t>
            </w:r>
          </w:p>
        </w:tc>
      </w:tr>
      <w:tr w:rsidR="00927125" w:rsidRPr="007115F2" w14:paraId="669F8C74"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972E5"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Relative_RDIntensity</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9A4EB"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88A29"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928F9"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5CFBF"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-0.004</w:t>
            </w:r>
          </w:p>
        </w:tc>
      </w:tr>
      <w:tr w:rsidR="00927125" w:rsidRPr="007115F2" w14:paraId="451DB86B"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C3594"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036C6"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212C2"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68B98"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(0.001)</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62E60"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(0.002)</w:t>
            </w:r>
          </w:p>
        </w:tc>
      </w:tr>
      <w:tr w:rsidR="00927125" w:rsidRPr="007115F2" w14:paraId="13D9BA3C"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8CCC6"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481A0"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[0.130]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DABB8"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[0.048]</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18E75"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[0.140]</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2E576"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[0.051]</w:t>
            </w:r>
          </w:p>
        </w:tc>
      </w:tr>
      <w:tr w:rsidR="00927125" w:rsidRPr="007115F2" w14:paraId="17993BBF"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A4586"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Relative_AllianceExperience</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9E239"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8758D"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2A20D"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FA211"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r>
      <w:tr w:rsidR="00927125" w:rsidRPr="007115F2" w14:paraId="0842BFE9"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5D27F"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9303F"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CC01F"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339ED"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(0.000)</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2430B"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(0.000)</w:t>
            </w:r>
          </w:p>
        </w:tc>
      </w:tr>
      <w:tr w:rsidR="00927125" w:rsidRPr="007115F2" w14:paraId="4F4833E1"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908FE"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AA65B"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[0.324]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CBFBB"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[0.006]</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45E7F"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[0.261]</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A07C0"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[0.004]</w:t>
            </w:r>
          </w:p>
        </w:tc>
      </w:tr>
      <w:tr w:rsidR="00927125" w:rsidRPr="007115F2" w14:paraId="20B33042"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B247E"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Alliance_RelationalEmbeddedness</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3C2E1"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7E1B2"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A26BB"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CBAB3"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r>
      <w:tr w:rsidR="00927125" w:rsidRPr="007115F2" w14:paraId="50F02DE1"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F158B"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A2681"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3CE66"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1E6FB"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(0.001)</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739C6"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(0.000)</w:t>
            </w:r>
          </w:p>
        </w:tc>
      </w:tr>
      <w:tr w:rsidR="00927125" w:rsidRPr="007115F2" w14:paraId="1570BAEC"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CFF7C"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1FD5B"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[0.051]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16693"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[0.611]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8D911"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[0.092]</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C157B"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[0.918]</w:t>
            </w:r>
          </w:p>
        </w:tc>
      </w:tr>
      <w:tr w:rsidR="00927125" w:rsidRPr="007115F2" w14:paraId="6C56AA30"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F9BCB"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Alliance_StructuralEmbeddedness</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88D17"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99D19"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C97BA"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5BDFE"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-0.005</w:t>
            </w:r>
          </w:p>
        </w:tc>
      </w:tr>
      <w:tr w:rsidR="00927125" w:rsidRPr="007115F2" w14:paraId="05DE3FEE"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BE973"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7BDEA"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(0.007)</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D8B62"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(0.006)</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8EC1D"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(0.007)</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7199C"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(0.006)</w:t>
            </w:r>
          </w:p>
        </w:tc>
      </w:tr>
      <w:tr w:rsidR="00927125" w:rsidRPr="007115F2" w14:paraId="11561C11"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7412A"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BA878"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[0.742]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AF6FC"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[0.465]</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1F0E5"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[0.804]</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368BF"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[0.388]</w:t>
            </w:r>
          </w:p>
        </w:tc>
      </w:tr>
      <w:tr w:rsidR="00927125" w:rsidRPr="007115F2" w14:paraId="152C3A4D"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F5FE4"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JV_Indicator</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E6BA5"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46D2A"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C9E07"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74E1C"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r>
      <w:tr w:rsidR="00927125" w:rsidRPr="007115F2" w14:paraId="4B6438AD"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5634E"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F7E2E"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87232"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1A695"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(0.002)</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0615F"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(0.002)</w:t>
            </w:r>
          </w:p>
        </w:tc>
      </w:tr>
      <w:tr w:rsidR="00927125" w:rsidRPr="007115F2" w14:paraId="693F150C"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F2368"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E2F77"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[0.464]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FA42D"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[0.667]</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A11D0"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[0.435]</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A2CA2"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[0.707]</w:t>
            </w:r>
          </w:p>
        </w:tc>
      </w:tr>
      <w:tr w:rsidR="00927125" w:rsidRPr="007115F2" w14:paraId="0089E990"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7512A"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Equity_Indicator</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18FFF"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0.008</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E1E60"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022B7"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0.009</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09827"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r>
      <w:tr w:rsidR="00927125" w:rsidRPr="007115F2" w14:paraId="089BB048"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1E12D"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8471B"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(0.005)</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C87E2"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(0.008)</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5E854"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(0.005)</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EC8D6"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(0.009)</w:t>
            </w:r>
          </w:p>
        </w:tc>
      </w:tr>
      <w:tr w:rsidR="00927125" w:rsidRPr="007115F2" w14:paraId="65A866D8"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67B45"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3D9FC"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[0.144]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E832C"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[0.873]</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AF4BE"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[0.098]</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BFAFD"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[0.785]</w:t>
            </w:r>
          </w:p>
        </w:tc>
      </w:tr>
      <w:tr w:rsidR="00927125" w:rsidRPr="007115F2" w14:paraId="43849B16"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E4962"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Technology_Indicator</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1F111"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A096B"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82B9B"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DBC10"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r>
      <w:tr w:rsidR="00927125" w:rsidRPr="007115F2" w14:paraId="21B1FB60"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E7CB3"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2B378"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BF7A2"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7D10D"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(0.001)</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BB956"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(0.001)</w:t>
            </w:r>
          </w:p>
        </w:tc>
      </w:tr>
      <w:tr w:rsidR="00927125" w:rsidRPr="007115F2" w14:paraId="29DACF73"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55144"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B6ACF"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[0.506]</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D3728"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[0.504]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9B699"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[0.527]</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EE6D9"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[0.503]</w:t>
            </w:r>
          </w:p>
        </w:tc>
      </w:tr>
      <w:tr w:rsidR="00927125" w:rsidRPr="007115F2" w14:paraId="263F28CE"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54698"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ExplorationAlliance_Indicator</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20A90"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C0BE1"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0A136"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572BB"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-0.004</w:t>
            </w:r>
          </w:p>
        </w:tc>
      </w:tr>
      <w:tr w:rsidR="00927125" w:rsidRPr="007115F2" w14:paraId="6428B87D"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D3B81"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0A771"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4833F"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C08FE"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(0.002)</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1AA8D"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(0.002)</w:t>
            </w:r>
          </w:p>
        </w:tc>
      </w:tr>
      <w:tr w:rsidR="00927125" w:rsidRPr="007115F2" w14:paraId="32C8B563"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A8860"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E931C"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[0.048]</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E508B"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[0.022]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4C740"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[0.062]</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CCB86"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[0.030]</w:t>
            </w:r>
          </w:p>
        </w:tc>
      </w:tr>
      <w:tr w:rsidR="00927125" w:rsidRPr="007115F2" w14:paraId="4C03DA87"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36B68"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InternationalAlliance_Indicator</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C69D2"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46C7D"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2D105"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9B650"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r>
      <w:tr w:rsidR="00927125" w:rsidRPr="007115F2" w14:paraId="62AC6C6F"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3411D"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5C7BC"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C34BE"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00E66"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(0.001)</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553CB"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(0.002)</w:t>
            </w:r>
          </w:p>
        </w:tc>
      </w:tr>
      <w:tr w:rsidR="00927125" w:rsidRPr="007115F2" w14:paraId="62AAE287"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8C86D"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DB8DE"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[0.307]</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9EA1F"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[0.909]</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7A06B"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[0.303]</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21E23"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[0.918]</w:t>
            </w:r>
          </w:p>
        </w:tc>
      </w:tr>
      <w:tr w:rsidR="00927125" w:rsidRPr="007115F2" w14:paraId="54D16A37"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14FA0"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Relatedness_Indicator</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88D43"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FF889"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E9EA0"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82789"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r>
      <w:tr w:rsidR="00927125" w:rsidRPr="007115F2" w14:paraId="4D7825BA"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4A9B5"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F438B"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F0D93"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(0.003)</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8C327"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(0.002)</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387A9"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(0.003)</w:t>
            </w:r>
          </w:p>
        </w:tc>
      </w:tr>
      <w:tr w:rsidR="00927125" w:rsidRPr="007115F2" w14:paraId="3067DFF5"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C276A"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0D4FE"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[0.303]</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7D2B0"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[0.696]</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A8F8B"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[0.366]</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186A8"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rFonts w:eastAsia="Helvetica"/>
                <w:sz w:val="22"/>
              </w:rPr>
              <w:t>[0.603]</w:t>
            </w:r>
          </w:p>
        </w:tc>
      </w:tr>
      <w:tr w:rsidR="00927125" w:rsidRPr="007115F2" w14:paraId="592C00A6"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77679"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Industry_Growth</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8C9D6"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3F455"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0.006</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10F56"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0.004</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62166"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0.007</w:t>
            </w:r>
          </w:p>
        </w:tc>
      </w:tr>
      <w:tr w:rsidR="00927125" w:rsidRPr="007115F2" w14:paraId="4C383533"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1BBCC"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E2C45"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(0.003)</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51E85"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0AAC9"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(0.003)</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4AC06"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sz w:val="22"/>
              </w:rPr>
            </w:pPr>
            <w:r w:rsidRPr="007115F2">
              <w:rPr>
                <w:sz w:val="22"/>
              </w:rPr>
              <w:t>(0.004)</w:t>
            </w:r>
          </w:p>
        </w:tc>
      </w:tr>
      <w:tr w:rsidR="00927125" w:rsidRPr="007115F2" w14:paraId="384DA6AE"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DC942"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color w:val="000000" w:themeColor="text1"/>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EB9BF"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color w:val="000000" w:themeColor="text1"/>
                <w:sz w:val="22"/>
              </w:rPr>
            </w:pPr>
            <w:r w:rsidRPr="007115F2">
              <w:rPr>
                <w:rFonts w:eastAsia="Helvetica"/>
                <w:color w:val="000000"/>
                <w:sz w:val="22"/>
              </w:rPr>
              <w:t>[0.247]</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8CD3F"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color w:val="000000" w:themeColor="text1"/>
                <w:sz w:val="22"/>
              </w:rPr>
            </w:pPr>
            <w:r w:rsidRPr="007115F2">
              <w:rPr>
                <w:rFonts w:eastAsia="Helvetica"/>
                <w:color w:val="000000"/>
                <w:sz w:val="22"/>
              </w:rPr>
              <w:t>[0.106]</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6C334"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color w:val="000000" w:themeColor="text1"/>
                <w:sz w:val="22"/>
              </w:rPr>
            </w:pPr>
            <w:r w:rsidRPr="007115F2">
              <w:rPr>
                <w:rFonts w:eastAsia="Helvetica"/>
                <w:color w:val="000000"/>
                <w:sz w:val="22"/>
              </w:rPr>
              <w:t>[0.217]</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B6927"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color w:val="000000" w:themeColor="text1"/>
                <w:sz w:val="22"/>
              </w:rPr>
            </w:pPr>
            <w:r w:rsidRPr="007115F2">
              <w:rPr>
                <w:rFonts w:eastAsia="Helvetica"/>
                <w:color w:val="000000"/>
                <w:sz w:val="22"/>
              </w:rPr>
              <w:t>[0.095]</w:t>
            </w:r>
          </w:p>
        </w:tc>
      </w:tr>
      <w:tr w:rsidR="00927125" w:rsidRPr="007115F2" w14:paraId="1AE083D2"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02CD1"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color w:val="000000" w:themeColor="text1"/>
                <w:sz w:val="22"/>
              </w:rPr>
            </w:pPr>
            <w:r w:rsidRPr="007115F2">
              <w:rPr>
                <w:color w:val="000000" w:themeColor="text1"/>
                <w:sz w:val="22"/>
              </w:rPr>
              <w:t>Industry_Complementarity</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40BF8"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color w:val="000000" w:themeColor="text1"/>
                <w:sz w:val="22"/>
              </w:rPr>
            </w:pPr>
            <w:r w:rsidRPr="007115F2">
              <w:rPr>
                <w:color w:val="000000" w:themeColor="text1"/>
                <w:sz w:val="22"/>
              </w:rPr>
              <w:t>0.000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BEBDB"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color w:val="000000" w:themeColor="text1"/>
                <w:sz w:val="22"/>
              </w:rPr>
            </w:pPr>
            <w:r w:rsidRPr="007115F2">
              <w:rPr>
                <w:color w:val="000000" w:themeColor="text1"/>
                <w:sz w:val="22"/>
              </w:rPr>
              <w:t>0.002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40454"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color w:val="000000" w:themeColor="text1"/>
                <w:sz w:val="22"/>
              </w:rPr>
            </w:pPr>
            <w:r w:rsidRPr="007115F2">
              <w:rPr>
                <w:color w:val="000000" w:themeColor="text1"/>
                <w:sz w:val="22"/>
              </w:rPr>
              <w:t>-0.001</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6E733"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color w:val="000000" w:themeColor="text1"/>
                <w:sz w:val="22"/>
              </w:rPr>
            </w:pPr>
            <w:r w:rsidRPr="007115F2">
              <w:rPr>
                <w:color w:val="000000" w:themeColor="text1"/>
                <w:sz w:val="22"/>
              </w:rPr>
              <w:t>0.001</w:t>
            </w:r>
          </w:p>
        </w:tc>
      </w:tr>
      <w:tr w:rsidR="00927125" w:rsidRPr="007115F2" w14:paraId="7ECCA8F2"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DBF2B"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color w:val="000000" w:themeColor="text1"/>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BB116"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55202"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color w:val="000000" w:themeColor="text1"/>
                <w:sz w:val="22"/>
              </w:rPr>
            </w:pPr>
            <w:r w:rsidRPr="007115F2">
              <w:rPr>
                <w:color w:val="000000" w:themeColor="text1"/>
                <w:sz w:val="22"/>
              </w:rPr>
              <w:t>(0.003)</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81FB2"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4CB00"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color w:val="000000" w:themeColor="text1"/>
                <w:sz w:val="22"/>
              </w:rPr>
            </w:pPr>
            <w:r w:rsidRPr="007115F2">
              <w:rPr>
                <w:color w:val="000000" w:themeColor="text1"/>
                <w:sz w:val="22"/>
              </w:rPr>
              <w:t>(0.003)</w:t>
            </w:r>
          </w:p>
        </w:tc>
      </w:tr>
      <w:tr w:rsidR="00927125" w:rsidRPr="007115F2" w14:paraId="6AC0BDB0"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A45FA"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color w:val="000000" w:themeColor="text1"/>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B3740"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color w:val="000000" w:themeColor="text1"/>
                <w:sz w:val="22"/>
              </w:rPr>
            </w:pPr>
            <w:r w:rsidRPr="007115F2">
              <w:rPr>
                <w:rFonts w:eastAsia="Helvetica"/>
                <w:color w:val="000000"/>
                <w:sz w:val="22"/>
              </w:rPr>
              <w:t>[0.803]</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36B43"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color w:val="000000" w:themeColor="text1"/>
                <w:sz w:val="22"/>
              </w:rPr>
            </w:pPr>
            <w:r w:rsidRPr="007115F2">
              <w:rPr>
                <w:rFonts w:eastAsia="Helvetica"/>
                <w:color w:val="000000"/>
                <w:sz w:val="22"/>
              </w:rPr>
              <w:t>[0.651]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6E174"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color w:val="000000" w:themeColor="text1"/>
                <w:sz w:val="22"/>
              </w:rPr>
            </w:pPr>
            <w:r w:rsidRPr="007115F2">
              <w:rPr>
                <w:rFonts w:eastAsia="Helvetica"/>
                <w:color w:val="000000"/>
                <w:sz w:val="22"/>
              </w:rPr>
              <w:t>[0.516]</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3D936"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color w:val="000000" w:themeColor="text1"/>
                <w:sz w:val="22"/>
              </w:rPr>
            </w:pPr>
            <w:r w:rsidRPr="007115F2">
              <w:rPr>
                <w:rFonts w:eastAsia="Helvetica"/>
                <w:color w:val="000000"/>
                <w:sz w:val="22"/>
              </w:rPr>
              <w:t>[0.819]</w:t>
            </w:r>
          </w:p>
        </w:tc>
      </w:tr>
      <w:tr w:rsidR="00927125" w:rsidRPr="007115F2" w14:paraId="3E79117E"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9F74E"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color w:val="000000" w:themeColor="text1"/>
                <w:sz w:val="22"/>
              </w:rPr>
            </w:pPr>
            <w:r w:rsidRPr="007115F2">
              <w:rPr>
                <w:color w:val="000000" w:themeColor="text1"/>
                <w:sz w:val="22"/>
              </w:rPr>
              <w:t>Industry_RelatedScope</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15A87"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color w:val="000000" w:themeColor="text1"/>
                <w:sz w:val="22"/>
              </w:rPr>
            </w:pPr>
            <w:r w:rsidRPr="007115F2">
              <w:rPr>
                <w:color w:val="000000" w:themeColor="text1"/>
                <w:sz w:val="22"/>
              </w:rPr>
              <w:t>0.000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ADC2A"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color w:val="000000" w:themeColor="text1"/>
                <w:sz w:val="22"/>
              </w:rPr>
            </w:pPr>
            <w:r w:rsidRPr="007115F2">
              <w:rPr>
                <w:color w:val="000000" w:themeColor="text1"/>
                <w:sz w:val="22"/>
              </w:rPr>
              <w:t>0.000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CF91E"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color w:val="000000" w:themeColor="text1"/>
                <w:sz w:val="22"/>
              </w:rPr>
            </w:pPr>
            <w:r w:rsidRPr="007115F2">
              <w:rPr>
                <w:color w:val="000000" w:themeColor="text1"/>
                <w:sz w:val="22"/>
              </w:rPr>
              <w:t>0.000</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DE723"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color w:val="000000" w:themeColor="text1"/>
                <w:sz w:val="22"/>
              </w:rPr>
            </w:pPr>
            <w:r w:rsidRPr="007115F2">
              <w:rPr>
                <w:color w:val="000000" w:themeColor="text1"/>
                <w:sz w:val="22"/>
              </w:rPr>
              <w:t>0.000</w:t>
            </w:r>
          </w:p>
        </w:tc>
      </w:tr>
      <w:tr w:rsidR="00927125" w:rsidRPr="007115F2" w14:paraId="06615DD8"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0D834"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color w:val="000000" w:themeColor="text1"/>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31D07"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D8317"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AD243"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12411"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color w:val="000000" w:themeColor="text1"/>
                <w:sz w:val="22"/>
              </w:rPr>
            </w:pPr>
            <w:r w:rsidRPr="007115F2">
              <w:rPr>
                <w:color w:val="000000" w:themeColor="text1"/>
                <w:sz w:val="22"/>
              </w:rPr>
              <w:t>(0.000)</w:t>
            </w:r>
          </w:p>
        </w:tc>
      </w:tr>
      <w:tr w:rsidR="00927125" w:rsidRPr="007115F2" w14:paraId="4C14F8B6" w14:textId="77777777" w:rsidTr="001930F6">
        <w:tc>
          <w:tcPr>
            <w:tcW w:w="51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9EDC0"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color w:val="000000" w:themeColor="text1"/>
                <w:sz w:val="22"/>
              </w:rP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2C71F"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color w:val="000000" w:themeColor="text1"/>
                <w:sz w:val="22"/>
              </w:rPr>
            </w:pPr>
            <w:r w:rsidRPr="007115F2">
              <w:rPr>
                <w:rFonts w:eastAsia="Helvetica"/>
                <w:color w:val="000000"/>
                <w:sz w:val="22"/>
              </w:rPr>
              <w:t>[0.384]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DF171"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color w:val="000000" w:themeColor="text1"/>
                <w:sz w:val="22"/>
              </w:rPr>
            </w:pPr>
            <w:r w:rsidRPr="007115F2">
              <w:rPr>
                <w:rFonts w:eastAsia="Helvetica"/>
                <w:color w:val="000000"/>
                <w:sz w:val="22"/>
              </w:rPr>
              <w:t>[0.235]</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43538"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color w:val="000000" w:themeColor="text1"/>
                <w:sz w:val="22"/>
              </w:rPr>
            </w:pPr>
            <w:r w:rsidRPr="007115F2">
              <w:rPr>
                <w:rFonts w:eastAsia="Helvetica"/>
                <w:color w:val="000000"/>
                <w:sz w:val="22"/>
              </w:rPr>
              <w:t>[0.354]</w:t>
            </w:r>
          </w:p>
        </w:tc>
        <w:tc>
          <w:tcPr>
            <w:tcW w:w="11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A95E2"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color w:val="000000" w:themeColor="text1"/>
                <w:sz w:val="22"/>
              </w:rPr>
            </w:pPr>
            <w:r w:rsidRPr="007115F2">
              <w:rPr>
                <w:rFonts w:eastAsia="Helvetica"/>
                <w:color w:val="000000"/>
                <w:sz w:val="22"/>
              </w:rPr>
              <w:t>[0.208]</w:t>
            </w:r>
          </w:p>
        </w:tc>
      </w:tr>
      <w:tr w:rsidR="00927125" w:rsidRPr="007115F2" w14:paraId="6E198C2D" w14:textId="77777777" w:rsidTr="001930F6">
        <w:tc>
          <w:tcPr>
            <w:tcW w:w="5102" w:type="dxa"/>
            <w:shd w:val="clear" w:color="auto" w:fill="FFFFFF"/>
            <w:tcMar>
              <w:top w:w="0" w:type="dxa"/>
              <w:left w:w="0" w:type="dxa"/>
              <w:bottom w:w="0" w:type="dxa"/>
              <w:right w:w="0" w:type="dxa"/>
            </w:tcMar>
            <w:vAlign w:val="center"/>
          </w:tcPr>
          <w:p w14:paraId="5B963076"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color w:val="000000" w:themeColor="text1"/>
                <w:sz w:val="22"/>
              </w:rPr>
            </w:pPr>
            <w:r w:rsidRPr="007115F2">
              <w:rPr>
                <w:color w:val="000000" w:themeColor="text1"/>
                <w:sz w:val="22"/>
              </w:rPr>
              <w:t>Year FE</w:t>
            </w:r>
          </w:p>
        </w:tc>
        <w:tc>
          <w:tcPr>
            <w:tcW w:w="1134" w:type="dxa"/>
            <w:shd w:val="clear" w:color="auto" w:fill="FFFFFF"/>
            <w:tcMar>
              <w:top w:w="0" w:type="dxa"/>
              <w:left w:w="0" w:type="dxa"/>
              <w:bottom w:w="0" w:type="dxa"/>
              <w:right w:w="0" w:type="dxa"/>
            </w:tcMar>
            <w:vAlign w:val="center"/>
          </w:tcPr>
          <w:p w14:paraId="2BCE109C"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color w:val="000000" w:themeColor="text1"/>
                <w:sz w:val="22"/>
              </w:rPr>
            </w:pPr>
            <w:r w:rsidRPr="007115F2">
              <w:rPr>
                <w:color w:val="000000" w:themeColor="text1"/>
                <w:sz w:val="22"/>
              </w:rPr>
              <w:t>True</w:t>
            </w:r>
          </w:p>
        </w:tc>
        <w:tc>
          <w:tcPr>
            <w:tcW w:w="1134" w:type="dxa"/>
            <w:shd w:val="clear" w:color="auto" w:fill="FFFFFF"/>
            <w:tcMar>
              <w:top w:w="0" w:type="dxa"/>
              <w:left w:w="0" w:type="dxa"/>
              <w:bottom w:w="0" w:type="dxa"/>
              <w:right w:w="0" w:type="dxa"/>
            </w:tcMar>
            <w:vAlign w:val="center"/>
          </w:tcPr>
          <w:p w14:paraId="1B60002C"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color w:val="000000" w:themeColor="text1"/>
                <w:sz w:val="22"/>
              </w:rPr>
            </w:pPr>
            <w:r w:rsidRPr="007115F2">
              <w:rPr>
                <w:color w:val="000000" w:themeColor="text1"/>
                <w:sz w:val="22"/>
              </w:rPr>
              <w:t>True</w:t>
            </w:r>
          </w:p>
        </w:tc>
        <w:tc>
          <w:tcPr>
            <w:tcW w:w="1134" w:type="dxa"/>
            <w:shd w:val="clear" w:color="auto" w:fill="FFFFFF"/>
            <w:tcMar>
              <w:top w:w="0" w:type="dxa"/>
              <w:left w:w="0" w:type="dxa"/>
              <w:bottom w:w="0" w:type="dxa"/>
              <w:right w:w="0" w:type="dxa"/>
            </w:tcMar>
            <w:vAlign w:val="center"/>
          </w:tcPr>
          <w:p w14:paraId="4CF3671C"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color w:val="000000" w:themeColor="text1"/>
                <w:sz w:val="22"/>
              </w:rPr>
            </w:pPr>
            <w:r w:rsidRPr="007115F2">
              <w:rPr>
                <w:color w:val="000000" w:themeColor="text1"/>
                <w:sz w:val="22"/>
              </w:rPr>
              <w:t>True</w:t>
            </w:r>
          </w:p>
        </w:tc>
        <w:tc>
          <w:tcPr>
            <w:tcW w:w="1135" w:type="dxa"/>
            <w:shd w:val="clear" w:color="auto" w:fill="FFFFFF"/>
            <w:tcMar>
              <w:top w:w="0" w:type="dxa"/>
              <w:left w:w="0" w:type="dxa"/>
              <w:bottom w:w="0" w:type="dxa"/>
              <w:right w:w="0" w:type="dxa"/>
            </w:tcMar>
            <w:vAlign w:val="center"/>
          </w:tcPr>
          <w:p w14:paraId="30C76FD2"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color w:val="000000" w:themeColor="text1"/>
                <w:sz w:val="22"/>
              </w:rPr>
            </w:pPr>
            <w:r w:rsidRPr="007115F2">
              <w:rPr>
                <w:color w:val="000000" w:themeColor="text1"/>
                <w:sz w:val="22"/>
              </w:rPr>
              <w:t>True</w:t>
            </w:r>
          </w:p>
        </w:tc>
      </w:tr>
      <w:tr w:rsidR="00927125" w:rsidRPr="007115F2" w14:paraId="4546DC8E" w14:textId="77777777" w:rsidTr="001930F6">
        <w:tc>
          <w:tcPr>
            <w:tcW w:w="5102" w:type="dxa"/>
            <w:shd w:val="clear" w:color="auto" w:fill="FFFFFF"/>
            <w:tcMar>
              <w:top w:w="0" w:type="dxa"/>
              <w:left w:w="0" w:type="dxa"/>
              <w:bottom w:w="0" w:type="dxa"/>
              <w:right w:w="0" w:type="dxa"/>
            </w:tcMar>
            <w:vAlign w:val="center"/>
          </w:tcPr>
          <w:p w14:paraId="65237FB9"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color w:val="000000" w:themeColor="text1"/>
                <w:sz w:val="22"/>
              </w:rPr>
            </w:pPr>
            <w:r w:rsidRPr="007115F2">
              <w:rPr>
                <w:color w:val="000000" w:themeColor="text1"/>
                <w:sz w:val="22"/>
              </w:rPr>
              <w:t>Industry Combination FE</w:t>
            </w:r>
          </w:p>
        </w:tc>
        <w:tc>
          <w:tcPr>
            <w:tcW w:w="1134" w:type="dxa"/>
            <w:shd w:val="clear" w:color="auto" w:fill="FFFFFF"/>
            <w:tcMar>
              <w:top w:w="0" w:type="dxa"/>
              <w:left w:w="0" w:type="dxa"/>
              <w:bottom w:w="0" w:type="dxa"/>
              <w:right w:w="0" w:type="dxa"/>
            </w:tcMar>
            <w:vAlign w:val="center"/>
          </w:tcPr>
          <w:p w14:paraId="1DE7D345"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color w:val="000000" w:themeColor="text1"/>
                <w:sz w:val="22"/>
              </w:rPr>
            </w:pPr>
            <w:r w:rsidRPr="007115F2">
              <w:rPr>
                <w:color w:val="000000" w:themeColor="text1"/>
                <w:sz w:val="22"/>
              </w:rPr>
              <w:t>True</w:t>
            </w:r>
          </w:p>
        </w:tc>
        <w:tc>
          <w:tcPr>
            <w:tcW w:w="1134" w:type="dxa"/>
            <w:shd w:val="clear" w:color="auto" w:fill="FFFFFF"/>
            <w:tcMar>
              <w:top w:w="0" w:type="dxa"/>
              <w:left w:w="0" w:type="dxa"/>
              <w:bottom w:w="0" w:type="dxa"/>
              <w:right w:w="0" w:type="dxa"/>
            </w:tcMar>
            <w:vAlign w:val="center"/>
          </w:tcPr>
          <w:p w14:paraId="61A0C998"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color w:val="000000" w:themeColor="text1"/>
                <w:sz w:val="22"/>
              </w:rPr>
            </w:pPr>
            <w:r w:rsidRPr="007115F2">
              <w:rPr>
                <w:color w:val="000000" w:themeColor="text1"/>
                <w:sz w:val="22"/>
              </w:rPr>
              <w:t>True</w:t>
            </w:r>
          </w:p>
        </w:tc>
        <w:tc>
          <w:tcPr>
            <w:tcW w:w="1134" w:type="dxa"/>
            <w:shd w:val="clear" w:color="auto" w:fill="FFFFFF"/>
            <w:tcMar>
              <w:top w:w="0" w:type="dxa"/>
              <w:left w:w="0" w:type="dxa"/>
              <w:bottom w:w="0" w:type="dxa"/>
              <w:right w:w="0" w:type="dxa"/>
            </w:tcMar>
            <w:vAlign w:val="center"/>
          </w:tcPr>
          <w:p w14:paraId="7062A9A7"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color w:val="000000" w:themeColor="text1"/>
                <w:sz w:val="22"/>
              </w:rPr>
            </w:pPr>
            <w:r w:rsidRPr="007115F2">
              <w:rPr>
                <w:color w:val="000000" w:themeColor="text1"/>
                <w:sz w:val="22"/>
              </w:rPr>
              <w:t>True</w:t>
            </w:r>
          </w:p>
        </w:tc>
        <w:tc>
          <w:tcPr>
            <w:tcW w:w="1135" w:type="dxa"/>
            <w:shd w:val="clear" w:color="auto" w:fill="FFFFFF"/>
            <w:tcMar>
              <w:top w:w="0" w:type="dxa"/>
              <w:left w:w="0" w:type="dxa"/>
              <w:bottom w:w="0" w:type="dxa"/>
              <w:right w:w="0" w:type="dxa"/>
            </w:tcMar>
            <w:vAlign w:val="center"/>
          </w:tcPr>
          <w:p w14:paraId="141358EB"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color w:val="000000" w:themeColor="text1"/>
                <w:sz w:val="22"/>
              </w:rPr>
            </w:pPr>
            <w:r w:rsidRPr="007115F2">
              <w:rPr>
                <w:color w:val="000000" w:themeColor="text1"/>
                <w:sz w:val="22"/>
              </w:rPr>
              <w:t>True</w:t>
            </w:r>
          </w:p>
        </w:tc>
      </w:tr>
      <w:tr w:rsidR="00927125" w:rsidRPr="007115F2" w14:paraId="6BFD7276" w14:textId="77777777" w:rsidTr="001930F6">
        <w:tc>
          <w:tcPr>
            <w:tcW w:w="5102" w:type="dxa"/>
            <w:shd w:val="clear" w:color="auto" w:fill="FFFFFF"/>
            <w:tcMar>
              <w:top w:w="0" w:type="dxa"/>
              <w:left w:w="0" w:type="dxa"/>
              <w:bottom w:w="0" w:type="dxa"/>
              <w:right w:w="0" w:type="dxa"/>
            </w:tcMar>
            <w:vAlign w:val="center"/>
          </w:tcPr>
          <w:p w14:paraId="4A87FB5E"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color w:val="000000" w:themeColor="text1"/>
                <w:sz w:val="22"/>
              </w:rPr>
            </w:pPr>
            <w:r w:rsidRPr="007115F2">
              <w:rPr>
                <w:color w:val="000000" w:themeColor="text1"/>
                <w:sz w:val="22"/>
              </w:rPr>
              <w:t>Adjusted R-Squared</w:t>
            </w:r>
          </w:p>
        </w:tc>
        <w:tc>
          <w:tcPr>
            <w:tcW w:w="1134" w:type="dxa"/>
            <w:shd w:val="clear" w:color="auto" w:fill="FFFFFF"/>
            <w:tcMar>
              <w:top w:w="0" w:type="dxa"/>
              <w:left w:w="0" w:type="dxa"/>
              <w:bottom w:w="0" w:type="dxa"/>
              <w:right w:w="0" w:type="dxa"/>
            </w:tcMar>
            <w:vAlign w:val="center"/>
          </w:tcPr>
          <w:p w14:paraId="5DC31F6F"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color w:val="000000" w:themeColor="text1"/>
                <w:sz w:val="22"/>
              </w:rPr>
            </w:pPr>
            <w:r w:rsidRPr="007115F2">
              <w:rPr>
                <w:color w:val="000000" w:themeColor="text1"/>
                <w:sz w:val="22"/>
              </w:rPr>
              <w:t>0.137</w:t>
            </w:r>
          </w:p>
        </w:tc>
        <w:tc>
          <w:tcPr>
            <w:tcW w:w="1134" w:type="dxa"/>
            <w:shd w:val="clear" w:color="auto" w:fill="FFFFFF"/>
            <w:tcMar>
              <w:top w:w="0" w:type="dxa"/>
              <w:left w:w="0" w:type="dxa"/>
              <w:bottom w:w="0" w:type="dxa"/>
              <w:right w:w="0" w:type="dxa"/>
            </w:tcMar>
            <w:vAlign w:val="center"/>
          </w:tcPr>
          <w:p w14:paraId="2199E0CF"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color w:val="000000" w:themeColor="text1"/>
                <w:sz w:val="22"/>
              </w:rPr>
            </w:pPr>
            <w:r w:rsidRPr="007115F2">
              <w:rPr>
                <w:color w:val="000000" w:themeColor="text1"/>
                <w:sz w:val="22"/>
              </w:rPr>
              <w:t>0.155</w:t>
            </w:r>
          </w:p>
        </w:tc>
        <w:tc>
          <w:tcPr>
            <w:tcW w:w="1134" w:type="dxa"/>
            <w:shd w:val="clear" w:color="auto" w:fill="FFFFFF"/>
            <w:tcMar>
              <w:top w:w="0" w:type="dxa"/>
              <w:left w:w="0" w:type="dxa"/>
              <w:bottom w:w="0" w:type="dxa"/>
              <w:right w:w="0" w:type="dxa"/>
            </w:tcMar>
            <w:vAlign w:val="center"/>
          </w:tcPr>
          <w:p w14:paraId="275225DD"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color w:val="000000" w:themeColor="text1"/>
                <w:sz w:val="22"/>
              </w:rPr>
            </w:pPr>
            <w:r w:rsidRPr="007115F2">
              <w:rPr>
                <w:color w:val="000000" w:themeColor="text1"/>
                <w:sz w:val="22"/>
              </w:rPr>
              <w:t>0.136</w:t>
            </w:r>
          </w:p>
        </w:tc>
        <w:tc>
          <w:tcPr>
            <w:tcW w:w="1135" w:type="dxa"/>
            <w:shd w:val="clear" w:color="auto" w:fill="FFFFFF"/>
            <w:tcMar>
              <w:top w:w="0" w:type="dxa"/>
              <w:left w:w="0" w:type="dxa"/>
              <w:bottom w:w="0" w:type="dxa"/>
              <w:right w:w="0" w:type="dxa"/>
            </w:tcMar>
            <w:vAlign w:val="center"/>
          </w:tcPr>
          <w:p w14:paraId="15835FC3"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color w:val="000000" w:themeColor="text1"/>
                <w:sz w:val="22"/>
              </w:rPr>
            </w:pPr>
            <w:r w:rsidRPr="007115F2">
              <w:rPr>
                <w:color w:val="000000" w:themeColor="text1"/>
                <w:sz w:val="22"/>
              </w:rPr>
              <w:t>0.155</w:t>
            </w:r>
          </w:p>
        </w:tc>
      </w:tr>
      <w:tr w:rsidR="00927125" w:rsidRPr="007115F2" w14:paraId="2613F7BE" w14:textId="77777777" w:rsidTr="001930F6">
        <w:tc>
          <w:tcPr>
            <w:tcW w:w="5102" w:type="dxa"/>
            <w:tcBorders>
              <w:bottom w:val="single" w:sz="4" w:space="0" w:color="auto"/>
            </w:tcBorders>
            <w:shd w:val="clear" w:color="auto" w:fill="FFFFFF"/>
            <w:tcMar>
              <w:top w:w="0" w:type="dxa"/>
              <w:left w:w="0" w:type="dxa"/>
              <w:bottom w:w="0" w:type="dxa"/>
              <w:right w:w="0" w:type="dxa"/>
            </w:tcMar>
            <w:vAlign w:val="center"/>
          </w:tcPr>
          <w:p w14:paraId="751D02AA"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color w:val="000000" w:themeColor="text1"/>
                <w:sz w:val="22"/>
              </w:rPr>
            </w:pPr>
            <w:r w:rsidRPr="007115F2">
              <w:rPr>
                <w:color w:val="000000" w:themeColor="text1"/>
                <w:sz w:val="22"/>
              </w:rPr>
              <w:t>Observations</w:t>
            </w:r>
          </w:p>
        </w:tc>
        <w:tc>
          <w:tcPr>
            <w:tcW w:w="1134" w:type="dxa"/>
            <w:tcBorders>
              <w:bottom w:val="single" w:sz="4" w:space="0" w:color="auto"/>
            </w:tcBorders>
            <w:shd w:val="clear" w:color="auto" w:fill="FFFFFF"/>
            <w:tcMar>
              <w:top w:w="0" w:type="dxa"/>
              <w:left w:w="0" w:type="dxa"/>
              <w:bottom w:w="0" w:type="dxa"/>
              <w:right w:w="0" w:type="dxa"/>
            </w:tcMar>
            <w:vAlign w:val="center"/>
          </w:tcPr>
          <w:p w14:paraId="74FC1FE0"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color w:val="000000" w:themeColor="text1"/>
                <w:sz w:val="22"/>
              </w:rPr>
            </w:pPr>
            <w:r w:rsidRPr="007115F2">
              <w:rPr>
                <w:color w:val="000000" w:themeColor="text1"/>
                <w:sz w:val="22"/>
              </w:rPr>
              <w:t>2,102</w:t>
            </w:r>
          </w:p>
        </w:tc>
        <w:tc>
          <w:tcPr>
            <w:tcW w:w="1134" w:type="dxa"/>
            <w:tcBorders>
              <w:bottom w:val="single" w:sz="4" w:space="0" w:color="auto"/>
            </w:tcBorders>
            <w:shd w:val="clear" w:color="auto" w:fill="FFFFFF"/>
            <w:tcMar>
              <w:top w:w="0" w:type="dxa"/>
              <w:left w:w="0" w:type="dxa"/>
              <w:bottom w:w="0" w:type="dxa"/>
              <w:right w:w="0" w:type="dxa"/>
            </w:tcMar>
            <w:vAlign w:val="center"/>
          </w:tcPr>
          <w:p w14:paraId="075FD8C7"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color w:val="000000" w:themeColor="text1"/>
                <w:sz w:val="22"/>
              </w:rPr>
            </w:pPr>
            <w:r w:rsidRPr="007115F2">
              <w:rPr>
                <w:color w:val="000000" w:themeColor="text1"/>
                <w:sz w:val="22"/>
              </w:rPr>
              <w:t>2,102</w:t>
            </w:r>
          </w:p>
        </w:tc>
        <w:tc>
          <w:tcPr>
            <w:tcW w:w="1134" w:type="dxa"/>
            <w:tcBorders>
              <w:bottom w:val="single" w:sz="4" w:space="0" w:color="auto"/>
            </w:tcBorders>
            <w:shd w:val="clear" w:color="auto" w:fill="FFFFFF"/>
            <w:tcMar>
              <w:top w:w="0" w:type="dxa"/>
              <w:left w:w="0" w:type="dxa"/>
              <w:bottom w:w="0" w:type="dxa"/>
              <w:right w:w="0" w:type="dxa"/>
            </w:tcMar>
            <w:vAlign w:val="center"/>
          </w:tcPr>
          <w:p w14:paraId="030BFC46"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color w:val="000000" w:themeColor="text1"/>
                <w:sz w:val="22"/>
              </w:rPr>
            </w:pPr>
            <w:r w:rsidRPr="007115F2">
              <w:rPr>
                <w:color w:val="000000" w:themeColor="text1"/>
                <w:sz w:val="22"/>
              </w:rPr>
              <w:t>2,102</w:t>
            </w:r>
          </w:p>
        </w:tc>
        <w:tc>
          <w:tcPr>
            <w:tcW w:w="1135" w:type="dxa"/>
            <w:tcBorders>
              <w:bottom w:val="single" w:sz="4" w:space="0" w:color="auto"/>
            </w:tcBorders>
            <w:shd w:val="clear" w:color="auto" w:fill="FFFFFF"/>
            <w:tcMar>
              <w:top w:w="0" w:type="dxa"/>
              <w:left w:w="0" w:type="dxa"/>
              <w:bottom w:w="0" w:type="dxa"/>
              <w:right w:w="0" w:type="dxa"/>
            </w:tcMar>
            <w:vAlign w:val="center"/>
          </w:tcPr>
          <w:p w14:paraId="7DD9C2D2" w14:textId="77777777" w:rsidR="00927125" w:rsidRPr="007115F2" w:rsidRDefault="00927125"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color w:val="000000" w:themeColor="text1"/>
                <w:sz w:val="22"/>
              </w:rPr>
            </w:pPr>
            <w:r w:rsidRPr="007115F2">
              <w:rPr>
                <w:color w:val="000000" w:themeColor="text1"/>
                <w:sz w:val="22"/>
              </w:rPr>
              <w:t>2,102</w:t>
            </w:r>
          </w:p>
        </w:tc>
      </w:tr>
      <w:tr w:rsidR="00927125" w:rsidRPr="00BE5632" w14:paraId="023A6473" w14:textId="77777777" w:rsidTr="001930F6">
        <w:tc>
          <w:tcPr>
            <w:tcW w:w="9639" w:type="dxa"/>
            <w:gridSpan w:val="5"/>
            <w:tcBorders>
              <w:top w:val="single" w:sz="4" w:space="0" w:color="auto"/>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713EB65" w14:textId="77777777" w:rsidR="00927125" w:rsidRPr="007115F2" w:rsidRDefault="00927125" w:rsidP="00D137E4">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rPr>
                <w:i/>
                <w:iCs/>
                <w:color w:val="000000" w:themeColor="text1"/>
                <w:sz w:val="22"/>
                <w:lang w:val="en-US"/>
              </w:rPr>
            </w:pPr>
            <w:r w:rsidRPr="007115F2">
              <w:rPr>
                <w:i/>
                <w:iCs/>
                <w:color w:val="000000" w:themeColor="text1"/>
                <w:sz w:val="22"/>
                <w:lang w:val="en-US"/>
              </w:rPr>
              <w:t>Notes</w:t>
            </w:r>
            <w:r w:rsidRPr="007115F2">
              <w:rPr>
                <w:color w:val="000000" w:themeColor="text1"/>
                <w:sz w:val="22"/>
                <w:lang w:val="en-US"/>
              </w:rPr>
              <w:t>. This table presents results from a two-way fixed effects regression examining the influence of direct and indirect board interlocks on differential returns for the five and eleven days around the alliance announcement date [-2;2], [-5;5]. Constant terms are estimated but not reported. Standard errors are clustered by 2-digit SIC code combinations of alliance partners to account for potential industry-related correlations in the error terms. Industry combination and year fixed effects are included to control for unobservable heterogeneity and common time-related factors. Standard errors in parentheses. Exact p-values in brackets. A detailed description of the variables can be found in the online supplement.</w:t>
            </w:r>
          </w:p>
        </w:tc>
      </w:tr>
    </w:tbl>
    <w:p w14:paraId="1CE7DB12" w14:textId="62406E21" w:rsidR="00EE481F" w:rsidRDefault="004A0528">
      <w:pPr>
        <w:spacing w:after="160" w:line="259" w:lineRule="auto"/>
        <w:jc w:val="left"/>
        <w:rPr>
          <w:lang w:val="en-US"/>
        </w:rPr>
      </w:pPr>
      <w:r>
        <w:rPr>
          <w:lang w:val="en-US"/>
        </w:rPr>
        <w:br w:type="page"/>
      </w:r>
    </w:p>
    <w:p w14:paraId="5C2D2DBE" w14:textId="7BDFF929" w:rsidR="007E7736" w:rsidRDefault="007E7736" w:rsidP="007E7736">
      <w:pPr>
        <w:pStyle w:val="1fake"/>
      </w:pPr>
      <w:r>
        <w:lastRenderedPageBreak/>
        <w:t xml:space="preserve">Online SuPPLEMENT </w:t>
      </w:r>
      <w:r w:rsidR="00927125">
        <w:t>2</w:t>
      </w:r>
    </w:p>
    <w:p w14:paraId="4C612DC4" w14:textId="6236C306" w:rsidR="00BA2405" w:rsidRDefault="00BA2405" w:rsidP="00BA2405">
      <w:pPr>
        <w:pStyle w:val="Beschriftung"/>
      </w:pPr>
      <w:bookmarkStart w:id="401" w:name="_Toc180594820"/>
      <w:r>
        <w:t xml:space="preserve">T - II - </w:t>
      </w:r>
      <w:r>
        <w:fldChar w:fldCharType="begin"/>
      </w:r>
      <w:r>
        <w:instrText xml:space="preserve"> SEQ T_-_II_- \* ARABIC </w:instrText>
      </w:r>
      <w:r>
        <w:fldChar w:fldCharType="separate"/>
      </w:r>
      <w:r w:rsidR="00E91088">
        <w:rPr>
          <w:noProof/>
        </w:rPr>
        <w:t>8</w:t>
      </w:r>
      <w:r>
        <w:fldChar w:fldCharType="end"/>
      </w:r>
      <w:r>
        <w:t xml:space="preserve">: </w:t>
      </w:r>
      <w:r w:rsidRPr="002247B2">
        <w:t>Regression analysis of moderating effects using different event window [-5;5]</w:t>
      </w:r>
      <w:bookmarkEnd w:id="401"/>
    </w:p>
    <w:tbl>
      <w:tblPr>
        <w:tblW w:w="9072" w:type="dxa"/>
        <w:jc w:val="center"/>
        <w:tblLayout w:type="fixed"/>
        <w:tblCellMar>
          <w:top w:w="28" w:type="dxa"/>
          <w:left w:w="28" w:type="dxa"/>
          <w:bottom w:w="28" w:type="dxa"/>
          <w:right w:w="28" w:type="dxa"/>
        </w:tblCellMar>
        <w:tblLook w:val="0420" w:firstRow="1" w:lastRow="0" w:firstColumn="0" w:lastColumn="0" w:noHBand="0" w:noVBand="1"/>
      </w:tblPr>
      <w:tblGrid>
        <w:gridCol w:w="3118"/>
        <w:gridCol w:w="1488"/>
        <w:gridCol w:w="1489"/>
        <w:gridCol w:w="1488"/>
        <w:gridCol w:w="1489"/>
      </w:tblGrid>
      <w:tr w:rsidR="00927125" w:rsidRPr="007115F2" w14:paraId="7ABF1162" w14:textId="77777777" w:rsidTr="0029259E">
        <w:trPr>
          <w:jc w:val="center"/>
        </w:trPr>
        <w:tc>
          <w:tcPr>
            <w:tcW w:w="3119" w:type="dxa"/>
            <w:tcBorders>
              <w:top w:val="single" w:sz="4" w:space="0" w:color="auto"/>
            </w:tcBorders>
            <w:shd w:val="clear" w:color="auto" w:fill="FFFFFF"/>
            <w:tcMar>
              <w:top w:w="0" w:type="dxa"/>
              <w:left w:w="0" w:type="dxa"/>
              <w:bottom w:w="0" w:type="dxa"/>
              <w:right w:w="0" w:type="dxa"/>
            </w:tcMar>
            <w:vAlign w:val="center"/>
          </w:tcPr>
          <w:p w14:paraId="6E74176E" w14:textId="77777777" w:rsidR="00927125" w:rsidRPr="007115F2" w:rsidRDefault="00927125" w:rsidP="007C051A">
            <w:pPr>
              <w:widowControl w:val="0"/>
              <w:autoSpaceDE w:val="0"/>
              <w:autoSpaceDN w:val="0"/>
              <w:adjustRightInd w:val="0"/>
              <w:spacing w:line="240" w:lineRule="auto"/>
              <w:jc w:val="left"/>
              <w:rPr>
                <w:b/>
                <w:bCs/>
                <w:color w:val="000000" w:themeColor="text1"/>
                <w:sz w:val="22"/>
                <w:lang w:val="en-US"/>
              </w:rPr>
            </w:pPr>
          </w:p>
        </w:tc>
        <w:tc>
          <w:tcPr>
            <w:tcW w:w="2977" w:type="dxa"/>
            <w:gridSpan w:val="2"/>
            <w:tcBorders>
              <w:top w:val="single" w:sz="4" w:space="0" w:color="auto"/>
            </w:tcBorders>
            <w:shd w:val="clear" w:color="auto" w:fill="FFFFFF"/>
            <w:tcMar>
              <w:top w:w="0" w:type="dxa"/>
              <w:left w:w="0" w:type="dxa"/>
              <w:bottom w:w="0" w:type="dxa"/>
              <w:right w:w="0" w:type="dxa"/>
            </w:tcMar>
            <w:vAlign w:val="center"/>
          </w:tcPr>
          <w:p w14:paraId="76B3B884" w14:textId="77777777" w:rsidR="00927125" w:rsidRPr="007115F2" w:rsidRDefault="00927125" w:rsidP="007C051A">
            <w:pPr>
              <w:widowControl w:val="0"/>
              <w:autoSpaceDE w:val="0"/>
              <w:autoSpaceDN w:val="0"/>
              <w:adjustRightInd w:val="0"/>
              <w:spacing w:line="240" w:lineRule="auto"/>
              <w:jc w:val="center"/>
              <w:rPr>
                <w:b/>
                <w:bCs/>
                <w:color w:val="000000" w:themeColor="text1"/>
                <w:sz w:val="22"/>
              </w:rPr>
            </w:pPr>
            <w:r w:rsidRPr="007115F2">
              <w:rPr>
                <w:b/>
                <w:bCs/>
                <w:color w:val="000000" w:themeColor="text1"/>
                <w:sz w:val="22"/>
              </w:rPr>
              <w:t>Direct Board Interlocks</w:t>
            </w:r>
          </w:p>
        </w:tc>
        <w:tc>
          <w:tcPr>
            <w:tcW w:w="2976" w:type="dxa"/>
            <w:gridSpan w:val="2"/>
            <w:tcBorders>
              <w:top w:val="single" w:sz="4" w:space="0" w:color="auto"/>
            </w:tcBorders>
            <w:shd w:val="clear" w:color="auto" w:fill="FFFFFF"/>
            <w:tcMar>
              <w:top w:w="0" w:type="dxa"/>
              <w:left w:w="0" w:type="dxa"/>
              <w:bottom w:w="0" w:type="dxa"/>
              <w:right w:w="0" w:type="dxa"/>
            </w:tcMar>
            <w:vAlign w:val="center"/>
          </w:tcPr>
          <w:p w14:paraId="67BA8CF9" w14:textId="77777777" w:rsidR="00927125" w:rsidRPr="007115F2" w:rsidRDefault="00927125" w:rsidP="007C051A">
            <w:pPr>
              <w:widowControl w:val="0"/>
              <w:autoSpaceDE w:val="0"/>
              <w:autoSpaceDN w:val="0"/>
              <w:adjustRightInd w:val="0"/>
              <w:spacing w:line="240" w:lineRule="auto"/>
              <w:jc w:val="center"/>
              <w:rPr>
                <w:b/>
                <w:bCs/>
                <w:color w:val="000000" w:themeColor="text1"/>
                <w:sz w:val="22"/>
              </w:rPr>
            </w:pPr>
            <w:r w:rsidRPr="007115F2">
              <w:rPr>
                <w:b/>
                <w:bCs/>
                <w:color w:val="000000" w:themeColor="text1"/>
                <w:sz w:val="22"/>
              </w:rPr>
              <w:t>Indirect Board Interlocks</w:t>
            </w:r>
          </w:p>
        </w:tc>
      </w:tr>
      <w:tr w:rsidR="00927125" w:rsidRPr="007115F2" w14:paraId="68552B43" w14:textId="77777777" w:rsidTr="001930F6">
        <w:trPr>
          <w:jc w:val="center"/>
        </w:trPr>
        <w:tc>
          <w:tcPr>
            <w:tcW w:w="3119" w:type="dxa"/>
            <w:tcBorders>
              <w:bottom w:val="single" w:sz="4" w:space="0" w:color="auto"/>
            </w:tcBorders>
            <w:shd w:val="clear" w:color="auto" w:fill="FFFFFF"/>
            <w:tcMar>
              <w:top w:w="0" w:type="dxa"/>
              <w:left w:w="0" w:type="dxa"/>
              <w:bottom w:w="0" w:type="dxa"/>
              <w:right w:w="0" w:type="dxa"/>
            </w:tcMar>
            <w:vAlign w:val="center"/>
          </w:tcPr>
          <w:p w14:paraId="0F0AD025" w14:textId="77777777" w:rsidR="00927125" w:rsidRPr="007115F2" w:rsidRDefault="00927125" w:rsidP="007C051A">
            <w:pPr>
              <w:widowControl w:val="0"/>
              <w:autoSpaceDE w:val="0"/>
              <w:autoSpaceDN w:val="0"/>
              <w:adjustRightInd w:val="0"/>
              <w:spacing w:line="240" w:lineRule="auto"/>
              <w:jc w:val="left"/>
              <w:rPr>
                <w:b/>
                <w:bCs/>
                <w:color w:val="000000" w:themeColor="text1"/>
                <w:sz w:val="22"/>
              </w:rPr>
            </w:pPr>
            <w:r w:rsidRPr="007115F2">
              <w:rPr>
                <w:b/>
                <w:bCs/>
                <w:color w:val="000000" w:themeColor="text1"/>
                <w:sz w:val="22"/>
              </w:rPr>
              <w:t>Model</w:t>
            </w:r>
          </w:p>
        </w:tc>
        <w:tc>
          <w:tcPr>
            <w:tcW w:w="1488" w:type="dxa"/>
            <w:tcBorders>
              <w:bottom w:val="single" w:sz="4" w:space="0" w:color="auto"/>
            </w:tcBorders>
            <w:shd w:val="clear" w:color="auto" w:fill="FFFFFF"/>
            <w:tcMar>
              <w:top w:w="0" w:type="dxa"/>
              <w:left w:w="0" w:type="dxa"/>
              <w:bottom w:w="0" w:type="dxa"/>
              <w:right w:w="0" w:type="dxa"/>
            </w:tcMar>
            <w:vAlign w:val="center"/>
          </w:tcPr>
          <w:p w14:paraId="2CDFD284" w14:textId="77777777" w:rsidR="00927125" w:rsidRPr="007115F2" w:rsidRDefault="00927125" w:rsidP="007C051A">
            <w:pPr>
              <w:widowControl w:val="0"/>
              <w:autoSpaceDE w:val="0"/>
              <w:autoSpaceDN w:val="0"/>
              <w:adjustRightInd w:val="0"/>
              <w:spacing w:line="240" w:lineRule="auto"/>
              <w:jc w:val="center"/>
              <w:rPr>
                <w:b/>
                <w:bCs/>
                <w:color w:val="000000" w:themeColor="text1"/>
                <w:sz w:val="22"/>
              </w:rPr>
            </w:pPr>
            <w:r w:rsidRPr="007115F2">
              <w:rPr>
                <w:b/>
                <w:bCs/>
                <w:color w:val="000000" w:themeColor="text1"/>
                <w:sz w:val="22"/>
              </w:rPr>
              <w:t>(5)</w:t>
            </w:r>
          </w:p>
        </w:tc>
        <w:tc>
          <w:tcPr>
            <w:tcW w:w="1488" w:type="dxa"/>
            <w:tcBorders>
              <w:bottom w:val="single" w:sz="4" w:space="0" w:color="auto"/>
            </w:tcBorders>
            <w:shd w:val="clear" w:color="auto" w:fill="FFFFFF"/>
            <w:tcMar>
              <w:top w:w="0" w:type="dxa"/>
              <w:left w:w="0" w:type="dxa"/>
              <w:bottom w:w="0" w:type="dxa"/>
              <w:right w:w="0" w:type="dxa"/>
            </w:tcMar>
            <w:vAlign w:val="center"/>
          </w:tcPr>
          <w:p w14:paraId="219BD8D6" w14:textId="77777777" w:rsidR="00927125" w:rsidRPr="007115F2" w:rsidRDefault="00927125" w:rsidP="007C051A">
            <w:pPr>
              <w:widowControl w:val="0"/>
              <w:autoSpaceDE w:val="0"/>
              <w:autoSpaceDN w:val="0"/>
              <w:adjustRightInd w:val="0"/>
              <w:spacing w:line="240" w:lineRule="auto"/>
              <w:jc w:val="center"/>
              <w:rPr>
                <w:b/>
                <w:bCs/>
                <w:color w:val="000000" w:themeColor="text1"/>
                <w:sz w:val="22"/>
              </w:rPr>
            </w:pPr>
            <w:r w:rsidRPr="007115F2">
              <w:rPr>
                <w:b/>
                <w:bCs/>
                <w:color w:val="000000" w:themeColor="text1"/>
                <w:sz w:val="22"/>
              </w:rPr>
              <w:t>(6)</w:t>
            </w:r>
          </w:p>
        </w:tc>
        <w:tc>
          <w:tcPr>
            <w:tcW w:w="1488" w:type="dxa"/>
            <w:tcBorders>
              <w:bottom w:val="single" w:sz="4" w:space="0" w:color="auto"/>
            </w:tcBorders>
            <w:shd w:val="clear" w:color="auto" w:fill="FFFFFF"/>
            <w:tcMar>
              <w:top w:w="0" w:type="dxa"/>
              <w:left w:w="0" w:type="dxa"/>
              <w:bottom w:w="0" w:type="dxa"/>
              <w:right w:w="0" w:type="dxa"/>
            </w:tcMar>
            <w:vAlign w:val="center"/>
          </w:tcPr>
          <w:p w14:paraId="72DA5D22" w14:textId="77777777" w:rsidR="00927125" w:rsidRPr="007115F2" w:rsidRDefault="00927125" w:rsidP="007C051A">
            <w:pPr>
              <w:widowControl w:val="0"/>
              <w:autoSpaceDE w:val="0"/>
              <w:autoSpaceDN w:val="0"/>
              <w:adjustRightInd w:val="0"/>
              <w:spacing w:line="240" w:lineRule="auto"/>
              <w:jc w:val="center"/>
              <w:rPr>
                <w:b/>
                <w:bCs/>
                <w:color w:val="000000" w:themeColor="text1"/>
                <w:sz w:val="22"/>
              </w:rPr>
            </w:pPr>
            <w:r w:rsidRPr="007115F2">
              <w:rPr>
                <w:b/>
                <w:bCs/>
                <w:color w:val="000000" w:themeColor="text1"/>
                <w:sz w:val="22"/>
              </w:rPr>
              <w:t>(7)</w:t>
            </w:r>
          </w:p>
        </w:tc>
        <w:tc>
          <w:tcPr>
            <w:tcW w:w="1489" w:type="dxa"/>
            <w:tcBorders>
              <w:bottom w:val="single" w:sz="4" w:space="0" w:color="auto"/>
            </w:tcBorders>
            <w:shd w:val="clear" w:color="auto" w:fill="FFFFFF"/>
            <w:tcMar>
              <w:top w:w="0" w:type="dxa"/>
              <w:left w:w="0" w:type="dxa"/>
              <w:bottom w:w="0" w:type="dxa"/>
              <w:right w:w="0" w:type="dxa"/>
            </w:tcMar>
            <w:vAlign w:val="center"/>
          </w:tcPr>
          <w:p w14:paraId="3E33E7EC" w14:textId="77777777" w:rsidR="00927125" w:rsidRPr="007115F2" w:rsidRDefault="00927125" w:rsidP="007C051A">
            <w:pPr>
              <w:widowControl w:val="0"/>
              <w:autoSpaceDE w:val="0"/>
              <w:autoSpaceDN w:val="0"/>
              <w:adjustRightInd w:val="0"/>
              <w:spacing w:line="240" w:lineRule="auto"/>
              <w:jc w:val="center"/>
              <w:rPr>
                <w:b/>
                <w:bCs/>
                <w:color w:val="000000" w:themeColor="text1"/>
                <w:sz w:val="22"/>
              </w:rPr>
            </w:pPr>
            <w:r w:rsidRPr="007115F2">
              <w:rPr>
                <w:b/>
                <w:bCs/>
                <w:color w:val="000000" w:themeColor="text1"/>
                <w:sz w:val="22"/>
              </w:rPr>
              <w:t>(8)</w:t>
            </w:r>
          </w:p>
        </w:tc>
      </w:tr>
      <w:tr w:rsidR="00927125" w:rsidRPr="007115F2" w14:paraId="6800EAAA" w14:textId="77777777" w:rsidTr="001930F6">
        <w:trPr>
          <w:jc w:val="center"/>
        </w:trPr>
        <w:tc>
          <w:tcPr>
            <w:tcW w:w="3119" w:type="dxa"/>
            <w:shd w:val="clear" w:color="auto" w:fill="FFFFFF"/>
            <w:tcMar>
              <w:top w:w="0" w:type="dxa"/>
              <w:left w:w="0" w:type="dxa"/>
              <w:bottom w:w="0" w:type="dxa"/>
              <w:right w:w="0" w:type="dxa"/>
            </w:tcMar>
            <w:vAlign w:val="center"/>
          </w:tcPr>
          <w:p w14:paraId="2669A413" w14:textId="77777777" w:rsidR="00927125" w:rsidRPr="007115F2" w:rsidRDefault="00927125" w:rsidP="007C051A">
            <w:pPr>
              <w:widowControl w:val="0"/>
              <w:autoSpaceDE w:val="0"/>
              <w:autoSpaceDN w:val="0"/>
              <w:adjustRightInd w:val="0"/>
              <w:spacing w:line="240" w:lineRule="auto"/>
              <w:jc w:val="left"/>
              <w:rPr>
                <w:sz w:val="22"/>
              </w:rPr>
            </w:pPr>
            <w:r w:rsidRPr="007115F2">
              <w:rPr>
                <w:sz w:val="22"/>
              </w:rPr>
              <w:t>Direct_BoardInterlocks</w:t>
            </w:r>
          </w:p>
        </w:tc>
        <w:tc>
          <w:tcPr>
            <w:tcW w:w="1488" w:type="dxa"/>
            <w:shd w:val="clear" w:color="auto" w:fill="FFFFFF"/>
            <w:tcMar>
              <w:top w:w="0" w:type="dxa"/>
              <w:left w:w="0" w:type="dxa"/>
              <w:bottom w:w="0" w:type="dxa"/>
              <w:right w:w="0" w:type="dxa"/>
            </w:tcMar>
            <w:vAlign w:val="center"/>
          </w:tcPr>
          <w:p w14:paraId="3DC8349C"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-0.014</w:t>
            </w:r>
          </w:p>
        </w:tc>
        <w:tc>
          <w:tcPr>
            <w:tcW w:w="1488" w:type="dxa"/>
            <w:shd w:val="clear" w:color="auto" w:fill="FFFFFF"/>
            <w:tcMar>
              <w:top w:w="0" w:type="dxa"/>
              <w:left w:w="0" w:type="dxa"/>
              <w:bottom w:w="0" w:type="dxa"/>
              <w:right w:w="0" w:type="dxa"/>
            </w:tcMar>
            <w:vAlign w:val="center"/>
          </w:tcPr>
          <w:p w14:paraId="449717FE"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-0.002</w:t>
            </w:r>
          </w:p>
        </w:tc>
        <w:tc>
          <w:tcPr>
            <w:tcW w:w="1488" w:type="dxa"/>
            <w:shd w:val="clear" w:color="auto" w:fill="FFFFFF"/>
            <w:tcMar>
              <w:top w:w="0" w:type="dxa"/>
              <w:left w:w="0" w:type="dxa"/>
              <w:bottom w:w="0" w:type="dxa"/>
              <w:right w:w="0" w:type="dxa"/>
            </w:tcMar>
            <w:vAlign w:val="center"/>
          </w:tcPr>
          <w:p w14:paraId="73804483" w14:textId="77777777" w:rsidR="00927125" w:rsidRPr="007115F2" w:rsidRDefault="00927125" w:rsidP="007C051A">
            <w:pPr>
              <w:widowControl w:val="0"/>
              <w:autoSpaceDE w:val="0"/>
              <w:autoSpaceDN w:val="0"/>
              <w:adjustRightInd w:val="0"/>
              <w:spacing w:line="240" w:lineRule="auto"/>
              <w:jc w:val="center"/>
              <w:rPr>
                <w:sz w:val="22"/>
              </w:rPr>
            </w:pPr>
          </w:p>
        </w:tc>
        <w:tc>
          <w:tcPr>
            <w:tcW w:w="1489" w:type="dxa"/>
            <w:shd w:val="clear" w:color="auto" w:fill="FFFFFF"/>
            <w:tcMar>
              <w:top w:w="0" w:type="dxa"/>
              <w:left w:w="0" w:type="dxa"/>
              <w:bottom w:w="0" w:type="dxa"/>
              <w:right w:w="0" w:type="dxa"/>
            </w:tcMar>
            <w:vAlign w:val="center"/>
          </w:tcPr>
          <w:p w14:paraId="1AD13C3F" w14:textId="77777777" w:rsidR="00927125" w:rsidRPr="007115F2" w:rsidRDefault="00927125" w:rsidP="007C051A">
            <w:pPr>
              <w:widowControl w:val="0"/>
              <w:autoSpaceDE w:val="0"/>
              <w:autoSpaceDN w:val="0"/>
              <w:adjustRightInd w:val="0"/>
              <w:spacing w:line="240" w:lineRule="auto"/>
              <w:jc w:val="center"/>
              <w:rPr>
                <w:sz w:val="22"/>
              </w:rPr>
            </w:pPr>
          </w:p>
        </w:tc>
      </w:tr>
      <w:tr w:rsidR="00927125" w:rsidRPr="007115F2" w14:paraId="095E0598" w14:textId="77777777" w:rsidTr="001930F6">
        <w:trPr>
          <w:jc w:val="center"/>
        </w:trPr>
        <w:tc>
          <w:tcPr>
            <w:tcW w:w="3119" w:type="dxa"/>
            <w:shd w:val="clear" w:color="auto" w:fill="FFFFFF"/>
            <w:tcMar>
              <w:top w:w="0" w:type="dxa"/>
              <w:left w:w="0" w:type="dxa"/>
              <w:bottom w:w="0" w:type="dxa"/>
              <w:right w:w="0" w:type="dxa"/>
            </w:tcMar>
            <w:vAlign w:val="center"/>
          </w:tcPr>
          <w:p w14:paraId="06377B4A"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shd w:val="clear" w:color="auto" w:fill="FFFFFF"/>
            <w:tcMar>
              <w:top w:w="0" w:type="dxa"/>
              <w:left w:w="0" w:type="dxa"/>
              <w:bottom w:w="0" w:type="dxa"/>
              <w:right w:w="0" w:type="dxa"/>
            </w:tcMar>
            <w:vAlign w:val="center"/>
          </w:tcPr>
          <w:p w14:paraId="19817F35"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(0.008)</w:t>
            </w:r>
          </w:p>
        </w:tc>
        <w:tc>
          <w:tcPr>
            <w:tcW w:w="1488" w:type="dxa"/>
            <w:shd w:val="clear" w:color="auto" w:fill="FFFFFF"/>
            <w:tcMar>
              <w:top w:w="0" w:type="dxa"/>
              <w:left w:w="0" w:type="dxa"/>
              <w:bottom w:w="0" w:type="dxa"/>
              <w:right w:w="0" w:type="dxa"/>
            </w:tcMar>
            <w:vAlign w:val="center"/>
          </w:tcPr>
          <w:p w14:paraId="17F9C602"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(0.007)</w:t>
            </w:r>
          </w:p>
        </w:tc>
        <w:tc>
          <w:tcPr>
            <w:tcW w:w="1488" w:type="dxa"/>
            <w:shd w:val="clear" w:color="auto" w:fill="FFFFFF"/>
            <w:tcMar>
              <w:top w:w="0" w:type="dxa"/>
              <w:left w:w="0" w:type="dxa"/>
              <w:bottom w:w="0" w:type="dxa"/>
              <w:right w:w="0" w:type="dxa"/>
            </w:tcMar>
            <w:vAlign w:val="center"/>
          </w:tcPr>
          <w:p w14:paraId="642E0594" w14:textId="77777777" w:rsidR="00927125" w:rsidRPr="007115F2" w:rsidRDefault="00927125" w:rsidP="007C051A">
            <w:pPr>
              <w:widowControl w:val="0"/>
              <w:autoSpaceDE w:val="0"/>
              <w:autoSpaceDN w:val="0"/>
              <w:adjustRightInd w:val="0"/>
              <w:spacing w:line="240" w:lineRule="auto"/>
              <w:jc w:val="center"/>
              <w:rPr>
                <w:sz w:val="22"/>
              </w:rPr>
            </w:pPr>
          </w:p>
        </w:tc>
        <w:tc>
          <w:tcPr>
            <w:tcW w:w="1489" w:type="dxa"/>
            <w:shd w:val="clear" w:color="auto" w:fill="FFFFFF"/>
            <w:tcMar>
              <w:top w:w="0" w:type="dxa"/>
              <w:left w:w="0" w:type="dxa"/>
              <w:bottom w:w="0" w:type="dxa"/>
              <w:right w:w="0" w:type="dxa"/>
            </w:tcMar>
            <w:vAlign w:val="center"/>
          </w:tcPr>
          <w:p w14:paraId="5498EA36" w14:textId="77777777" w:rsidR="00927125" w:rsidRPr="007115F2" w:rsidRDefault="00927125" w:rsidP="007C051A">
            <w:pPr>
              <w:widowControl w:val="0"/>
              <w:autoSpaceDE w:val="0"/>
              <w:autoSpaceDN w:val="0"/>
              <w:adjustRightInd w:val="0"/>
              <w:spacing w:line="240" w:lineRule="auto"/>
              <w:jc w:val="center"/>
              <w:rPr>
                <w:sz w:val="22"/>
              </w:rPr>
            </w:pPr>
          </w:p>
        </w:tc>
      </w:tr>
      <w:tr w:rsidR="00927125" w:rsidRPr="007115F2" w14:paraId="0081D455" w14:textId="77777777" w:rsidTr="001930F6">
        <w:trPr>
          <w:jc w:val="center"/>
        </w:trPr>
        <w:tc>
          <w:tcPr>
            <w:tcW w:w="3119" w:type="dxa"/>
            <w:shd w:val="clear" w:color="auto" w:fill="FFFFFF"/>
            <w:tcMar>
              <w:top w:w="0" w:type="dxa"/>
              <w:left w:w="0" w:type="dxa"/>
              <w:bottom w:w="0" w:type="dxa"/>
              <w:right w:w="0" w:type="dxa"/>
            </w:tcMar>
            <w:vAlign w:val="center"/>
          </w:tcPr>
          <w:p w14:paraId="770941E0"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shd w:val="clear" w:color="auto" w:fill="FFFFFF"/>
            <w:tcMar>
              <w:top w:w="0" w:type="dxa"/>
              <w:left w:w="0" w:type="dxa"/>
              <w:bottom w:w="0" w:type="dxa"/>
              <w:right w:w="0" w:type="dxa"/>
            </w:tcMar>
            <w:vAlign w:val="center"/>
          </w:tcPr>
          <w:p w14:paraId="39312E47"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[0.099]</w:t>
            </w:r>
          </w:p>
        </w:tc>
        <w:tc>
          <w:tcPr>
            <w:tcW w:w="1488" w:type="dxa"/>
            <w:shd w:val="clear" w:color="auto" w:fill="FFFFFF"/>
            <w:tcMar>
              <w:top w:w="0" w:type="dxa"/>
              <w:left w:w="0" w:type="dxa"/>
              <w:bottom w:w="0" w:type="dxa"/>
              <w:right w:w="0" w:type="dxa"/>
            </w:tcMar>
            <w:vAlign w:val="center"/>
          </w:tcPr>
          <w:p w14:paraId="2EC93608"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[0.227]</w:t>
            </w:r>
          </w:p>
        </w:tc>
        <w:tc>
          <w:tcPr>
            <w:tcW w:w="1488" w:type="dxa"/>
            <w:shd w:val="clear" w:color="auto" w:fill="FFFFFF"/>
            <w:tcMar>
              <w:top w:w="0" w:type="dxa"/>
              <w:left w:w="0" w:type="dxa"/>
              <w:bottom w:w="0" w:type="dxa"/>
              <w:right w:w="0" w:type="dxa"/>
            </w:tcMar>
            <w:vAlign w:val="center"/>
          </w:tcPr>
          <w:p w14:paraId="782A9B62" w14:textId="77777777" w:rsidR="00927125" w:rsidRPr="007115F2" w:rsidRDefault="00927125" w:rsidP="007C051A">
            <w:pPr>
              <w:widowControl w:val="0"/>
              <w:autoSpaceDE w:val="0"/>
              <w:autoSpaceDN w:val="0"/>
              <w:adjustRightInd w:val="0"/>
              <w:spacing w:line="240" w:lineRule="auto"/>
              <w:jc w:val="center"/>
              <w:rPr>
                <w:sz w:val="22"/>
              </w:rPr>
            </w:pPr>
          </w:p>
        </w:tc>
        <w:tc>
          <w:tcPr>
            <w:tcW w:w="1489" w:type="dxa"/>
            <w:shd w:val="clear" w:color="auto" w:fill="FFFFFF"/>
            <w:tcMar>
              <w:top w:w="0" w:type="dxa"/>
              <w:left w:w="0" w:type="dxa"/>
              <w:bottom w:w="0" w:type="dxa"/>
              <w:right w:w="0" w:type="dxa"/>
            </w:tcMar>
            <w:vAlign w:val="center"/>
          </w:tcPr>
          <w:p w14:paraId="1597ED93" w14:textId="77777777" w:rsidR="00927125" w:rsidRPr="007115F2" w:rsidRDefault="00927125" w:rsidP="007C051A">
            <w:pPr>
              <w:widowControl w:val="0"/>
              <w:autoSpaceDE w:val="0"/>
              <w:autoSpaceDN w:val="0"/>
              <w:adjustRightInd w:val="0"/>
              <w:spacing w:line="240" w:lineRule="auto"/>
              <w:jc w:val="center"/>
              <w:rPr>
                <w:sz w:val="22"/>
              </w:rPr>
            </w:pPr>
          </w:p>
        </w:tc>
      </w:tr>
      <w:tr w:rsidR="00927125" w:rsidRPr="007115F2" w14:paraId="314B214F" w14:textId="77777777" w:rsidTr="001930F6">
        <w:trPr>
          <w:jc w:val="center"/>
        </w:trPr>
        <w:tc>
          <w:tcPr>
            <w:tcW w:w="3119" w:type="dxa"/>
            <w:shd w:val="clear" w:color="auto" w:fill="FFFFFF"/>
            <w:tcMar>
              <w:top w:w="0" w:type="dxa"/>
              <w:left w:w="0" w:type="dxa"/>
              <w:bottom w:w="0" w:type="dxa"/>
              <w:right w:w="0" w:type="dxa"/>
            </w:tcMar>
            <w:vAlign w:val="center"/>
          </w:tcPr>
          <w:p w14:paraId="0FBB6FA3" w14:textId="77777777" w:rsidR="00927125" w:rsidRPr="007115F2" w:rsidRDefault="00927125" w:rsidP="007C051A">
            <w:pPr>
              <w:widowControl w:val="0"/>
              <w:autoSpaceDE w:val="0"/>
              <w:autoSpaceDN w:val="0"/>
              <w:adjustRightInd w:val="0"/>
              <w:spacing w:line="240" w:lineRule="auto"/>
              <w:jc w:val="left"/>
              <w:rPr>
                <w:sz w:val="22"/>
              </w:rPr>
            </w:pPr>
            <w:r w:rsidRPr="007115F2">
              <w:rPr>
                <w:sz w:val="22"/>
              </w:rPr>
              <w:t>Indirect_BoardInterlocks</w:t>
            </w:r>
          </w:p>
        </w:tc>
        <w:tc>
          <w:tcPr>
            <w:tcW w:w="1488" w:type="dxa"/>
            <w:shd w:val="clear" w:color="auto" w:fill="FFFFFF"/>
            <w:tcMar>
              <w:top w:w="0" w:type="dxa"/>
              <w:left w:w="0" w:type="dxa"/>
              <w:bottom w:w="0" w:type="dxa"/>
              <w:right w:w="0" w:type="dxa"/>
            </w:tcMar>
            <w:vAlign w:val="center"/>
          </w:tcPr>
          <w:p w14:paraId="24B680E2" w14:textId="77777777" w:rsidR="00927125" w:rsidRPr="007115F2" w:rsidRDefault="00927125" w:rsidP="007C051A">
            <w:pPr>
              <w:widowControl w:val="0"/>
              <w:autoSpaceDE w:val="0"/>
              <w:autoSpaceDN w:val="0"/>
              <w:adjustRightInd w:val="0"/>
              <w:spacing w:line="240" w:lineRule="auto"/>
              <w:jc w:val="center"/>
              <w:rPr>
                <w:sz w:val="22"/>
              </w:rPr>
            </w:pPr>
          </w:p>
        </w:tc>
        <w:tc>
          <w:tcPr>
            <w:tcW w:w="1488" w:type="dxa"/>
            <w:shd w:val="clear" w:color="auto" w:fill="FFFFFF"/>
            <w:tcMar>
              <w:top w:w="0" w:type="dxa"/>
              <w:left w:w="0" w:type="dxa"/>
              <w:bottom w:w="0" w:type="dxa"/>
              <w:right w:w="0" w:type="dxa"/>
            </w:tcMar>
            <w:vAlign w:val="center"/>
          </w:tcPr>
          <w:p w14:paraId="087B13B7" w14:textId="77777777" w:rsidR="00927125" w:rsidRPr="007115F2" w:rsidRDefault="00927125" w:rsidP="007C051A">
            <w:pPr>
              <w:widowControl w:val="0"/>
              <w:autoSpaceDE w:val="0"/>
              <w:autoSpaceDN w:val="0"/>
              <w:adjustRightInd w:val="0"/>
              <w:spacing w:line="240" w:lineRule="auto"/>
              <w:jc w:val="center"/>
              <w:rPr>
                <w:sz w:val="22"/>
              </w:rPr>
            </w:pPr>
          </w:p>
        </w:tc>
        <w:tc>
          <w:tcPr>
            <w:tcW w:w="1488" w:type="dxa"/>
            <w:shd w:val="clear" w:color="auto" w:fill="FFFFFF"/>
            <w:tcMar>
              <w:top w:w="0" w:type="dxa"/>
              <w:left w:w="0" w:type="dxa"/>
              <w:bottom w:w="0" w:type="dxa"/>
              <w:right w:w="0" w:type="dxa"/>
            </w:tcMar>
            <w:vAlign w:val="center"/>
          </w:tcPr>
          <w:p w14:paraId="74B018C0"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0.001</w:t>
            </w:r>
          </w:p>
        </w:tc>
        <w:tc>
          <w:tcPr>
            <w:tcW w:w="1489" w:type="dxa"/>
            <w:shd w:val="clear" w:color="auto" w:fill="FFFFFF"/>
            <w:tcMar>
              <w:top w:w="0" w:type="dxa"/>
              <w:left w:w="0" w:type="dxa"/>
              <w:bottom w:w="0" w:type="dxa"/>
              <w:right w:w="0" w:type="dxa"/>
            </w:tcMar>
            <w:vAlign w:val="center"/>
          </w:tcPr>
          <w:p w14:paraId="22B267F7"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r>
      <w:tr w:rsidR="00927125" w:rsidRPr="007115F2" w14:paraId="44846D91" w14:textId="77777777" w:rsidTr="001930F6">
        <w:trPr>
          <w:jc w:val="center"/>
        </w:trPr>
        <w:tc>
          <w:tcPr>
            <w:tcW w:w="3119" w:type="dxa"/>
            <w:shd w:val="clear" w:color="auto" w:fill="FFFFFF"/>
            <w:tcMar>
              <w:top w:w="0" w:type="dxa"/>
              <w:left w:w="0" w:type="dxa"/>
              <w:bottom w:w="0" w:type="dxa"/>
              <w:right w:w="0" w:type="dxa"/>
            </w:tcMar>
            <w:vAlign w:val="center"/>
          </w:tcPr>
          <w:p w14:paraId="2A499E7B"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shd w:val="clear" w:color="auto" w:fill="FFFFFF"/>
            <w:tcMar>
              <w:top w:w="0" w:type="dxa"/>
              <w:left w:w="0" w:type="dxa"/>
              <w:bottom w:w="0" w:type="dxa"/>
              <w:right w:w="0" w:type="dxa"/>
            </w:tcMar>
            <w:vAlign w:val="center"/>
          </w:tcPr>
          <w:p w14:paraId="655192CC" w14:textId="77777777" w:rsidR="00927125" w:rsidRPr="007115F2" w:rsidRDefault="00927125" w:rsidP="007C051A">
            <w:pPr>
              <w:widowControl w:val="0"/>
              <w:autoSpaceDE w:val="0"/>
              <w:autoSpaceDN w:val="0"/>
              <w:adjustRightInd w:val="0"/>
              <w:spacing w:line="240" w:lineRule="auto"/>
              <w:jc w:val="center"/>
              <w:rPr>
                <w:sz w:val="22"/>
              </w:rPr>
            </w:pPr>
          </w:p>
        </w:tc>
        <w:tc>
          <w:tcPr>
            <w:tcW w:w="1488" w:type="dxa"/>
            <w:shd w:val="clear" w:color="auto" w:fill="FFFFFF"/>
            <w:tcMar>
              <w:top w:w="0" w:type="dxa"/>
              <w:left w:w="0" w:type="dxa"/>
              <w:bottom w:w="0" w:type="dxa"/>
              <w:right w:w="0" w:type="dxa"/>
            </w:tcMar>
            <w:vAlign w:val="center"/>
          </w:tcPr>
          <w:p w14:paraId="05798C35" w14:textId="77777777" w:rsidR="00927125" w:rsidRPr="007115F2" w:rsidRDefault="00927125" w:rsidP="007C051A">
            <w:pPr>
              <w:widowControl w:val="0"/>
              <w:autoSpaceDE w:val="0"/>
              <w:autoSpaceDN w:val="0"/>
              <w:adjustRightInd w:val="0"/>
              <w:spacing w:line="240" w:lineRule="auto"/>
              <w:jc w:val="center"/>
              <w:rPr>
                <w:sz w:val="22"/>
              </w:rPr>
            </w:pPr>
          </w:p>
        </w:tc>
        <w:tc>
          <w:tcPr>
            <w:tcW w:w="1488" w:type="dxa"/>
            <w:shd w:val="clear" w:color="auto" w:fill="FFFFFF"/>
            <w:tcMar>
              <w:top w:w="0" w:type="dxa"/>
              <w:left w:w="0" w:type="dxa"/>
              <w:bottom w:w="0" w:type="dxa"/>
              <w:right w:w="0" w:type="dxa"/>
            </w:tcMar>
            <w:vAlign w:val="center"/>
          </w:tcPr>
          <w:p w14:paraId="2304768B"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(0.004)</w:t>
            </w:r>
          </w:p>
        </w:tc>
        <w:tc>
          <w:tcPr>
            <w:tcW w:w="1489" w:type="dxa"/>
            <w:shd w:val="clear" w:color="auto" w:fill="FFFFFF"/>
            <w:tcMar>
              <w:top w:w="0" w:type="dxa"/>
              <w:left w:w="0" w:type="dxa"/>
              <w:bottom w:w="0" w:type="dxa"/>
              <w:right w:w="0" w:type="dxa"/>
            </w:tcMar>
            <w:vAlign w:val="center"/>
          </w:tcPr>
          <w:p w14:paraId="7D446931"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(0.004)</w:t>
            </w:r>
          </w:p>
        </w:tc>
      </w:tr>
      <w:tr w:rsidR="00927125" w:rsidRPr="007115F2" w14:paraId="6BD31A52" w14:textId="77777777" w:rsidTr="001930F6">
        <w:trPr>
          <w:jc w:val="center"/>
        </w:trPr>
        <w:tc>
          <w:tcPr>
            <w:tcW w:w="3119" w:type="dxa"/>
            <w:shd w:val="clear" w:color="auto" w:fill="FFFFFF"/>
            <w:tcMar>
              <w:top w:w="0" w:type="dxa"/>
              <w:left w:w="0" w:type="dxa"/>
              <w:bottom w:w="0" w:type="dxa"/>
              <w:right w:w="0" w:type="dxa"/>
            </w:tcMar>
            <w:vAlign w:val="center"/>
          </w:tcPr>
          <w:p w14:paraId="276C3BC1"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shd w:val="clear" w:color="auto" w:fill="FFFFFF"/>
            <w:tcMar>
              <w:top w:w="0" w:type="dxa"/>
              <w:left w:w="0" w:type="dxa"/>
              <w:bottom w:w="0" w:type="dxa"/>
              <w:right w:w="0" w:type="dxa"/>
            </w:tcMar>
            <w:vAlign w:val="center"/>
          </w:tcPr>
          <w:p w14:paraId="7E3D1A0D" w14:textId="77777777" w:rsidR="00927125" w:rsidRPr="007115F2" w:rsidRDefault="00927125" w:rsidP="007C051A">
            <w:pPr>
              <w:widowControl w:val="0"/>
              <w:autoSpaceDE w:val="0"/>
              <w:autoSpaceDN w:val="0"/>
              <w:adjustRightInd w:val="0"/>
              <w:spacing w:line="240" w:lineRule="auto"/>
              <w:jc w:val="center"/>
              <w:rPr>
                <w:sz w:val="22"/>
              </w:rPr>
            </w:pPr>
          </w:p>
        </w:tc>
        <w:tc>
          <w:tcPr>
            <w:tcW w:w="1488" w:type="dxa"/>
            <w:shd w:val="clear" w:color="auto" w:fill="FFFFFF"/>
            <w:tcMar>
              <w:top w:w="0" w:type="dxa"/>
              <w:left w:w="0" w:type="dxa"/>
              <w:bottom w:w="0" w:type="dxa"/>
              <w:right w:w="0" w:type="dxa"/>
            </w:tcMar>
            <w:vAlign w:val="center"/>
          </w:tcPr>
          <w:p w14:paraId="091D54BE" w14:textId="77777777" w:rsidR="00927125" w:rsidRPr="007115F2" w:rsidRDefault="00927125" w:rsidP="007C051A">
            <w:pPr>
              <w:widowControl w:val="0"/>
              <w:autoSpaceDE w:val="0"/>
              <w:autoSpaceDN w:val="0"/>
              <w:adjustRightInd w:val="0"/>
              <w:spacing w:line="240" w:lineRule="auto"/>
              <w:jc w:val="center"/>
              <w:rPr>
                <w:sz w:val="22"/>
              </w:rPr>
            </w:pPr>
          </w:p>
        </w:tc>
        <w:tc>
          <w:tcPr>
            <w:tcW w:w="1488" w:type="dxa"/>
            <w:shd w:val="clear" w:color="auto" w:fill="FFFFFF"/>
            <w:tcMar>
              <w:top w:w="0" w:type="dxa"/>
              <w:left w:w="0" w:type="dxa"/>
              <w:bottom w:w="0" w:type="dxa"/>
              <w:right w:w="0" w:type="dxa"/>
            </w:tcMar>
            <w:vAlign w:val="center"/>
          </w:tcPr>
          <w:p w14:paraId="4548C5C7"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[0.247]</w:t>
            </w:r>
          </w:p>
        </w:tc>
        <w:tc>
          <w:tcPr>
            <w:tcW w:w="1489" w:type="dxa"/>
            <w:shd w:val="clear" w:color="auto" w:fill="FFFFFF"/>
            <w:tcMar>
              <w:top w:w="0" w:type="dxa"/>
              <w:left w:w="0" w:type="dxa"/>
              <w:bottom w:w="0" w:type="dxa"/>
              <w:right w:w="0" w:type="dxa"/>
            </w:tcMar>
            <w:vAlign w:val="center"/>
          </w:tcPr>
          <w:p w14:paraId="13D84B72"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[0.923]</w:t>
            </w:r>
          </w:p>
        </w:tc>
      </w:tr>
      <w:tr w:rsidR="00927125" w:rsidRPr="007115F2" w14:paraId="393CB382" w14:textId="77777777" w:rsidTr="001930F6">
        <w:trPr>
          <w:jc w:val="center"/>
        </w:trPr>
        <w:tc>
          <w:tcPr>
            <w:tcW w:w="3119" w:type="dxa"/>
            <w:shd w:val="clear" w:color="auto" w:fill="FFFFFF"/>
            <w:tcMar>
              <w:top w:w="0" w:type="dxa"/>
              <w:left w:w="0" w:type="dxa"/>
              <w:bottom w:w="0" w:type="dxa"/>
              <w:right w:w="0" w:type="dxa"/>
            </w:tcMar>
            <w:vAlign w:val="center"/>
          </w:tcPr>
          <w:p w14:paraId="1CA5A7B0" w14:textId="77777777" w:rsidR="00927125" w:rsidRPr="007115F2" w:rsidRDefault="00927125" w:rsidP="007C051A">
            <w:pPr>
              <w:widowControl w:val="0"/>
              <w:autoSpaceDE w:val="0"/>
              <w:autoSpaceDN w:val="0"/>
              <w:adjustRightInd w:val="0"/>
              <w:spacing w:line="240" w:lineRule="auto"/>
              <w:jc w:val="left"/>
              <w:rPr>
                <w:sz w:val="22"/>
              </w:rPr>
            </w:pPr>
            <w:r w:rsidRPr="007115F2">
              <w:rPr>
                <w:sz w:val="22"/>
              </w:rPr>
              <w:t>Relative_BoardPower</w:t>
            </w:r>
          </w:p>
        </w:tc>
        <w:tc>
          <w:tcPr>
            <w:tcW w:w="1488" w:type="dxa"/>
            <w:shd w:val="clear" w:color="auto" w:fill="FFFFFF"/>
            <w:tcMar>
              <w:top w:w="0" w:type="dxa"/>
              <w:left w:w="0" w:type="dxa"/>
              <w:bottom w:w="0" w:type="dxa"/>
              <w:right w:w="0" w:type="dxa"/>
            </w:tcMar>
            <w:vAlign w:val="center"/>
          </w:tcPr>
          <w:p w14:paraId="1A1ED3FF"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0.001</w:t>
            </w:r>
          </w:p>
        </w:tc>
        <w:tc>
          <w:tcPr>
            <w:tcW w:w="1488" w:type="dxa"/>
            <w:shd w:val="clear" w:color="auto" w:fill="FFFFFF"/>
            <w:tcMar>
              <w:top w:w="0" w:type="dxa"/>
              <w:left w:w="0" w:type="dxa"/>
              <w:bottom w:w="0" w:type="dxa"/>
              <w:right w:w="0" w:type="dxa"/>
            </w:tcMar>
            <w:vAlign w:val="center"/>
          </w:tcPr>
          <w:p w14:paraId="2BB794EF" w14:textId="77777777" w:rsidR="00927125" w:rsidRPr="007115F2" w:rsidRDefault="00927125" w:rsidP="007C051A">
            <w:pPr>
              <w:widowControl w:val="0"/>
              <w:autoSpaceDE w:val="0"/>
              <w:autoSpaceDN w:val="0"/>
              <w:adjustRightInd w:val="0"/>
              <w:spacing w:line="240" w:lineRule="auto"/>
              <w:jc w:val="center"/>
              <w:rPr>
                <w:sz w:val="22"/>
              </w:rPr>
            </w:pPr>
          </w:p>
        </w:tc>
        <w:tc>
          <w:tcPr>
            <w:tcW w:w="1488" w:type="dxa"/>
            <w:shd w:val="clear" w:color="auto" w:fill="FFFFFF"/>
            <w:tcMar>
              <w:top w:w="0" w:type="dxa"/>
              <w:left w:w="0" w:type="dxa"/>
              <w:bottom w:w="0" w:type="dxa"/>
              <w:right w:w="0" w:type="dxa"/>
            </w:tcMar>
            <w:vAlign w:val="center"/>
          </w:tcPr>
          <w:p w14:paraId="3CD9709D"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0.001</w:t>
            </w:r>
          </w:p>
        </w:tc>
        <w:tc>
          <w:tcPr>
            <w:tcW w:w="1489" w:type="dxa"/>
            <w:shd w:val="clear" w:color="auto" w:fill="FFFFFF"/>
            <w:tcMar>
              <w:top w:w="0" w:type="dxa"/>
              <w:left w:w="0" w:type="dxa"/>
              <w:bottom w:w="0" w:type="dxa"/>
              <w:right w:w="0" w:type="dxa"/>
            </w:tcMar>
            <w:vAlign w:val="center"/>
          </w:tcPr>
          <w:p w14:paraId="7CC1FE10" w14:textId="77777777" w:rsidR="00927125" w:rsidRPr="007115F2" w:rsidRDefault="00927125" w:rsidP="007C051A">
            <w:pPr>
              <w:widowControl w:val="0"/>
              <w:autoSpaceDE w:val="0"/>
              <w:autoSpaceDN w:val="0"/>
              <w:adjustRightInd w:val="0"/>
              <w:spacing w:line="240" w:lineRule="auto"/>
              <w:jc w:val="center"/>
              <w:rPr>
                <w:sz w:val="22"/>
              </w:rPr>
            </w:pPr>
          </w:p>
        </w:tc>
      </w:tr>
      <w:tr w:rsidR="00927125" w:rsidRPr="007115F2" w14:paraId="791866FC" w14:textId="77777777" w:rsidTr="001930F6">
        <w:trPr>
          <w:jc w:val="center"/>
        </w:trPr>
        <w:tc>
          <w:tcPr>
            <w:tcW w:w="3119" w:type="dxa"/>
            <w:shd w:val="clear" w:color="auto" w:fill="FFFFFF"/>
            <w:tcMar>
              <w:top w:w="0" w:type="dxa"/>
              <w:left w:w="0" w:type="dxa"/>
              <w:bottom w:w="0" w:type="dxa"/>
              <w:right w:w="0" w:type="dxa"/>
            </w:tcMar>
            <w:vAlign w:val="center"/>
          </w:tcPr>
          <w:p w14:paraId="68BF5A44"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shd w:val="clear" w:color="auto" w:fill="FFFFFF"/>
            <w:tcMar>
              <w:top w:w="0" w:type="dxa"/>
              <w:left w:w="0" w:type="dxa"/>
              <w:bottom w:w="0" w:type="dxa"/>
              <w:right w:w="0" w:type="dxa"/>
            </w:tcMar>
            <w:vAlign w:val="center"/>
          </w:tcPr>
          <w:p w14:paraId="0FF6CCF4"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8" w:type="dxa"/>
            <w:shd w:val="clear" w:color="auto" w:fill="FFFFFF"/>
            <w:tcMar>
              <w:top w:w="0" w:type="dxa"/>
              <w:left w:w="0" w:type="dxa"/>
              <w:bottom w:w="0" w:type="dxa"/>
              <w:right w:w="0" w:type="dxa"/>
            </w:tcMar>
            <w:vAlign w:val="center"/>
          </w:tcPr>
          <w:p w14:paraId="0A2175D9" w14:textId="77777777" w:rsidR="00927125" w:rsidRPr="007115F2" w:rsidRDefault="00927125" w:rsidP="007C051A">
            <w:pPr>
              <w:widowControl w:val="0"/>
              <w:autoSpaceDE w:val="0"/>
              <w:autoSpaceDN w:val="0"/>
              <w:adjustRightInd w:val="0"/>
              <w:spacing w:line="240" w:lineRule="auto"/>
              <w:jc w:val="center"/>
              <w:rPr>
                <w:sz w:val="22"/>
              </w:rPr>
            </w:pPr>
          </w:p>
        </w:tc>
        <w:tc>
          <w:tcPr>
            <w:tcW w:w="1488" w:type="dxa"/>
            <w:shd w:val="clear" w:color="auto" w:fill="FFFFFF"/>
            <w:tcMar>
              <w:top w:w="0" w:type="dxa"/>
              <w:left w:w="0" w:type="dxa"/>
              <w:bottom w:w="0" w:type="dxa"/>
              <w:right w:w="0" w:type="dxa"/>
            </w:tcMar>
            <w:vAlign w:val="center"/>
          </w:tcPr>
          <w:p w14:paraId="40B2CB11"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9" w:type="dxa"/>
            <w:shd w:val="clear" w:color="auto" w:fill="FFFFFF"/>
            <w:tcMar>
              <w:top w:w="0" w:type="dxa"/>
              <w:left w:w="0" w:type="dxa"/>
              <w:bottom w:w="0" w:type="dxa"/>
              <w:right w:w="0" w:type="dxa"/>
            </w:tcMar>
            <w:vAlign w:val="center"/>
          </w:tcPr>
          <w:p w14:paraId="26251EB9" w14:textId="77777777" w:rsidR="00927125" w:rsidRPr="007115F2" w:rsidRDefault="00927125" w:rsidP="007C051A">
            <w:pPr>
              <w:widowControl w:val="0"/>
              <w:autoSpaceDE w:val="0"/>
              <w:autoSpaceDN w:val="0"/>
              <w:adjustRightInd w:val="0"/>
              <w:spacing w:line="240" w:lineRule="auto"/>
              <w:jc w:val="center"/>
              <w:rPr>
                <w:sz w:val="22"/>
              </w:rPr>
            </w:pPr>
          </w:p>
        </w:tc>
      </w:tr>
      <w:tr w:rsidR="00927125" w:rsidRPr="007115F2" w14:paraId="7CE48C8F" w14:textId="77777777" w:rsidTr="001930F6">
        <w:trPr>
          <w:jc w:val="center"/>
        </w:trPr>
        <w:tc>
          <w:tcPr>
            <w:tcW w:w="3119" w:type="dxa"/>
            <w:shd w:val="clear" w:color="auto" w:fill="FFFFFF"/>
            <w:tcMar>
              <w:top w:w="0" w:type="dxa"/>
              <w:left w:w="0" w:type="dxa"/>
              <w:bottom w:w="0" w:type="dxa"/>
              <w:right w:w="0" w:type="dxa"/>
            </w:tcMar>
            <w:vAlign w:val="center"/>
          </w:tcPr>
          <w:p w14:paraId="3833D233"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shd w:val="clear" w:color="auto" w:fill="FFFFFF"/>
            <w:tcMar>
              <w:top w:w="0" w:type="dxa"/>
              <w:left w:w="0" w:type="dxa"/>
              <w:bottom w:w="0" w:type="dxa"/>
              <w:right w:w="0" w:type="dxa"/>
            </w:tcMar>
            <w:vAlign w:val="center"/>
          </w:tcPr>
          <w:p w14:paraId="3713C3B9"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[0.056]</w:t>
            </w:r>
          </w:p>
        </w:tc>
        <w:tc>
          <w:tcPr>
            <w:tcW w:w="1488" w:type="dxa"/>
            <w:shd w:val="clear" w:color="auto" w:fill="FFFFFF"/>
            <w:tcMar>
              <w:top w:w="0" w:type="dxa"/>
              <w:left w:w="0" w:type="dxa"/>
              <w:bottom w:w="0" w:type="dxa"/>
              <w:right w:w="0" w:type="dxa"/>
            </w:tcMar>
            <w:vAlign w:val="center"/>
          </w:tcPr>
          <w:p w14:paraId="0C4857D8" w14:textId="77777777" w:rsidR="00927125" w:rsidRPr="007115F2" w:rsidRDefault="00927125" w:rsidP="007C051A">
            <w:pPr>
              <w:widowControl w:val="0"/>
              <w:autoSpaceDE w:val="0"/>
              <w:autoSpaceDN w:val="0"/>
              <w:adjustRightInd w:val="0"/>
              <w:spacing w:line="240" w:lineRule="auto"/>
              <w:jc w:val="center"/>
              <w:rPr>
                <w:sz w:val="22"/>
              </w:rPr>
            </w:pPr>
          </w:p>
        </w:tc>
        <w:tc>
          <w:tcPr>
            <w:tcW w:w="1488" w:type="dxa"/>
            <w:shd w:val="clear" w:color="auto" w:fill="FFFFFF"/>
            <w:tcMar>
              <w:top w:w="0" w:type="dxa"/>
              <w:left w:w="0" w:type="dxa"/>
              <w:bottom w:w="0" w:type="dxa"/>
              <w:right w:w="0" w:type="dxa"/>
            </w:tcMar>
            <w:vAlign w:val="center"/>
          </w:tcPr>
          <w:p w14:paraId="4E5E9F75"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[0.042]</w:t>
            </w:r>
          </w:p>
        </w:tc>
        <w:tc>
          <w:tcPr>
            <w:tcW w:w="1489" w:type="dxa"/>
            <w:shd w:val="clear" w:color="auto" w:fill="FFFFFF"/>
            <w:tcMar>
              <w:top w:w="0" w:type="dxa"/>
              <w:left w:w="0" w:type="dxa"/>
              <w:bottom w:w="0" w:type="dxa"/>
              <w:right w:w="0" w:type="dxa"/>
            </w:tcMar>
            <w:vAlign w:val="center"/>
          </w:tcPr>
          <w:p w14:paraId="1F1828DE" w14:textId="77777777" w:rsidR="00927125" w:rsidRPr="007115F2" w:rsidRDefault="00927125" w:rsidP="007C051A">
            <w:pPr>
              <w:widowControl w:val="0"/>
              <w:autoSpaceDE w:val="0"/>
              <w:autoSpaceDN w:val="0"/>
              <w:adjustRightInd w:val="0"/>
              <w:spacing w:line="240" w:lineRule="auto"/>
              <w:jc w:val="center"/>
              <w:rPr>
                <w:sz w:val="22"/>
              </w:rPr>
            </w:pPr>
          </w:p>
        </w:tc>
      </w:tr>
      <w:tr w:rsidR="00927125" w:rsidRPr="007115F2" w14:paraId="66522502" w14:textId="77777777" w:rsidTr="001930F6">
        <w:trPr>
          <w:jc w:val="center"/>
        </w:trPr>
        <w:tc>
          <w:tcPr>
            <w:tcW w:w="3119" w:type="dxa"/>
            <w:shd w:val="clear" w:color="auto" w:fill="FFFFFF"/>
            <w:tcMar>
              <w:top w:w="0" w:type="dxa"/>
              <w:left w:w="0" w:type="dxa"/>
              <w:bottom w:w="0" w:type="dxa"/>
              <w:right w:w="0" w:type="dxa"/>
            </w:tcMar>
            <w:vAlign w:val="center"/>
          </w:tcPr>
          <w:p w14:paraId="66F147D4" w14:textId="77777777" w:rsidR="00927125" w:rsidRPr="007115F2" w:rsidRDefault="00927125" w:rsidP="007C051A">
            <w:pPr>
              <w:widowControl w:val="0"/>
              <w:autoSpaceDE w:val="0"/>
              <w:autoSpaceDN w:val="0"/>
              <w:adjustRightInd w:val="0"/>
              <w:spacing w:line="240" w:lineRule="auto"/>
              <w:jc w:val="left"/>
              <w:rPr>
                <w:sz w:val="22"/>
              </w:rPr>
            </w:pPr>
            <w:r w:rsidRPr="007115F2">
              <w:rPr>
                <w:sz w:val="22"/>
              </w:rPr>
              <w:t>Relative_FirmStatus</w:t>
            </w:r>
          </w:p>
        </w:tc>
        <w:tc>
          <w:tcPr>
            <w:tcW w:w="1488" w:type="dxa"/>
            <w:shd w:val="clear" w:color="auto" w:fill="FFFFFF"/>
            <w:tcMar>
              <w:top w:w="0" w:type="dxa"/>
              <w:left w:w="0" w:type="dxa"/>
              <w:bottom w:w="0" w:type="dxa"/>
              <w:right w:w="0" w:type="dxa"/>
            </w:tcMar>
            <w:vAlign w:val="center"/>
          </w:tcPr>
          <w:p w14:paraId="515D6FD9" w14:textId="77777777" w:rsidR="00927125" w:rsidRPr="007115F2" w:rsidRDefault="00927125" w:rsidP="007C051A">
            <w:pPr>
              <w:widowControl w:val="0"/>
              <w:autoSpaceDE w:val="0"/>
              <w:autoSpaceDN w:val="0"/>
              <w:adjustRightInd w:val="0"/>
              <w:spacing w:line="240" w:lineRule="auto"/>
              <w:jc w:val="center"/>
              <w:rPr>
                <w:sz w:val="22"/>
              </w:rPr>
            </w:pPr>
          </w:p>
        </w:tc>
        <w:tc>
          <w:tcPr>
            <w:tcW w:w="1488" w:type="dxa"/>
            <w:shd w:val="clear" w:color="auto" w:fill="FFFFFF"/>
            <w:tcMar>
              <w:top w:w="0" w:type="dxa"/>
              <w:left w:w="0" w:type="dxa"/>
              <w:bottom w:w="0" w:type="dxa"/>
              <w:right w:w="0" w:type="dxa"/>
            </w:tcMar>
            <w:vAlign w:val="center"/>
          </w:tcPr>
          <w:p w14:paraId="0898BDE3"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8" w:type="dxa"/>
            <w:shd w:val="clear" w:color="auto" w:fill="FFFFFF"/>
            <w:tcMar>
              <w:top w:w="0" w:type="dxa"/>
              <w:left w:w="0" w:type="dxa"/>
              <w:bottom w:w="0" w:type="dxa"/>
              <w:right w:w="0" w:type="dxa"/>
            </w:tcMar>
            <w:vAlign w:val="center"/>
          </w:tcPr>
          <w:p w14:paraId="66B97013" w14:textId="77777777" w:rsidR="00927125" w:rsidRPr="007115F2" w:rsidRDefault="00927125" w:rsidP="007C051A">
            <w:pPr>
              <w:widowControl w:val="0"/>
              <w:autoSpaceDE w:val="0"/>
              <w:autoSpaceDN w:val="0"/>
              <w:adjustRightInd w:val="0"/>
              <w:spacing w:line="240" w:lineRule="auto"/>
              <w:jc w:val="center"/>
              <w:rPr>
                <w:sz w:val="22"/>
              </w:rPr>
            </w:pPr>
          </w:p>
        </w:tc>
        <w:tc>
          <w:tcPr>
            <w:tcW w:w="1489" w:type="dxa"/>
            <w:shd w:val="clear" w:color="auto" w:fill="FFFFFF"/>
            <w:tcMar>
              <w:top w:w="0" w:type="dxa"/>
              <w:left w:w="0" w:type="dxa"/>
              <w:bottom w:w="0" w:type="dxa"/>
              <w:right w:w="0" w:type="dxa"/>
            </w:tcMar>
            <w:vAlign w:val="center"/>
          </w:tcPr>
          <w:p w14:paraId="730D7519"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r>
      <w:tr w:rsidR="00927125" w:rsidRPr="007115F2" w14:paraId="4BC7B45B" w14:textId="77777777" w:rsidTr="001930F6">
        <w:trPr>
          <w:jc w:val="center"/>
        </w:trPr>
        <w:tc>
          <w:tcPr>
            <w:tcW w:w="3119" w:type="dxa"/>
            <w:shd w:val="clear" w:color="auto" w:fill="FFFFFF"/>
            <w:tcMar>
              <w:top w:w="0" w:type="dxa"/>
              <w:left w:w="0" w:type="dxa"/>
              <w:bottom w:w="0" w:type="dxa"/>
              <w:right w:w="0" w:type="dxa"/>
            </w:tcMar>
            <w:vAlign w:val="center"/>
          </w:tcPr>
          <w:p w14:paraId="7862B156"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shd w:val="clear" w:color="auto" w:fill="FFFFFF"/>
            <w:tcMar>
              <w:top w:w="0" w:type="dxa"/>
              <w:left w:w="0" w:type="dxa"/>
              <w:bottom w:w="0" w:type="dxa"/>
              <w:right w:w="0" w:type="dxa"/>
            </w:tcMar>
            <w:vAlign w:val="center"/>
          </w:tcPr>
          <w:p w14:paraId="7D3A3ADB" w14:textId="77777777" w:rsidR="00927125" w:rsidRPr="007115F2" w:rsidRDefault="00927125" w:rsidP="007C051A">
            <w:pPr>
              <w:widowControl w:val="0"/>
              <w:autoSpaceDE w:val="0"/>
              <w:autoSpaceDN w:val="0"/>
              <w:adjustRightInd w:val="0"/>
              <w:spacing w:line="240" w:lineRule="auto"/>
              <w:jc w:val="center"/>
              <w:rPr>
                <w:sz w:val="22"/>
              </w:rPr>
            </w:pPr>
          </w:p>
        </w:tc>
        <w:tc>
          <w:tcPr>
            <w:tcW w:w="1488" w:type="dxa"/>
            <w:shd w:val="clear" w:color="auto" w:fill="FFFFFF"/>
            <w:tcMar>
              <w:top w:w="0" w:type="dxa"/>
              <w:left w:w="0" w:type="dxa"/>
              <w:bottom w:w="0" w:type="dxa"/>
              <w:right w:w="0" w:type="dxa"/>
            </w:tcMar>
            <w:vAlign w:val="center"/>
          </w:tcPr>
          <w:p w14:paraId="3DF0E543"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8" w:type="dxa"/>
            <w:shd w:val="clear" w:color="auto" w:fill="FFFFFF"/>
            <w:tcMar>
              <w:top w:w="0" w:type="dxa"/>
              <w:left w:w="0" w:type="dxa"/>
              <w:bottom w:w="0" w:type="dxa"/>
              <w:right w:w="0" w:type="dxa"/>
            </w:tcMar>
            <w:vAlign w:val="center"/>
          </w:tcPr>
          <w:p w14:paraId="5D97FF00" w14:textId="77777777" w:rsidR="00927125" w:rsidRPr="007115F2" w:rsidRDefault="00927125" w:rsidP="007C051A">
            <w:pPr>
              <w:widowControl w:val="0"/>
              <w:autoSpaceDE w:val="0"/>
              <w:autoSpaceDN w:val="0"/>
              <w:adjustRightInd w:val="0"/>
              <w:spacing w:line="240" w:lineRule="auto"/>
              <w:jc w:val="center"/>
              <w:rPr>
                <w:sz w:val="22"/>
              </w:rPr>
            </w:pPr>
          </w:p>
        </w:tc>
        <w:tc>
          <w:tcPr>
            <w:tcW w:w="1489" w:type="dxa"/>
            <w:shd w:val="clear" w:color="auto" w:fill="FFFFFF"/>
            <w:tcMar>
              <w:top w:w="0" w:type="dxa"/>
              <w:left w:w="0" w:type="dxa"/>
              <w:bottom w:w="0" w:type="dxa"/>
              <w:right w:w="0" w:type="dxa"/>
            </w:tcMar>
            <w:vAlign w:val="center"/>
          </w:tcPr>
          <w:p w14:paraId="2B1E7DAA"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r>
      <w:tr w:rsidR="00927125" w:rsidRPr="007115F2" w14:paraId="60233232" w14:textId="77777777" w:rsidTr="001930F6">
        <w:trPr>
          <w:jc w:val="center"/>
        </w:trPr>
        <w:tc>
          <w:tcPr>
            <w:tcW w:w="3119" w:type="dxa"/>
            <w:shd w:val="clear" w:color="auto" w:fill="FFFFFF"/>
            <w:tcMar>
              <w:top w:w="0" w:type="dxa"/>
              <w:left w:w="0" w:type="dxa"/>
              <w:bottom w:w="0" w:type="dxa"/>
              <w:right w:w="0" w:type="dxa"/>
            </w:tcMar>
            <w:vAlign w:val="center"/>
          </w:tcPr>
          <w:p w14:paraId="475ED97B"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shd w:val="clear" w:color="auto" w:fill="FFFFFF"/>
            <w:tcMar>
              <w:top w:w="0" w:type="dxa"/>
              <w:left w:w="0" w:type="dxa"/>
              <w:bottom w:w="0" w:type="dxa"/>
              <w:right w:w="0" w:type="dxa"/>
            </w:tcMar>
            <w:vAlign w:val="center"/>
          </w:tcPr>
          <w:p w14:paraId="1CCA1608" w14:textId="77777777" w:rsidR="00927125" w:rsidRPr="007115F2" w:rsidRDefault="00927125" w:rsidP="007C051A">
            <w:pPr>
              <w:widowControl w:val="0"/>
              <w:autoSpaceDE w:val="0"/>
              <w:autoSpaceDN w:val="0"/>
              <w:adjustRightInd w:val="0"/>
              <w:spacing w:line="240" w:lineRule="auto"/>
              <w:jc w:val="center"/>
              <w:rPr>
                <w:sz w:val="22"/>
              </w:rPr>
            </w:pPr>
          </w:p>
        </w:tc>
        <w:tc>
          <w:tcPr>
            <w:tcW w:w="1488" w:type="dxa"/>
            <w:shd w:val="clear" w:color="auto" w:fill="FFFFFF"/>
            <w:tcMar>
              <w:top w:w="0" w:type="dxa"/>
              <w:left w:w="0" w:type="dxa"/>
              <w:bottom w:w="0" w:type="dxa"/>
              <w:right w:w="0" w:type="dxa"/>
            </w:tcMar>
            <w:vAlign w:val="center"/>
          </w:tcPr>
          <w:p w14:paraId="0FBBFC4A"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[0.053]</w:t>
            </w:r>
          </w:p>
        </w:tc>
        <w:tc>
          <w:tcPr>
            <w:tcW w:w="1488" w:type="dxa"/>
            <w:shd w:val="clear" w:color="auto" w:fill="FFFFFF"/>
            <w:tcMar>
              <w:top w:w="0" w:type="dxa"/>
              <w:left w:w="0" w:type="dxa"/>
              <w:bottom w:w="0" w:type="dxa"/>
              <w:right w:w="0" w:type="dxa"/>
            </w:tcMar>
            <w:vAlign w:val="center"/>
          </w:tcPr>
          <w:p w14:paraId="39CA4C05" w14:textId="77777777" w:rsidR="00927125" w:rsidRPr="007115F2" w:rsidRDefault="00927125" w:rsidP="007C051A">
            <w:pPr>
              <w:widowControl w:val="0"/>
              <w:autoSpaceDE w:val="0"/>
              <w:autoSpaceDN w:val="0"/>
              <w:adjustRightInd w:val="0"/>
              <w:spacing w:line="240" w:lineRule="auto"/>
              <w:jc w:val="center"/>
              <w:rPr>
                <w:sz w:val="22"/>
              </w:rPr>
            </w:pPr>
          </w:p>
        </w:tc>
        <w:tc>
          <w:tcPr>
            <w:tcW w:w="1489" w:type="dxa"/>
            <w:shd w:val="clear" w:color="auto" w:fill="FFFFFF"/>
            <w:tcMar>
              <w:top w:w="0" w:type="dxa"/>
              <w:left w:w="0" w:type="dxa"/>
              <w:bottom w:w="0" w:type="dxa"/>
              <w:right w:w="0" w:type="dxa"/>
            </w:tcMar>
            <w:vAlign w:val="center"/>
          </w:tcPr>
          <w:p w14:paraId="20D32AF1"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[0.121]</w:t>
            </w:r>
          </w:p>
        </w:tc>
      </w:tr>
      <w:tr w:rsidR="00927125" w:rsidRPr="007115F2" w14:paraId="0713B40F" w14:textId="77777777" w:rsidTr="001930F6">
        <w:trPr>
          <w:jc w:val="center"/>
        </w:trPr>
        <w:tc>
          <w:tcPr>
            <w:tcW w:w="3119" w:type="dxa"/>
            <w:shd w:val="clear" w:color="auto" w:fill="FFFFFF"/>
            <w:tcMar>
              <w:top w:w="0" w:type="dxa"/>
              <w:left w:w="0" w:type="dxa"/>
              <w:bottom w:w="0" w:type="dxa"/>
              <w:right w:w="0" w:type="dxa"/>
            </w:tcMar>
            <w:vAlign w:val="center"/>
          </w:tcPr>
          <w:p w14:paraId="41498F6A" w14:textId="77777777" w:rsidR="00927125" w:rsidRPr="007115F2" w:rsidRDefault="00927125" w:rsidP="007C051A">
            <w:pPr>
              <w:widowControl w:val="0"/>
              <w:autoSpaceDE w:val="0"/>
              <w:autoSpaceDN w:val="0"/>
              <w:adjustRightInd w:val="0"/>
              <w:spacing w:line="240" w:lineRule="auto"/>
              <w:jc w:val="left"/>
              <w:rPr>
                <w:sz w:val="22"/>
                <w:lang w:val="en-US"/>
              </w:rPr>
            </w:pPr>
            <w:r w:rsidRPr="007115F2">
              <w:rPr>
                <w:sz w:val="22"/>
                <w:lang w:val="en-US"/>
              </w:rPr>
              <w:t xml:space="preserve">Direct_BoardInterlocks x </w:t>
            </w:r>
            <w:r w:rsidRPr="007115F2">
              <w:rPr>
                <w:sz w:val="22"/>
                <w:lang w:val="en-US"/>
              </w:rPr>
              <w:br/>
              <w:t>Relative_BoardPower</w:t>
            </w:r>
          </w:p>
        </w:tc>
        <w:tc>
          <w:tcPr>
            <w:tcW w:w="1488" w:type="dxa"/>
            <w:shd w:val="clear" w:color="auto" w:fill="FFFFFF"/>
            <w:tcMar>
              <w:top w:w="0" w:type="dxa"/>
              <w:left w:w="0" w:type="dxa"/>
              <w:bottom w:w="0" w:type="dxa"/>
              <w:right w:w="0" w:type="dxa"/>
            </w:tcMar>
            <w:vAlign w:val="center"/>
          </w:tcPr>
          <w:p w14:paraId="3E0FBAE3"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0.013</w:t>
            </w:r>
          </w:p>
        </w:tc>
        <w:tc>
          <w:tcPr>
            <w:tcW w:w="1488" w:type="dxa"/>
            <w:shd w:val="clear" w:color="auto" w:fill="FFFFFF"/>
            <w:tcMar>
              <w:top w:w="0" w:type="dxa"/>
              <w:left w:w="0" w:type="dxa"/>
              <w:bottom w:w="0" w:type="dxa"/>
              <w:right w:w="0" w:type="dxa"/>
            </w:tcMar>
            <w:vAlign w:val="center"/>
          </w:tcPr>
          <w:p w14:paraId="7C816716" w14:textId="77777777" w:rsidR="00927125" w:rsidRPr="007115F2" w:rsidRDefault="00927125" w:rsidP="007C051A">
            <w:pPr>
              <w:widowControl w:val="0"/>
              <w:autoSpaceDE w:val="0"/>
              <w:autoSpaceDN w:val="0"/>
              <w:adjustRightInd w:val="0"/>
              <w:spacing w:line="240" w:lineRule="auto"/>
              <w:jc w:val="center"/>
              <w:rPr>
                <w:sz w:val="22"/>
              </w:rPr>
            </w:pPr>
          </w:p>
        </w:tc>
        <w:tc>
          <w:tcPr>
            <w:tcW w:w="1488" w:type="dxa"/>
            <w:shd w:val="clear" w:color="auto" w:fill="FFFFFF"/>
            <w:tcMar>
              <w:top w:w="0" w:type="dxa"/>
              <w:left w:w="0" w:type="dxa"/>
              <w:bottom w:w="0" w:type="dxa"/>
              <w:right w:w="0" w:type="dxa"/>
            </w:tcMar>
            <w:vAlign w:val="center"/>
          </w:tcPr>
          <w:p w14:paraId="0B5CA1EB" w14:textId="77777777" w:rsidR="00927125" w:rsidRPr="007115F2" w:rsidRDefault="00927125" w:rsidP="007C051A">
            <w:pPr>
              <w:widowControl w:val="0"/>
              <w:autoSpaceDE w:val="0"/>
              <w:autoSpaceDN w:val="0"/>
              <w:adjustRightInd w:val="0"/>
              <w:spacing w:line="240" w:lineRule="auto"/>
              <w:jc w:val="center"/>
              <w:rPr>
                <w:sz w:val="22"/>
              </w:rPr>
            </w:pPr>
          </w:p>
        </w:tc>
        <w:tc>
          <w:tcPr>
            <w:tcW w:w="1489" w:type="dxa"/>
            <w:shd w:val="clear" w:color="auto" w:fill="FFFFFF"/>
            <w:tcMar>
              <w:top w:w="0" w:type="dxa"/>
              <w:left w:w="0" w:type="dxa"/>
              <w:bottom w:w="0" w:type="dxa"/>
              <w:right w:w="0" w:type="dxa"/>
            </w:tcMar>
            <w:vAlign w:val="center"/>
          </w:tcPr>
          <w:p w14:paraId="7BBC6FA3" w14:textId="77777777" w:rsidR="00927125" w:rsidRPr="007115F2" w:rsidRDefault="00927125" w:rsidP="007C051A">
            <w:pPr>
              <w:widowControl w:val="0"/>
              <w:autoSpaceDE w:val="0"/>
              <w:autoSpaceDN w:val="0"/>
              <w:adjustRightInd w:val="0"/>
              <w:spacing w:line="240" w:lineRule="auto"/>
              <w:jc w:val="center"/>
              <w:rPr>
                <w:sz w:val="22"/>
              </w:rPr>
            </w:pPr>
          </w:p>
        </w:tc>
      </w:tr>
      <w:tr w:rsidR="00927125" w:rsidRPr="007115F2" w14:paraId="611B6F05" w14:textId="77777777" w:rsidTr="001930F6">
        <w:trPr>
          <w:jc w:val="center"/>
        </w:trPr>
        <w:tc>
          <w:tcPr>
            <w:tcW w:w="3119" w:type="dxa"/>
            <w:shd w:val="clear" w:color="auto" w:fill="FFFFFF"/>
            <w:tcMar>
              <w:top w:w="0" w:type="dxa"/>
              <w:left w:w="0" w:type="dxa"/>
              <w:bottom w:w="0" w:type="dxa"/>
              <w:right w:w="0" w:type="dxa"/>
            </w:tcMar>
            <w:vAlign w:val="center"/>
          </w:tcPr>
          <w:p w14:paraId="19EF5009"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shd w:val="clear" w:color="auto" w:fill="FFFFFF"/>
            <w:tcMar>
              <w:top w:w="0" w:type="dxa"/>
              <w:left w:w="0" w:type="dxa"/>
              <w:bottom w:w="0" w:type="dxa"/>
              <w:right w:w="0" w:type="dxa"/>
            </w:tcMar>
            <w:vAlign w:val="center"/>
          </w:tcPr>
          <w:p w14:paraId="0CDE1FAC"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(0.005)</w:t>
            </w:r>
          </w:p>
        </w:tc>
        <w:tc>
          <w:tcPr>
            <w:tcW w:w="1488" w:type="dxa"/>
            <w:shd w:val="clear" w:color="auto" w:fill="FFFFFF"/>
            <w:tcMar>
              <w:top w:w="0" w:type="dxa"/>
              <w:left w:w="0" w:type="dxa"/>
              <w:bottom w:w="0" w:type="dxa"/>
              <w:right w:w="0" w:type="dxa"/>
            </w:tcMar>
            <w:vAlign w:val="center"/>
          </w:tcPr>
          <w:p w14:paraId="4071B804" w14:textId="77777777" w:rsidR="00927125" w:rsidRPr="007115F2" w:rsidRDefault="00927125" w:rsidP="007C051A">
            <w:pPr>
              <w:widowControl w:val="0"/>
              <w:autoSpaceDE w:val="0"/>
              <w:autoSpaceDN w:val="0"/>
              <w:adjustRightInd w:val="0"/>
              <w:spacing w:line="240" w:lineRule="auto"/>
              <w:jc w:val="center"/>
              <w:rPr>
                <w:sz w:val="22"/>
              </w:rPr>
            </w:pPr>
          </w:p>
        </w:tc>
        <w:tc>
          <w:tcPr>
            <w:tcW w:w="1488" w:type="dxa"/>
            <w:shd w:val="clear" w:color="auto" w:fill="FFFFFF"/>
            <w:tcMar>
              <w:top w:w="0" w:type="dxa"/>
              <w:left w:w="0" w:type="dxa"/>
              <w:bottom w:w="0" w:type="dxa"/>
              <w:right w:w="0" w:type="dxa"/>
            </w:tcMar>
            <w:vAlign w:val="center"/>
          </w:tcPr>
          <w:p w14:paraId="65AD4393" w14:textId="77777777" w:rsidR="00927125" w:rsidRPr="007115F2" w:rsidRDefault="00927125" w:rsidP="007C051A">
            <w:pPr>
              <w:widowControl w:val="0"/>
              <w:autoSpaceDE w:val="0"/>
              <w:autoSpaceDN w:val="0"/>
              <w:adjustRightInd w:val="0"/>
              <w:spacing w:line="240" w:lineRule="auto"/>
              <w:jc w:val="center"/>
              <w:rPr>
                <w:sz w:val="22"/>
              </w:rPr>
            </w:pPr>
          </w:p>
        </w:tc>
        <w:tc>
          <w:tcPr>
            <w:tcW w:w="1489" w:type="dxa"/>
            <w:shd w:val="clear" w:color="auto" w:fill="FFFFFF"/>
            <w:tcMar>
              <w:top w:w="0" w:type="dxa"/>
              <w:left w:w="0" w:type="dxa"/>
              <w:bottom w:w="0" w:type="dxa"/>
              <w:right w:w="0" w:type="dxa"/>
            </w:tcMar>
            <w:vAlign w:val="center"/>
          </w:tcPr>
          <w:p w14:paraId="43063B3D" w14:textId="77777777" w:rsidR="00927125" w:rsidRPr="007115F2" w:rsidRDefault="00927125" w:rsidP="007C051A">
            <w:pPr>
              <w:widowControl w:val="0"/>
              <w:autoSpaceDE w:val="0"/>
              <w:autoSpaceDN w:val="0"/>
              <w:adjustRightInd w:val="0"/>
              <w:spacing w:line="240" w:lineRule="auto"/>
              <w:jc w:val="center"/>
              <w:rPr>
                <w:sz w:val="22"/>
              </w:rPr>
            </w:pPr>
          </w:p>
        </w:tc>
      </w:tr>
      <w:tr w:rsidR="00927125" w:rsidRPr="007115F2" w14:paraId="0C40F16B" w14:textId="77777777" w:rsidTr="001930F6">
        <w:trPr>
          <w:jc w:val="center"/>
        </w:trPr>
        <w:tc>
          <w:tcPr>
            <w:tcW w:w="3119" w:type="dxa"/>
            <w:shd w:val="clear" w:color="auto" w:fill="FFFFFF"/>
            <w:tcMar>
              <w:top w:w="0" w:type="dxa"/>
              <w:left w:w="0" w:type="dxa"/>
              <w:bottom w:w="0" w:type="dxa"/>
              <w:right w:w="0" w:type="dxa"/>
            </w:tcMar>
            <w:vAlign w:val="center"/>
          </w:tcPr>
          <w:p w14:paraId="747F072D"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shd w:val="clear" w:color="auto" w:fill="FFFFFF"/>
            <w:tcMar>
              <w:top w:w="0" w:type="dxa"/>
              <w:left w:w="0" w:type="dxa"/>
              <w:bottom w:w="0" w:type="dxa"/>
              <w:right w:w="0" w:type="dxa"/>
            </w:tcMar>
            <w:vAlign w:val="center"/>
          </w:tcPr>
          <w:p w14:paraId="48434CEC"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[0.022]</w:t>
            </w:r>
          </w:p>
        </w:tc>
        <w:tc>
          <w:tcPr>
            <w:tcW w:w="1488" w:type="dxa"/>
            <w:shd w:val="clear" w:color="auto" w:fill="FFFFFF"/>
            <w:tcMar>
              <w:top w:w="0" w:type="dxa"/>
              <w:left w:w="0" w:type="dxa"/>
              <w:bottom w:w="0" w:type="dxa"/>
              <w:right w:w="0" w:type="dxa"/>
            </w:tcMar>
            <w:vAlign w:val="center"/>
          </w:tcPr>
          <w:p w14:paraId="58EAD213" w14:textId="77777777" w:rsidR="00927125" w:rsidRPr="007115F2" w:rsidRDefault="00927125" w:rsidP="007C051A">
            <w:pPr>
              <w:widowControl w:val="0"/>
              <w:autoSpaceDE w:val="0"/>
              <w:autoSpaceDN w:val="0"/>
              <w:adjustRightInd w:val="0"/>
              <w:spacing w:line="240" w:lineRule="auto"/>
              <w:jc w:val="center"/>
              <w:rPr>
                <w:sz w:val="22"/>
              </w:rPr>
            </w:pPr>
          </w:p>
        </w:tc>
        <w:tc>
          <w:tcPr>
            <w:tcW w:w="1488" w:type="dxa"/>
            <w:shd w:val="clear" w:color="auto" w:fill="FFFFFF"/>
            <w:tcMar>
              <w:top w:w="0" w:type="dxa"/>
              <w:left w:w="0" w:type="dxa"/>
              <w:bottom w:w="0" w:type="dxa"/>
              <w:right w:w="0" w:type="dxa"/>
            </w:tcMar>
            <w:vAlign w:val="center"/>
          </w:tcPr>
          <w:p w14:paraId="438A02A9" w14:textId="77777777" w:rsidR="00927125" w:rsidRPr="007115F2" w:rsidRDefault="00927125" w:rsidP="007C051A">
            <w:pPr>
              <w:widowControl w:val="0"/>
              <w:autoSpaceDE w:val="0"/>
              <w:autoSpaceDN w:val="0"/>
              <w:adjustRightInd w:val="0"/>
              <w:spacing w:line="240" w:lineRule="auto"/>
              <w:jc w:val="center"/>
              <w:rPr>
                <w:sz w:val="22"/>
              </w:rPr>
            </w:pPr>
          </w:p>
        </w:tc>
        <w:tc>
          <w:tcPr>
            <w:tcW w:w="1489" w:type="dxa"/>
            <w:shd w:val="clear" w:color="auto" w:fill="FFFFFF"/>
            <w:tcMar>
              <w:top w:w="0" w:type="dxa"/>
              <w:left w:w="0" w:type="dxa"/>
              <w:bottom w:w="0" w:type="dxa"/>
              <w:right w:w="0" w:type="dxa"/>
            </w:tcMar>
            <w:vAlign w:val="center"/>
          </w:tcPr>
          <w:p w14:paraId="2094EC7B" w14:textId="77777777" w:rsidR="00927125" w:rsidRPr="007115F2" w:rsidRDefault="00927125" w:rsidP="007C051A">
            <w:pPr>
              <w:widowControl w:val="0"/>
              <w:autoSpaceDE w:val="0"/>
              <w:autoSpaceDN w:val="0"/>
              <w:adjustRightInd w:val="0"/>
              <w:spacing w:line="240" w:lineRule="auto"/>
              <w:jc w:val="center"/>
              <w:rPr>
                <w:sz w:val="22"/>
              </w:rPr>
            </w:pPr>
          </w:p>
        </w:tc>
      </w:tr>
      <w:tr w:rsidR="00927125" w:rsidRPr="007115F2" w14:paraId="39CBF1F2" w14:textId="77777777" w:rsidTr="001930F6">
        <w:trPr>
          <w:jc w:val="center"/>
        </w:trPr>
        <w:tc>
          <w:tcPr>
            <w:tcW w:w="3119" w:type="dxa"/>
            <w:shd w:val="clear" w:color="auto" w:fill="FFFFFF"/>
            <w:tcMar>
              <w:top w:w="0" w:type="dxa"/>
              <w:left w:w="0" w:type="dxa"/>
              <w:bottom w:w="0" w:type="dxa"/>
              <w:right w:w="0" w:type="dxa"/>
            </w:tcMar>
            <w:vAlign w:val="center"/>
          </w:tcPr>
          <w:p w14:paraId="327A5B55" w14:textId="77777777" w:rsidR="00927125" w:rsidRPr="007115F2" w:rsidRDefault="00927125" w:rsidP="007C051A">
            <w:pPr>
              <w:widowControl w:val="0"/>
              <w:autoSpaceDE w:val="0"/>
              <w:autoSpaceDN w:val="0"/>
              <w:adjustRightInd w:val="0"/>
              <w:spacing w:line="240" w:lineRule="auto"/>
              <w:jc w:val="left"/>
              <w:rPr>
                <w:sz w:val="22"/>
                <w:lang w:val="en-US"/>
              </w:rPr>
            </w:pPr>
            <w:r w:rsidRPr="007115F2">
              <w:rPr>
                <w:sz w:val="22"/>
                <w:lang w:val="en-US"/>
              </w:rPr>
              <w:t xml:space="preserve">Direct_BoardInterlocks x </w:t>
            </w:r>
            <w:r w:rsidRPr="007115F2">
              <w:rPr>
                <w:sz w:val="22"/>
                <w:lang w:val="en-US"/>
              </w:rPr>
              <w:br/>
              <w:t>Relative_FirmStatus</w:t>
            </w:r>
          </w:p>
        </w:tc>
        <w:tc>
          <w:tcPr>
            <w:tcW w:w="1488" w:type="dxa"/>
            <w:shd w:val="clear" w:color="auto" w:fill="FFFFFF"/>
            <w:tcMar>
              <w:top w:w="0" w:type="dxa"/>
              <w:left w:w="0" w:type="dxa"/>
              <w:bottom w:w="0" w:type="dxa"/>
              <w:right w:w="0" w:type="dxa"/>
            </w:tcMar>
            <w:vAlign w:val="center"/>
          </w:tcPr>
          <w:p w14:paraId="1B0E8DF8" w14:textId="77777777" w:rsidR="00927125" w:rsidRPr="007115F2" w:rsidRDefault="00927125" w:rsidP="007C051A">
            <w:pPr>
              <w:widowControl w:val="0"/>
              <w:autoSpaceDE w:val="0"/>
              <w:autoSpaceDN w:val="0"/>
              <w:adjustRightInd w:val="0"/>
              <w:spacing w:line="240" w:lineRule="auto"/>
              <w:jc w:val="center"/>
              <w:rPr>
                <w:sz w:val="22"/>
                <w:lang w:val="en-US"/>
              </w:rPr>
            </w:pPr>
          </w:p>
        </w:tc>
        <w:tc>
          <w:tcPr>
            <w:tcW w:w="1488" w:type="dxa"/>
            <w:shd w:val="clear" w:color="auto" w:fill="FFFFFF"/>
            <w:tcMar>
              <w:top w:w="0" w:type="dxa"/>
              <w:left w:w="0" w:type="dxa"/>
              <w:bottom w:w="0" w:type="dxa"/>
              <w:right w:w="0" w:type="dxa"/>
            </w:tcMar>
            <w:vAlign w:val="center"/>
          </w:tcPr>
          <w:p w14:paraId="18691E84"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0.003</w:t>
            </w:r>
          </w:p>
        </w:tc>
        <w:tc>
          <w:tcPr>
            <w:tcW w:w="1488" w:type="dxa"/>
            <w:shd w:val="clear" w:color="auto" w:fill="FFFFFF"/>
            <w:tcMar>
              <w:top w:w="0" w:type="dxa"/>
              <w:left w:w="0" w:type="dxa"/>
              <w:bottom w:w="0" w:type="dxa"/>
              <w:right w:w="0" w:type="dxa"/>
            </w:tcMar>
            <w:vAlign w:val="center"/>
          </w:tcPr>
          <w:p w14:paraId="13C46301" w14:textId="77777777" w:rsidR="00927125" w:rsidRPr="007115F2" w:rsidRDefault="00927125" w:rsidP="007C051A">
            <w:pPr>
              <w:widowControl w:val="0"/>
              <w:autoSpaceDE w:val="0"/>
              <w:autoSpaceDN w:val="0"/>
              <w:adjustRightInd w:val="0"/>
              <w:spacing w:line="240" w:lineRule="auto"/>
              <w:jc w:val="center"/>
              <w:rPr>
                <w:sz w:val="22"/>
              </w:rPr>
            </w:pPr>
          </w:p>
        </w:tc>
        <w:tc>
          <w:tcPr>
            <w:tcW w:w="1489" w:type="dxa"/>
            <w:shd w:val="clear" w:color="auto" w:fill="FFFFFF"/>
            <w:tcMar>
              <w:top w:w="0" w:type="dxa"/>
              <w:left w:w="0" w:type="dxa"/>
              <w:bottom w:w="0" w:type="dxa"/>
              <w:right w:w="0" w:type="dxa"/>
            </w:tcMar>
            <w:vAlign w:val="center"/>
          </w:tcPr>
          <w:p w14:paraId="7016E7EA" w14:textId="77777777" w:rsidR="00927125" w:rsidRPr="007115F2" w:rsidRDefault="00927125" w:rsidP="007C051A">
            <w:pPr>
              <w:widowControl w:val="0"/>
              <w:autoSpaceDE w:val="0"/>
              <w:autoSpaceDN w:val="0"/>
              <w:adjustRightInd w:val="0"/>
              <w:spacing w:line="240" w:lineRule="auto"/>
              <w:jc w:val="center"/>
              <w:rPr>
                <w:sz w:val="22"/>
              </w:rPr>
            </w:pPr>
          </w:p>
        </w:tc>
      </w:tr>
      <w:tr w:rsidR="00927125" w:rsidRPr="007115F2" w14:paraId="506A3A2C" w14:textId="77777777" w:rsidTr="001930F6">
        <w:trPr>
          <w:jc w:val="center"/>
        </w:trPr>
        <w:tc>
          <w:tcPr>
            <w:tcW w:w="3119" w:type="dxa"/>
            <w:shd w:val="clear" w:color="auto" w:fill="FFFFFF"/>
            <w:tcMar>
              <w:top w:w="0" w:type="dxa"/>
              <w:left w:w="0" w:type="dxa"/>
              <w:bottom w:w="0" w:type="dxa"/>
              <w:right w:w="0" w:type="dxa"/>
            </w:tcMar>
            <w:vAlign w:val="center"/>
          </w:tcPr>
          <w:p w14:paraId="600DA728"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shd w:val="clear" w:color="auto" w:fill="FFFFFF"/>
            <w:tcMar>
              <w:top w:w="0" w:type="dxa"/>
              <w:left w:w="0" w:type="dxa"/>
              <w:bottom w:w="0" w:type="dxa"/>
              <w:right w:w="0" w:type="dxa"/>
            </w:tcMar>
            <w:vAlign w:val="center"/>
          </w:tcPr>
          <w:p w14:paraId="06D285FF" w14:textId="77777777" w:rsidR="00927125" w:rsidRPr="007115F2" w:rsidRDefault="00927125" w:rsidP="007C051A">
            <w:pPr>
              <w:widowControl w:val="0"/>
              <w:autoSpaceDE w:val="0"/>
              <w:autoSpaceDN w:val="0"/>
              <w:adjustRightInd w:val="0"/>
              <w:spacing w:line="240" w:lineRule="auto"/>
              <w:jc w:val="center"/>
              <w:rPr>
                <w:sz w:val="22"/>
              </w:rPr>
            </w:pPr>
          </w:p>
        </w:tc>
        <w:tc>
          <w:tcPr>
            <w:tcW w:w="1488" w:type="dxa"/>
            <w:shd w:val="clear" w:color="auto" w:fill="FFFFFF"/>
            <w:tcMar>
              <w:top w:w="0" w:type="dxa"/>
              <w:left w:w="0" w:type="dxa"/>
              <w:bottom w:w="0" w:type="dxa"/>
              <w:right w:w="0" w:type="dxa"/>
            </w:tcMar>
            <w:vAlign w:val="center"/>
          </w:tcPr>
          <w:p w14:paraId="556B40A8"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8" w:type="dxa"/>
            <w:shd w:val="clear" w:color="auto" w:fill="FFFFFF"/>
            <w:tcMar>
              <w:top w:w="0" w:type="dxa"/>
              <w:left w:w="0" w:type="dxa"/>
              <w:bottom w:w="0" w:type="dxa"/>
              <w:right w:w="0" w:type="dxa"/>
            </w:tcMar>
            <w:vAlign w:val="center"/>
          </w:tcPr>
          <w:p w14:paraId="0E9C4FA4" w14:textId="77777777" w:rsidR="00927125" w:rsidRPr="007115F2" w:rsidRDefault="00927125" w:rsidP="007C051A">
            <w:pPr>
              <w:widowControl w:val="0"/>
              <w:autoSpaceDE w:val="0"/>
              <w:autoSpaceDN w:val="0"/>
              <w:adjustRightInd w:val="0"/>
              <w:spacing w:line="240" w:lineRule="auto"/>
              <w:jc w:val="center"/>
              <w:rPr>
                <w:sz w:val="22"/>
              </w:rPr>
            </w:pPr>
          </w:p>
        </w:tc>
        <w:tc>
          <w:tcPr>
            <w:tcW w:w="1489" w:type="dxa"/>
            <w:shd w:val="clear" w:color="auto" w:fill="FFFFFF"/>
            <w:tcMar>
              <w:top w:w="0" w:type="dxa"/>
              <w:left w:w="0" w:type="dxa"/>
              <w:bottom w:w="0" w:type="dxa"/>
              <w:right w:w="0" w:type="dxa"/>
            </w:tcMar>
            <w:vAlign w:val="center"/>
          </w:tcPr>
          <w:p w14:paraId="1DA7FB8E" w14:textId="77777777" w:rsidR="00927125" w:rsidRPr="007115F2" w:rsidRDefault="00927125" w:rsidP="007C051A">
            <w:pPr>
              <w:widowControl w:val="0"/>
              <w:autoSpaceDE w:val="0"/>
              <w:autoSpaceDN w:val="0"/>
              <w:adjustRightInd w:val="0"/>
              <w:spacing w:line="240" w:lineRule="auto"/>
              <w:jc w:val="center"/>
              <w:rPr>
                <w:sz w:val="22"/>
              </w:rPr>
            </w:pPr>
          </w:p>
        </w:tc>
      </w:tr>
      <w:tr w:rsidR="00927125" w:rsidRPr="007115F2" w14:paraId="411B8504" w14:textId="77777777" w:rsidTr="001930F6">
        <w:trPr>
          <w:jc w:val="center"/>
        </w:trPr>
        <w:tc>
          <w:tcPr>
            <w:tcW w:w="3119" w:type="dxa"/>
            <w:shd w:val="clear" w:color="auto" w:fill="FFFFFF"/>
            <w:tcMar>
              <w:top w:w="0" w:type="dxa"/>
              <w:left w:w="0" w:type="dxa"/>
              <w:bottom w:w="0" w:type="dxa"/>
              <w:right w:w="0" w:type="dxa"/>
            </w:tcMar>
            <w:vAlign w:val="center"/>
          </w:tcPr>
          <w:p w14:paraId="16467DAF"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shd w:val="clear" w:color="auto" w:fill="FFFFFF"/>
            <w:tcMar>
              <w:top w:w="0" w:type="dxa"/>
              <w:left w:w="0" w:type="dxa"/>
              <w:bottom w:w="0" w:type="dxa"/>
              <w:right w:w="0" w:type="dxa"/>
            </w:tcMar>
            <w:vAlign w:val="center"/>
          </w:tcPr>
          <w:p w14:paraId="295051EE" w14:textId="77777777" w:rsidR="00927125" w:rsidRPr="007115F2" w:rsidRDefault="00927125" w:rsidP="007C051A">
            <w:pPr>
              <w:widowControl w:val="0"/>
              <w:autoSpaceDE w:val="0"/>
              <w:autoSpaceDN w:val="0"/>
              <w:adjustRightInd w:val="0"/>
              <w:spacing w:line="240" w:lineRule="auto"/>
              <w:jc w:val="center"/>
              <w:rPr>
                <w:sz w:val="22"/>
              </w:rPr>
            </w:pPr>
          </w:p>
        </w:tc>
        <w:tc>
          <w:tcPr>
            <w:tcW w:w="1488" w:type="dxa"/>
            <w:shd w:val="clear" w:color="auto" w:fill="FFFFFF"/>
            <w:tcMar>
              <w:top w:w="0" w:type="dxa"/>
              <w:left w:w="0" w:type="dxa"/>
              <w:bottom w:w="0" w:type="dxa"/>
              <w:right w:w="0" w:type="dxa"/>
            </w:tcMar>
            <w:vAlign w:val="center"/>
          </w:tcPr>
          <w:p w14:paraId="0963E983"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[0.001]</w:t>
            </w:r>
          </w:p>
        </w:tc>
        <w:tc>
          <w:tcPr>
            <w:tcW w:w="1488" w:type="dxa"/>
            <w:shd w:val="clear" w:color="auto" w:fill="FFFFFF"/>
            <w:tcMar>
              <w:top w:w="0" w:type="dxa"/>
              <w:left w:w="0" w:type="dxa"/>
              <w:bottom w:w="0" w:type="dxa"/>
              <w:right w:w="0" w:type="dxa"/>
            </w:tcMar>
            <w:vAlign w:val="center"/>
          </w:tcPr>
          <w:p w14:paraId="5901F618" w14:textId="77777777" w:rsidR="00927125" w:rsidRPr="007115F2" w:rsidRDefault="00927125" w:rsidP="007C051A">
            <w:pPr>
              <w:widowControl w:val="0"/>
              <w:autoSpaceDE w:val="0"/>
              <w:autoSpaceDN w:val="0"/>
              <w:adjustRightInd w:val="0"/>
              <w:spacing w:line="240" w:lineRule="auto"/>
              <w:jc w:val="center"/>
              <w:rPr>
                <w:sz w:val="22"/>
              </w:rPr>
            </w:pPr>
          </w:p>
        </w:tc>
        <w:tc>
          <w:tcPr>
            <w:tcW w:w="1489" w:type="dxa"/>
            <w:shd w:val="clear" w:color="auto" w:fill="FFFFFF"/>
            <w:tcMar>
              <w:top w:w="0" w:type="dxa"/>
              <w:left w:w="0" w:type="dxa"/>
              <w:bottom w:w="0" w:type="dxa"/>
              <w:right w:w="0" w:type="dxa"/>
            </w:tcMar>
            <w:vAlign w:val="center"/>
          </w:tcPr>
          <w:p w14:paraId="3B4AD6B4" w14:textId="77777777" w:rsidR="00927125" w:rsidRPr="007115F2" w:rsidRDefault="00927125" w:rsidP="007C051A">
            <w:pPr>
              <w:widowControl w:val="0"/>
              <w:autoSpaceDE w:val="0"/>
              <w:autoSpaceDN w:val="0"/>
              <w:adjustRightInd w:val="0"/>
              <w:spacing w:line="240" w:lineRule="auto"/>
              <w:jc w:val="center"/>
              <w:rPr>
                <w:sz w:val="22"/>
              </w:rPr>
            </w:pPr>
          </w:p>
        </w:tc>
      </w:tr>
      <w:tr w:rsidR="00927125" w:rsidRPr="007115F2" w14:paraId="06F4E4D6" w14:textId="77777777" w:rsidTr="001930F6">
        <w:trPr>
          <w:jc w:val="center"/>
        </w:trPr>
        <w:tc>
          <w:tcPr>
            <w:tcW w:w="3119" w:type="dxa"/>
            <w:shd w:val="clear" w:color="auto" w:fill="FFFFFF"/>
            <w:tcMar>
              <w:top w:w="0" w:type="dxa"/>
              <w:left w:w="0" w:type="dxa"/>
              <w:bottom w:w="0" w:type="dxa"/>
              <w:right w:w="0" w:type="dxa"/>
            </w:tcMar>
            <w:vAlign w:val="center"/>
          </w:tcPr>
          <w:p w14:paraId="57CACB2F" w14:textId="77777777" w:rsidR="00927125" w:rsidRPr="007115F2" w:rsidRDefault="00927125" w:rsidP="007C051A">
            <w:pPr>
              <w:widowControl w:val="0"/>
              <w:autoSpaceDE w:val="0"/>
              <w:autoSpaceDN w:val="0"/>
              <w:adjustRightInd w:val="0"/>
              <w:spacing w:line="240" w:lineRule="auto"/>
              <w:jc w:val="left"/>
              <w:rPr>
                <w:sz w:val="22"/>
                <w:lang w:val="en-US"/>
              </w:rPr>
            </w:pPr>
            <w:r w:rsidRPr="007115F2">
              <w:rPr>
                <w:sz w:val="22"/>
                <w:lang w:val="en-US"/>
              </w:rPr>
              <w:t xml:space="preserve">Indirect_BoardInterlocks x </w:t>
            </w:r>
            <w:r w:rsidRPr="007115F2">
              <w:rPr>
                <w:sz w:val="22"/>
                <w:lang w:val="en-US"/>
              </w:rPr>
              <w:br/>
              <w:t>Relative_BoardPower</w:t>
            </w:r>
          </w:p>
        </w:tc>
        <w:tc>
          <w:tcPr>
            <w:tcW w:w="1488" w:type="dxa"/>
            <w:shd w:val="clear" w:color="auto" w:fill="FFFFFF"/>
            <w:tcMar>
              <w:top w:w="0" w:type="dxa"/>
              <w:left w:w="0" w:type="dxa"/>
              <w:bottom w:w="0" w:type="dxa"/>
              <w:right w:w="0" w:type="dxa"/>
            </w:tcMar>
            <w:vAlign w:val="center"/>
          </w:tcPr>
          <w:p w14:paraId="19E1B706" w14:textId="77777777" w:rsidR="00927125" w:rsidRPr="007115F2" w:rsidRDefault="00927125" w:rsidP="007C051A">
            <w:pPr>
              <w:widowControl w:val="0"/>
              <w:autoSpaceDE w:val="0"/>
              <w:autoSpaceDN w:val="0"/>
              <w:adjustRightInd w:val="0"/>
              <w:spacing w:line="240" w:lineRule="auto"/>
              <w:jc w:val="center"/>
              <w:rPr>
                <w:sz w:val="22"/>
                <w:lang w:val="en-US"/>
              </w:rPr>
            </w:pPr>
          </w:p>
        </w:tc>
        <w:tc>
          <w:tcPr>
            <w:tcW w:w="1488" w:type="dxa"/>
            <w:shd w:val="clear" w:color="auto" w:fill="FFFFFF"/>
            <w:tcMar>
              <w:top w:w="0" w:type="dxa"/>
              <w:left w:w="0" w:type="dxa"/>
              <w:bottom w:w="0" w:type="dxa"/>
              <w:right w:w="0" w:type="dxa"/>
            </w:tcMar>
            <w:vAlign w:val="center"/>
          </w:tcPr>
          <w:p w14:paraId="033718B5" w14:textId="77777777" w:rsidR="00927125" w:rsidRPr="007115F2" w:rsidRDefault="00927125" w:rsidP="007C051A">
            <w:pPr>
              <w:widowControl w:val="0"/>
              <w:autoSpaceDE w:val="0"/>
              <w:autoSpaceDN w:val="0"/>
              <w:adjustRightInd w:val="0"/>
              <w:spacing w:line="240" w:lineRule="auto"/>
              <w:jc w:val="center"/>
              <w:rPr>
                <w:sz w:val="22"/>
                <w:lang w:val="en-US"/>
              </w:rPr>
            </w:pPr>
          </w:p>
        </w:tc>
        <w:tc>
          <w:tcPr>
            <w:tcW w:w="1488" w:type="dxa"/>
            <w:shd w:val="clear" w:color="auto" w:fill="FFFFFF"/>
            <w:tcMar>
              <w:top w:w="0" w:type="dxa"/>
              <w:left w:w="0" w:type="dxa"/>
              <w:bottom w:w="0" w:type="dxa"/>
              <w:right w:w="0" w:type="dxa"/>
            </w:tcMar>
            <w:vAlign w:val="center"/>
          </w:tcPr>
          <w:p w14:paraId="73BB7BB7"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0.002</w:t>
            </w:r>
          </w:p>
        </w:tc>
        <w:tc>
          <w:tcPr>
            <w:tcW w:w="1489" w:type="dxa"/>
            <w:shd w:val="clear" w:color="auto" w:fill="FFFFFF"/>
            <w:tcMar>
              <w:top w:w="0" w:type="dxa"/>
              <w:left w:w="0" w:type="dxa"/>
              <w:bottom w:w="0" w:type="dxa"/>
              <w:right w:w="0" w:type="dxa"/>
            </w:tcMar>
            <w:vAlign w:val="center"/>
          </w:tcPr>
          <w:p w14:paraId="7A8622E0" w14:textId="77777777" w:rsidR="00927125" w:rsidRPr="007115F2" w:rsidRDefault="00927125" w:rsidP="007C051A">
            <w:pPr>
              <w:widowControl w:val="0"/>
              <w:autoSpaceDE w:val="0"/>
              <w:autoSpaceDN w:val="0"/>
              <w:adjustRightInd w:val="0"/>
              <w:spacing w:line="240" w:lineRule="auto"/>
              <w:jc w:val="center"/>
              <w:rPr>
                <w:sz w:val="22"/>
              </w:rPr>
            </w:pPr>
          </w:p>
        </w:tc>
      </w:tr>
      <w:tr w:rsidR="00927125" w:rsidRPr="007115F2" w14:paraId="31DE3ADB" w14:textId="77777777" w:rsidTr="001930F6">
        <w:trPr>
          <w:jc w:val="center"/>
        </w:trPr>
        <w:tc>
          <w:tcPr>
            <w:tcW w:w="3119" w:type="dxa"/>
            <w:shd w:val="clear" w:color="auto" w:fill="FFFFFF"/>
            <w:tcMar>
              <w:top w:w="0" w:type="dxa"/>
              <w:left w:w="0" w:type="dxa"/>
              <w:bottom w:w="0" w:type="dxa"/>
              <w:right w:w="0" w:type="dxa"/>
            </w:tcMar>
            <w:vAlign w:val="center"/>
          </w:tcPr>
          <w:p w14:paraId="7BFBAA26"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shd w:val="clear" w:color="auto" w:fill="FFFFFF"/>
            <w:tcMar>
              <w:top w:w="0" w:type="dxa"/>
              <w:left w:w="0" w:type="dxa"/>
              <w:bottom w:w="0" w:type="dxa"/>
              <w:right w:w="0" w:type="dxa"/>
            </w:tcMar>
            <w:vAlign w:val="center"/>
          </w:tcPr>
          <w:p w14:paraId="00BB6DCB" w14:textId="77777777" w:rsidR="00927125" w:rsidRPr="007115F2" w:rsidRDefault="00927125" w:rsidP="007C051A">
            <w:pPr>
              <w:widowControl w:val="0"/>
              <w:autoSpaceDE w:val="0"/>
              <w:autoSpaceDN w:val="0"/>
              <w:adjustRightInd w:val="0"/>
              <w:spacing w:line="240" w:lineRule="auto"/>
              <w:jc w:val="center"/>
              <w:rPr>
                <w:sz w:val="22"/>
              </w:rPr>
            </w:pPr>
          </w:p>
        </w:tc>
        <w:tc>
          <w:tcPr>
            <w:tcW w:w="1488" w:type="dxa"/>
            <w:shd w:val="clear" w:color="auto" w:fill="FFFFFF"/>
            <w:tcMar>
              <w:top w:w="0" w:type="dxa"/>
              <w:left w:w="0" w:type="dxa"/>
              <w:bottom w:w="0" w:type="dxa"/>
              <w:right w:w="0" w:type="dxa"/>
            </w:tcMar>
            <w:vAlign w:val="center"/>
          </w:tcPr>
          <w:p w14:paraId="316FAD22" w14:textId="77777777" w:rsidR="00927125" w:rsidRPr="007115F2" w:rsidRDefault="00927125" w:rsidP="007C051A">
            <w:pPr>
              <w:widowControl w:val="0"/>
              <w:autoSpaceDE w:val="0"/>
              <w:autoSpaceDN w:val="0"/>
              <w:adjustRightInd w:val="0"/>
              <w:spacing w:line="240" w:lineRule="auto"/>
              <w:jc w:val="center"/>
              <w:rPr>
                <w:sz w:val="22"/>
              </w:rPr>
            </w:pPr>
          </w:p>
        </w:tc>
        <w:tc>
          <w:tcPr>
            <w:tcW w:w="1488" w:type="dxa"/>
            <w:shd w:val="clear" w:color="auto" w:fill="FFFFFF"/>
            <w:tcMar>
              <w:top w:w="0" w:type="dxa"/>
              <w:left w:w="0" w:type="dxa"/>
              <w:bottom w:w="0" w:type="dxa"/>
              <w:right w:w="0" w:type="dxa"/>
            </w:tcMar>
            <w:vAlign w:val="center"/>
          </w:tcPr>
          <w:p w14:paraId="2451C786"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(0.001)</w:t>
            </w:r>
          </w:p>
        </w:tc>
        <w:tc>
          <w:tcPr>
            <w:tcW w:w="1489" w:type="dxa"/>
            <w:shd w:val="clear" w:color="auto" w:fill="FFFFFF"/>
            <w:tcMar>
              <w:top w:w="0" w:type="dxa"/>
              <w:left w:w="0" w:type="dxa"/>
              <w:bottom w:w="0" w:type="dxa"/>
              <w:right w:w="0" w:type="dxa"/>
            </w:tcMar>
            <w:vAlign w:val="center"/>
          </w:tcPr>
          <w:p w14:paraId="70601A4F" w14:textId="77777777" w:rsidR="00927125" w:rsidRPr="007115F2" w:rsidRDefault="00927125" w:rsidP="007C051A">
            <w:pPr>
              <w:widowControl w:val="0"/>
              <w:autoSpaceDE w:val="0"/>
              <w:autoSpaceDN w:val="0"/>
              <w:adjustRightInd w:val="0"/>
              <w:spacing w:line="240" w:lineRule="auto"/>
              <w:jc w:val="center"/>
              <w:rPr>
                <w:sz w:val="22"/>
              </w:rPr>
            </w:pPr>
          </w:p>
        </w:tc>
      </w:tr>
      <w:tr w:rsidR="00927125" w:rsidRPr="007115F2" w14:paraId="184CFB0A" w14:textId="77777777" w:rsidTr="001930F6">
        <w:trPr>
          <w:jc w:val="center"/>
        </w:trPr>
        <w:tc>
          <w:tcPr>
            <w:tcW w:w="3119" w:type="dxa"/>
            <w:shd w:val="clear" w:color="auto" w:fill="FFFFFF"/>
            <w:tcMar>
              <w:top w:w="0" w:type="dxa"/>
              <w:left w:w="0" w:type="dxa"/>
              <w:bottom w:w="0" w:type="dxa"/>
              <w:right w:w="0" w:type="dxa"/>
            </w:tcMar>
            <w:vAlign w:val="center"/>
          </w:tcPr>
          <w:p w14:paraId="35849FE0"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shd w:val="clear" w:color="auto" w:fill="FFFFFF"/>
            <w:tcMar>
              <w:top w:w="0" w:type="dxa"/>
              <w:left w:w="0" w:type="dxa"/>
              <w:bottom w:w="0" w:type="dxa"/>
              <w:right w:w="0" w:type="dxa"/>
            </w:tcMar>
            <w:vAlign w:val="center"/>
          </w:tcPr>
          <w:p w14:paraId="3BF636AE" w14:textId="77777777" w:rsidR="00927125" w:rsidRPr="007115F2" w:rsidRDefault="00927125" w:rsidP="007C051A">
            <w:pPr>
              <w:widowControl w:val="0"/>
              <w:autoSpaceDE w:val="0"/>
              <w:autoSpaceDN w:val="0"/>
              <w:adjustRightInd w:val="0"/>
              <w:spacing w:line="240" w:lineRule="auto"/>
              <w:jc w:val="center"/>
              <w:rPr>
                <w:sz w:val="22"/>
              </w:rPr>
            </w:pPr>
          </w:p>
        </w:tc>
        <w:tc>
          <w:tcPr>
            <w:tcW w:w="1488" w:type="dxa"/>
            <w:shd w:val="clear" w:color="auto" w:fill="FFFFFF"/>
            <w:tcMar>
              <w:top w:w="0" w:type="dxa"/>
              <w:left w:w="0" w:type="dxa"/>
              <w:bottom w:w="0" w:type="dxa"/>
              <w:right w:w="0" w:type="dxa"/>
            </w:tcMar>
            <w:vAlign w:val="center"/>
          </w:tcPr>
          <w:p w14:paraId="6F9C9709" w14:textId="77777777" w:rsidR="00927125" w:rsidRPr="007115F2" w:rsidRDefault="00927125" w:rsidP="007C051A">
            <w:pPr>
              <w:widowControl w:val="0"/>
              <w:autoSpaceDE w:val="0"/>
              <w:autoSpaceDN w:val="0"/>
              <w:adjustRightInd w:val="0"/>
              <w:spacing w:line="240" w:lineRule="auto"/>
              <w:jc w:val="center"/>
              <w:rPr>
                <w:sz w:val="22"/>
              </w:rPr>
            </w:pPr>
          </w:p>
        </w:tc>
        <w:tc>
          <w:tcPr>
            <w:tcW w:w="1488" w:type="dxa"/>
            <w:shd w:val="clear" w:color="auto" w:fill="FFFFFF"/>
            <w:tcMar>
              <w:top w:w="0" w:type="dxa"/>
              <w:left w:w="0" w:type="dxa"/>
              <w:bottom w:w="0" w:type="dxa"/>
              <w:right w:w="0" w:type="dxa"/>
            </w:tcMar>
            <w:vAlign w:val="center"/>
          </w:tcPr>
          <w:p w14:paraId="655B2EB3"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[0.042]</w:t>
            </w:r>
          </w:p>
        </w:tc>
        <w:tc>
          <w:tcPr>
            <w:tcW w:w="1489" w:type="dxa"/>
            <w:shd w:val="clear" w:color="auto" w:fill="FFFFFF"/>
            <w:tcMar>
              <w:top w:w="0" w:type="dxa"/>
              <w:left w:w="0" w:type="dxa"/>
              <w:bottom w:w="0" w:type="dxa"/>
              <w:right w:w="0" w:type="dxa"/>
            </w:tcMar>
            <w:vAlign w:val="center"/>
          </w:tcPr>
          <w:p w14:paraId="761B81BC" w14:textId="77777777" w:rsidR="00927125" w:rsidRPr="007115F2" w:rsidRDefault="00927125" w:rsidP="007C051A">
            <w:pPr>
              <w:widowControl w:val="0"/>
              <w:autoSpaceDE w:val="0"/>
              <w:autoSpaceDN w:val="0"/>
              <w:adjustRightInd w:val="0"/>
              <w:spacing w:line="240" w:lineRule="auto"/>
              <w:jc w:val="center"/>
              <w:rPr>
                <w:sz w:val="22"/>
              </w:rPr>
            </w:pPr>
          </w:p>
        </w:tc>
      </w:tr>
      <w:tr w:rsidR="00927125" w:rsidRPr="007115F2" w14:paraId="58B89DD2" w14:textId="77777777" w:rsidTr="001930F6">
        <w:trPr>
          <w:jc w:val="center"/>
        </w:trPr>
        <w:tc>
          <w:tcPr>
            <w:tcW w:w="3119" w:type="dxa"/>
            <w:shd w:val="clear" w:color="auto" w:fill="FFFFFF"/>
            <w:tcMar>
              <w:top w:w="0" w:type="dxa"/>
              <w:left w:w="0" w:type="dxa"/>
              <w:bottom w:w="0" w:type="dxa"/>
              <w:right w:w="0" w:type="dxa"/>
            </w:tcMar>
            <w:vAlign w:val="center"/>
          </w:tcPr>
          <w:p w14:paraId="5C477E48" w14:textId="77777777" w:rsidR="00927125" w:rsidRPr="007115F2" w:rsidRDefault="00927125" w:rsidP="007C051A">
            <w:pPr>
              <w:widowControl w:val="0"/>
              <w:autoSpaceDE w:val="0"/>
              <w:autoSpaceDN w:val="0"/>
              <w:adjustRightInd w:val="0"/>
              <w:spacing w:line="240" w:lineRule="auto"/>
              <w:jc w:val="left"/>
              <w:rPr>
                <w:sz w:val="22"/>
                <w:lang w:val="en-US"/>
              </w:rPr>
            </w:pPr>
            <w:r w:rsidRPr="007115F2">
              <w:rPr>
                <w:sz w:val="22"/>
                <w:lang w:val="en-US"/>
              </w:rPr>
              <w:t xml:space="preserve">Indirect_BoardInterlocks x </w:t>
            </w:r>
            <w:r w:rsidRPr="007115F2">
              <w:rPr>
                <w:sz w:val="22"/>
                <w:lang w:val="en-US"/>
              </w:rPr>
              <w:br/>
              <w:t>Relative_FirmStatus</w:t>
            </w:r>
          </w:p>
        </w:tc>
        <w:tc>
          <w:tcPr>
            <w:tcW w:w="1488" w:type="dxa"/>
            <w:shd w:val="clear" w:color="auto" w:fill="FFFFFF"/>
            <w:tcMar>
              <w:top w:w="0" w:type="dxa"/>
              <w:left w:w="0" w:type="dxa"/>
              <w:bottom w:w="0" w:type="dxa"/>
              <w:right w:w="0" w:type="dxa"/>
            </w:tcMar>
            <w:vAlign w:val="center"/>
          </w:tcPr>
          <w:p w14:paraId="3DC46D38" w14:textId="77777777" w:rsidR="00927125" w:rsidRPr="007115F2" w:rsidRDefault="00927125" w:rsidP="007C051A">
            <w:pPr>
              <w:widowControl w:val="0"/>
              <w:autoSpaceDE w:val="0"/>
              <w:autoSpaceDN w:val="0"/>
              <w:adjustRightInd w:val="0"/>
              <w:spacing w:line="240" w:lineRule="auto"/>
              <w:jc w:val="center"/>
              <w:rPr>
                <w:sz w:val="22"/>
                <w:lang w:val="en-US"/>
              </w:rPr>
            </w:pPr>
          </w:p>
        </w:tc>
        <w:tc>
          <w:tcPr>
            <w:tcW w:w="1488" w:type="dxa"/>
            <w:shd w:val="clear" w:color="auto" w:fill="FFFFFF"/>
            <w:tcMar>
              <w:top w:w="0" w:type="dxa"/>
              <w:left w:w="0" w:type="dxa"/>
              <w:bottom w:w="0" w:type="dxa"/>
              <w:right w:w="0" w:type="dxa"/>
            </w:tcMar>
            <w:vAlign w:val="center"/>
          </w:tcPr>
          <w:p w14:paraId="339EC7C0" w14:textId="77777777" w:rsidR="00927125" w:rsidRPr="007115F2" w:rsidRDefault="00927125" w:rsidP="007C051A">
            <w:pPr>
              <w:widowControl w:val="0"/>
              <w:autoSpaceDE w:val="0"/>
              <w:autoSpaceDN w:val="0"/>
              <w:adjustRightInd w:val="0"/>
              <w:spacing w:line="240" w:lineRule="auto"/>
              <w:jc w:val="center"/>
              <w:rPr>
                <w:sz w:val="22"/>
                <w:lang w:val="en-US"/>
              </w:rPr>
            </w:pPr>
          </w:p>
        </w:tc>
        <w:tc>
          <w:tcPr>
            <w:tcW w:w="1488" w:type="dxa"/>
            <w:shd w:val="clear" w:color="auto" w:fill="FFFFFF"/>
            <w:tcMar>
              <w:top w:w="0" w:type="dxa"/>
              <w:left w:w="0" w:type="dxa"/>
              <w:bottom w:w="0" w:type="dxa"/>
              <w:right w:w="0" w:type="dxa"/>
            </w:tcMar>
            <w:vAlign w:val="center"/>
          </w:tcPr>
          <w:p w14:paraId="6D61D262" w14:textId="77777777" w:rsidR="00927125" w:rsidRPr="007115F2" w:rsidRDefault="00927125" w:rsidP="007C051A">
            <w:pPr>
              <w:widowControl w:val="0"/>
              <w:autoSpaceDE w:val="0"/>
              <w:autoSpaceDN w:val="0"/>
              <w:adjustRightInd w:val="0"/>
              <w:spacing w:line="240" w:lineRule="auto"/>
              <w:jc w:val="center"/>
              <w:rPr>
                <w:sz w:val="22"/>
                <w:lang w:val="en-US"/>
              </w:rPr>
            </w:pPr>
          </w:p>
        </w:tc>
        <w:tc>
          <w:tcPr>
            <w:tcW w:w="1489" w:type="dxa"/>
            <w:shd w:val="clear" w:color="auto" w:fill="FFFFFF"/>
            <w:tcMar>
              <w:top w:w="0" w:type="dxa"/>
              <w:left w:w="0" w:type="dxa"/>
              <w:bottom w:w="0" w:type="dxa"/>
              <w:right w:w="0" w:type="dxa"/>
            </w:tcMar>
            <w:vAlign w:val="center"/>
          </w:tcPr>
          <w:p w14:paraId="5CD0FE4C"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0.001</w:t>
            </w:r>
          </w:p>
        </w:tc>
      </w:tr>
      <w:tr w:rsidR="00927125" w:rsidRPr="007115F2" w14:paraId="6BEF64B7" w14:textId="77777777" w:rsidTr="001930F6">
        <w:trPr>
          <w:jc w:val="center"/>
        </w:trPr>
        <w:tc>
          <w:tcPr>
            <w:tcW w:w="3119" w:type="dxa"/>
            <w:shd w:val="clear" w:color="auto" w:fill="FFFFFF"/>
            <w:tcMar>
              <w:top w:w="0" w:type="dxa"/>
              <w:left w:w="0" w:type="dxa"/>
              <w:bottom w:w="0" w:type="dxa"/>
              <w:right w:w="0" w:type="dxa"/>
            </w:tcMar>
            <w:vAlign w:val="center"/>
          </w:tcPr>
          <w:p w14:paraId="3D8B76ED"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shd w:val="clear" w:color="auto" w:fill="FFFFFF"/>
            <w:tcMar>
              <w:top w:w="0" w:type="dxa"/>
              <w:left w:w="0" w:type="dxa"/>
              <w:bottom w:w="0" w:type="dxa"/>
              <w:right w:w="0" w:type="dxa"/>
            </w:tcMar>
            <w:vAlign w:val="center"/>
          </w:tcPr>
          <w:p w14:paraId="2A5E42AF" w14:textId="77777777" w:rsidR="00927125" w:rsidRPr="007115F2" w:rsidRDefault="00927125" w:rsidP="007C051A">
            <w:pPr>
              <w:widowControl w:val="0"/>
              <w:autoSpaceDE w:val="0"/>
              <w:autoSpaceDN w:val="0"/>
              <w:adjustRightInd w:val="0"/>
              <w:spacing w:line="240" w:lineRule="auto"/>
              <w:jc w:val="center"/>
              <w:rPr>
                <w:sz w:val="22"/>
              </w:rPr>
            </w:pPr>
          </w:p>
        </w:tc>
        <w:tc>
          <w:tcPr>
            <w:tcW w:w="1488" w:type="dxa"/>
            <w:shd w:val="clear" w:color="auto" w:fill="FFFFFF"/>
            <w:tcMar>
              <w:top w:w="0" w:type="dxa"/>
              <w:left w:w="0" w:type="dxa"/>
              <w:bottom w:w="0" w:type="dxa"/>
              <w:right w:w="0" w:type="dxa"/>
            </w:tcMar>
            <w:vAlign w:val="center"/>
          </w:tcPr>
          <w:p w14:paraId="7D30EC37" w14:textId="77777777" w:rsidR="00927125" w:rsidRPr="007115F2" w:rsidRDefault="00927125" w:rsidP="007C051A">
            <w:pPr>
              <w:widowControl w:val="0"/>
              <w:autoSpaceDE w:val="0"/>
              <w:autoSpaceDN w:val="0"/>
              <w:adjustRightInd w:val="0"/>
              <w:spacing w:line="240" w:lineRule="auto"/>
              <w:jc w:val="center"/>
              <w:rPr>
                <w:sz w:val="22"/>
              </w:rPr>
            </w:pPr>
          </w:p>
        </w:tc>
        <w:tc>
          <w:tcPr>
            <w:tcW w:w="1488" w:type="dxa"/>
            <w:shd w:val="clear" w:color="auto" w:fill="FFFFFF"/>
            <w:tcMar>
              <w:top w:w="0" w:type="dxa"/>
              <w:left w:w="0" w:type="dxa"/>
              <w:bottom w:w="0" w:type="dxa"/>
              <w:right w:w="0" w:type="dxa"/>
            </w:tcMar>
            <w:vAlign w:val="center"/>
          </w:tcPr>
          <w:p w14:paraId="58E30678" w14:textId="77777777" w:rsidR="00927125" w:rsidRPr="007115F2" w:rsidRDefault="00927125" w:rsidP="007C051A">
            <w:pPr>
              <w:widowControl w:val="0"/>
              <w:autoSpaceDE w:val="0"/>
              <w:autoSpaceDN w:val="0"/>
              <w:adjustRightInd w:val="0"/>
              <w:spacing w:line="240" w:lineRule="auto"/>
              <w:jc w:val="center"/>
              <w:rPr>
                <w:sz w:val="22"/>
              </w:rPr>
            </w:pPr>
          </w:p>
        </w:tc>
        <w:tc>
          <w:tcPr>
            <w:tcW w:w="1489" w:type="dxa"/>
            <w:shd w:val="clear" w:color="auto" w:fill="FFFFFF"/>
            <w:tcMar>
              <w:top w:w="0" w:type="dxa"/>
              <w:left w:w="0" w:type="dxa"/>
              <w:bottom w:w="0" w:type="dxa"/>
              <w:right w:w="0" w:type="dxa"/>
            </w:tcMar>
            <w:vAlign w:val="center"/>
          </w:tcPr>
          <w:p w14:paraId="187C199D"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(0.001)</w:t>
            </w:r>
          </w:p>
        </w:tc>
      </w:tr>
      <w:tr w:rsidR="00927125" w:rsidRPr="007115F2" w14:paraId="706C7F1E" w14:textId="77777777" w:rsidTr="001930F6">
        <w:trPr>
          <w:jc w:val="center"/>
        </w:trPr>
        <w:tc>
          <w:tcPr>
            <w:tcW w:w="3119" w:type="dxa"/>
            <w:shd w:val="clear" w:color="auto" w:fill="FFFFFF"/>
            <w:tcMar>
              <w:top w:w="0" w:type="dxa"/>
              <w:left w:w="0" w:type="dxa"/>
              <w:bottom w:w="0" w:type="dxa"/>
              <w:right w:w="0" w:type="dxa"/>
            </w:tcMar>
            <w:vAlign w:val="center"/>
          </w:tcPr>
          <w:p w14:paraId="59F7A1A9"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shd w:val="clear" w:color="auto" w:fill="FFFFFF"/>
            <w:tcMar>
              <w:top w:w="0" w:type="dxa"/>
              <w:left w:w="0" w:type="dxa"/>
              <w:bottom w:w="0" w:type="dxa"/>
              <w:right w:w="0" w:type="dxa"/>
            </w:tcMar>
            <w:vAlign w:val="center"/>
          </w:tcPr>
          <w:p w14:paraId="0C01C0DE" w14:textId="77777777" w:rsidR="00927125" w:rsidRPr="007115F2" w:rsidRDefault="00927125" w:rsidP="007C051A">
            <w:pPr>
              <w:widowControl w:val="0"/>
              <w:autoSpaceDE w:val="0"/>
              <w:autoSpaceDN w:val="0"/>
              <w:adjustRightInd w:val="0"/>
              <w:spacing w:line="240" w:lineRule="auto"/>
              <w:jc w:val="center"/>
              <w:rPr>
                <w:sz w:val="22"/>
              </w:rPr>
            </w:pPr>
          </w:p>
        </w:tc>
        <w:tc>
          <w:tcPr>
            <w:tcW w:w="1488" w:type="dxa"/>
            <w:shd w:val="clear" w:color="auto" w:fill="FFFFFF"/>
            <w:tcMar>
              <w:top w:w="0" w:type="dxa"/>
              <w:left w:w="0" w:type="dxa"/>
              <w:bottom w:w="0" w:type="dxa"/>
              <w:right w:w="0" w:type="dxa"/>
            </w:tcMar>
            <w:vAlign w:val="center"/>
          </w:tcPr>
          <w:p w14:paraId="3A50AA6A" w14:textId="77777777" w:rsidR="00927125" w:rsidRPr="007115F2" w:rsidRDefault="00927125" w:rsidP="007C051A">
            <w:pPr>
              <w:widowControl w:val="0"/>
              <w:autoSpaceDE w:val="0"/>
              <w:autoSpaceDN w:val="0"/>
              <w:adjustRightInd w:val="0"/>
              <w:spacing w:line="240" w:lineRule="auto"/>
              <w:jc w:val="center"/>
              <w:rPr>
                <w:sz w:val="22"/>
              </w:rPr>
            </w:pPr>
          </w:p>
        </w:tc>
        <w:tc>
          <w:tcPr>
            <w:tcW w:w="1488" w:type="dxa"/>
            <w:shd w:val="clear" w:color="auto" w:fill="FFFFFF"/>
            <w:tcMar>
              <w:top w:w="0" w:type="dxa"/>
              <w:left w:w="0" w:type="dxa"/>
              <w:bottom w:w="0" w:type="dxa"/>
              <w:right w:w="0" w:type="dxa"/>
            </w:tcMar>
            <w:vAlign w:val="center"/>
          </w:tcPr>
          <w:p w14:paraId="43A66CF7" w14:textId="77777777" w:rsidR="00927125" w:rsidRPr="007115F2" w:rsidRDefault="00927125" w:rsidP="007C051A">
            <w:pPr>
              <w:widowControl w:val="0"/>
              <w:autoSpaceDE w:val="0"/>
              <w:autoSpaceDN w:val="0"/>
              <w:adjustRightInd w:val="0"/>
              <w:spacing w:line="240" w:lineRule="auto"/>
              <w:jc w:val="center"/>
              <w:rPr>
                <w:sz w:val="22"/>
              </w:rPr>
            </w:pPr>
          </w:p>
        </w:tc>
        <w:tc>
          <w:tcPr>
            <w:tcW w:w="1489" w:type="dxa"/>
            <w:shd w:val="clear" w:color="auto" w:fill="FFFFFF"/>
            <w:tcMar>
              <w:top w:w="0" w:type="dxa"/>
              <w:left w:w="0" w:type="dxa"/>
              <w:bottom w:w="0" w:type="dxa"/>
              <w:right w:w="0" w:type="dxa"/>
            </w:tcMar>
            <w:vAlign w:val="center"/>
          </w:tcPr>
          <w:p w14:paraId="62AF0C01"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[0.012]</w:t>
            </w:r>
          </w:p>
        </w:tc>
      </w:tr>
      <w:tr w:rsidR="00927125" w:rsidRPr="007115F2" w14:paraId="141C114E" w14:textId="77777777" w:rsidTr="001930F6">
        <w:trPr>
          <w:jc w:val="center"/>
        </w:trPr>
        <w:tc>
          <w:tcPr>
            <w:tcW w:w="3119" w:type="dxa"/>
            <w:shd w:val="clear" w:color="auto" w:fill="FFFFFF"/>
            <w:tcMar>
              <w:top w:w="0" w:type="dxa"/>
              <w:left w:w="0" w:type="dxa"/>
              <w:bottom w:w="0" w:type="dxa"/>
              <w:right w:w="0" w:type="dxa"/>
            </w:tcMar>
            <w:vAlign w:val="center"/>
          </w:tcPr>
          <w:p w14:paraId="0D558C4D" w14:textId="77777777" w:rsidR="00927125" w:rsidRPr="007115F2" w:rsidRDefault="00927125" w:rsidP="007C051A">
            <w:pPr>
              <w:widowControl w:val="0"/>
              <w:autoSpaceDE w:val="0"/>
              <w:autoSpaceDN w:val="0"/>
              <w:adjustRightInd w:val="0"/>
              <w:spacing w:line="240" w:lineRule="auto"/>
              <w:jc w:val="left"/>
              <w:rPr>
                <w:sz w:val="22"/>
              </w:rPr>
            </w:pPr>
            <w:r w:rsidRPr="007115F2">
              <w:rPr>
                <w:sz w:val="22"/>
              </w:rPr>
              <w:t>Prior_Board_Ties</w:t>
            </w:r>
          </w:p>
        </w:tc>
        <w:tc>
          <w:tcPr>
            <w:tcW w:w="1488" w:type="dxa"/>
            <w:shd w:val="clear" w:color="auto" w:fill="FFFFFF"/>
            <w:tcMar>
              <w:top w:w="0" w:type="dxa"/>
              <w:left w:w="0" w:type="dxa"/>
              <w:bottom w:w="0" w:type="dxa"/>
              <w:right w:w="0" w:type="dxa"/>
            </w:tcMar>
            <w:vAlign w:val="center"/>
          </w:tcPr>
          <w:p w14:paraId="25F416C1"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8" w:type="dxa"/>
            <w:shd w:val="clear" w:color="auto" w:fill="FFFFFF"/>
            <w:tcMar>
              <w:top w:w="0" w:type="dxa"/>
              <w:left w:w="0" w:type="dxa"/>
              <w:bottom w:w="0" w:type="dxa"/>
              <w:right w:w="0" w:type="dxa"/>
            </w:tcMar>
            <w:vAlign w:val="center"/>
          </w:tcPr>
          <w:p w14:paraId="2019A71B"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8" w:type="dxa"/>
            <w:shd w:val="clear" w:color="auto" w:fill="FFFFFF"/>
            <w:tcMar>
              <w:top w:w="0" w:type="dxa"/>
              <w:left w:w="0" w:type="dxa"/>
              <w:bottom w:w="0" w:type="dxa"/>
              <w:right w:w="0" w:type="dxa"/>
            </w:tcMar>
            <w:vAlign w:val="center"/>
          </w:tcPr>
          <w:p w14:paraId="132C8B1B"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9" w:type="dxa"/>
            <w:shd w:val="clear" w:color="auto" w:fill="FFFFFF"/>
            <w:tcMar>
              <w:top w:w="0" w:type="dxa"/>
              <w:left w:w="0" w:type="dxa"/>
              <w:bottom w:w="0" w:type="dxa"/>
              <w:right w:w="0" w:type="dxa"/>
            </w:tcMar>
            <w:vAlign w:val="center"/>
          </w:tcPr>
          <w:p w14:paraId="2EE14B8C"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r>
      <w:tr w:rsidR="00927125" w:rsidRPr="007115F2" w14:paraId="6FF95FC8" w14:textId="77777777" w:rsidTr="001930F6">
        <w:trPr>
          <w:jc w:val="center"/>
        </w:trPr>
        <w:tc>
          <w:tcPr>
            <w:tcW w:w="3119" w:type="dxa"/>
            <w:shd w:val="clear" w:color="auto" w:fill="FFFFFF"/>
            <w:tcMar>
              <w:top w:w="0" w:type="dxa"/>
              <w:left w:w="0" w:type="dxa"/>
              <w:bottom w:w="0" w:type="dxa"/>
              <w:right w:w="0" w:type="dxa"/>
            </w:tcMar>
            <w:vAlign w:val="center"/>
          </w:tcPr>
          <w:p w14:paraId="13D08FD7"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shd w:val="clear" w:color="auto" w:fill="FFFFFF"/>
            <w:tcMar>
              <w:top w:w="0" w:type="dxa"/>
              <w:left w:w="0" w:type="dxa"/>
              <w:bottom w:w="0" w:type="dxa"/>
              <w:right w:w="0" w:type="dxa"/>
            </w:tcMar>
            <w:vAlign w:val="center"/>
          </w:tcPr>
          <w:p w14:paraId="432AEEEA"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8" w:type="dxa"/>
            <w:shd w:val="clear" w:color="auto" w:fill="FFFFFF"/>
            <w:tcMar>
              <w:top w:w="0" w:type="dxa"/>
              <w:left w:w="0" w:type="dxa"/>
              <w:bottom w:w="0" w:type="dxa"/>
              <w:right w:w="0" w:type="dxa"/>
            </w:tcMar>
            <w:vAlign w:val="center"/>
          </w:tcPr>
          <w:p w14:paraId="611C6F9B"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8" w:type="dxa"/>
            <w:shd w:val="clear" w:color="auto" w:fill="FFFFFF"/>
            <w:tcMar>
              <w:top w:w="0" w:type="dxa"/>
              <w:left w:w="0" w:type="dxa"/>
              <w:bottom w:w="0" w:type="dxa"/>
              <w:right w:w="0" w:type="dxa"/>
            </w:tcMar>
            <w:vAlign w:val="center"/>
          </w:tcPr>
          <w:p w14:paraId="1AF27D07"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9" w:type="dxa"/>
            <w:shd w:val="clear" w:color="auto" w:fill="FFFFFF"/>
            <w:tcMar>
              <w:top w:w="0" w:type="dxa"/>
              <w:left w:w="0" w:type="dxa"/>
              <w:bottom w:w="0" w:type="dxa"/>
              <w:right w:w="0" w:type="dxa"/>
            </w:tcMar>
            <w:vAlign w:val="center"/>
          </w:tcPr>
          <w:p w14:paraId="63B348B6"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r>
      <w:tr w:rsidR="00927125" w:rsidRPr="007115F2" w14:paraId="27B1D04A" w14:textId="77777777" w:rsidTr="001930F6">
        <w:trPr>
          <w:jc w:val="center"/>
        </w:trPr>
        <w:tc>
          <w:tcPr>
            <w:tcW w:w="3119" w:type="dxa"/>
            <w:shd w:val="clear" w:color="auto" w:fill="FFFFFF"/>
            <w:tcMar>
              <w:top w:w="0" w:type="dxa"/>
              <w:left w:w="0" w:type="dxa"/>
              <w:bottom w:w="0" w:type="dxa"/>
              <w:right w:w="0" w:type="dxa"/>
            </w:tcMar>
            <w:vAlign w:val="center"/>
          </w:tcPr>
          <w:p w14:paraId="4CDC6A8D"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shd w:val="clear" w:color="auto" w:fill="FFFFFF"/>
            <w:tcMar>
              <w:top w:w="0" w:type="dxa"/>
              <w:left w:w="0" w:type="dxa"/>
              <w:bottom w:w="0" w:type="dxa"/>
              <w:right w:w="0" w:type="dxa"/>
            </w:tcMar>
            <w:vAlign w:val="center"/>
          </w:tcPr>
          <w:p w14:paraId="3EF07678"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[0.744]</w:t>
            </w:r>
          </w:p>
        </w:tc>
        <w:tc>
          <w:tcPr>
            <w:tcW w:w="1488" w:type="dxa"/>
            <w:shd w:val="clear" w:color="auto" w:fill="FFFFFF"/>
            <w:tcMar>
              <w:top w:w="0" w:type="dxa"/>
              <w:left w:w="0" w:type="dxa"/>
              <w:bottom w:w="0" w:type="dxa"/>
              <w:right w:w="0" w:type="dxa"/>
            </w:tcMar>
            <w:vAlign w:val="center"/>
          </w:tcPr>
          <w:p w14:paraId="29FDABDE"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[0.312]</w:t>
            </w:r>
          </w:p>
        </w:tc>
        <w:tc>
          <w:tcPr>
            <w:tcW w:w="1488" w:type="dxa"/>
            <w:shd w:val="clear" w:color="auto" w:fill="FFFFFF"/>
            <w:tcMar>
              <w:top w:w="0" w:type="dxa"/>
              <w:left w:w="0" w:type="dxa"/>
              <w:bottom w:w="0" w:type="dxa"/>
              <w:right w:w="0" w:type="dxa"/>
            </w:tcMar>
            <w:vAlign w:val="center"/>
          </w:tcPr>
          <w:p w14:paraId="03B72810"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[0.769]</w:t>
            </w:r>
          </w:p>
        </w:tc>
        <w:tc>
          <w:tcPr>
            <w:tcW w:w="1489" w:type="dxa"/>
            <w:shd w:val="clear" w:color="auto" w:fill="FFFFFF"/>
            <w:tcMar>
              <w:top w:w="0" w:type="dxa"/>
              <w:left w:w="0" w:type="dxa"/>
              <w:bottom w:w="0" w:type="dxa"/>
              <w:right w:w="0" w:type="dxa"/>
            </w:tcMar>
            <w:vAlign w:val="center"/>
          </w:tcPr>
          <w:p w14:paraId="24889B12"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[0.351]</w:t>
            </w:r>
          </w:p>
        </w:tc>
      </w:tr>
      <w:tr w:rsidR="00927125" w:rsidRPr="007115F2" w14:paraId="2F227E23" w14:textId="77777777" w:rsidTr="001930F6">
        <w:trPr>
          <w:jc w:val="center"/>
        </w:trPr>
        <w:tc>
          <w:tcPr>
            <w:tcW w:w="3119" w:type="dxa"/>
            <w:shd w:val="clear" w:color="auto" w:fill="FFFFFF"/>
            <w:tcMar>
              <w:top w:w="0" w:type="dxa"/>
              <w:left w:w="0" w:type="dxa"/>
              <w:bottom w:w="0" w:type="dxa"/>
              <w:right w:w="0" w:type="dxa"/>
            </w:tcMar>
            <w:vAlign w:val="center"/>
          </w:tcPr>
          <w:p w14:paraId="6B907D0C" w14:textId="77777777" w:rsidR="00927125" w:rsidRPr="007115F2" w:rsidRDefault="00927125" w:rsidP="007C051A">
            <w:pPr>
              <w:widowControl w:val="0"/>
              <w:autoSpaceDE w:val="0"/>
              <w:autoSpaceDN w:val="0"/>
              <w:adjustRightInd w:val="0"/>
              <w:spacing w:line="240" w:lineRule="auto"/>
              <w:jc w:val="left"/>
              <w:rPr>
                <w:sz w:val="22"/>
              </w:rPr>
            </w:pPr>
            <w:r w:rsidRPr="007115F2">
              <w:rPr>
                <w:sz w:val="22"/>
              </w:rPr>
              <w:t>Relative_Board_NetworkSize</w:t>
            </w:r>
          </w:p>
        </w:tc>
        <w:tc>
          <w:tcPr>
            <w:tcW w:w="1488" w:type="dxa"/>
            <w:shd w:val="clear" w:color="auto" w:fill="FFFFFF"/>
            <w:tcMar>
              <w:top w:w="0" w:type="dxa"/>
              <w:left w:w="0" w:type="dxa"/>
              <w:bottom w:w="0" w:type="dxa"/>
              <w:right w:w="0" w:type="dxa"/>
            </w:tcMar>
            <w:vAlign w:val="center"/>
          </w:tcPr>
          <w:p w14:paraId="211A3138"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8" w:type="dxa"/>
            <w:shd w:val="clear" w:color="auto" w:fill="FFFFFF"/>
            <w:tcMar>
              <w:top w:w="0" w:type="dxa"/>
              <w:left w:w="0" w:type="dxa"/>
              <w:bottom w:w="0" w:type="dxa"/>
              <w:right w:w="0" w:type="dxa"/>
            </w:tcMar>
            <w:vAlign w:val="center"/>
          </w:tcPr>
          <w:p w14:paraId="04DEEE90"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8" w:type="dxa"/>
            <w:shd w:val="clear" w:color="auto" w:fill="FFFFFF"/>
            <w:tcMar>
              <w:top w:w="0" w:type="dxa"/>
              <w:left w:w="0" w:type="dxa"/>
              <w:bottom w:w="0" w:type="dxa"/>
              <w:right w:w="0" w:type="dxa"/>
            </w:tcMar>
            <w:vAlign w:val="center"/>
          </w:tcPr>
          <w:p w14:paraId="7772CD25"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9" w:type="dxa"/>
            <w:shd w:val="clear" w:color="auto" w:fill="FFFFFF"/>
            <w:tcMar>
              <w:top w:w="0" w:type="dxa"/>
              <w:left w:w="0" w:type="dxa"/>
              <w:bottom w:w="0" w:type="dxa"/>
              <w:right w:w="0" w:type="dxa"/>
            </w:tcMar>
            <w:vAlign w:val="center"/>
          </w:tcPr>
          <w:p w14:paraId="0A35058C"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r>
      <w:tr w:rsidR="00927125" w:rsidRPr="007115F2" w14:paraId="4C0C350B" w14:textId="77777777" w:rsidTr="001930F6">
        <w:trPr>
          <w:jc w:val="center"/>
        </w:trPr>
        <w:tc>
          <w:tcPr>
            <w:tcW w:w="3119" w:type="dxa"/>
            <w:shd w:val="clear" w:color="auto" w:fill="FFFFFF"/>
            <w:tcMar>
              <w:top w:w="0" w:type="dxa"/>
              <w:left w:w="0" w:type="dxa"/>
              <w:bottom w:w="0" w:type="dxa"/>
              <w:right w:w="0" w:type="dxa"/>
            </w:tcMar>
            <w:vAlign w:val="center"/>
          </w:tcPr>
          <w:p w14:paraId="594DD9FB"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shd w:val="clear" w:color="auto" w:fill="FFFFFF"/>
            <w:tcMar>
              <w:top w:w="0" w:type="dxa"/>
              <w:left w:w="0" w:type="dxa"/>
              <w:bottom w:w="0" w:type="dxa"/>
              <w:right w:w="0" w:type="dxa"/>
            </w:tcMar>
            <w:vAlign w:val="center"/>
          </w:tcPr>
          <w:p w14:paraId="1AB06726"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8" w:type="dxa"/>
            <w:shd w:val="clear" w:color="auto" w:fill="FFFFFF"/>
            <w:tcMar>
              <w:top w:w="0" w:type="dxa"/>
              <w:left w:w="0" w:type="dxa"/>
              <w:bottom w:w="0" w:type="dxa"/>
              <w:right w:w="0" w:type="dxa"/>
            </w:tcMar>
            <w:vAlign w:val="center"/>
          </w:tcPr>
          <w:p w14:paraId="7C71E508"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8" w:type="dxa"/>
            <w:shd w:val="clear" w:color="auto" w:fill="FFFFFF"/>
            <w:tcMar>
              <w:top w:w="0" w:type="dxa"/>
              <w:left w:w="0" w:type="dxa"/>
              <w:bottom w:w="0" w:type="dxa"/>
              <w:right w:w="0" w:type="dxa"/>
            </w:tcMar>
            <w:vAlign w:val="center"/>
          </w:tcPr>
          <w:p w14:paraId="386C6801"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9" w:type="dxa"/>
            <w:shd w:val="clear" w:color="auto" w:fill="FFFFFF"/>
            <w:tcMar>
              <w:top w:w="0" w:type="dxa"/>
              <w:left w:w="0" w:type="dxa"/>
              <w:bottom w:w="0" w:type="dxa"/>
              <w:right w:w="0" w:type="dxa"/>
            </w:tcMar>
            <w:vAlign w:val="center"/>
          </w:tcPr>
          <w:p w14:paraId="31DED132"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r>
      <w:tr w:rsidR="00927125" w:rsidRPr="007115F2" w14:paraId="4E57B471" w14:textId="77777777" w:rsidTr="001930F6">
        <w:trPr>
          <w:jc w:val="center"/>
        </w:trPr>
        <w:tc>
          <w:tcPr>
            <w:tcW w:w="3119"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BC496"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15CF2"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[0.872]</w:t>
            </w:r>
          </w:p>
        </w:tc>
        <w:tc>
          <w:tcPr>
            <w:tcW w:w="1488"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7A16F"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[0.462]</w:t>
            </w:r>
          </w:p>
        </w:tc>
        <w:tc>
          <w:tcPr>
            <w:tcW w:w="1488"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8D9EB"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[0.892]</w:t>
            </w:r>
          </w:p>
        </w:tc>
        <w:tc>
          <w:tcPr>
            <w:tcW w:w="1489"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CE7DC"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[0.508]</w:t>
            </w:r>
          </w:p>
        </w:tc>
      </w:tr>
      <w:tr w:rsidR="00927125" w:rsidRPr="007115F2" w14:paraId="21590009"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244DF" w14:textId="77777777" w:rsidR="00927125" w:rsidRPr="007115F2" w:rsidRDefault="00927125" w:rsidP="007C051A">
            <w:pPr>
              <w:widowControl w:val="0"/>
              <w:autoSpaceDE w:val="0"/>
              <w:autoSpaceDN w:val="0"/>
              <w:adjustRightInd w:val="0"/>
              <w:spacing w:line="240" w:lineRule="auto"/>
              <w:jc w:val="left"/>
              <w:rPr>
                <w:sz w:val="22"/>
              </w:rPr>
            </w:pPr>
            <w:r w:rsidRPr="007115F2">
              <w:rPr>
                <w:sz w:val="22"/>
              </w:rPr>
              <w:t>Ln(Total_FirmSize)</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8CF1D"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-0.002</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E7CE7"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-0.003</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A7D03"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-0.002</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AC6CA"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-0.003</w:t>
            </w:r>
          </w:p>
        </w:tc>
      </w:tr>
      <w:tr w:rsidR="00927125" w:rsidRPr="007115F2" w14:paraId="662F41B8"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32C23"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136DE"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(0.001)</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2E21A"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(0.001)</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8D83C"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(0.001)</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C5901"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(0.001)</w:t>
            </w:r>
          </w:p>
        </w:tc>
      </w:tr>
      <w:tr w:rsidR="00927125" w:rsidRPr="007115F2" w14:paraId="4E9D7250"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91F30"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E4B22"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[0.039]</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510E6"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[0.006]</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60E35"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[0.045]</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C1278"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[0.008]</w:t>
            </w:r>
          </w:p>
        </w:tc>
      </w:tr>
      <w:tr w:rsidR="00927125" w:rsidRPr="007115F2" w14:paraId="67D690E1"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75669" w14:textId="77777777" w:rsidR="00927125" w:rsidRPr="007115F2" w:rsidRDefault="00927125" w:rsidP="007C051A">
            <w:pPr>
              <w:widowControl w:val="0"/>
              <w:autoSpaceDE w:val="0"/>
              <w:autoSpaceDN w:val="0"/>
              <w:adjustRightInd w:val="0"/>
              <w:spacing w:line="240" w:lineRule="auto"/>
              <w:jc w:val="left"/>
              <w:rPr>
                <w:sz w:val="22"/>
              </w:rPr>
            </w:pPr>
            <w:r w:rsidRPr="007115F2">
              <w:rPr>
                <w:sz w:val="22"/>
              </w:rPr>
              <w:t>Relative_FirmSize</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AAA7A"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AC3DD"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8E24F"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EAF45"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r>
      <w:tr w:rsidR="00927125" w:rsidRPr="007115F2" w14:paraId="0C4D80B8"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0E507"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EF67D"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2F50C"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FACD1"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5B780"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r>
      <w:tr w:rsidR="00927125" w:rsidRPr="007115F2" w14:paraId="16784657"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FD6CF"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06D02"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[&lt;0.001]</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2CD35"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[&lt;0.001]</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717D0"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[&lt;0.001]</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94AD3"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[&lt;0.001]</w:t>
            </w:r>
          </w:p>
        </w:tc>
      </w:tr>
      <w:tr w:rsidR="00927125" w:rsidRPr="007115F2" w14:paraId="2C08BEE5"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F283C" w14:textId="77777777" w:rsidR="00927125" w:rsidRPr="007115F2" w:rsidRDefault="00927125" w:rsidP="007C051A">
            <w:pPr>
              <w:widowControl w:val="0"/>
              <w:autoSpaceDE w:val="0"/>
              <w:autoSpaceDN w:val="0"/>
              <w:adjustRightInd w:val="0"/>
              <w:spacing w:line="240" w:lineRule="auto"/>
              <w:jc w:val="left"/>
              <w:rPr>
                <w:sz w:val="22"/>
              </w:rPr>
            </w:pPr>
            <w:r w:rsidRPr="007115F2">
              <w:rPr>
                <w:sz w:val="22"/>
              </w:rPr>
              <w:t>Relative_FirmPerformance</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75B36"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0.107</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32984"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0.075</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C9361"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0.108</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ED5B0"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0.075</w:t>
            </w:r>
          </w:p>
        </w:tc>
      </w:tr>
      <w:tr w:rsidR="00927125" w:rsidRPr="007115F2" w14:paraId="794CA2D9"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017B4"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A3D4A"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(0.019)</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E251C"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(0.018)</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28C38"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(0.019)</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A33AA"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(0.018)</w:t>
            </w:r>
          </w:p>
        </w:tc>
      </w:tr>
      <w:tr w:rsidR="00927125" w:rsidRPr="007115F2" w14:paraId="4C610403"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0517A"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2657F"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[0.996]</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CB17A"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[0.241]</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13DDC"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[0.893]</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EDEAB"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[0.221]</w:t>
            </w:r>
          </w:p>
        </w:tc>
      </w:tr>
      <w:tr w:rsidR="00927125" w:rsidRPr="007115F2" w14:paraId="471F77B2"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3C247" w14:textId="77777777" w:rsidR="00927125" w:rsidRPr="007115F2" w:rsidRDefault="00927125" w:rsidP="007C051A">
            <w:pPr>
              <w:widowControl w:val="0"/>
              <w:autoSpaceDE w:val="0"/>
              <w:autoSpaceDN w:val="0"/>
              <w:adjustRightInd w:val="0"/>
              <w:spacing w:line="240" w:lineRule="auto"/>
              <w:jc w:val="left"/>
              <w:rPr>
                <w:sz w:val="22"/>
              </w:rPr>
            </w:pPr>
            <w:r w:rsidRPr="007115F2">
              <w:rPr>
                <w:sz w:val="22"/>
              </w:rPr>
              <w:t>Relative_RDIntensity</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0F9CD"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-0.002</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C2FC6"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-0.005</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193F8"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-0.002</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69785"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-0.005</w:t>
            </w:r>
          </w:p>
        </w:tc>
      </w:tr>
      <w:tr w:rsidR="00927125" w:rsidRPr="007115F2" w14:paraId="1B3F1D92"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FD237"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046B2"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(0.002)</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4F5C7"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(0.002)</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5A857"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(0.002)</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7CB4C"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(0.003)</w:t>
            </w:r>
          </w:p>
        </w:tc>
      </w:tr>
      <w:tr w:rsidR="00927125" w:rsidRPr="007115F2" w14:paraId="181026A8"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E205C"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C5DB6"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[0.678]</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3E55C"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[0.191]</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2D6E2"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[0.715]</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A7B7D"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[0.185]</w:t>
            </w:r>
          </w:p>
        </w:tc>
      </w:tr>
      <w:tr w:rsidR="00927125" w:rsidRPr="007115F2" w14:paraId="4919357C"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7B002" w14:textId="77777777" w:rsidR="00927125" w:rsidRPr="007115F2" w:rsidRDefault="00927125" w:rsidP="007C051A">
            <w:pPr>
              <w:widowControl w:val="0"/>
              <w:autoSpaceDE w:val="0"/>
              <w:autoSpaceDN w:val="0"/>
              <w:adjustRightInd w:val="0"/>
              <w:spacing w:line="240" w:lineRule="auto"/>
              <w:jc w:val="left"/>
              <w:rPr>
                <w:sz w:val="22"/>
              </w:rPr>
            </w:pPr>
            <w:r w:rsidRPr="007115F2">
              <w:rPr>
                <w:sz w:val="22"/>
              </w:rPr>
              <w:t>Relative_AllianceExperience</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80050"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0D0C2"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57832"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0E837"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r>
      <w:tr w:rsidR="00927125" w:rsidRPr="007115F2" w14:paraId="6875EC8F"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5B607"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51E89"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12824"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DB3A8"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23847"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r>
      <w:tr w:rsidR="00927125" w:rsidRPr="007115F2" w14:paraId="50E03454"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111F4"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A759D"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[0.557]</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ED5D0"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[0.224]</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D54DE"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[0.619]</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DAD59"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[0.198]</w:t>
            </w:r>
          </w:p>
        </w:tc>
      </w:tr>
      <w:tr w:rsidR="00927125" w:rsidRPr="007115F2" w14:paraId="241A496B"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4643D" w14:textId="77777777" w:rsidR="00927125" w:rsidRPr="007115F2" w:rsidRDefault="00927125" w:rsidP="007C051A">
            <w:pPr>
              <w:widowControl w:val="0"/>
              <w:autoSpaceDE w:val="0"/>
              <w:autoSpaceDN w:val="0"/>
              <w:adjustRightInd w:val="0"/>
              <w:spacing w:line="240" w:lineRule="auto"/>
              <w:jc w:val="left"/>
              <w:rPr>
                <w:sz w:val="22"/>
              </w:rPr>
            </w:pPr>
            <w:r w:rsidRPr="007115F2">
              <w:rPr>
                <w:sz w:val="22"/>
              </w:rPr>
              <w:t>Alliance_RelationalEmbeddedness</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65D51"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6A824"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D645E"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02438"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r>
      <w:tr w:rsidR="00927125" w:rsidRPr="007115F2" w14:paraId="6960D6CD"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F55E1"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E6191"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(0.001)</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1E6CC"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FE1F8"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(0.001)</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CDA55"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r>
      <w:tr w:rsidR="00927125" w:rsidRPr="007115F2" w14:paraId="64341F1F"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D7434"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FC0C9"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[0.011]</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3CD4F"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[0.011]</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85E4A"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[0.008]</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609D5"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[0.014]</w:t>
            </w:r>
          </w:p>
        </w:tc>
      </w:tr>
      <w:tr w:rsidR="00927125" w:rsidRPr="007115F2" w14:paraId="4FEAF2CF"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AD3EF" w14:textId="77777777" w:rsidR="00927125" w:rsidRPr="007115F2" w:rsidRDefault="00927125" w:rsidP="007C051A">
            <w:pPr>
              <w:widowControl w:val="0"/>
              <w:autoSpaceDE w:val="0"/>
              <w:autoSpaceDN w:val="0"/>
              <w:adjustRightInd w:val="0"/>
              <w:spacing w:line="240" w:lineRule="auto"/>
              <w:jc w:val="left"/>
              <w:rPr>
                <w:sz w:val="22"/>
              </w:rPr>
            </w:pPr>
            <w:r w:rsidRPr="007115F2">
              <w:rPr>
                <w:sz w:val="22"/>
              </w:rPr>
              <w:t>Alliance_StructuralEmbeddedness</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15256"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-0.014</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09745"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-0.004</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7E65E"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-0.015</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D75BE"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-0.004</w:t>
            </w:r>
          </w:p>
        </w:tc>
      </w:tr>
      <w:tr w:rsidR="00927125" w:rsidRPr="007115F2" w14:paraId="0430489F"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1C18D"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AE33D"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(0.007)</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C6AA9"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(0.006)</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4A485"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(0.007)</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854F7"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(0.006)</w:t>
            </w:r>
          </w:p>
        </w:tc>
      </w:tr>
      <w:tr w:rsidR="00927125" w:rsidRPr="007115F2" w14:paraId="52AF3C11"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EBAC7"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034EB"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[0.634]</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ADFEF"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[0.729]</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D8F05"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[0.660]</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47952"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[0.602]</w:t>
            </w:r>
          </w:p>
        </w:tc>
      </w:tr>
      <w:tr w:rsidR="00927125" w:rsidRPr="007115F2" w14:paraId="03EB4908"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04CFE" w14:textId="77777777" w:rsidR="00927125" w:rsidRPr="007115F2" w:rsidRDefault="00927125" w:rsidP="007C051A">
            <w:pPr>
              <w:widowControl w:val="0"/>
              <w:autoSpaceDE w:val="0"/>
              <w:autoSpaceDN w:val="0"/>
              <w:adjustRightInd w:val="0"/>
              <w:spacing w:line="240" w:lineRule="auto"/>
              <w:jc w:val="left"/>
              <w:rPr>
                <w:sz w:val="22"/>
              </w:rPr>
            </w:pPr>
            <w:r w:rsidRPr="007115F2">
              <w:rPr>
                <w:sz w:val="22"/>
              </w:rPr>
              <w:t>JV_Indicator</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66691"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-0.001</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9AEA8"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-0.001</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E1EAC"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-0.001</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B9CCD"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r>
      <w:tr w:rsidR="00927125" w:rsidRPr="007115F2" w14:paraId="10947426"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D623D"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EB00D"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(0.003)</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4C029"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(0.002)</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CABC7"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(0.003)</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6C4B0"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(0.002)</w:t>
            </w:r>
          </w:p>
        </w:tc>
      </w:tr>
      <w:tr w:rsidR="00927125" w:rsidRPr="007115F2" w14:paraId="5DCA3DCE"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891F9"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4D1D3"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[0.517]</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279BA"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[0.320]</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48187"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[0.617]</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9F148"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[0.338]</w:t>
            </w:r>
          </w:p>
        </w:tc>
      </w:tr>
      <w:tr w:rsidR="00927125" w:rsidRPr="007115F2" w14:paraId="69FEC573"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20232" w14:textId="77777777" w:rsidR="00927125" w:rsidRPr="007115F2" w:rsidRDefault="00927125" w:rsidP="007C051A">
            <w:pPr>
              <w:widowControl w:val="0"/>
              <w:autoSpaceDE w:val="0"/>
              <w:autoSpaceDN w:val="0"/>
              <w:adjustRightInd w:val="0"/>
              <w:spacing w:line="240" w:lineRule="auto"/>
              <w:jc w:val="left"/>
              <w:rPr>
                <w:sz w:val="22"/>
              </w:rPr>
            </w:pPr>
            <w:r w:rsidRPr="007115F2">
              <w:rPr>
                <w:sz w:val="22"/>
              </w:rPr>
              <w:t>Equity_Indicator</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B0364"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0.004</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DFB41"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0.006</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CC40F"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0.004</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A25F4"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0.006</w:t>
            </w:r>
          </w:p>
        </w:tc>
      </w:tr>
      <w:tr w:rsidR="00927125" w:rsidRPr="007115F2" w14:paraId="35B60CB5"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9C0E0"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94FB4"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(0.007)</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38FD3"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(0.009)</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1468D"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(0.007)</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C7233"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(0.009)</w:t>
            </w:r>
          </w:p>
        </w:tc>
      </w:tr>
      <w:tr w:rsidR="00927125" w:rsidRPr="007115F2" w14:paraId="74CF8E3A"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25119"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E01A6"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[0.479]</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227C7"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[0.318]</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CDB7A"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[0.439]</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CBD86"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[0.213]</w:t>
            </w:r>
          </w:p>
        </w:tc>
      </w:tr>
      <w:tr w:rsidR="00927125" w:rsidRPr="007115F2" w14:paraId="62827FD1"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02B06" w14:textId="77777777" w:rsidR="00927125" w:rsidRPr="007115F2" w:rsidRDefault="00927125" w:rsidP="007C051A">
            <w:pPr>
              <w:widowControl w:val="0"/>
              <w:autoSpaceDE w:val="0"/>
              <w:autoSpaceDN w:val="0"/>
              <w:adjustRightInd w:val="0"/>
              <w:spacing w:line="240" w:lineRule="auto"/>
              <w:jc w:val="left"/>
              <w:rPr>
                <w:sz w:val="22"/>
              </w:rPr>
            </w:pPr>
            <w:r w:rsidRPr="007115F2">
              <w:rPr>
                <w:sz w:val="22"/>
              </w:rPr>
              <w:t>Technology_Indicator</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F6B03"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8FFCC"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0.001</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A074E"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71F24"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0.001</w:t>
            </w:r>
          </w:p>
        </w:tc>
      </w:tr>
      <w:tr w:rsidR="00927125" w:rsidRPr="007115F2" w14:paraId="20F583BE"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E69AA"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87872"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(0.002)</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19782"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(0.002)</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E5E3A"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(0.001)</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17E41"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(0.001)</w:t>
            </w:r>
          </w:p>
        </w:tc>
      </w:tr>
      <w:tr w:rsidR="00927125" w:rsidRPr="007115F2" w14:paraId="6A79E734"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BDAE1"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8AED2"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[0.999]</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79A44"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[0.436]</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5CC70"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[0.980]</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0C533"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[0.368]</w:t>
            </w:r>
          </w:p>
        </w:tc>
      </w:tr>
      <w:tr w:rsidR="00927125" w:rsidRPr="007115F2" w14:paraId="6EA17581"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7A023" w14:textId="77777777" w:rsidR="00927125" w:rsidRPr="007115F2" w:rsidRDefault="00927125" w:rsidP="007C051A">
            <w:pPr>
              <w:widowControl w:val="0"/>
              <w:autoSpaceDE w:val="0"/>
              <w:autoSpaceDN w:val="0"/>
              <w:adjustRightInd w:val="0"/>
              <w:spacing w:line="240" w:lineRule="auto"/>
              <w:jc w:val="left"/>
              <w:rPr>
                <w:sz w:val="22"/>
              </w:rPr>
            </w:pPr>
            <w:r w:rsidRPr="007115F2">
              <w:rPr>
                <w:sz w:val="22"/>
              </w:rPr>
              <w:t>ExplorationAlliance_Indicator</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74E48"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-0.003</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30BC0"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-0.005</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6BEA9"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-0.003</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D2140"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-0.005</w:t>
            </w:r>
          </w:p>
        </w:tc>
      </w:tr>
      <w:tr w:rsidR="00927125" w:rsidRPr="007115F2" w14:paraId="48A39F27"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5CD39"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EEB2F"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(0.002)</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13DFF"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(0.002)</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423E5"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(0.002)</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1F43E"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(0.002)</w:t>
            </w:r>
          </w:p>
        </w:tc>
      </w:tr>
      <w:tr w:rsidR="00927125" w:rsidRPr="007115F2" w14:paraId="0F3B9AA9"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D7097"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51E08"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[0.234]</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DF632"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[0.247]</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A951C"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[0.209]</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72ED0"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[0.208]</w:t>
            </w:r>
          </w:p>
        </w:tc>
      </w:tr>
      <w:tr w:rsidR="00927125" w:rsidRPr="007115F2" w14:paraId="754C4B91"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9089A" w14:textId="77777777" w:rsidR="00927125" w:rsidRPr="007115F2" w:rsidRDefault="00927125" w:rsidP="007C051A">
            <w:pPr>
              <w:widowControl w:val="0"/>
              <w:autoSpaceDE w:val="0"/>
              <w:autoSpaceDN w:val="0"/>
              <w:adjustRightInd w:val="0"/>
              <w:spacing w:line="240" w:lineRule="auto"/>
              <w:jc w:val="left"/>
              <w:rPr>
                <w:sz w:val="22"/>
              </w:rPr>
            </w:pPr>
            <w:r w:rsidRPr="007115F2">
              <w:rPr>
                <w:sz w:val="22"/>
              </w:rPr>
              <w:t>InternationalAlliance_Indicator</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BF986"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07400"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0.001</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F1A9D"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CC131"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0.001</w:t>
            </w:r>
          </w:p>
        </w:tc>
      </w:tr>
      <w:tr w:rsidR="00927125" w:rsidRPr="007115F2" w14:paraId="7BAE0772"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BE08E"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26A32"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(0.003)</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0EC5C"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(0.002)</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86A59"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(0.003)</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4CBE0"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(0.002)</w:t>
            </w:r>
          </w:p>
        </w:tc>
      </w:tr>
      <w:tr w:rsidR="00927125" w:rsidRPr="007115F2" w14:paraId="6BDA1EC6"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08DA9"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76B54"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[0.143]</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D54AD"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[0.102]</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63E8D"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[0.121]</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A6890"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[0.124]</w:t>
            </w:r>
          </w:p>
        </w:tc>
      </w:tr>
      <w:tr w:rsidR="00927125" w:rsidRPr="007115F2" w14:paraId="425C809A"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B7031" w14:textId="77777777" w:rsidR="00927125" w:rsidRPr="007115F2" w:rsidRDefault="00927125" w:rsidP="007C051A">
            <w:pPr>
              <w:widowControl w:val="0"/>
              <w:autoSpaceDE w:val="0"/>
              <w:autoSpaceDN w:val="0"/>
              <w:adjustRightInd w:val="0"/>
              <w:spacing w:line="240" w:lineRule="auto"/>
              <w:jc w:val="left"/>
              <w:rPr>
                <w:sz w:val="22"/>
              </w:rPr>
            </w:pPr>
            <w:r w:rsidRPr="007115F2">
              <w:rPr>
                <w:sz w:val="22"/>
              </w:rPr>
              <w:t>Relatedness_Indicator</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BCEC2"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-0.001</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7C2D7"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-0.002</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A8E31"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-0.002</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DD0B4"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-0.003</w:t>
            </w:r>
          </w:p>
        </w:tc>
      </w:tr>
      <w:tr w:rsidR="00927125" w:rsidRPr="007115F2" w14:paraId="0FE4C8DF"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E6D7B"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B0A36"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(0.003)</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37D47"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(0.002)</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9E775"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(0.003)</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1451A"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(0.002)</w:t>
            </w:r>
          </w:p>
        </w:tc>
      </w:tr>
      <w:tr w:rsidR="00927125" w:rsidRPr="007115F2" w14:paraId="5993C9F9"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ABEFE"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E0803"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[0.604]</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650F4"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[0.501]</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C6FD8"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[0.820]</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B64B8"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[0.640]</w:t>
            </w:r>
          </w:p>
        </w:tc>
      </w:tr>
      <w:tr w:rsidR="00927125" w:rsidRPr="007115F2" w14:paraId="24C71C7D"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83B36" w14:textId="77777777" w:rsidR="00927125" w:rsidRPr="007115F2" w:rsidRDefault="00927125" w:rsidP="007C051A">
            <w:pPr>
              <w:widowControl w:val="0"/>
              <w:autoSpaceDE w:val="0"/>
              <w:autoSpaceDN w:val="0"/>
              <w:adjustRightInd w:val="0"/>
              <w:spacing w:line="240" w:lineRule="auto"/>
              <w:jc w:val="left"/>
              <w:rPr>
                <w:sz w:val="22"/>
              </w:rPr>
            </w:pPr>
            <w:r w:rsidRPr="007115F2">
              <w:rPr>
                <w:sz w:val="22"/>
              </w:rPr>
              <w:t>Industry_Growth</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453B8"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0.002</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C902A"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0.003</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35853"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0.002</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0436A"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0.004</w:t>
            </w:r>
          </w:p>
        </w:tc>
      </w:tr>
      <w:tr w:rsidR="00927125" w:rsidRPr="007115F2" w14:paraId="241CCEC8"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CBF3B"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0E969"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(0.005)</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75D13"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(0.004)</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A8C60"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(0.005)</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81CFC"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(0.004)</w:t>
            </w:r>
          </w:p>
        </w:tc>
      </w:tr>
      <w:tr w:rsidR="00927125" w:rsidRPr="007115F2" w14:paraId="6D57990A"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5A354"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78ABC"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[0.030]</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21123"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[0.173]</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82E7A"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[0.027]</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BD217"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[0.189]</w:t>
            </w:r>
          </w:p>
        </w:tc>
      </w:tr>
      <w:tr w:rsidR="00927125" w:rsidRPr="007115F2" w14:paraId="2877D900"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708EC" w14:textId="77777777" w:rsidR="00927125" w:rsidRPr="007115F2" w:rsidRDefault="00927125" w:rsidP="007C051A">
            <w:pPr>
              <w:widowControl w:val="0"/>
              <w:autoSpaceDE w:val="0"/>
              <w:autoSpaceDN w:val="0"/>
              <w:adjustRightInd w:val="0"/>
              <w:spacing w:line="240" w:lineRule="auto"/>
              <w:jc w:val="left"/>
              <w:rPr>
                <w:sz w:val="22"/>
              </w:rPr>
            </w:pPr>
            <w:r w:rsidRPr="007115F2">
              <w:rPr>
                <w:sz w:val="22"/>
              </w:rPr>
              <w:t>Industry_Complementarity</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E1BFA"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42249"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0.001</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4038B"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8A7BC"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0.001</w:t>
            </w:r>
          </w:p>
        </w:tc>
      </w:tr>
      <w:tr w:rsidR="00927125" w:rsidRPr="007115F2" w14:paraId="486AC3A2"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C98AA"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9660E"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(0.004)</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D1F0D"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(0.004)</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CE1DC"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(0.004)</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167DF"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(0.004)</w:t>
            </w:r>
          </w:p>
        </w:tc>
      </w:tr>
      <w:tr w:rsidR="00927125" w:rsidRPr="007115F2" w14:paraId="372DC038"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FEDCD"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2A40C"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[0.214]</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C1A48"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[0.357]</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8FF4A"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[0.190]</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6B07E"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[0.355]</w:t>
            </w:r>
          </w:p>
        </w:tc>
      </w:tr>
      <w:tr w:rsidR="00927125" w:rsidRPr="007115F2" w14:paraId="14DD0ED1"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3F424" w14:textId="77777777" w:rsidR="00927125" w:rsidRPr="007115F2" w:rsidRDefault="00927125" w:rsidP="007C051A">
            <w:pPr>
              <w:widowControl w:val="0"/>
              <w:autoSpaceDE w:val="0"/>
              <w:autoSpaceDN w:val="0"/>
              <w:adjustRightInd w:val="0"/>
              <w:spacing w:line="240" w:lineRule="auto"/>
              <w:jc w:val="left"/>
              <w:rPr>
                <w:sz w:val="22"/>
              </w:rPr>
            </w:pPr>
            <w:r w:rsidRPr="007115F2">
              <w:rPr>
                <w:sz w:val="22"/>
              </w:rPr>
              <w:t>Industry_RelatedScope</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9F413"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5656D"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0EF6D"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DE092"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r>
      <w:tr w:rsidR="00927125" w:rsidRPr="007115F2" w14:paraId="36199F5A"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E303A"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D2C24"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3195A"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054FB"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8FF5E"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(0.000)</w:t>
            </w:r>
          </w:p>
        </w:tc>
      </w:tr>
      <w:tr w:rsidR="00927125" w:rsidRPr="007115F2" w14:paraId="0990E372" w14:textId="77777777" w:rsidTr="001930F6">
        <w:trPr>
          <w:jc w:val="center"/>
        </w:trPr>
        <w:tc>
          <w:tcPr>
            <w:tcW w:w="31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3103F" w14:textId="77777777" w:rsidR="00927125" w:rsidRPr="007115F2" w:rsidRDefault="00927125" w:rsidP="007C051A">
            <w:pPr>
              <w:widowControl w:val="0"/>
              <w:autoSpaceDE w:val="0"/>
              <w:autoSpaceDN w:val="0"/>
              <w:adjustRightInd w:val="0"/>
              <w:spacing w:line="240" w:lineRule="auto"/>
              <w:jc w:val="left"/>
              <w:rPr>
                <w:sz w:val="22"/>
              </w:rPr>
            </w:pP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2FE7A"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[0.094]</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97401"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[0.431]</w:t>
            </w:r>
          </w:p>
        </w:tc>
        <w:tc>
          <w:tcPr>
            <w:tcW w:w="14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3EA21"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[0.141]</w:t>
            </w:r>
          </w:p>
        </w:tc>
        <w:tc>
          <w:tcPr>
            <w:tcW w:w="1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9F4CC" w14:textId="77777777" w:rsidR="00927125" w:rsidRPr="007115F2" w:rsidRDefault="00927125" w:rsidP="007C051A">
            <w:pPr>
              <w:widowControl w:val="0"/>
              <w:autoSpaceDE w:val="0"/>
              <w:autoSpaceDN w:val="0"/>
              <w:adjustRightInd w:val="0"/>
              <w:spacing w:line="240" w:lineRule="auto"/>
              <w:jc w:val="center"/>
              <w:rPr>
                <w:sz w:val="22"/>
              </w:rPr>
            </w:pPr>
            <w:r w:rsidRPr="007115F2">
              <w:rPr>
                <w:rFonts w:eastAsia="Helvetica"/>
                <w:sz w:val="22"/>
              </w:rPr>
              <w:t>[0.441]</w:t>
            </w:r>
          </w:p>
        </w:tc>
      </w:tr>
      <w:tr w:rsidR="00927125" w:rsidRPr="007115F2" w14:paraId="4F0C2B3A" w14:textId="77777777" w:rsidTr="001930F6">
        <w:trPr>
          <w:jc w:val="center"/>
        </w:trPr>
        <w:tc>
          <w:tcPr>
            <w:tcW w:w="3119" w:type="dxa"/>
            <w:shd w:val="clear" w:color="auto" w:fill="FFFFFF"/>
            <w:tcMar>
              <w:top w:w="0" w:type="dxa"/>
              <w:left w:w="0" w:type="dxa"/>
              <w:bottom w:w="0" w:type="dxa"/>
              <w:right w:w="0" w:type="dxa"/>
            </w:tcMar>
            <w:vAlign w:val="center"/>
          </w:tcPr>
          <w:p w14:paraId="16723BC6" w14:textId="77777777" w:rsidR="00927125" w:rsidRPr="007115F2" w:rsidRDefault="00927125" w:rsidP="007C051A">
            <w:pPr>
              <w:widowControl w:val="0"/>
              <w:autoSpaceDE w:val="0"/>
              <w:autoSpaceDN w:val="0"/>
              <w:adjustRightInd w:val="0"/>
              <w:spacing w:line="240" w:lineRule="auto"/>
              <w:jc w:val="left"/>
              <w:rPr>
                <w:sz w:val="22"/>
              </w:rPr>
            </w:pPr>
            <w:r w:rsidRPr="007115F2">
              <w:rPr>
                <w:sz w:val="22"/>
              </w:rPr>
              <w:t>Year FE</w:t>
            </w:r>
          </w:p>
        </w:tc>
        <w:tc>
          <w:tcPr>
            <w:tcW w:w="1488" w:type="dxa"/>
            <w:shd w:val="clear" w:color="auto" w:fill="FFFFFF"/>
            <w:tcMar>
              <w:top w:w="0" w:type="dxa"/>
              <w:left w:w="0" w:type="dxa"/>
              <w:bottom w:w="0" w:type="dxa"/>
              <w:right w:w="0" w:type="dxa"/>
            </w:tcMar>
            <w:vAlign w:val="center"/>
          </w:tcPr>
          <w:p w14:paraId="376BC69D"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True</w:t>
            </w:r>
          </w:p>
        </w:tc>
        <w:tc>
          <w:tcPr>
            <w:tcW w:w="1488" w:type="dxa"/>
            <w:shd w:val="clear" w:color="auto" w:fill="FFFFFF"/>
            <w:tcMar>
              <w:top w:w="0" w:type="dxa"/>
              <w:left w:w="0" w:type="dxa"/>
              <w:bottom w:w="0" w:type="dxa"/>
              <w:right w:w="0" w:type="dxa"/>
            </w:tcMar>
            <w:vAlign w:val="center"/>
          </w:tcPr>
          <w:p w14:paraId="3CAF4AE7"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True</w:t>
            </w:r>
          </w:p>
        </w:tc>
        <w:tc>
          <w:tcPr>
            <w:tcW w:w="1488" w:type="dxa"/>
            <w:shd w:val="clear" w:color="auto" w:fill="FFFFFF"/>
            <w:tcMar>
              <w:top w:w="0" w:type="dxa"/>
              <w:left w:w="0" w:type="dxa"/>
              <w:bottom w:w="0" w:type="dxa"/>
              <w:right w:w="0" w:type="dxa"/>
            </w:tcMar>
            <w:vAlign w:val="center"/>
          </w:tcPr>
          <w:p w14:paraId="2BD95FE7"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True</w:t>
            </w:r>
          </w:p>
        </w:tc>
        <w:tc>
          <w:tcPr>
            <w:tcW w:w="1489" w:type="dxa"/>
            <w:shd w:val="clear" w:color="auto" w:fill="FFFFFF"/>
            <w:tcMar>
              <w:top w:w="0" w:type="dxa"/>
              <w:left w:w="0" w:type="dxa"/>
              <w:bottom w:w="0" w:type="dxa"/>
              <w:right w:w="0" w:type="dxa"/>
            </w:tcMar>
            <w:vAlign w:val="center"/>
          </w:tcPr>
          <w:p w14:paraId="4D40EE8B"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True</w:t>
            </w:r>
          </w:p>
        </w:tc>
      </w:tr>
      <w:tr w:rsidR="00927125" w:rsidRPr="007115F2" w14:paraId="65AB82DA" w14:textId="77777777" w:rsidTr="001930F6">
        <w:trPr>
          <w:jc w:val="center"/>
        </w:trPr>
        <w:tc>
          <w:tcPr>
            <w:tcW w:w="3119" w:type="dxa"/>
            <w:shd w:val="clear" w:color="auto" w:fill="FFFFFF"/>
            <w:tcMar>
              <w:top w:w="0" w:type="dxa"/>
              <w:left w:w="0" w:type="dxa"/>
              <w:bottom w:w="0" w:type="dxa"/>
              <w:right w:w="0" w:type="dxa"/>
            </w:tcMar>
            <w:vAlign w:val="center"/>
          </w:tcPr>
          <w:p w14:paraId="20E33D05" w14:textId="77777777" w:rsidR="00927125" w:rsidRPr="007115F2" w:rsidRDefault="00927125" w:rsidP="007C051A">
            <w:pPr>
              <w:widowControl w:val="0"/>
              <w:autoSpaceDE w:val="0"/>
              <w:autoSpaceDN w:val="0"/>
              <w:adjustRightInd w:val="0"/>
              <w:spacing w:line="240" w:lineRule="auto"/>
              <w:jc w:val="left"/>
              <w:rPr>
                <w:sz w:val="22"/>
              </w:rPr>
            </w:pPr>
            <w:r w:rsidRPr="007115F2">
              <w:rPr>
                <w:sz w:val="22"/>
              </w:rPr>
              <w:t>Industry Combination FE</w:t>
            </w:r>
          </w:p>
        </w:tc>
        <w:tc>
          <w:tcPr>
            <w:tcW w:w="1488" w:type="dxa"/>
            <w:shd w:val="clear" w:color="auto" w:fill="FFFFFF"/>
            <w:tcMar>
              <w:top w:w="0" w:type="dxa"/>
              <w:left w:w="0" w:type="dxa"/>
              <w:bottom w:w="0" w:type="dxa"/>
              <w:right w:w="0" w:type="dxa"/>
            </w:tcMar>
            <w:vAlign w:val="center"/>
          </w:tcPr>
          <w:p w14:paraId="48A8A057"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True</w:t>
            </w:r>
          </w:p>
        </w:tc>
        <w:tc>
          <w:tcPr>
            <w:tcW w:w="1488" w:type="dxa"/>
            <w:shd w:val="clear" w:color="auto" w:fill="FFFFFF"/>
            <w:tcMar>
              <w:top w:w="0" w:type="dxa"/>
              <w:left w:w="0" w:type="dxa"/>
              <w:bottom w:w="0" w:type="dxa"/>
              <w:right w:w="0" w:type="dxa"/>
            </w:tcMar>
            <w:vAlign w:val="center"/>
          </w:tcPr>
          <w:p w14:paraId="081BF3F0"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True</w:t>
            </w:r>
          </w:p>
        </w:tc>
        <w:tc>
          <w:tcPr>
            <w:tcW w:w="1488" w:type="dxa"/>
            <w:shd w:val="clear" w:color="auto" w:fill="FFFFFF"/>
            <w:tcMar>
              <w:top w:w="0" w:type="dxa"/>
              <w:left w:w="0" w:type="dxa"/>
              <w:bottom w:w="0" w:type="dxa"/>
              <w:right w:w="0" w:type="dxa"/>
            </w:tcMar>
            <w:vAlign w:val="center"/>
          </w:tcPr>
          <w:p w14:paraId="3369F8DC"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True</w:t>
            </w:r>
          </w:p>
        </w:tc>
        <w:tc>
          <w:tcPr>
            <w:tcW w:w="1489" w:type="dxa"/>
            <w:shd w:val="clear" w:color="auto" w:fill="FFFFFF"/>
            <w:tcMar>
              <w:top w:w="0" w:type="dxa"/>
              <w:left w:w="0" w:type="dxa"/>
              <w:bottom w:w="0" w:type="dxa"/>
              <w:right w:w="0" w:type="dxa"/>
            </w:tcMar>
            <w:vAlign w:val="center"/>
          </w:tcPr>
          <w:p w14:paraId="037CCC05"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True</w:t>
            </w:r>
          </w:p>
        </w:tc>
      </w:tr>
      <w:tr w:rsidR="00927125" w:rsidRPr="007115F2" w14:paraId="67CFAD35" w14:textId="77777777" w:rsidTr="001930F6">
        <w:trPr>
          <w:jc w:val="center"/>
        </w:trPr>
        <w:tc>
          <w:tcPr>
            <w:tcW w:w="3119" w:type="dxa"/>
            <w:shd w:val="clear" w:color="auto" w:fill="FFFFFF"/>
            <w:tcMar>
              <w:top w:w="0" w:type="dxa"/>
              <w:left w:w="0" w:type="dxa"/>
              <w:bottom w:w="0" w:type="dxa"/>
              <w:right w:w="0" w:type="dxa"/>
            </w:tcMar>
            <w:vAlign w:val="center"/>
          </w:tcPr>
          <w:p w14:paraId="7FC7D762" w14:textId="77777777" w:rsidR="00927125" w:rsidRPr="007115F2" w:rsidRDefault="00927125" w:rsidP="007C051A">
            <w:pPr>
              <w:widowControl w:val="0"/>
              <w:autoSpaceDE w:val="0"/>
              <w:autoSpaceDN w:val="0"/>
              <w:adjustRightInd w:val="0"/>
              <w:spacing w:line="240" w:lineRule="auto"/>
              <w:jc w:val="left"/>
              <w:rPr>
                <w:sz w:val="22"/>
              </w:rPr>
            </w:pPr>
            <w:r w:rsidRPr="007115F2">
              <w:rPr>
                <w:sz w:val="22"/>
              </w:rPr>
              <w:t>Adjusted R-Squared</w:t>
            </w:r>
          </w:p>
        </w:tc>
        <w:tc>
          <w:tcPr>
            <w:tcW w:w="1488" w:type="dxa"/>
            <w:shd w:val="clear" w:color="auto" w:fill="FFFFFF"/>
            <w:tcMar>
              <w:top w:w="0" w:type="dxa"/>
              <w:left w:w="0" w:type="dxa"/>
              <w:bottom w:w="0" w:type="dxa"/>
              <w:right w:w="0" w:type="dxa"/>
            </w:tcMar>
            <w:vAlign w:val="center"/>
          </w:tcPr>
          <w:p w14:paraId="309EC3E9"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0.164</w:t>
            </w:r>
          </w:p>
        </w:tc>
        <w:tc>
          <w:tcPr>
            <w:tcW w:w="1488" w:type="dxa"/>
            <w:shd w:val="clear" w:color="auto" w:fill="FFFFFF"/>
            <w:tcMar>
              <w:top w:w="0" w:type="dxa"/>
              <w:left w:w="0" w:type="dxa"/>
              <w:bottom w:w="0" w:type="dxa"/>
              <w:right w:w="0" w:type="dxa"/>
            </w:tcMar>
            <w:vAlign w:val="center"/>
          </w:tcPr>
          <w:p w14:paraId="55CE9E7B"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0.150</w:t>
            </w:r>
          </w:p>
        </w:tc>
        <w:tc>
          <w:tcPr>
            <w:tcW w:w="1488" w:type="dxa"/>
            <w:shd w:val="clear" w:color="auto" w:fill="FFFFFF"/>
            <w:tcMar>
              <w:top w:w="0" w:type="dxa"/>
              <w:left w:w="0" w:type="dxa"/>
              <w:bottom w:w="0" w:type="dxa"/>
              <w:right w:w="0" w:type="dxa"/>
            </w:tcMar>
            <w:vAlign w:val="center"/>
          </w:tcPr>
          <w:p w14:paraId="72A2B08B"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0.160</w:t>
            </w:r>
          </w:p>
        </w:tc>
        <w:tc>
          <w:tcPr>
            <w:tcW w:w="1489" w:type="dxa"/>
            <w:shd w:val="clear" w:color="auto" w:fill="FFFFFF"/>
            <w:tcMar>
              <w:top w:w="0" w:type="dxa"/>
              <w:left w:w="0" w:type="dxa"/>
              <w:bottom w:w="0" w:type="dxa"/>
              <w:right w:w="0" w:type="dxa"/>
            </w:tcMar>
            <w:vAlign w:val="center"/>
          </w:tcPr>
          <w:p w14:paraId="665BB8DC" w14:textId="77777777" w:rsidR="00927125" w:rsidRPr="007115F2" w:rsidRDefault="00927125" w:rsidP="007C051A">
            <w:pPr>
              <w:widowControl w:val="0"/>
              <w:autoSpaceDE w:val="0"/>
              <w:autoSpaceDN w:val="0"/>
              <w:adjustRightInd w:val="0"/>
              <w:spacing w:line="240" w:lineRule="auto"/>
              <w:jc w:val="center"/>
              <w:rPr>
                <w:sz w:val="22"/>
              </w:rPr>
            </w:pPr>
            <w:r w:rsidRPr="007115F2">
              <w:rPr>
                <w:sz w:val="22"/>
              </w:rPr>
              <w:t>0.146</w:t>
            </w:r>
          </w:p>
        </w:tc>
      </w:tr>
      <w:tr w:rsidR="00927125" w:rsidRPr="007115F2" w14:paraId="199F672E" w14:textId="77777777" w:rsidTr="001930F6">
        <w:trPr>
          <w:jc w:val="center"/>
        </w:trPr>
        <w:tc>
          <w:tcPr>
            <w:tcW w:w="3119" w:type="dxa"/>
            <w:tcBorders>
              <w:bottom w:val="single" w:sz="4" w:space="0" w:color="auto"/>
            </w:tcBorders>
            <w:shd w:val="clear" w:color="auto" w:fill="FFFFFF"/>
            <w:tcMar>
              <w:top w:w="0" w:type="dxa"/>
              <w:left w:w="0" w:type="dxa"/>
              <w:bottom w:w="0" w:type="dxa"/>
              <w:right w:w="0" w:type="dxa"/>
            </w:tcMar>
            <w:vAlign w:val="center"/>
          </w:tcPr>
          <w:p w14:paraId="2534A991" w14:textId="77777777" w:rsidR="00927125" w:rsidRPr="007115F2" w:rsidRDefault="00927125" w:rsidP="007C051A">
            <w:pPr>
              <w:widowControl w:val="0"/>
              <w:autoSpaceDE w:val="0"/>
              <w:autoSpaceDN w:val="0"/>
              <w:adjustRightInd w:val="0"/>
              <w:spacing w:line="240" w:lineRule="auto"/>
              <w:jc w:val="left"/>
              <w:rPr>
                <w:color w:val="000000" w:themeColor="text1"/>
                <w:sz w:val="22"/>
              </w:rPr>
            </w:pPr>
            <w:r w:rsidRPr="007115F2">
              <w:rPr>
                <w:color w:val="000000" w:themeColor="text1"/>
                <w:sz w:val="22"/>
              </w:rPr>
              <w:t>Observations</w:t>
            </w:r>
          </w:p>
        </w:tc>
        <w:tc>
          <w:tcPr>
            <w:tcW w:w="1488" w:type="dxa"/>
            <w:tcBorders>
              <w:bottom w:val="single" w:sz="4" w:space="0" w:color="auto"/>
            </w:tcBorders>
            <w:shd w:val="clear" w:color="auto" w:fill="FFFFFF"/>
            <w:tcMar>
              <w:top w:w="0" w:type="dxa"/>
              <w:left w:w="0" w:type="dxa"/>
              <w:bottom w:w="0" w:type="dxa"/>
              <w:right w:w="0" w:type="dxa"/>
            </w:tcMar>
            <w:vAlign w:val="center"/>
          </w:tcPr>
          <w:p w14:paraId="7059D4F2" w14:textId="77777777" w:rsidR="00927125" w:rsidRPr="007115F2" w:rsidRDefault="00927125"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1,528</w:t>
            </w:r>
          </w:p>
        </w:tc>
        <w:tc>
          <w:tcPr>
            <w:tcW w:w="1488" w:type="dxa"/>
            <w:tcBorders>
              <w:bottom w:val="single" w:sz="4" w:space="0" w:color="auto"/>
            </w:tcBorders>
            <w:shd w:val="clear" w:color="auto" w:fill="FFFFFF"/>
            <w:tcMar>
              <w:top w:w="0" w:type="dxa"/>
              <w:left w:w="0" w:type="dxa"/>
              <w:bottom w:w="0" w:type="dxa"/>
              <w:right w:w="0" w:type="dxa"/>
            </w:tcMar>
            <w:vAlign w:val="center"/>
          </w:tcPr>
          <w:p w14:paraId="414B4DBC" w14:textId="77777777" w:rsidR="00927125" w:rsidRPr="007115F2" w:rsidRDefault="00927125"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1,824</w:t>
            </w:r>
          </w:p>
        </w:tc>
        <w:tc>
          <w:tcPr>
            <w:tcW w:w="1488" w:type="dxa"/>
            <w:tcBorders>
              <w:bottom w:val="single" w:sz="4" w:space="0" w:color="auto"/>
            </w:tcBorders>
            <w:shd w:val="clear" w:color="auto" w:fill="FFFFFF"/>
            <w:tcMar>
              <w:top w:w="0" w:type="dxa"/>
              <w:left w:w="0" w:type="dxa"/>
              <w:bottom w:w="0" w:type="dxa"/>
              <w:right w:w="0" w:type="dxa"/>
            </w:tcMar>
            <w:vAlign w:val="center"/>
          </w:tcPr>
          <w:p w14:paraId="00F20F06" w14:textId="77777777" w:rsidR="00927125" w:rsidRPr="007115F2" w:rsidRDefault="00927125"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1,528</w:t>
            </w:r>
          </w:p>
        </w:tc>
        <w:tc>
          <w:tcPr>
            <w:tcW w:w="1489" w:type="dxa"/>
            <w:tcBorders>
              <w:bottom w:val="single" w:sz="4" w:space="0" w:color="auto"/>
            </w:tcBorders>
            <w:shd w:val="clear" w:color="auto" w:fill="FFFFFF"/>
            <w:tcMar>
              <w:top w:w="0" w:type="dxa"/>
              <w:left w:w="0" w:type="dxa"/>
              <w:bottom w:w="0" w:type="dxa"/>
              <w:right w:w="0" w:type="dxa"/>
            </w:tcMar>
            <w:vAlign w:val="center"/>
          </w:tcPr>
          <w:p w14:paraId="613717F8" w14:textId="77777777" w:rsidR="00927125" w:rsidRPr="007115F2" w:rsidRDefault="00927125"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1,824</w:t>
            </w:r>
          </w:p>
        </w:tc>
      </w:tr>
      <w:tr w:rsidR="00927125" w:rsidRPr="00BE5632" w14:paraId="0056D5B7" w14:textId="77777777" w:rsidTr="001930F6">
        <w:trPr>
          <w:jc w:val="center"/>
        </w:trPr>
        <w:tc>
          <w:tcPr>
            <w:tcW w:w="9072" w:type="dxa"/>
            <w:gridSpan w:val="5"/>
            <w:tcBorders>
              <w:top w:val="single" w:sz="4" w:space="0" w:color="auto"/>
            </w:tcBorders>
            <w:shd w:val="clear" w:color="auto" w:fill="FFFFFF"/>
            <w:tcMar>
              <w:top w:w="0" w:type="dxa"/>
              <w:left w:w="0" w:type="dxa"/>
              <w:bottom w:w="0" w:type="dxa"/>
              <w:right w:w="0" w:type="dxa"/>
            </w:tcMar>
            <w:vAlign w:val="center"/>
          </w:tcPr>
          <w:p w14:paraId="134605BD" w14:textId="77777777" w:rsidR="00927125" w:rsidRPr="007115F2" w:rsidRDefault="00927125" w:rsidP="00D137E4">
            <w:pPr>
              <w:widowControl w:val="0"/>
              <w:suppressLineNumbers/>
              <w:suppressAutoHyphens/>
              <w:autoSpaceDE w:val="0"/>
              <w:autoSpaceDN w:val="0"/>
              <w:adjustRightInd w:val="0"/>
              <w:spacing w:line="240" w:lineRule="auto"/>
              <w:rPr>
                <w:color w:val="000000" w:themeColor="text1"/>
                <w:sz w:val="22"/>
                <w:lang w:val="en-US"/>
              </w:rPr>
            </w:pPr>
            <w:r w:rsidRPr="007115F2">
              <w:rPr>
                <w:i/>
                <w:iCs/>
                <w:color w:val="000000" w:themeColor="text1"/>
                <w:sz w:val="22"/>
                <w:lang w:val="en-US"/>
              </w:rPr>
              <w:t>Notes</w:t>
            </w:r>
            <w:r w:rsidRPr="007115F2">
              <w:rPr>
                <w:color w:val="000000" w:themeColor="text1"/>
                <w:sz w:val="22"/>
                <w:lang w:val="en-US"/>
              </w:rPr>
              <w:t>. This table reports results from a two-way fixed effects regression examining the moderating influence of differences in board power and firm status on differential benefits for the eleven days around the alliance announcement date [-5;5]. Constant terms are estimated but not reported. Standard errors are clustered by 2-digit SIC code combinations of alliance partners to account for potential industry-related correlations in the error terms. Industry combination and year fixed effects are included to control for unobservable heterogeneity and common time-related factors. Standard errors in parentheses. Exact p-values in brackets. A detailed description of the variables can be found in the online supplement.</w:t>
            </w:r>
          </w:p>
        </w:tc>
      </w:tr>
    </w:tbl>
    <w:p w14:paraId="3FC93AB6" w14:textId="77777777" w:rsidR="004A0528" w:rsidRDefault="004A0528">
      <w:pPr>
        <w:spacing w:after="160" w:line="259" w:lineRule="auto"/>
        <w:jc w:val="left"/>
        <w:rPr>
          <w:lang w:val="en-US"/>
        </w:rPr>
      </w:pPr>
      <w:bookmarkStart w:id="402" w:name="_Toc160569435"/>
      <w:r w:rsidRPr="00036A72">
        <w:rPr>
          <w:lang w:val="en-US"/>
        </w:rPr>
        <w:br w:type="page"/>
      </w:r>
    </w:p>
    <w:p w14:paraId="0B479D4C" w14:textId="2C88EA63" w:rsidR="007E7736" w:rsidRDefault="007E7736" w:rsidP="007E7736">
      <w:pPr>
        <w:pStyle w:val="1fake"/>
      </w:pPr>
      <w:r>
        <w:lastRenderedPageBreak/>
        <w:t xml:space="preserve">Online SuPPLEMENT </w:t>
      </w:r>
      <w:r w:rsidR="00927125">
        <w:t>3</w:t>
      </w:r>
    </w:p>
    <w:p w14:paraId="0565AD29" w14:textId="6415F899" w:rsidR="00BA2405" w:rsidRDefault="00BA2405" w:rsidP="00BA2405">
      <w:pPr>
        <w:pStyle w:val="Beschriftung"/>
      </w:pPr>
      <w:bookmarkStart w:id="403" w:name="_Toc180594821"/>
      <w:r>
        <w:t xml:space="preserve">T - II - </w:t>
      </w:r>
      <w:r>
        <w:fldChar w:fldCharType="begin"/>
      </w:r>
      <w:r>
        <w:instrText xml:space="preserve"> SEQ T_-_II_- \* ARABIC </w:instrText>
      </w:r>
      <w:r>
        <w:fldChar w:fldCharType="separate"/>
      </w:r>
      <w:r w:rsidR="00E91088">
        <w:rPr>
          <w:noProof/>
        </w:rPr>
        <w:t>9</w:t>
      </w:r>
      <w:r>
        <w:fldChar w:fldCharType="end"/>
      </w:r>
      <w:r>
        <w:t xml:space="preserve">: </w:t>
      </w:r>
      <w:r w:rsidRPr="00CB3BD4">
        <w:t>Regression analysis of direct effect using absolute difference in abnormal returns</w:t>
      </w:r>
      <w:bookmarkEnd w:id="403"/>
    </w:p>
    <w:tbl>
      <w:tblPr>
        <w:tblW w:w="9072" w:type="dxa"/>
        <w:jc w:val="center"/>
        <w:tblLayout w:type="fixed"/>
        <w:tblLook w:val="0420" w:firstRow="1" w:lastRow="0" w:firstColumn="0" w:lastColumn="0" w:noHBand="0" w:noVBand="1"/>
      </w:tblPr>
      <w:tblGrid>
        <w:gridCol w:w="4799"/>
        <w:gridCol w:w="1067"/>
        <w:gridCol w:w="1067"/>
        <w:gridCol w:w="1067"/>
        <w:gridCol w:w="1072"/>
      </w:tblGrid>
      <w:tr w:rsidR="003C0AF1" w:rsidRPr="007115F2" w14:paraId="2724111A" w14:textId="77777777" w:rsidTr="0029259E">
        <w:trPr>
          <w:trHeight w:val="20"/>
          <w:jc w:val="center"/>
        </w:trPr>
        <w:tc>
          <w:tcPr>
            <w:tcW w:w="510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9528BD7" w14:textId="77777777" w:rsidR="003C0AF1" w:rsidRPr="007115F2" w:rsidRDefault="003C0AF1" w:rsidP="007C051A">
            <w:pPr>
              <w:widowControl w:val="0"/>
              <w:autoSpaceDE w:val="0"/>
              <w:autoSpaceDN w:val="0"/>
              <w:adjustRightInd w:val="0"/>
              <w:spacing w:line="240" w:lineRule="auto"/>
              <w:jc w:val="left"/>
              <w:rPr>
                <w:b/>
                <w:bCs/>
                <w:sz w:val="22"/>
              </w:rPr>
            </w:pPr>
            <w:r w:rsidRPr="007115F2">
              <w:rPr>
                <w:b/>
                <w:bCs/>
                <w:sz w:val="22"/>
              </w:rPr>
              <w:t>Model</w:t>
            </w:r>
          </w:p>
        </w:tc>
        <w:tc>
          <w:tcPr>
            <w:tcW w:w="113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ECB99A3" w14:textId="77777777" w:rsidR="003C0AF1" w:rsidRPr="007115F2" w:rsidRDefault="003C0AF1" w:rsidP="007C051A">
            <w:pPr>
              <w:widowControl w:val="0"/>
              <w:autoSpaceDE w:val="0"/>
              <w:autoSpaceDN w:val="0"/>
              <w:adjustRightInd w:val="0"/>
              <w:spacing w:line="240" w:lineRule="auto"/>
              <w:jc w:val="center"/>
              <w:rPr>
                <w:b/>
                <w:bCs/>
                <w:sz w:val="22"/>
              </w:rPr>
            </w:pPr>
            <w:r w:rsidRPr="007115F2">
              <w:rPr>
                <w:b/>
                <w:bCs/>
                <w:sz w:val="22"/>
              </w:rPr>
              <w:t>(9)</w:t>
            </w:r>
          </w:p>
          <w:p w14:paraId="03D1D697" w14:textId="77777777" w:rsidR="003C0AF1" w:rsidRPr="007115F2" w:rsidRDefault="003C0AF1" w:rsidP="007C051A">
            <w:pPr>
              <w:widowControl w:val="0"/>
              <w:autoSpaceDE w:val="0"/>
              <w:autoSpaceDN w:val="0"/>
              <w:adjustRightInd w:val="0"/>
              <w:spacing w:line="240" w:lineRule="auto"/>
              <w:jc w:val="center"/>
              <w:rPr>
                <w:b/>
                <w:bCs/>
                <w:sz w:val="22"/>
              </w:rPr>
            </w:pPr>
            <w:r w:rsidRPr="007115F2">
              <w:rPr>
                <w:b/>
                <w:bCs/>
                <w:sz w:val="22"/>
              </w:rPr>
              <w:t>Base</w:t>
            </w:r>
          </w:p>
        </w:tc>
        <w:tc>
          <w:tcPr>
            <w:tcW w:w="113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4220033" w14:textId="77777777" w:rsidR="003C0AF1" w:rsidRPr="007115F2" w:rsidRDefault="003C0AF1" w:rsidP="007C051A">
            <w:pPr>
              <w:widowControl w:val="0"/>
              <w:autoSpaceDE w:val="0"/>
              <w:autoSpaceDN w:val="0"/>
              <w:adjustRightInd w:val="0"/>
              <w:spacing w:line="240" w:lineRule="auto"/>
              <w:jc w:val="center"/>
              <w:rPr>
                <w:b/>
                <w:bCs/>
                <w:sz w:val="22"/>
              </w:rPr>
            </w:pPr>
            <w:r w:rsidRPr="007115F2">
              <w:rPr>
                <w:b/>
                <w:bCs/>
                <w:sz w:val="22"/>
              </w:rPr>
              <w:t>(10)</w:t>
            </w:r>
          </w:p>
          <w:p w14:paraId="476E77D9" w14:textId="77777777" w:rsidR="003C0AF1" w:rsidRPr="007115F2" w:rsidRDefault="003C0AF1" w:rsidP="007C051A">
            <w:pPr>
              <w:widowControl w:val="0"/>
              <w:autoSpaceDE w:val="0"/>
              <w:autoSpaceDN w:val="0"/>
              <w:adjustRightInd w:val="0"/>
              <w:spacing w:line="240" w:lineRule="auto"/>
              <w:jc w:val="center"/>
              <w:rPr>
                <w:b/>
                <w:bCs/>
                <w:sz w:val="22"/>
              </w:rPr>
            </w:pPr>
            <w:r w:rsidRPr="007115F2">
              <w:rPr>
                <w:b/>
                <w:bCs/>
                <w:sz w:val="22"/>
              </w:rPr>
              <w:t>Direct BI</w:t>
            </w:r>
          </w:p>
        </w:tc>
        <w:tc>
          <w:tcPr>
            <w:tcW w:w="113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3F89912" w14:textId="77777777" w:rsidR="003C0AF1" w:rsidRPr="007115F2" w:rsidRDefault="003C0AF1" w:rsidP="007C051A">
            <w:pPr>
              <w:widowControl w:val="0"/>
              <w:autoSpaceDE w:val="0"/>
              <w:autoSpaceDN w:val="0"/>
              <w:adjustRightInd w:val="0"/>
              <w:spacing w:line="240" w:lineRule="auto"/>
              <w:jc w:val="center"/>
              <w:rPr>
                <w:b/>
                <w:bCs/>
                <w:sz w:val="22"/>
              </w:rPr>
            </w:pPr>
            <w:r w:rsidRPr="007115F2">
              <w:rPr>
                <w:b/>
                <w:bCs/>
                <w:sz w:val="22"/>
              </w:rPr>
              <w:t>(11)</w:t>
            </w:r>
          </w:p>
          <w:p w14:paraId="23152E31" w14:textId="77777777" w:rsidR="003C0AF1" w:rsidRPr="007115F2" w:rsidRDefault="003C0AF1" w:rsidP="007C051A">
            <w:pPr>
              <w:widowControl w:val="0"/>
              <w:autoSpaceDE w:val="0"/>
              <w:autoSpaceDN w:val="0"/>
              <w:adjustRightInd w:val="0"/>
              <w:spacing w:line="240" w:lineRule="auto"/>
              <w:jc w:val="center"/>
              <w:rPr>
                <w:b/>
                <w:bCs/>
                <w:sz w:val="22"/>
              </w:rPr>
            </w:pPr>
            <w:r w:rsidRPr="007115F2">
              <w:rPr>
                <w:b/>
                <w:bCs/>
                <w:sz w:val="22"/>
              </w:rPr>
              <w:t>Indirect BI</w:t>
            </w:r>
          </w:p>
        </w:tc>
        <w:tc>
          <w:tcPr>
            <w:tcW w:w="1139"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E99E1F1" w14:textId="77777777" w:rsidR="003C0AF1" w:rsidRPr="007115F2" w:rsidRDefault="003C0AF1" w:rsidP="007C051A">
            <w:pPr>
              <w:widowControl w:val="0"/>
              <w:autoSpaceDE w:val="0"/>
              <w:autoSpaceDN w:val="0"/>
              <w:adjustRightInd w:val="0"/>
              <w:spacing w:line="240" w:lineRule="auto"/>
              <w:jc w:val="center"/>
              <w:rPr>
                <w:b/>
                <w:bCs/>
                <w:sz w:val="22"/>
              </w:rPr>
            </w:pPr>
            <w:r w:rsidRPr="007115F2">
              <w:rPr>
                <w:b/>
                <w:bCs/>
                <w:sz w:val="22"/>
              </w:rPr>
              <w:t>(12)</w:t>
            </w:r>
          </w:p>
          <w:p w14:paraId="707DDA13" w14:textId="77777777" w:rsidR="003C0AF1" w:rsidRPr="007115F2" w:rsidRDefault="003C0AF1" w:rsidP="007C051A">
            <w:pPr>
              <w:widowControl w:val="0"/>
              <w:autoSpaceDE w:val="0"/>
              <w:autoSpaceDN w:val="0"/>
              <w:adjustRightInd w:val="0"/>
              <w:spacing w:line="240" w:lineRule="auto"/>
              <w:jc w:val="center"/>
              <w:rPr>
                <w:b/>
                <w:bCs/>
                <w:sz w:val="22"/>
              </w:rPr>
            </w:pPr>
            <w:r w:rsidRPr="007115F2">
              <w:rPr>
                <w:b/>
                <w:bCs/>
                <w:sz w:val="22"/>
              </w:rPr>
              <w:t>Full Model</w:t>
            </w:r>
          </w:p>
        </w:tc>
      </w:tr>
      <w:tr w:rsidR="003C0AF1" w:rsidRPr="007115F2" w14:paraId="3D8DC709" w14:textId="77777777" w:rsidTr="0029259E">
        <w:trPr>
          <w:trHeight w:val="20"/>
          <w:jc w:val="center"/>
        </w:trPr>
        <w:tc>
          <w:tcPr>
            <w:tcW w:w="5101" w:type="dxa"/>
            <w:tcBorders>
              <w:top w:val="single" w:sz="4" w:space="0" w:color="auto"/>
            </w:tcBorders>
            <w:shd w:val="clear" w:color="auto" w:fill="FFFFFF"/>
            <w:tcMar>
              <w:top w:w="0" w:type="dxa"/>
              <w:left w:w="0" w:type="dxa"/>
              <w:bottom w:w="0" w:type="dxa"/>
              <w:right w:w="0" w:type="dxa"/>
            </w:tcMar>
            <w:vAlign w:val="center"/>
          </w:tcPr>
          <w:p w14:paraId="2DB0D236" w14:textId="77777777" w:rsidR="003C0AF1" w:rsidRPr="007115F2" w:rsidRDefault="003C0AF1" w:rsidP="007C051A">
            <w:pPr>
              <w:widowControl w:val="0"/>
              <w:autoSpaceDE w:val="0"/>
              <w:autoSpaceDN w:val="0"/>
              <w:adjustRightInd w:val="0"/>
              <w:spacing w:line="240" w:lineRule="auto"/>
              <w:jc w:val="left"/>
              <w:rPr>
                <w:sz w:val="22"/>
              </w:rPr>
            </w:pPr>
            <w:r w:rsidRPr="007115F2">
              <w:rPr>
                <w:sz w:val="22"/>
              </w:rPr>
              <w:t>Direct_BoardInterlocks</w:t>
            </w:r>
          </w:p>
        </w:tc>
        <w:tc>
          <w:tcPr>
            <w:tcW w:w="1133" w:type="dxa"/>
            <w:tcBorders>
              <w:top w:val="single" w:sz="4" w:space="0" w:color="auto"/>
            </w:tcBorders>
            <w:shd w:val="clear" w:color="auto" w:fill="FFFFFF"/>
            <w:tcMar>
              <w:top w:w="0" w:type="dxa"/>
              <w:left w:w="0" w:type="dxa"/>
              <w:bottom w:w="0" w:type="dxa"/>
              <w:right w:w="0" w:type="dxa"/>
            </w:tcMar>
            <w:vAlign w:val="center"/>
          </w:tcPr>
          <w:p w14:paraId="737D2B32" w14:textId="77777777" w:rsidR="003C0AF1" w:rsidRPr="007115F2" w:rsidRDefault="003C0AF1" w:rsidP="007C051A">
            <w:pPr>
              <w:widowControl w:val="0"/>
              <w:autoSpaceDE w:val="0"/>
              <w:autoSpaceDN w:val="0"/>
              <w:adjustRightInd w:val="0"/>
              <w:spacing w:line="240" w:lineRule="auto"/>
              <w:ind w:left="100"/>
              <w:jc w:val="center"/>
              <w:rPr>
                <w:sz w:val="22"/>
              </w:rPr>
            </w:pPr>
          </w:p>
        </w:tc>
        <w:tc>
          <w:tcPr>
            <w:tcW w:w="1133" w:type="dxa"/>
            <w:tcBorders>
              <w:top w:val="single" w:sz="4" w:space="0" w:color="auto"/>
            </w:tcBorders>
            <w:shd w:val="clear" w:color="auto" w:fill="FFFFFF"/>
            <w:tcMar>
              <w:top w:w="0" w:type="dxa"/>
              <w:left w:w="0" w:type="dxa"/>
              <w:bottom w:w="0" w:type="dxa"/>
              <w:right w:w="0" w:type="dxa"/>
            </w:tcMar>
            <w:vAlign w:val="center"/>
          </w:tcPr>
          <w:p w14:paraId="23EF053E" w14:textId="77777777" w:rsidR="003C0AF1" w:rsidRPr="007115F2" w:rsidRDefault="003C0AF1" w:rsidP="007C051A">
            <w:pPr>
              <w:widowControl w:val="0"/>
              <w:autoSpaceDE w:val="0"/>
              <w:autoSpaceDN w:val="0"/>
              <w:adjustRightInd w:val="0"/>
              <w:spacing w:line="240" w:lineRule="auto"/>
              <w:ind w:left="100"/>
              <w:jc w:val="center"/>
              <w:rPr>
                <w:sz w:val="22"/>
              </w:rPr>
            </w:pPr>
            <w:r w:rsidRPr="007115F2">
              <w:rPr>
                <w:sz w:val="22"/>
              </w:rPr>
              <w:t>0.034</w:t>
            </w:r>
          </w:p>
        </w:tc>
        <w:tc>
          <w:tcPr>
            <w:tcW w:w="1133" w:type="dxa"/>
            <w:tcBorders>
              <w:top w:val="single" w:sz="4" w:space="0" w:color="auto"/>
            </w:tcBorders>
            <w:shd w:val="clear" w:color="auto" w:fill="FFFFFF"/>
            <w:tcMar>
              <w:top w:w="0" w:type="dxa"/>
              <w:left w:w="0" w:type="dxa"/>
              <w:bottom w:w="0" w:type="dxa"/>
              <w:right w:w="0" w:type="dxa"/>
            </w:tcMar>
            <w:vAlign w:val="center"/>
          </w:tcPr>
          <w:p w14:paraId="23A8DA8A" w14:textId="77777777" w:rsidR="003C0AF1" w:rsidRPr="007115F2" w:rsidRDefault="003C0AF1" w:rsidP="007C051A">
            <w:pPr>
              <w:widowControl w:val="0"/>
              <w:autoSpaceDE w:val="0"/>
              <w:autoSpaceDN w:val="0"/>
              <w:adjustRightInd w:val="0"/>
              <w:spacing w:line="240" w:lineRule="auto"/>
              <w:ind w:left="100"/>
              <w:jc w:val="center"/>
              <w:rPr>
                <w:sz w:val="22"/>
              </w:rPr>
            </w:pPr>
          </w:p>
        </w:tc>
        <w:tc>
          <w:tcPr>
            <w:tcW w:w="1139" w:type="dxa"/>
            <w:tcBorders>
              <w:top w:val="single" w:sz="4" w:space="0" w:color="auto"/>
            </w:tcBorders>
            <w:shd w:val="clear" w:color="auto" w:fill="FFFFFF"/>
            <w:tcMar>
              <w:top w:w="0" w:type="dxa"/>
              <w:left w:w="0" w:type="dxa"/>
              <w:bottom w:w="0" w:type="dxa"/>
              <w:right w:w="0" w:type="dxa"/>
            </w:tcMar>
            <w:vAlign w:val="center"/>
          </w:tcPr>
          <w:p w14:paraId="1FD4B0C2" w14:textId="77777777" w:rsidR="003C0AF1" w:rsidRPr="007115F2" w:rsidRDefault="003C0AF1" w:rsidP="007C051A">
            <w:pPr>
              <w:widowControl w:val="0"/>
              <w:autoSpaceDE w:val="0"/>
              <w:autoSpaceDN w:val="0"/>
              <w:adjustRightInd w:val="0"/>
              <w:spacing w:line="240" w:lineRule="auto"/>
              <w:ind w:left="100"/>
              <w:jc w:val="center"/>
              <w:rPr>
                <w:sz w:val="22"/>
              </w:rPr>
            </w:pPr>
            <w:r w:rsidRPr="007115F2">
              <w:rPr>
                <w:sz w:val="22"/>
              </w:rPr>
              <w:t>0.035</w:t>
            </w:r>
          </w:p>
        </w:tc>
      </w:tr>
      <w:tr w:rsidR="003C0AF1" w:rsidRPr="007115F2" w14:paraId="1967BB70" w14:textId="77777777" w:rsidTr="0029259E">
        <w:trPr>
          <w:trHeight w:val="20"/>
          <w:jc w:val="center"/>
        </w:trPr>
        <w:tc>
          <w:tcPr>
            <w:tcW w:w="5101" w:type="dxa"/>
            <w:shd w:val="clear" w:color="auto" w:fill="FFFFFF"/>
            <w:tcMar>
              <w:top w:w="0" w:type="dxa"/>
              <w:left w:w="0" w:type="dxa"/>
              <w:bottom w:w="0" w:type="dxa"/>
              <w:right w:w="0" w:type="dxa"/>
            </w:tcMar>
            <w:vAlign w:val="center"/>
          </w:tcPr>
          <w:p w14:paraId="031985D5" w14:textId="77777777" w:rsidR="003C0AF1" w:rsidRPr="007115F2" w:rsidRDefault="003C0AF1" w:rsidP="007C051A">
            <w:pPr>
              <w:widowControl w:val="0"/>
              <w:autoSpaceDE w:val="0"/>
              <w:autoSpaceDN w:val="0"/>
              <w:adjustRightInd w:val="0"/>
              <w:spacing w:line="240" w:lineRule="auto"/>
              <w:jc w:val="left"/>
              <w:rPr>
                <w:sz w:val="22"/>
              </w:rPr>
            </w:pPr>
          </w:p>
        </w:tc>
        <w:tc>
          <w:tcPr>
            <w:tcW w:w="1133" w:type="dxa"/>
            <w:shd w:val="clear" w:color="auto" w:fill="FFFFFF"/>
            <w:tcMar>
              <w:top w:w="0" w:type="dxa"/>
              <w:left w:w="0" w:type="dxa"/>
              <w:bottom w:w="0" w:type="dxa"/>
              <w:right w:w="0" w:type="dxa"/>
            </w:tcMar>
            <w:vAlign w:val="center"/>
          </w:tcPr>
          <w:p w14:paraId="052FDC87" w14:textId="77777777" w:rsidR="003C0AF1" w:rsidRPr="007115F2" w:rsidRDefault="003C0AF1" w:rsidP="007C051A">
            <w:pPr>
              <w:widowControl w:val="0"/>
              <w:autoSpaceDE w:val="0"/>
              <w:autoSpaceDN w:val="0"/>
              <w:adjustRightInd w:val="0"/>
              <w:spacing w:line="240" w:lineRule="auto"/>
              <w:ind w:left="100"/>
              <w:jc w:val="center"/>
              <w:rPr>
                <w:sz w:val="22"/>
              </w:rPr>
            </w:pPr>
          </w:p>
        </w:tc>
        <w:tc>
          <w:tcPr>
            <w:tcW w:w="1133" w:type="dxa"/>
            <w:shd w:val="clear" w:color="auto" w:fill="FFFFFF"/>
            <w:tcMar>
              <w:top w:w="0" w:type="dxa"/>
              <w:left w:w="0" w:type="dxa"/>
              <w:bottom w:w="0" w:type="dxa"/>
              <w:right w:w="0" w:type="dxa"/>
            </w:tcMar>
            <w:vAlign w:val="center"/>
          </w:tcPr>
          <w:p w14:paraId="182BD79A" w14:textId="77777777" w:rsidR="003C0AF1" w:rsidRPr="007115F2" w:rsidRDefault="003C0AF1" w:rsidP="007C051A">
            <w:pPr>
              <w:widowControl w:val="0"/>
              <w:autoSpaceDE w:val="0"/>
              <w:autoSpaceDN w:val="0"/>
              <w:adjustRightInd w:val="0"/>
              <w:spacing w:line="240" w:lineRule="auto"/>
              <w:ind w:left="100"/>
              <w:jc w:val="center"/>
              <w:rPr>
                <w:sz w:val="22"/>
              </w:rPr>
            </w:pPr>
            <w:r w:rsidRPr="007115F2">
              <w:rPr>
                <w:sz w:val="22"/>
              </w:rPr>
              <w:t>(0.015)</w:t>
            </w:r>
          </w:p>
        </w:tc>
        <w:tc>
          <w:tcPr>
            <w:tcW w:w="1133" w:type="dxa"/>
            <w:shd w:val="clear" w:color="auto" w:fill="FFFFFF"/>
            <w:tcMar>
              <w:top w:w="0" w:type="dxa"/>
              <w:left w:w="0" w:type="dxa"/>
              <w:bottom w:w="0" w:type="dxa"/>
              <w:right w:w="0" w:type="dxa"/>
            </w:tcMar>
            <w:vAlign w:val="center"/>
          </w:tcPr>
          <w:p w14:paraId="64FAEE06" w14:textId="77777777" w:rsidR="003C0AF1" w:rsidRPr="007115F2" w:rsidRDefault="003C0AF1" w:rsidP="007C051A">
            <w:pPr>
              <w:widowControl w:val="0"/>
              <w:autoSpaceDE w:val="0"/>
              <w:autoSpaceDN w:val="0"/>
              <w:adjustRightInd w:val="0"/>
              <w:spacing w:line="240" w:lineRule="auto"/>
              <w:ind w:left="100"/>
              <w:jc w:val="center"/>
              <w:rPr>
                <w:sz w:val="22"/>
              </w:rPr>
            </w:pPr>
          </w:p>
        </w:tc>
        <w:tc>
          <w:tcPr>
            <w:tcW w:w="1139" w:type="dxa"/>
            <w:shd w:val="clear" w:color="auto" w:fill="FFFFFF"/>
            <w:tcMar>
              <w:top w:w="0" w:type="dxa"/>
              <w:left w:w="0" w:type="dxa"/>
              <w:bottom w:w="0" w:type="dxa"/>
              <w:right w:w="0" w:type="dxa"/>
            </w:tcMar>
            <w:vAlign w:val="center"/>
          </w:tcPr>
          <w:p w14:paraId="098A4AE4" w14:textId="77777777" w:rsidR="003C0AF1" w:rsidRPr="007115F2" w:rsidRDefault="003C0AF1" w:rsidP="007C051A">
            <w:pPr>
              <w:widowControl w:val="0"/>
              <w:autoSpaceDE w:val="0"/>
              <w:autoSpaceDN w:val="0"/>
              <w:adjustRightInd w:val="0"/>
              <w:spacing w:line="240" w:lineRule="auto"/>
              <w:ind w:left="100"/>
              <w:jc w:val="center"/>
              <w:rPr>
                <w:sz w:val="22"/>
              </w:rPr>
            </w:pPr>
            <w:r w:rsidRPr="007115F2">
              <w:rPr>
                <w:sz w:val="22"/>
              </w:rPr>
              <w:t>(0.020)</w:t>
            </w:r>
          </w:p>
        </w:tc>
      </w:tr>
      <w:tr w:rsidR="003C0AF1" w:rsidRPr="007115F2" w14:paraId="437565E6" w14:textId="77777777" w:rsidTr="0029259E">
        <w:trPr>
          <w:trHeight w:val="20"/>
          <w:jc w:val="center"/>
        </w:trPr>
        <w:tc>
          <w:tcPr>
            <w:tcW w:w="5101" w:type="dxa"/>
            <w:shd w:val="clear" w:color="auto" w:fill="FFFFFF"/>
            <w:tcMar>
              <w:top w:w="0" w:type="dxa"/>
              <w:left w:w="0" w:type="dxa"/>
              <w:bottom w:w="0" w:type="dxa"/>
              <w:right w:w="0" w:type="dxa"/>
            </w:tcMar>
            <w:vAlign w:val="center"/>
          </w:tcPr>
          <w:p w14:paraId="3B8E6A6A" w14:textId="77777777" w:rsidR="003C0AF1" w:rsidRPr="007115F2" w:rsidRDefault="003C0AF1" w:rsidP="007C051A">
            <w:pPr>
              <w:widowControl w:val="0"/>
              <w:autoSpaceDE w:val="0"/>
              <w:autoSpaceDN w:val="0"/>
              <w:adjustRightInd w:val="0"/>
              <w:spacing w:line="240" w:lineRule="auto"/>
              <w:jc w:val="left"/>
              <w:rPr>
                <w:sz w:val="22"/>
              </w:rPr>
            </w:pPr>
          </w:p>
        </w:tc>
        <w:tc>
          <w:tcPr>
            <w:tcW w:w="1133" w:type="dxa"/>
            <w:shd w:val="clear" w:color="auto" w:fill="FFFFFF"/>
            <w:tcMar>
              <w:top w:w="0" w:type="dxa"/>
              <w:left w:w="0" w:type="dxa"/>
              <w:bottom w:w="0" w:type="dxa"/>
              <w:right w:w="0" w:type="dxa"/>
            </w:tcMar>
            <w:vAlign w:val="center"/>
          </w:tcPr>
          <w:p w14:paraId="61953D39" w14:textId="77777777" w:rsidR="003C0AF1" w:rsidRPr="007115F2" w:rsidRDefault="003C0AF1" w:rsidP="007C051A">
            <w:pPr>
              <w:widowControl w:val="0"/>
              <w:autoSpaceDE w:val="0"/>
              <w:autoSpaceDN w:val="0"/>
              <w:adjustRightInd w:val="0"/>
              <w:spacing w:line="240" w:lineRule="auto"/>
              <w:ind w:left="100"/>
              <w:jc w:val="center"/>
              <w:rPr>
                <w:sz w:val="22"/>
              </w:rPr>
            </w:pPr>
          </w:p>
        </w:tc>
        <w:tc>
          <w:tcPr>
            <w:tcW w:w="1133" w:type="dxa"/>
            <w:shd w:val="clear" w:color="auto" w:fill="FFFFFF"/>
            <w:tcMar>
              <w:top w:w="0" w:type="dxa"/>
              <w:left w:w="0" w:type="dxa"/>
              <w:bottom w:w="0" w:type="dxa"/>
              <w:right w:w="0" w:type="dxa"/>
            </w:tcMar>
            <w:vAlign w:val="center"/>
          </w:tcPr>
          <w:p w14:paraId="355A8FF2" w14:textId="77777777" w:rsidR="003C0AF1" w:rsidRPr="007115F2" w:rsidRDefault="003C0AF1" w:rsidP="007C051A">
            <w:pPr>
              <w:widowControl w:val="0"/>
              <w:autoSpaceDE w:val="0"/>
              <w:autoSpaceDN w:val="0"/>
              <w:adjustRightInd w:val="0"/>
              <w:spacing w:line="240" w:lineRule="auto"/>
              <w:ind w:left="100"/>
              <w:jc w:val="center"/>
              <w:rPr>
                <w:sz w:val="22"/>
              </w:rPr>
            </w:pPr>
            <w:r w:rsidRPr="007115F2">
              <w:rPr>
                <w:rFonts w:eastAsia="Helvetica"/>
                <w:sz w:val="22"/>
              </w:rPr>
              <w:t>[0.031]</w:t>
            </w:r>
          </w:p>
        </w:tc>
        <w:tc>
          <w:tcPr>
            <w:tcW w:w="1133" w:type="dxa"/>
            <w:shd w:val="clear" w:color="auto" w:fill="FFFFFF"/>
            <w:tcMar>
              <w:top w:w="0" w:type="dxa"/>
              <w:left w:w="0" w:type="dxa"/>
              <w:bottom w:w="0" w:type="dxa"/>
              <w:right w:w="0" w:type="dxa"/>
            </w:tcMar>
            <w:vAlign w:val="center"/>
          </w:tcPr>
          <w:p w14:paraId="6E510164" w14:textId="77777777" w:rsidR="003C0AF1" w:rsidRPr="007115F2" w:rsidRDefault="003C0AF1" w:rsidP="007C051A">
            <w:pPr>
              <w:widowControl w:val="0"/>
              <w:autoSpaceDE w:val="0"/>
              <w:autoSpaceDN w:val="0"/>
              <w:adjustRightInd w:val="0"/>
              <w:spacing w:line="240" w:lineRule="auto"/>
              <w:ind w:left="100"/>
              <w:jc w:val="center"/>
              <w:rPr>
                <w:sz w:val="22"/>
              </w:rPr>
            </w:pPr>
          </w:p>
        </w:tc>
        <w:tc>
          <w:tcPr>
            <w:tcW w:w="1139" w:type="dxa"/>
            <w:shd w:val="clear" w:color="auto" w:fill="FFFFFF"/>
            <w:tcMar>
              <w:top w:w="0" w:type="dxa"/>
              <w:left w:w="0" w:type="dxa"/>
              <w:bottom w:w="0" w:type="dxa"/>
              <w:right w:w="0" w:type="dxa"/>
            </w:tcMar>
            <w:vAlign w:val="center"/>
          </w:tcPr>
          <w:p w14:paraId="34AF484C" w14:textId="77777777" w:rsidR="003C0AF1" w:rsidRPr="007115F2" w:rsidRDefault="003C0AF1" w:rsidP="007C051A">
            <w:pPr>
              <w:widowControl w:val="0"/>
              <w:autoSpaceDE w:val="0"/>
              <w:autoSpaceDN w:val="0"/>
              <w:adjustRightInd w:val="0"/>
              <w:spacing w:line="240" w:lineRule="auto"/>
              <w:ind w:left="100"/>
              <w:jc w:val="center"/>
              <w:rPr>
                <w:sz w:val="22"/>
              </w:rPr>
            </w:pPr>
            <w:r w:rsidRPr="007115F2">
              <w:rPr>
                <w:rFonts w:eastAsia="Helvetica"/>
                <w:sz w:val="22"/>
              </w:rPr>
              <w:t>[0.082]</w:t>
            </w:r>
          </w:p>
        </w:tc>
      </w:tr>
      <w:tr w:rsidR="003C0AF1" w:rsidRPr="007115F2" w14:paraId="3C82950E" w14:textId="77777777" w:rsidTr="0029259E">
        <w:trPr>
          <w:trHeight w:val="20"/>
          <w:jc w:val="center"/>
        </w:trPr>
        <w:tc>
          <w:tcPr>
            <w:tcW w:w="5101" w:type="dxa"/>
            <w:shd w:val="clear" w:color="auto" w:fill="FFFFFF"/>
            <w:tcMar>
              <w:top w:w="0" w:type="dxa"/>
              <w:left w:w="0" w:type="dxa"/>
              <w:bottom w:w="0" w:type="dxa"/>
              <w:right w:w="0" w:type="dxa"/>
            </w:tcMar>
            <w:vAlign w:val="center"/>
          </w:tcPr>
          <w:p w14:paraId="09D2FDAD" w14:textId="77777777" w:rsidR="003C0AF1" w:rsidRPr="007115F2" w:rsidRDefault="003C0AF1" w:rsidP="007C051A">
            <w:pPr>
              <w:widowControl w:val="0"/>
              <w:autoSpaceDE w:val="0"/>
              <w:autoSpaceDN w:val="0"/>
              <w:adjustRightInd w:val="0"/>
              <w:spacing w:line="240" w:lineRule="auto"/>
              <w:jc w:val="left"/>
              <w:rPr>
                <w:sz w:val="22"/>
              </w:rPr>
            </w:pPr>
            <w:r w:rsidRPr="007115F2">
              <w:rPr>
                <w:sz w:val="22"/>
              </w:rPr>
              <w:t>Indirect_BoardInterlocks</w:t>
            </w:r>
          </w:p>
        </w:tc>
        <w:tc>
          <w:tcPr>
            <w:tcW w:w="1133" w:type="dxa"/>
            <w:shd w:val="clear" w:color="auto" w:fill="FFFFFF"/>
            <w:tcMar>
              <w:top w:w="0" w:type="dxa"/>
              <w:left w:w="0" w:type="dxa"/>
              <w:bottom w:w="0" w:type="dxa"/>
              <w:right w:w="0" w:type="dxa"/>
            </w:tcMar>
            <w:vAlign w:val="center"/>
          </w:tcPr>
          <w:p w14:paraId="7E5A9682" w14:textId="77777777" w:rsidR="003C0AF1" w:rsidRPr="007115F2" w:rsidRDefault="003C0AF1" w:rsidP="007C051A">
            <w:pPr>
              <w:widowControl w:val="0"/>
              <w:autoSpaceDE w:val="0"/>
              <w:autoSpaceDN w:val="0"/>
              <w:adjustRightInd w:val="0"/>
              <w:spacing w:line="240" w:lineRule="auto"/>
              <w:ind w:left="100"/>
              <w:jc w:val="center"/>
              <w:rPr>
                <w:sz w:val="22"/>
              </w:rPr>
            </w:pPr>
          </w:p>
        </w:tc>
        <w:tc>
          <w:tcPr>
            <w:tcW w:w="1133" w:type="dxa"/>
            <w:shd w:val="clear" w:color="auto" w:fill="FFFFFF"/>
            <w:tcMar>
              <w:top w:w="0" w:type="dxa"/>
              <w:left w:w="0" w:type="dxa"/>
              <w:bottom w:w="0" w:type="dxa"/>
              <w:right w:w="0" w:type="dxa"/>
            </w:tcMar>
            <w:vAlign w:val="center"/>
          </w:tcPr>
          <w:p w14:paraId="744CF00F" w14:textId="77777777" w:rsidR="003C0AF1" w:rsidRPr="007115F2" w:rsidRDefault="003C0AF1" w:rsidP="007C051A">
            <w:pPr>
              <w:widowControl w:val="0"/>
              <w:autoSpaceDE w:val="0"/>
              <w:autoSpaceDN w:val="0"/>
              <w:adjustRightInd w:val="0"/>
              <w:spacing w:line="240" w:lineRule="auto"/>
              <w:ind w:left="100"/>
              <w:jc w:val="center"/>
              <w:rPr>
                <w:sz w:val="22"/>
              </w:rPr>
            </w:pPr>
          </w:p>
        </w:tc>
        <w:tc>
          <w:tcPr>
            <w:tcW w:w="1133" w:type="dxa"/>
            <w:shd w:val="clear" w:color="auto" w:fill="FFFFFF"/>
            <w:tcMar>
              <w:top w:w="0" w:type="dxa"/>
              <w:left w:w="0" w:type="dxa"/>
              <w:bottom w:w="0" w:type="dxa"/>
              <w:right w:w="0" w:type="dxa"/>
            </w:tcMar>
            <w:vAlign w:val="center"/>
          </w:tcPr>
          <w:p w14:paraId="46A272F3" w14:textId="77777777" w:rsidR="003C0AF1" w:rsidRPr="007115F2" w:rsidRDefault="003C0AF1" w:rsidP="007C051A">
            <w:pPr>
              <w:widowControl w:val="0"/>
              <w:autoSpaceDE w:val="0"/>
              <w:autoSpaceDN w:val="0"/>
              <w:adjustRightInd w:val="0"/>
              <w:spacing w:line="240" w:lineRule="auto"/>
              <w:ind w:left="100"/>
              <w:jc w:val="center"/>
              <w:rPr>
                <w:sz w:val="22"/>
              </w:rPr>
            </w:pPr>
            <w:r w:rsidRPr="007115F2">
              <w:rPr>
                <w:sz w:val="22"/>
              </w:rPr>
              <w:t>0.012</w:t>
            </w:r>
          </w:p>
        </w:tc>
        <w:tc>
          <w:tcPr>
            <w:tcW w:w="1139" w:type="dxa"/>
            <w:shd w:val="clear" w:color="auto" w:fill="FFFFFF"/>
            <w:tcMar>
              <w:top w:w="0" w:type="dxa"/>
              <w:left w:w="0" w:type="dxa"/>
              <w:bottom w:w="0" w:type="dxa"/>
              <w:right w:w="0" w:type="dxa"/>
            </w:tcMar>
            <w:vAlign w:val="center"/>
          </w:tcPr>
          <w:p w14:paraId="6120A5B9" w14:textId="77777777" w:rsidR="003C0AF1" w:rsidRPr="007115F2" w:rsidRDefault="003C0AF1" w:rsidP="007C051A">
            <w:pPr>
              <w:widowControl w:val="0"/>
              <w:autoSpaceDE w:val="0"/>
              <w:autoSpaceDN w:val="0"/>
              <w:adjustRightInd w:val="0"/>
              <w:spacing w:line="240" w:lineRule="auto"/>
              <w:ind w:left="100"/>
              <w:jc w:val="center"/>
              <w:rPr>
                <w:sz w:val="22"/>
              </w:rPr>
            </w:pPr>
            <w:r w:rsidRPr="007115F2">
              <w:rPr>
                <w:sz w:val="22"/>
              </w:rPr>
              <w:t>0.012</w:t>
            </w:r>
          </w:p>
        </w:tc>
      </w:tr>
      <w:tr w:rsidR="003C0AF1" w:rsidRPr="007115F2" w14:paraId="6D7E107A" w14:textId="77777777" w:rsidTr="0029259E">
        <w:trPr>
          <w:trHeight w:val="20"/>
          <w:jc w:val="center"/>
        </w:trPr>
        <w:tc>
          <w:tcPr>
            <w:tcW w:w="5101" w:type="dxa"/>
            <w:shd w:val="clear" w:color="auto" w:fill="FFFFFF"/>
            <w:tcMar>
              <w:top w:w="0" w:type="dxa"/>
              <w:left w:w="0" w:type="dxa"/>
              <w:bottom w:w="0" w:type="dxa"/>
              <w:right w:w="0" w:type="dxa"/>
            </w:tcMar>
            <w:vAlign w:val="center"/>
          </w:tcPr>
          <w:p w14:paraId="789D14AC" w14:textId="77777777" w:rsidR="003C0AF1" w:rsidRPr="007115F2" w:rsidRDefault="003C0AF1" w:rsidP="007C051A">
            <w:pPr>
              <w:widowControl w:val="0"/>
              <w:autoSpaceDE w:val="0"/>
              <w:autoSpaceDN w:val="0"/>
              <w:adjustRightInd w:val="0"/>
              <w:spacing w:line="240" w:lineRule="auto"/>
              <w:jc w:val="left"/>
              <w:rPr>
                <w:sz w:val="22"/>
              </w:rPr>
            </w:pPr>
          </w:p>
        </w:tc>
        <w:tc>
          <w:tcPr>
            <w:tcW w:w="1133" w:type="dxa"/>
            <w:shd w:val="clear" w:color="auto" w:fill="FFFFFF"/>
            <w:tcMar>
              <w:top w:w="0" w:type="dxa"/>
              <w:left w:w="0" w:type="dxa"/>
              <w:bottom w:w="0" w:type="dxa"/>
              <w:right w:w="0" w:type="dxa"/>
            </w:tcMar>
            <w:vAlign w:val="center"/>
          </w:tcPr>
          <w:p w14:paraId="3D2EFB7A" w14:textId="77777777" w:rsidR="003C0AF1" w:rsidRPr="007115F2" w:rsidRDefault="003C0AF1" w:rsidP="007C051A">
            <w:pPr>
              <w:widowControl w:val="0"/>
              <w:autoSpaceDE w:val="0"/>
              <w:autoSpaceDN w:val="0"/>
              <w:adjustRightInd w:val="0"/>
              <w:spacing w:line="240" w:lineRule="auto"/>
              <w:ind w:left="100"/>
              <w:jc w:val="center"/>
              <w:rPr>
                <w:sz w:val="22"/>
              </w:rPr>
            </w:pPr>
          </w:p>
        </w:tc>
        <w:tc>
          <w:tcPr>
            <w:tcW w:w="1133" w:type="dxa"/>
            <w:shd w:val="clear" w:color="auto" w:fill="FFFFFF"/>
            <w:tcMar>
              <w:top w:w="0" w:type="dxa"/>
              <w:left w:w="0" w:type="dxa"/>
              <w:bottom w:w="0" w:type="dxa"/>
              <w:right w:w="0" w:type="dxa"/>
            </w:tcMar>
            <w:vAlign w:val="center"/>
          </w:tcPr>
          <w:p w14:paraId="4E724DDD" w14:textId="77777777" w:rsidR="003C0AF1" w:rsidRPr="007115F2" w:rsidRDefault="003C0AF1" w:rsidP="007C051A">
            <w:pPr>
              <w:widowControl w:val="0"/>
              <w:autoSpaceDE w:val="0"/>
              <w:autoSpaceDN w:val="0"/>
              <w:adjustRightInd w:val="0"/>
              <w:spacing w:line="240" w:lineRule="auto"/>
              <w:ind w:left="100"/>
              <w:jc w:val="center"/>
              <w:rPr>
                <w:sz w:val="22"/>
              </w:rPr>
            </w:pPr>
          </w:p>
        </w:tc>
        <w:tc>
          <w:tcPr>
            <w:tcW w:w="1133" w:type="dxa"/>
            <w:shd w:val="clear" w:color="auto" w:fill="FFFFFF"/>
            <w:tcMar>
              <w:top w:w="0" w:type="dxa"/>
              <w:left w:w="0" w:type="dxa"/>
              <w:bottom w:w="0" w:type="dxa"/>
              <w:right w:w="0" w:type="dxa"/>
            </w:tcMar>
            <w:vAlign w:val="center"/>
          </w:tcPr>
          <w:p w14:paraId="1221E943" w14:textId="77777777" w:rsidR="003C0AF1" w:rsidRPr="007115F2" w:rsidRDefault="003C0AF1" w:rsidP="007C051A">
            <w:pPr>
              <w:widowControl w:val="0"/>
              <w:autoSpaceDE w:val="0"/>
              <w:autoSpaceDN w:val="0"/>
              <w:adjustRightInd w:val="0"/>
              <w:spacing w:line="240" w:lineRule="auto"/>
              <w:ind w:left="100"/>
              <w:jc w:val="center"/>
              <w:rPr>
                <w:sz w:val="22"/>
              </w:rPr>
            </w:pPr>
            <w:r w:rsidRPr="007115F2">
              <w:rPr>
                <w:sz w:val="22"/>
              </w:rPr>
              <w:t>(0.004)</w:t>
            </w:r>
          </w:p>
        </w:tc>
        <w:tc>
          <w:tcPr>
            <w:tcW w:w="1139" w:type="dxa"/>
            <w:shd w:val="clear" w:color="auto" w:fill="FFFFFF"/>
            <w:tcMar>
              <w:top w:w="0" w:type="dxa"/>
              <w:left w:w="0" w:type="dxa"/>
              <w:bottom w:w="0" w:type="dxa"/>
              <w:right w:w="0" w:type="dxa"/>
            </w:tcMar>
            <w:vAlign w:val="center"/>
          </w:tcPr>
          <w:p w14:paraId="39FE57E0" w14:textId="77777777" w:rsidR="003C0AF1" w:rsidRPr="007115F2" w:rsidRDefault="003C0AF1" w:rsidP="007C051A">
            <w:pPr>
              <w:widowControl w:val="0"/>
              <w:autoSpaceDE w:val="0"/>
              <w:autoSpaceDN w:val="0"/>
              <w:adjustRightInd w:val="0"/>
              <w:spacing w:line="240" w:lineRule="auto"/>
              <w:ind w:left="100"/>
              <w:jc w:val="center"/>
              <w:rPr>
                <w:sz w:val="22"/>
              </w:rPr>
            </w:pPr>
            <w:r w:rsidRPr="007115F2">
              <w:rPr>
                <w:sz w:val="22"/>
              </w:rPr>
              <w:t>(0.005)</w:t>
            </w:r>
          </w:p>
        </w:tc>
      </w:tr>
      <w:tr w:rsidR="003C0AF1" w:rsidRPr="007115F2" w14:paraId="357D0026" w14:textId="77777777" w:rsidTr="0029259E">
        <w:trPr>
          <w:trHeight w:val="20"/>
          <w:jc w:val="center"/>
        </w:trPr>
        <w:tc>
          <w:tcPr>
            <w:tcW w:w="5101" w:type="dxa"/>
            <w:shd w:val="clear" w:color="auto" w:fill="FFFFFF"/>
            <w:tcMar>
              <w:top w:w="0" w:type="dxa"/>
              <w:left w:w="0" w:type="dxa"/>
              <w:bottom w:w="0" w:type="dxa"/>
              <w:right w:w="0" w:type="dxa"/>
            </w:tcMar>
            <w:vAlign w:val="center"/>
          </w:tcPr>
          <w:p w14:paraId="184B0BF0" w14:textId="77777777" w:rsidR="003C0AF1" w:rsidRPr="007115F2" w:rsidRDefault="003C0AF1" w:rsidP="007C051A">
            <w:pPr>
              <w:widowControl w:val="0"/>
              <w:autoSpaceDE w:val="0"/>
              <w:autoSpaceDN w:val="0"/>
              <w:adjustRightInd w:val="0"/>
              <w:spacing w:line="240" w:lineRule="auto"/>
              <w:jc w:val="left"/>
              <w:rPr>
                <w:sz w:val="22"/>
              </w:rPr>
            </w:pPr>
          </w:p>
        </w:tc>
        <w:tc>
          <w:tcPr>
            <w:tcW w:w="1133" w:type="dxa"/>
            <w:shd w:val="clear" w:color="auto" w:fill="FFFFFF"/>
            <w:tcMar>
              <w:top w:w="0" w:type="dxa"/>
              <w:left w:w="0" w:type="dxa"/>
              <w:bottom w:w="0" w:type="dxa"/>
              <w:right w:w="0" w:type="dxa"/>
            </w:tcMar>
            <w:vAlign w:val="center"/>
          </w:tcPr>
          <w:p w14:paraId="1215B428" w14:textId="77777777" w:rsidR="003C0AF1" w:rsidRPr="007115F2" w:rsidRDefault="003C0AF1" w:rsidP="007C051A">
            <w:pPr>
              <w:widowControl w:val="0"/>
              <w:autoSpaceDE w:val="0"/>
              <w:autoSpaceDN w:val="0"/>
              <w:adjustRightInd w:val="0"/>
              <w:spacing w:line="240" w:lineRule="auto"/>
              <w:ind w:left="100"/>
              <w:jc w:val="center"/>
              <w:rPr>
                <w:sz w:val="22"/>
              </w:rPr>
            </w:pPr>
          </w:p>
        </w:tc>
        <w:tc>
          <w:tcPr>
            <w:tcW w:w="1133" w:type="dxa"/>
            <w:shd w:val="clear" w:color="auto" w:fill="FFFFFF"/>
            <w:tcMar>
              <w:top w:w="0" w:type="dxa"/>
              <w:left w:w="0" w:type="dxa"/>
              <w:bottom w:w="0" w:type="dxa"/>
              <w:right w:w="0" w:type="dxa"/>
            </w:tcMar>
            <w:vAlign w:val="center"/>
          </w:tcPr>
          <w:p w14:paraId="65AD1E52" w14:textId="77777777" w:rsidR="003C0AF1" w:rsidRPr="007115F2" w:rsidRDefault="003C0AF1" w:rsidP="007C051A">
            <w:pPr>
              <w:widowControl w:val="0"/>
              <w:autoSpaceDE w:val="0"/>
              <w:autoSpaceDN w:val="0"/>
              <w:adjustRightInd w:val="0"/>
              <w:spacing w:line="240" w:lineRule="auto"/>
              <w:ind w:left="100"/>
              <w:jc w:val="center"/>
              <w:rPr>
                <w:sz w:val="22"/>
              </w:rPr>
            </w:pPr>
          </w:p>
        </w:tc>
        <w:tc>
          <w:tcPr>
            <w:tcW w:w="1133" w:type="dxa"/>
            <w:shd w:val="clear" w:color="auto" w:fill="FFFFFF"/>
            <w:tcMar>
              <w:top w:w="0" w:type="dxa"/>
              <w:left w:w="0" w:type="dxa"/>
              <w:bottom w:w="0" w:type="dxa"/>
              <w:right w:w="0" w:type="dxa"/>
            </w:tcMar>
            <w:vAlign w:val="center"/>
          </w:tcPr>
          <w:p w14:paraId="3D712E0B" w14:textId="77777777" w:rsidR="003C0AF1" w:rsidRPr="007115F2" w:rsidRDefault="003C0AF1" w:rsidP="007C051A">
            <w:pPr>
              <w:widowControl w:val="0"/>
              <w:autoSpaceDE w:val="0"/>
              <w:autoSpaceDN w:val="0"/>
              <w:adjustRightInd w:val="0"/>
              <w:spacing w:line="240" w:lineRule="auto"/>
              <w:ind w:left="100"/>
              <w:jc w:val="center"/>
              <w:rPr>
                <w:sz w:val="22"/>
              </w:rPr>
            </w:pPr>
            <w:r w:rsidRPr="007115F2">
              <w:rPr>
                <w:rFonts w:eastAsia="Helvetica"/>
                <w:sz w:val="22"/>
              </w:rPr>
              <w:t>[0.001]</w:t>
            </w:r>
          </w:p>
        </w:tc>
        <w:tc>
          <w:tcPr>
            <w:tcW w:w="1139" w:type="dxa"/>
            <w:shd w:val="clear" w:color="auto" w:fill="FFFFFF"/>
            <w:tcMar>
              <w:top w:w="0" w:type="dxa"/>
              <w:left w:w="0" w:type="dxa"/>
              <w:bottom w:w="0" w:type="dxa"/>
              <w:right w:w="0" w:type="dxa"/>
            </w:tcMar>
            <w:vAlign w:val="center"/>
          </w:tcPr>
          <w:p w14:paraId="3A00384F" w14:textId="77777777" w:rsidR="003C0AF1" w:rsidRPr="007115F2" w:rsidRDefault="003C0AF1" w:rsidP="007C051A">
            <w:pPr>
              <w:widowControl w:val="0"/>
              <w:autoSpaceDE w:val="0"/>
              <w:autoSpaceDN w:val="0"/>
              <w:adjustRightInd w:val="0"/>
              <w:spacing w:line="240" w:lineRule="auto"/>
              <w:ind w:left="100"/>
              <w:jc w:val="center"/>
              <w:rPr>
                <w:sz w:val="22"/>
              </w:rPr>
            </w:pPr>
            <w:r w:rsidRPr="007115F2">
              <w:rPr>
                <w:rFonts w:eastAsia="Helvetica"/>
                <w:sz w:val="22"/>
              </w:rPr>
              <w:t>[0.008]</w:t>
            </w:r>
          </w:p>
        </w:tc>
      </w:tr>
      <w:tr w:rsidR="003C0AF1" w:rsidRPr="007115F2" w14:paraId="0A96EC94" w14:textId="77777777" w:rsidTr="0029259E">
        <w:trPr>
          <w:trHeight w:val="20"/>
          <w:jc w:val="center"/>
        </w:trPr>
        <w:tc>
          <w:tcPr>
            <w:tcW w:w="5101" w:type="dxa"/>
            <w:shd w:val="clear" w:color="auto" w:fill="FFFFFF"/>
            <w:tcMar>
              <w:top w:w="0" w:type="dxa"/>
              <w:left w:w="0" w:type="dxa"/>
              <w:bottom w:w="0" w:type="dxa"/>
              <w:right w:w="0" w:type="dxa"/>
            </w:tcMar>
            <w:vAlign w:val="center"/>
          </w:tcPr>
          <w:p w14:paraId="177B764B" w14:textId="77777777" w:rsidR="003C0AF1" w:rsidRPr="007115F2" w:rsidRDefault="003C0AF1" w:rsidP="007C051A">
            <w:pPr>
              <w:widowControl w:val="0"/>
              <w:autoSpaceDE w:val="0"/>
              <w:autoSpaceDN w:val="0"/>
              <w:adjustRightInd w:val="0"/>
              <w:spacing w:line="240" w:lineRule="auto"/>
              <w:jc w:val="left"/>
              <w:rPr>
                <w:sz w:val="22"/>
              </w:rPr>
            </w:pPr>
            <w:r w:rsidRPr="007115F2">
              <w:rPr>
                <w:sz w:val="22"/>
              </w:rPr>
              <w:t>Prior_Board_Ties</w:t>
            </w:r>
          </w:p>
        </w:tc>
        <w:tc>
          <w:tcPr>
            <w:tcW w:w="1133" w:type="dxa"/>
            <w:shd w:val="clear" w:color="auto" w:fill="FFFFFF"/>
            <w:tcMar>
              <w:top w:w="0" w:type="dxa"/>
              <w:left w:w="0" w:type="dxa"/>
              <w:bottom w:w="0" w:type="dxa"/>
              <w:right w:w="0" w:type="dxa"/>
            </w:tcMar>
            <w:vAlign w:val="center"/>
          </w:tcPr>
          <w:p w14:paraId="7675CF78" w14:textId="77777777" w:rsidR="003C0AF1" w:rsidRPr="007115F2" w:rsidRDefault="003C0AF1" w:rsidP="007C051A">
            <w:pPr>
              <w:widowControl w:val="0"/>
              <w:autoSpaceDE w:val="0"/>
              <w:autoSpaceDN w:val="0"/>
              <w:adjustRightInd w:val="0"/>
              <w:spacing w:line="240" w:lineRule="auto"/>
              <w:ind w:left="100"/>
              <w:jc w:val="center"/>
              <w:rPr>
                <w:sz w:val="22"/>
              </w:rPr>
            </w:pPr>
            <w:r w:rsidRPr="007115F2">
              <w:rPr>
                <w:sz w:val="22"/>
              </w:rPr>
              <w:t>0.000</w:t>
            </w:r>
          </w:p>
        </w:tc>
        <w:tc>
          <w:tcPr>
            <w:tcW w:w="1133" w:type="dxa"/>
            <w:shd w:val="clear" w:color="auto" w:fill="FFFFFF"/>
            <w:tcMar>
              <w:top w:w="0" w:type="dxa"/>
              <w:left w:w="0" w:type="dxa"/>
              <w:bottom w:w="0" w:type="dxa"/>
              <w:right w:w="0" w:type="dxa"/>
            </w:tcMar>
            <w:vAlign w:val="center"/>
          </w:tcPr>
          <w:p w14:paraId="20A51F96" w14:textId="77777777" w:rsidR="003C0AF1" w:rsidRPr="007115F2" w:rsidRDefault="003C0AF1" w:rsidP="007C051A">
            <w:pPr>
              <w:widowControl w:val="0"/>
              <w:autoSpaceDE w:val="0"/>
              <w:autoSpaceDN w:val="0"/>
              <w:adjustRightInd w:val="0"/>
              <w:spacing w:line="240" w:lineRule="auto"/>
              <w:ind w:left="100"/>
              <w:jc w:val="center"/>
              <w:rPr>
                <w:sz w:val="22"/>
              </w:rPr>
            </w:pPr>
            <w:r w:rsidRPr="007115F2">
              <w:rPr>
                <w:sz w:val="22"/>
              </w:rPr>
              <w:t>0.000</w:t>
            </w:r>
          </w:p>
        </w:tc>
        <w:tc>
          <w:tcPr>
            <w:tcW w:w="1133" w:type="dxa"/>
            <w:shd w:val="clear" w:color="auto" w:fill="FFFFFF"/>
            <w:tcMar>
              <w:top w:w="0" w:type="dxa"/>
              <w:left w:w="0" w:type="dxa"/>
              <w:bottom w:w="0" w:type="dxa"/>
              <w:right w:w="0" w:type="dxa"/>
            </w:tcMar>
            <w:vAlign w:val="center"/>
          </w:tcPr>
          <w:p w14:paraId="79B99408" w14:textId="77777777" w:rsidR="003C0AF1" w:rsidRPr="007115F2" w:rsidRDefault="003C0AF1" w:rsidP="007C051A">
            <w:pPr>
              <w:widowControl w:val="0"/>
              <w:autoSpaceDE w:val="0"/>
              <w:autoSpaceDN w:val="0"/>
              <w:adjustRightInd w:val="0"/>
              <w:spacing w:line="240" w:lineRule="auto"/>
              <w:ind w:left="100"/>
              <w:jc w:val="center"/>
              <w:rPr>
                <w:sz w:val="22"/>
              </w:rPr>
            </w:pPr>
            <w:r w:rsidRPr="007115F2">
              <w:rPr>
                <w:sz w:val="22"/>
              </w:rPr>
              <w:t>0.000</w:t>
            </w:r>
          </w:p>
        </w:tc>
        <w:tc>
          <w:tcPr>
            <w:tcW w:w="1139" w:type="dxa"/>
            <w:shd w:val="clear" w:color="auto" w:fill="FFFFFF"/>
            <w:tcMar>
              <w:top w:w="0" w:type="dxa"/>
              <w:left w:w="0" w:type="dxa"/>
              <w:bottom w:w="0" w:type="dxa"/>
              <w:right w:w="0" w:type="dxa"/>
            </w:tcMar>
            <w:vAlign w:val="center"/>
          </w:tcPr>
          <w:p w14:paraId="5F70EF3D" w14:textId="77777777" w:rsidR="003C0AF1" w:rsidRPr="007115F2" w:rsidRDefault="003C0AF1" w:rsidP="007C051A">
            <w:pPr>
              <w:widowControl w:val="0"/>
              <w:autoSpaceDE w:val="0"/>
              <w:autoSpaceDN w:val="0"/>
              <w:adjustRightInd w:val="0"/>
              <w:spacing w:line="240" w:lineRule="auto"/>
              <w:ind w:left="100"/>
              <w:jc w:val="center"/>
              <w:rPr>
                <w:sz w:val="22"/>
              </w:rPr>
            </w:pPr>
            <w:r w:rsidRPr="007115F2">
              <w:rPr>
                <w:sz w:val="22"/>
              </w:rPr>
              <w:t>0.000</w:t>
            </w:r>
          </w:p>
        </w:tc>
      </w:tr>
      <w:tr w:rsidR="003C0AF1" w:rsidRPr="007115F2" w14:paraId="4131AA16" w14:textId="77777777" w:rsidTr="0029259E">
        <w:trPr>
          <w:trHeight w:val="20"/>
          <w:jc w:val="center"/>
        </w:trPr>
        <w:tc>
          <w:tcPr>
            <w:tcW w:w="5101"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E8F14" w14:textId="77777777" w:rsidR="003C0AF1" w:rsidRPr="007115F2" w:rsidRDefault="003C0AF1" w:rsidP="007C051A">
            <w:pPr>
              <w:widowControl w:val="0"/>
              <w:autoSpaceDE w:val="0"/>
              <w:autoSpaceDN w:val="0"/>
              <w:adjustRightInd w:val="0"/>
              <w:spacing w:line="240" w:lineRule="auto"/>
              <w:jc w:val="left"/>
              <w:rPr>
                <w:sz w:val="22"/>
              </w:rPr>
            </w:pPr>
          </w:p>
        </w:tc>
        <w:tc>
          <w:tcPr>
            <w:tcW w:w="1133"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3DDA3" w14:textId="77777777" w:rsidR="003C0AF1" w:rsidRPr="007115F2" w:rsidRDefault="003C0AF1" w:rsidP="007C051A">
            <w:pPr>
              <w:widowControl w:val="0"/>
              <w:autoSpaceDE w:val="0"/>
              <w:autoSpaceDN w:val="0"/>
              <w:adjustRightInd w:val="0"/>
              <w:spacing w:line="240" w:lineRule="auto"/>
              <w:ind w:left="100"/>
              <w:jc w:val="center"/>
              <w:rPr>
                <w:sz w:val="22"/>
              </w:rPr>
            </w:pPr>
            <w:r w:rsidRPr="007115F2">
              <w:rPr>
                <w:rFonts w:eastAsia="Helvetica"/>
                <w:sz w:val="22"/>
              </w:rPr>
              <w:t>[0.848]</w:t>
            </w:r>
          </w:p>
        </w:tc>
        <w:tc>
          <w:tcPr>
            <w:tcW w:w="1133"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A9B37" w14:textId="77777777" w:rsidR="003C0AF1" w:rsidRPr="007115F2" w:rsidRDefault="003C0AF1" w:rsidP="007C051A">
            <w:pPr>
              <w:widowControl w:val="0"/>
              <w:autoSpaceDE w:val="0"/>
              <w:autoSpaceDN w:val="0"/>
              <w:adjustRightInd w:val="0"/>
              <w:spacing w:line="240" w:lineRule="auto"/>
              <w:ind w:left="100"/>
              <w:jc w:val="center"/>
              <w:rPr>
                <w:sz w:val="22"/>
              </w:rPr>
            </w:pPr>
            <w:r w:rsidRPr="007115F2">
              <w:rPr>
                <w:rFonts w:eastAsia="Helvetica"/>
                <w:sz w:val="22"/>
              </w:rPr>
              <w:t>[0.818]</w:t>
            </w:r>
          </w:p>
        </w:tc>
        <w:tc>
          <w:tcPr>
            <w:tcW w:w="1133"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1877E" w14:textId="77777777" w:rsidR="003C0AF1" w:rsidRPr="007115F2" w:rsidRDefault="003C0AF1" w:rsidP="007C051A">
            <w:pPr>
              <w:widowControl w:val="0"/>
              <w:autoSpaceDE w:val="0"/>
              <w:autoSpaceDN w:val="0"/>
              <w:adjustRightInd w:val="0"/>
              <w:spacing w:line="240" w:lineRule="auto"/>
              <w:ind w:left="100"/>
              <w:jc w:val="center"/>
              <w:rPr>
                <w:sz w:val="22"/>
              </w:rPr>
            </w:pPr>
            <w:r w:rsidRPr="007115F2">
              <w:rPr>
                <w:rFonts w:eastAsia="Helvetica"/>
                <w:sz w:val="22"/>
              </w:rPr>
              <w:t>[0.881]</w:t>
            </w:r>
          </w:p>
        </w:tc>
        <w:tc>
          <w:tcPr>
            <w:tcW w:w="1139"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79F94" w14:textId="77777777" w:rsidR="003C0AF1" w:rsidRPr="007115F2" w:rsidRDefault="003C0AF1" w:rsidP="007C051A">
            <w:pPr>
              <w:widowControl w:val="0"/>
              <w:autoSpaceDE w:val="0"/>
              <w:autoSpaceDN w:val="0"/>
              <w:adjustRightInd w:val="0"/>
              <w:spacing w:line="240" w:lineRule="auto"/>
              <w:ind w:left="100"/>
              <w:jc w:val="center"/>
              <w:rPr>
                <w:sz w:val="22"/>
              </w:rPr>
            </w:pPr>
            <w:r w:rsidRPr="007115F2">
              <w:rPr>
                <w:rFonts w:eastAsia="Helvetica"/>
                <w:sz w:val="22"/>
              </w:rPr>
              <w:t>[0.775]</w:t>
            </w:r>
          </w:p>
        </w:tc>
      </w:tr>
      <w:tr w:rsidR="003C0AF1" w:rsidRPr="007115F2" w14:paraId="1BA6FE5A" w14:textId="77777777" w:rsidTr="0029259E">
        <w:trPr>
          <w:trHeight w:val="20"/>
          <w:jc w:val="center"/>
        </w:trPr>
        <w:tc>
          <w:tcPr>
            <w:tcW w:w="5101"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6E61C" w14:textId="77777777" w:rsidR="003C0AF1" w:rsidRPr="007115F2" w:rsidRDefault="003C0AF1" w:rsidP="007C051A">
            <w:pPr>
              <w:widowControl w:val="0"/>
              <w:autoSpaceDE w:val="0"/>
              <w:autoSpaceDN w:val="0"/>
              <w:adjustRightInd w:val="0"/>
              <w:spacing w:line="240" w:lineRule="auto"/>
              <w:jc w:val="left"/>
              <w:rPr>
                <w:sz w:val="22"/>
              </w:rPr>
            </w:pPr>
          </w:p>
        </w:tc>
        <w:tc>
          <w:tcPr>
            <w:tcW w:w="1133"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68B07" w14:textId="77777777" w:rsidR="003C0AF1" w:rsidRPr="007115F2" w:rsidRDefault="003C0AF1" w:rsidP="007C051A">
            <w:pPr>
              <w:widowControl w:val="0"/>
              <w:autoSpaceDE w:val="0"/>
              <w:autoSpaceDN w:val="0"/>
              <w:adjustRightInd w:val="0"/>
              <w:spacing w:line="240" w:lineRule="auto"/>
              <w:ind w:left="100"/>
              <w:jc w:val="center"/>
              <w:rPr>
                <w:sz w:val="22"/>
              </w:rPr>
            </w:pPr>
            <w:r w:rsidRPr="007115F2">
              <w:rPr>
                <w:sz w:val="22"/>
              </w:rPr>
              <w:t>(0.000)</w:t>
            </w:r>
          </w:p>
        </w:tc>
        <w:tc>
          <w:tcPr>
            <w:tcW w:w="1133"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050A1" w14:textId="77777777" w:rsidR="003C0AF1" w:rsidRPr="007115F2" w:rsidRDefault="003C0AF1" w:rsidP="007C051A">
            <w:pPr>
              <w:widowControl w:val="0"/>
              <w:autoSpaceDE w:val="0"/>
              <w:autoSpaceDN w:val="0"/>
              <w:adjustRightInd w:val="0"/>
              <w:spacing w:line="240" w:lineRule="auto"/>
              <w:ind w:left="100"/>
              <w:jc w:val="center"/>
              <w:rPr>
                <w:sz w:val="22"/>
              </w:rPr>
            </w:pPr>
            <w:r w:rsidRPr="007115F2">
              <w:rPr>
                <w:sz w:val="22"/>
              </w:rPr>
              <w:t>(0.000)</w:t>
            </w:r>
          </w:p>
        </w:tc>
        <w:tc>
          <w:tcPr>
            <w:tcW w:w="1133"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1F619" w14:textId="77777777" w:rsidR="003C0AF1" w:rsidRPr="007115F2" w:rsidRDefault="003C0AF1" w:rsidP="007C051A">
            <w:pPr>
              <w:widowControl w:val="0"/>
              <w:autoSpaceDE w:val="0"/>
              <w:autoSpaceDN w:val="0"/>
              <w:adjustRightInd w:val="0"/>
              <w:spacing w:line="240" w:lineRule="auto"/>
              <w:ind w:left="100"/>
              <w:jc w:val="center"/>
              <w:rPr>
                <w:sz w:val="22"/>
              </w:rPr>
            </w:pPr>
            <w:r w:rsidRPr="007115F2">
              <w:rPr>
                <w:sz w:val="22"/>
              </w:rPr>
              <w:t>(0.000)</w:t>
            </w:r>
          </w:p>
        </w:tc>
        <w:tc>
          <w:tcPr>
            <w:tcW w:w="1139"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AED1C" w14:textId="77777777" w:rsidR="003C0AF1" w:rsidRPr="007115F2" w:rsidRDefault="003C0AF1" w:rsidP="007C051A">
            <w:pPr>
              <w:widowControl w:val="0"/>
              <w:autoSpaceDE w:val="0"/>
              <w:autoSpaceDN w:val="0"/>
              <w:adjustRightInd w:val="0"/>
              <w:spacing w:line="240" w:lineRule="auto"/>
              <w:ind w:left="100"/>
              <w:jc w:val="center"/>
              <w:rPr>
                <w:sz w:val="22"/>
              </w:rPr>
            </w:pPr>
            <w:r w:rsidRPr="007115F2">
              <w:rPr>
                <w:sz w:val="22"/>
              </w:rPr>
              <w:t>(0.000)</w:t>
            </w:r>
          </w:p>
        </w:tc>
      </w:tr>
      <w:tr w:rsidR="003C0AF1" w:rsidRPr="007115F2" w14:paraId="3940160B"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8787E" w14:textId="77777777" w:rsidR="003C0AF1" w:rsidRPr="007115F2" w:rsidRDefault="003C0AF1" w:rsidP="007C051A">
            <w:pPr>
              <w:widowControl w:val="0"/>
              <w:autoSpaceDE w:val="0"/>
              <w:autoSpaceDN w:val="0"/>
              <w:adjustRightInd w:val="0"/>
              <w:spacing w:line="240" w:lineRule="auto"/>
              <w:jc w:val="left"/>
              <w:rPr>
                <w:sz w:val="22"/>
              </w:rPr>
            </w:pPr>
            <w:r w:rsidRPr="007115F2">
              <w:rPr>
                <w:sz w:val="22"/>
              </w:rPr>
              <w:t>Relative_Board_NetworkSize</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363A5" w14:textId="77777777" w:rsidR="003C0AF1" w:rsidRPr="007115F2" w:rsidRDefault="003C0AF1" w:rsidP="007C051A">
            <w:pPr>
              <w:widowControl w:val="0"/>
              <w:autoSpaceDE w:val="0"/>
              <w:autoSpaceDN w:val="0"/>
              <w:adjustRightInd w:val="0"/>
              <w:spacing w:line="240" w:lineRule="auto"/>
              <w:ind w:left="100"/>
              <w:jc w:val="center"/>
              <w:rPr>
                <w:sz w:val="22"/>
              </w:rPr>
            </w:pPr>
            <w:r w:rsidRPr="007115F2">
              <w:rPr>
                <w:sz w:val="22"/>
              </w:rPr>
              <w:t>0.000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2A41A" w14:textId="77777777" w:rsidR="003C0AF1" w:rsidRPr="007115F2" w:rsidRDefault="003C0AF1" w:rsidP="007C051A">
            <w:pPr>
              <w:widowControl w:val="0"/>
              <w:autoSpaceDE w:val="0"/>
              <w:autoSpaceDN w:val="0"/>
              <w:adjustRightInd w:val="0"/>
              <w:spacing w:line="240" w:lineRule="auto"/>
              <w:ind w:left="100"/>
              <w:jc w:val="center"/>
              <w:rPr>
                <w:sz w:val="22"/>
              </w:rPr>
            </w:pPr>
            <w:r w:rsidRPr="007115F2">
              <w:rPr>
                <w:sz w:val="22"/>
              </w:rPr>
              <w:t>0.000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E809F" w14:textId="77777777" w:rsidR="003C0AF1" w:rsidRPr="007115F2" w:rsidRDefault="003C0AF1" w:rsidP="007C051A">
            <w:pPr>
              <w:widowControl w:val="0"/>
              <w:autoSpaceDE w:val="0"/>
              <w:autoSpaceDN w:val="0"/>
              <w:adjustRightInd w:val="0"/>
              <w:spacing w:line="240" w:lineRule="auto"/>
              <w:ind w:left="100"/>
              <w:jc w:val="center"/>
              <w:rPr>
                <w:sz w:val="22"/>
              </w:rPr>
            </w:pPr>
            <w:r w:rsidRPr="007115F2">
              <w:rPr>
                <w:sz w:val="22"/>
              </w:rPr>
              <w:t>0.000</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8FAF4" w14:textId="77777777" w:rsidR="003C0AF1" w:rsidRPr="007115F2" w:rsidRDefault="003C0AF1" w:rsidP="007C051A">
            <w:pPr>
              <w:widowControl w:val="0"/>
              <w:autoSpaceDE w:val="0"/>
              <w:autoSpaceDN w:val="0"/>
              <w:adjustRightInd w:val="0"/>
              <w:spacing w:line="240" w:lineRule="auto"/>
              <w:ind w:left="100"/>
              <w:jc w:val="center"/>
              <w:rPr>
                <w:sz w:val="22"/>
              </w:rPr>
            </w:pPr>
            <w:r w:rsidRPr="007115F2">
              <w:rPr>
                <w:sz w:val="22"/>
              </w:rPr>
              <w:t>0.000</w:t>
            </w:r>
          </w:p>
        </w:tc>
      </w:tr>
      <w:tr w:rsidR="003C0AF1" w:rsidRPr="007115F2" w14:paraId="2C305AD8"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A7A33" w14:textId="77777777" w:rsidR="003C0AF1" w:rsidRPr="007115F2" w:rsidRDefault="003C0AF1" w:rsidP="007C051A">
            <w:pPr>
              <w:widowControl w:val="0"/>
              <w:autoSpaceDE w:val="0"/>
              <w:autoSpaceDN w:val="0"/>
              <w:adjustRightInd w:val="0"/>
              <w:spacing w:line="240" w:lineRule="auto"/>
              <w:jc w:val="left"/>
              <w:rPr>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EE2B9" w14:textId="77777777" w:rsidR="003C0AF1" w:rsidRPr="007115F2" w:rsidRDefault="003C0AF1" w:rsidP="007C051A">
            <w:pPr>
              <w:widowControl w:val="0"/>
              <w:autoSpaceDE w:val="0"/>
              <w:autoSpaceDN w:val="0"/>
              <w:adjustRightInd w:val="0"/>
              <w:spacing w:line="240" w:lineRule="auto"/>
              <w:ind w:left="100"/>
              <w:jc w:val="center"/>
              <w:rPr>
                <w:sz w:val="22"/>
              </w:rPr>
            </w:pPr>
            <w:r w:rsidRPr="007115F2">
              <w:rPr>
                <w:sz w:val="22"/>
              </w:rPr>
              <w:t>(0.000)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CB823" w14:textId="77777777" w:rsidR="003C0AF1" w:rsidRPr="007115F2" w:rsidRDefault="003C0AF1" w:rsidP="007C051A">
            <w:pPr>
              <w:widowControl w:val="0"/>
              <w:autoSpaceDE w:val="0"/>
              <w:autoSpaceDN w:val="0"/>
              <w:adjustRightInd w:val="0"/>
              <w:spacing w:line="240" w:lineRule="auto"/>
              <w:ind w:left="100"/>
              <w:jc w:val="center"/>
              <w:rPr>
                <w:sz w:val="22"/>
              </w:rPr>
            </w:pPr>
            <w:r w:rsidRPr="007115F2">
              <w:rPr>
                <w:sz w:val="22"/>
              </w:rPr>
              <w:t>(0.000)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0E3E4" w14:textId="77777777" w:rsidR="003C0AF1" w:rsidRPr="007115F2" w:rsidRDefault="003C0AF1" w:rsidP="007C051A">
            <w:pPr>
              <w:widowControl w:val="0"/>
              <w:autoSpaceDE w:val="0"/>
              <w:autoSpaceDN w:val="0"/>
              <w:adjustRightInd w:val="0"/>
              <w:spacing w:line="240" w:lineRule="auto"/>
              <w:ind w:left="100"/>
              <w:jc w:val="center"/>
              <w:rPr>
                <w:sz w:val="22"/>
              </w:rPr>
            </w:pPr>
            <w:r w:rsidRPr="007115F2">
              <w:rPr>
                <w:sz w:val="22"/>
              </w:rPr>
              <w:t>(0.000)</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37F1E" w14:textId="77777777" w:rsidR="003C0AF1" w:rsidRPr="007115F2" w:rsidRDefault="003C0AF1" w:rsidP="007C051A">
            <w:pPr>
              <w:widowControl w:val="0"/>
              <w:autoSpaceDE w:val="0"/>
              <w:autoSpaceDN w:val="0"/>
              <w:adjustRightInd w:val="0"/>
              <w:spacing w:line="240" w:lineRule="auto"/>
              <w:ind w:left="100"/>
              <w:jc w:val="center"/>
              <w:rPr>
                <w:sz w:val="22"/>
              </w:rPr>
            </w:pPr>
            <w:r w:rsidRPr="007115F2">
              <w:rPr>
                <w:sz w:val="22"/>
              </w:rPr>
              <w:t>(0.000)</w:t>
            </w:r>
          </w:p>
        </w:tc>
      </w:tr>
      <w:tr w:rsidR="003C0AF1" w:rsidRPr="007115F2" w14:paraId="35B429E6"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9EC1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3A74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[0.342]</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4C547"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[0.315]</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10C0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[0.413]</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6930D"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[0.475]</w:t>
            </w:r>
          </w:p>
        </w:tc>
      </w:tr>
      <w:tr w:rsidR="003C0AF1" w:rsidRPr="007115F2" w14:paraId="58AC3D62"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81DAA"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Ln(Total_FirmSize)</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6FD0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6534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-0.004</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4D0A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-0.004</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5BA64"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-0.004</w:t>
            </w:r>
          </w:p>
        </w:tc>
      </w:tr>
      <w:tr w:rsidR="003C0AF1" w:rsidRPr="007115F2" w14:paraId="445A8C40"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BB523"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0E61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6F8A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E471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ABD3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r>
      <w:tr w:rsidR="003C0AF1" w:rsidRPr="007115F2" w14:paraId="1F6D601B"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34AD7"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B00E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[&lt;0.001]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EA637"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[&lt;0.001]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B4EF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[&lt;0.001]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1426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[0.002]</w:t>
            </w:r>
          </w:p>
        </w:tc>
      </w:tr>
      <w:tr w:rsidR="003C0AF1" w:rsidRPr="007115F2" w14:paraId="15E99F0D"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CBAD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Relative_FirmSize</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9559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5B9F4"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BAAB7"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12FF6"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r>
      <w:tr w:rsidR="003C0AF1" w:rsidRPr="007115F2" w14:paraId="1ECB7E75"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76F6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A3076"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221D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9226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A89F6"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r>
      <w:tr w:rsidR="003C0AF1" w:rsidRPr="007115F2" w14:paraId="35E10E42"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F0B0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79C3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[&lt;0.001]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076C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[&lt;0.001]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A25E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[&lt;0.001]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D1F2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[&lt;0.001]</w:t>
            </w:r>
          </w:p>
        </w:tc>
      </w:tr>
      <w:tr w:rsidR="003C0AF1" w:rsidRPr="007115F2" w14:paraId="1E37A080"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CD3D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Relative_FirmPerformance</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6CA9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0.010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728FA"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0.091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BA6AF"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0.090</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65354"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0.090</w:t>
            </w:r>
          </w:p>
        </w:tc>
      </w:tr>
      <w:tr w:rsidR="003C0AF1" w:rsidRPr="007115F2" w14:paraId="186832ED"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4FFF4"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C08F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(0.016)</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1811D"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(0.024)</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3200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(0.024)</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FCAEA"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(0.034)</w:t>
            </w:r>
          </w:p>
        </w:tc>
      </w:tr>
      <w:tr w:rsidR="003C0AF1" w:rsidRPr="007115F2" w14:paraId="4E707446"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65F3F"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0FA16"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[0.521]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6DDC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[&lt;0.001]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6250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[&lt;0.001]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8722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[0.008]</w:t>
            </w:r>
          </w:p>
        </w:tc>
      </w:tr>
      <w:tr w:rsidR="003C0AF1" w:rsidRPr="007115F2" w14:paraId="3673DD60"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9722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Relative_RDIntensity</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C278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4D064"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-0.004</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B533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-0.004</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41204"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-0.004</w:t>
            </w:r>
          </w:p>
        </w:tc>
      </w:tr>
      <w:tr w:rsidR="003C0AF1" w:rsidRPr="007115F2" w14:paraId="4662F2C5"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06F03"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F9657"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74FB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8E2BD"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F314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(0.004)</w:t>
            </w:r>
          </w:p>
        </w:tc>
      </w:tr>
      <w:tr w:rsidR="003C0AF1" w:rsidRPr="007115F2" w14:paraId="281E4CAB"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8585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0F2B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[0.481]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C47C7"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[0.131]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A42F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[0.141]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87F0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[0.224]</w:t>
            </w:r>
          </w:p>
        </w:tc>
      </w:tr>
      <w:tr w:rsidR="003C0AF1" w:rsidRPr="007115F2" w14:paraId="35187D64"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01224"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Relative_AllianceExperience</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4B6A3"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F509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3DF1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14ECA"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r>
      <w:tr w:rsidR="003C0AF1" w:rsidRPr="007115F2" w14:paraId="74E79BA5"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F2F4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5C1B6"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533D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1A474"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ED393"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r>
      <w:tr w:rsidR="003C0AF1" w:rsidRPr="007115F2" w14:paraId="74563594"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B02D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92D0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[0.270]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22D0D"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[0.323]</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74A2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[0.260]</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397E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[0.199]</w:t>
            </w:r>
          </w:p>
        </w:tc>
      </w:tr>
      <w:tr w:rsidR="003C0AF1" w:rsidRPr="007115F2" w14:paraId="33E0F154"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25A5D"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Alliance_RelationalEmbeddedness</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1755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F05AA"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8FEB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F54B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r>
      <w:tr w:rsidR="003C0AF1" w:rsidRPr="007115F2" w14:paraId="4B1EAB18"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6F3FD"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B0DE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0F3F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D1D07"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F99DF"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r>
      <w:tr w:rsidR="003C0AF1" w:rsidRPr="007115F2" w14:paraId="79D15E5A"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6A29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76F44"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[0.064]</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44E6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[0.052]</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0C94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[0.092]</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7101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[0.019]</w:t>
            </w:r>
          </w:p>
        </w:tc>
      </w:tr>
      <w:tr w:rsidR="003C0AF1" w:rsidRPr="007115F2" w14:paraId="196DDEE7"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DA9CA"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Alliance_StructuralEmbeddedness</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79767"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0.004</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82F5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0.005</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D368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0.004</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0F683"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r>
      <w:tr w:rsidR="003C0AF1" w:rsidRPr="007115F2" w14:paraId="1F476F44"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CF93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0AC43"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(0.006)</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D498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(0.015)</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B7D7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(0.014)</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81C0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(0.012)</w:t>
            </w:r>
          </w:p>
        </w:tc>
      </w:tr>
      <w:tr w:rsidR="003C0AF1" w:rsidRPr="007115F2" w14:paraId="41535344"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444F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6999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[0.519]</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EF1DF"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[0.739]</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1E4E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[0.801]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68906"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[0.858]</w:t>
            </w:r>
          </w:p>
        </w:tc>
      </w:tr>
      <w:tr w:rsidR="003C0AF1" w:rsidRPr="007115F2" w14:paraId="38F666A2"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E385D"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JV_Indicator</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512D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18246"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F970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22BC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r>
      <w:tr w:rsidR="003C0AF1" w:rsidRPr="007115F2" w14:paraId="6C557740"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C198F"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D727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C3DAF"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713E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26624"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(0.005)</w:t>
            </w:r>
          </w:p>
        </w:tc>
      </w:tr>
      <w:tr w:rsidR="003C0AF1" w:rsidRPr="007115F2" w14:paraId="742A69D4"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CBBFA"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424B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[0.797]</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036A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[0.464]</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C64E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[0.435]</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8B8E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[0.620]</w:t>
            </w:r>
          </w:p>
        </w:tc>
      </w:tr>
      <w:tr w:rsidR="003C0AF1" w:rsidRPr="007115F2" w14:paraId="26930A55"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AEA2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Equity_Indicator</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5584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0.006</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920B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0.016</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8126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0.017</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79744"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0.016</w:t>
            </w:r>
          </w:p>
        </w:tc>
      </w:tr>
      <w:tr w:rsidR="003C0AF1" w:rsidRPr="007115F2" w14:paraId="60AFEEBB"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037A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47E54"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(0.007)</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F22DF"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(0.011)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9B45A"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(0.011)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8DDC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(0.012)</w:t>
            </w:r>
          </w:p>
        </w:tc>
      </w:tr>
      <w:tr w:rsidR="003C0AF1" w:rsidRPr="007115F2" w14:paraId="7DA3AF61"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66FE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09177"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[0.355]</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96F2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[0.145]</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AEF6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[0.099]</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E5AF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[0.182]</w:t>
            </w:r>
          </w:p>
        </w:tc>
      </w:tr>
      <w:tr w:rsidR="003C0AF1" w:rsidRPr="007115F2" w14:paraId="1F246DFB"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C28A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Technology_Indicator</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077C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07A83"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8F6A4"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ABF9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r>
      <w:tr w:rsidR="003C0AF1" w:rsidRPr="007115F2" w14:paraId="562C2855"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BE82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64CA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781C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98FD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03D4A"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r>
      <w:tr w:rsidR="003C0AF1" w:rsidRPr="007115F2" w14:paraId="0C585FA7"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426CF"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1BC8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[0.312]</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B2FAF"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[0.503]</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12AD6"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[0.524]</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51A8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[0.616]</w:t>
            </w:r>
          </w:p>
        </w:tc>
      </w:tr>
      <w:tr w:rsidR="003C0AF1" w:rsidRPr="007115F2" w14:paraId="12E0532A"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A47A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ExplorationAlliance_Indicator</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AF40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-0.004</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FC89D"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-0.006</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031B6"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-0.006</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FE49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-0.006</w:t>
            </w:r>
          </w:p>
        </w:tc>
      </w:tr>
      <w:tr w:rsidR="003C0AF1" w:rsidRPr="007115F2" w14:paraId="4F22911E"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3267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82DA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D1C64"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6FA4D"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D2AE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r>
      <w:tr w:rsidR="003C0AF1" w:rsidRPr="007115F2" w14:paraId="1FBE88D8"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5F92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40B0F"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[&lt;0.001]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919C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[0.047]</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F1DF7"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[0.061]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D86F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[0.043]</w:t>
            </w:r>
          </w:p>
        </w:tc>
      </w:tr>
      <w:tr w:rsidR="003C0AF1" w:rsidRPr="007115F2" w14:paraId="1AEA33E8"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4904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InternationalAlliance_Indicator</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FA40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5394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409C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6EF6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r>
      <w:tr w:rsidR="003C0AF1" w:rsidRPr="007115F2" w14:paraId="2FB28B76"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612B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7C7C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6D41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41B53"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9216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(0.004)</w:t>
            </w:r>
          </w:p>
        </w:tc>
      </w:tr>
      <w:tr w:rsidR="003C0AF1" w:rsidRPr="007115F2" w14:paraId="6AE7AD85"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D060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E3F4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[0.178]</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E216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[0.309]</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3E5C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[0.305]</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1CA3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[0.515]</w:t>
            </w:r>
          </w:p>
        </w:tc>
      </w:tr>
      <w:tr w:rsidR="003C0AF1" w:rsidRPr="007115F2" w14:paraId="0F707855"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8A5BA"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Relatedness_Indicator</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AA55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4D89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0.004</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6BDC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A49D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r>
      <w:tr w:rsidR="003C0AF1" w:rsidRPr="007115F2" w14:paraId="4FE9367C"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50E9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CF1F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CA03F"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C7E36"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2919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(0.005)</w:t>
            </w:r>
          </w:p>
        </w:tc>
      </w:tr>
      <w:tr w:rsidR="003C0AF1" w:rsidRPr="007115F2" w14:paraId="202A36D7"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C15F4"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3027D"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[0.866]</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34EDF"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[0.301]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5BC9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[0.363]</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FF4A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[0.525]</w:t>
            </w:r>
          </w:p>
        </w:tc>
      </w:tr>
      <w:tr w:rsidR="003C0AF1" w:rsidRPr="007115F2" w14:paraId="3FFF088D"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68D1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Industry_Growth</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004B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0.007</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204B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0.008</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C0D0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0.009</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D1EAF"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0.008</w:t>
            </w:r>
          </w:p>
        </w:tc>
      </w:tr>
      <w:tr w:rsidR="003C0AF1" w:rsidRPr="007115F2" w14:paraId="1D60D674"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7CF0F"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F3103"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833A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(0.007)</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184E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(0.007)</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53F0D"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(0.008)</w:t>
            </w:r>
          </w:p>
        </w:tc>
      </w:tr>
      <w:tr w:rsidR="003C0AF1" w:rsidRPr="007115F2" w14:paraId="30D33CA8"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FECF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1BA5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[0.003]</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728F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[0.245]</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BB23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[0.215]</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0FF6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[0.277]</w:t>
            </w:r>
          </w:p>
        </w:tc>
      </w:tr>
      <w:tr w:rsidR="003C0AF1" w:rsidRPr="007115F2" w14:paraId="08A52081"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AC6E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Industry_Complementarity</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C9B6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1927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C718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B94B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r>
      <w:tr w:rsidR="003C0AF1" w:rsidRPr="007115F2" w14:paraId="20EBD7FA"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C972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0A0E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93B3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(0.004)</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1BEDD"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4173A"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(0.007)</w:t>
            </w:r>
          </w:p>
        </w:tc>
      </w:tr>
      <w:tr w:rsidR="003C0AF1" w:rsidRPr="007115F2" w14:paraId="3EA32F45"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9456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72627"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[0.221]</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F7B7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[0.808]</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F464A"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[0.520]</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84D1D"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[0.824]</w:t>
            </w:r>
          </w:p>
        </w:tc>
      </w:tr>
      <w:tr w:rsidR="003C0AF1" w:rsidRPr="007115F2" w14:paraId="661A2C85"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94CD3"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Industry_RelatedScope</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4FD9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05F04"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A174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B3417"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r>
      <w:tr w:rsidR="003C0AF1" w:rsidRPr="007115F2" w14:paraId="3E8B958F" w14:textId="77777777" w:rsidTr="0029259E">
        <w:trPr>
          <w:trHeight w:val="20"/>
          <w:jc w:val="center"/>
        </w:trPr>
        <w:tc>
          <w:tcPr>
            <w:tcW w:w="5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AE62D"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D097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1E2A4"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08C7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87CE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r>
      <w:tr w:rsidR="003C0AF1" w:rsidRPr="007115F2" w14:paraId="13B55B40" w14:textId="77777777" w:rsidTr="0029259E">
        <w:trPr>
          <w:trHeight w:val="20"/>
          <w:jc w:val="center"/>
        </w:trPr>
        <w:tc>
          <w:tcPr>
            <w:tcW w:w="5101" w:type="dxa"/>
            <w:shd w:val="clear" w:color="auto" w:fill="FFFFFF"/>
            <w:tcMar>
              <w:top w:w="0" w:type="dxa"/>
              <w:left w:w="0" w:type="dxa"/>
              <w:bottom w:w="0" w:type="dxa"/>
              <w:right w:w="0" w:type="dxa"/>
            </w:tcMar>
            <w:vAlign w:val="center"/>
          </w:tcPr>
          <w:p w14:paraId="0BF57647"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133" w:type="dxa"/>
            <w:shd w:val="clear" w:color="auto" w:fill="FFFFFF"/>
            <w:tcMar>
              <w:top w:w="0" w:type="dxa"/>
              <w:left w:w="0" w:type="dxa"/>
              <w:bottom w:w="0" w:type="dxa"/>
              <w:right w:w="0" w:type="dxa"/>
            </w:tcMar>
            <w:vAlign w:val="center"/>
          </w:tcPr>
          <w:p w14:paraId="62C747C6"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[0.719]</w:t>
            </w:r>
          </w:p>
        </w:tc>
        <w:tc>
          <w:tcPr>
            <w:tcW w:w="1133" w:type="dxa"/>
            <w:shd w:val="clear" w:color="auto" w:fill="FFFFFF"/>
            <w:tcMar>
              <w:top w:w="0" w:type="dxa"/>
              <w:left w:w="0" w:type="dxa"/>
              <w:bottom w:w="0" w:type="dxa"/>
              <w:right w:w="0" w:type="dxa"/>
            </w:tcMar>
            <w:vAlign w:val="center"/>
          </w:tcPr>
          <w:p w14:paraId="121969C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[0.388]</w:t>
            </w:r>
          </w:p>
        </w:tc>
        <w:tc>
          <w:tcPr>
            <w:tcW w:w="1133" w:type="dxa"/>
            <w:shd w:val="clear" w:color="auto" w:fill="FFFFFF"/>
            <w:tcMar>
              <w:top w:w="0" w:type="dxa"/>
              <w:left w:w="0" w:type="dxa"/>
              <w:bottom w:w="0" w:type="dxa"/>
              <w:right w:w="0" w:type="dxa"/>
            </w:tcMar>
            <w:vAlign w:val="center"/>
          </w:tcPr>
          <w:p w14:paraId="73FC7C0A"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[0.358]</w:t>
            </w:r>
          </w:p>
        </w:tc>
        <w:tc>
          <w:tcPr>
            <w:tcW w:w="1139" w:type="dxa"/>
            <w:shd w:val="clear" w:color="auto" w:fill="FFFFFF"/>
            <w:tcMar>
              <w:top w:w="0" w:type="dxa"/>
              <w:left w:w="0" w:type="dxa"/>
              <w:bottom w:w="0" w:type="dxa"/>
              <w:right w:w="0" w:type="dxa"/>
            </w:tcMar>
            <w:vAlign w:val="center"/>
          </w:tcPr>
          <w:p w14:paraId="382F900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[0.469]</w:t>
            </w:r>
          </w:p>
        </w:tc>
      </w:tr>
      <w:tr w:rsidR="003C0AF1" w:rsidRPr="007115F2" w14:paraId="398043CF" w14:textId="77777777" w:rsidTr="0029259E">
        <w:trPr>
          <w:trHeight w:val="20"/>
          <w:jc w:val="center"/>
        </w:trPr>
        <w:tc>
          <w:tcPr>
            <w:tcW w:w="5101" w:type="dxa"/>
            <w:shd w:val="clear" w:color="auto" w:fill="FFFFFF"/>
            <w:tcMar>
              <w:top w:w="0" w:type="dxa"/>
              <w:left w:w="0" w:type="dxa"/>
              <w:bottom w:w="0" w:type="dxa"/>
              <w:right w:w="0" w:type="dxa"/>
            </w:tcMar>
            <w:vAlign w:val="center"/>
          </w:tcPr>
          <w:p w14:paraId="2F7A5FA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Year FE</w:t>
            </w:r>
          </w:p>
        </w:tc>
        <w:tc>
          <w:tcPr>
            <w:tcW w:w="1133" w:type="dxa"/>
            <w:shd w:val="clear" w:color="auto" w:fill="FFFFFF"/>
            <w:tcMar>
              <w:top w:w="0" w:type="dxa"/>
              <w:left w:w="0" w:type="dxa"/>
              <w:bottom w:w="0" w:type="dxa"/>
              <w:right w:w="0" w:type="dxa"/>
            </w:tcMar>
            <w:vAlign w:val="center"/>
          </w:tcPr>
          <w:p w14:paraId="04B41C0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True</w:t>
            </w:r>
          </w:p>
        </w:tc>
        <w:tc>
          <w:tcPr>
            <w:tcW w:w="1133" w:type="dxa"/>
            <w:shd w:val="clear" w:color="auto" w:fill="FFFFFF"/>
            <w:tcMar>
              <w:top w:w="0" w:type="dxa"/>
              <w:left w:w="0" w:type="dxa"/>
              <w:bottom w:w="0" w:type="dxa"/>
              <w:right w:w="0" w:type="dxa"/>
            </w:tcMar>
            <w:vAlign w:val="center"/>
          </w:tcPr>
          <w:p w14:paraId="0CA3FF47"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True</w:t>
            </w:r>
          </w:p>
        </w:tc>
        <w:tc>
          <w:tcPr>
            <w:tcW w:w="1133" w:type="dxa"/>
            <w:shd w:val="clear" w:color="auto" w:fill="FFFFFF"/>
            <w:tcMar>
              <w:top w:w="0" w:type="dxa"/>
              <w:left w:w="0" w:type="dxa"/>
              <w:bottom w:w="0" w:type="dxa"/>
              <w:right w:w="0" w:type="dxa"/>
            </w:tcMar>
            <w:vAlign w:val="center"/>
          </w:tcPr>
          <w:p w14:paraId="0A850C4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True</w:t>
            </w:r>
          </w:p>
        </w:tc>
        <w:tc>
          <w:tcPr>
            <w:tcW w:w="1139" w:type="dxa"/>
            <w:shd w:val="clear" w:color="auto" w:fill="FFFFFF"/>
            <w:tcMar>
              <w:top w:w="0" w:type="dxa"/>
              <w:left w:w="0" w:type="dxa"/>
              <w:bottom w:w="0" w:type="dxa"/>
              <w:right w:w="0" w:type="dxa"/>
            </w:tcMar>
            <w:vAlign w:val="center"/>
          </w:tcPr>
          <w:p w14:paraId="2D33DBB4"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True</w:t>
            </w:r>
          </w:p>
        </w:tc>
      </w:tr>
      <w:tr w:rsidR="003C0AF1" w:rsidRPr="007115F2" w14:paraId="72EAD14B" w14:textId="77777777" w:rsidTr="0029259E">
        <w:trPr>
          <w:trHeight w:val="20"/>
          <w:jc w:val="center"/>
        </w:trPr>
        <w:tc>
          <w:tcPr>
            <w:tcW w:w="5101" w:type="dxa"/>
            <w:shd w:val="clear" w:color="auto" w:fill="FFFFFF"/>
            <w:tcMar>
              <w:top w:w="0" w:type="dxa"/>
              <w:left w:w="0" w:type="dxa"/>
              <w:bottom w:w="0" w:type="dxa"/>
              <w:right w:w="0" w:type="dxa"/>
            </w:tcMar>
            <w:vAlign w:val="center"/>
          </w:tcPr>
          <w:p w14:paraId="08B6379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Industry Combination FE</w:t>
            </w:r>
          </w:p>
        </w:tc>
        <w:tc>
          <w:tcPr>
            <w:tcW w:w="1133" w:type="dxa"/>
            <w:shd w:val="clear" w:color="auto" w:fill="FFFFFF"/>
            <w:tcMar>
              <w:top w:w="0" w:type="dxa"/>
              <w:left w:w="0" w:type="dxa"/>
              <w:bottom w:w="0" w:type="dxa"/>
              <w:right w:w="0" w:type="dxa"/>
            </w:tcMar>
            <w:vAlign w:val="center"/>
          </w:tcPr>
          <w:p w14:paraId="51804C97"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True</w:t>
            </w:r>
          </w:p>
        </w:tc>
        <w:tc>
          <w:tcPr>
            <w:tcW w:w="1133" w:type="dxa"/>
            <w:shd w:val="clear" w:color="auto" w:fill="FFFFFF"/>
            <w:tcMar>
              <w:top w:w="0" w:type="dxa"/>
              <w:left w:w="0" w:type="dxa"/>
              <w:bottom w:w="0" w:type="dxa"/>
              <w:right w:w="0" w:type="dxa"/>
            </w:tcMar>
            <w:vAlign w:val="center"/>
          </w:tcPr>
          <w:p w14:paraId="42070C6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True</w:t>
            </w:r>
          </w:p>
        </w:tc>
        <w:tc>
          <w:tcPr>
            <w:tcW w:w="1133" w:type="dxa"/>
            <w:shd w:val="clear" w:color="auto" w:fill="FFFFFF"/>
            <w:tcMar>
              <w:top w:w="0" w:type="dxa"/>
              <w:left w:w="0" w:type="dxa"/>
              <w:bottom w:w="0" w:type="dxa"/>
              <w:right w:w="0" w:type="dxa"/>
            </w:tcMar>
            <w:vAlign w:val="center"/>
          </w:tcPr>
          <w:p w14:paraId="2374AE0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True</w:t>
            </w:r>
          </w:p>
        </w:tc>
        <w:tc>
          <w:tcPr>
            <w:tcW w:w="1139" w:type="dxa"/>
            <w:shd w:val="clear" w:color="auto" w:fill="FFFFFF"/>
            <w:tcMar>
              <w:top w:w="0" w:type="dxa"/>
              <w:left w:w="0" w:type="dxa"/>
              <w:bottom w:w="0" w:type="dxa"/>
              <w:right w:w="0" w:type="dxa"/>
            </w:tcMar>
            <w:vAlign w:val="center"/>
          </w:tcPr>
          <w:p w14:paraId="4E461D9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True</w:t>
            </w:r>
          </w:p>
        </w:tc>
      </w:tr>
      <w:tr w:rsidR="003C0AF1" w:rsidRPr="007115F2" w14:paraId="1ED55B33" w14:textId="77777777" w:rsidTr="0029259E">
        <w:trPr>
          <w:trHeight w:val="20"/>
          <w:jc w:val="center"/>
        </w:trPr>
        <w:tc>
          <w:tcPr>
            <w:tcW w:w="5101" w:type="dxa"/>
            <w:shd w:val="clear" w:color="auto" w:fill="FFFFFF"/>
            <w:tcMar>
              <w:top w:w="0" w:type="dxa"/>
              <w:left w:w="0" w:type="dxa"/>
              <w:bottom w:w="0" w:type="dxa"/>
              <w:right w:w="0" w:type="dxa"/>
            </w:tcMar>
            <w:vAlign w:val="center"/>
          </w:tcPr>
          <w:p w14:paraId="356C3277"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Adjusted R-Squared</w:t>
            </w:r>
          </w:p>
        </w:tc>
        <w:tc>
          <w:tcPr>
            <w:tcW w:w="1133" w:type="dxa"/>
            <w:shd w:val="clear" w:color="auto" w:fill="FFFFFF"/>
            <w:tcMar>
              <w:top w:w="0" w:type="dxa"/>
              <w:left w:w="0" w:type="dxa"/>
              <w:bottom w:w="0" w:type="dxa"/>
              <w:right w:w="0" w:type="dxa"/>
            </w:tcMar>
            <w:vAlign w:val="center"/>
          </w:tcPr>
          <w:p w14:paraId="12D8E1C4"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0.125</w:t>
            </w:r>
          </w:p>
        </w:tc>
        <w:tc>
          <w:tcPr>
            <w:tcW w:w="1133" w:type="dxa"/>
            <w:shd w:val="clear" w:color="auto" w:fill="FFFFFF"/>
            <w:tcMar>
              <w:top w:w="0" w:type="dxa"/>
              <w:left w:w="0" w:type="dxa"/>
              <w:bottom w:w="0" w:type="dxa"/>
              <w:right w:w="0" w:type="dxa"/>
            </w:tcMar>
            <w:vAlign w:val="center"/>
          </w:tcPr>
          <w:p w14:paraId="2559CA36"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0.129</w:t>
            </w:r>
          </w:p>
        </w:tc>
        <w:tc>
          <w:tcPr>
            <w:tcW w:w="1133" w:type="dxa"/>
            <w:shd w:val="clear" w:color="auto" w:fill="FFFFFF"/>
            <w:tcMar>
              <w:top w:w="0" w:type="dxa"/>
              <w:left w:w="0" w:type="dxa"/>
              <w:bottom w:w="0" w:type="dxa"/>
              <w:right w:w="0" w:type="dxa"/>
            </w:tcMar>
            <w:vAlign w:val="center"/>
          </w:tcPr>
          <w:p w14:paraId="00AF4154"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0.126</w:t>
            </w:r>
          </w:p>
        </w:tc>
        <w:tc>
          <w:tcPr>
            <w:tcW w:w="1139" w:type="dxa"/>
            <w:shd w:val="clear" w:color="auto" w:fill="FFFFFF"/>
            <w:tcMar>
              <w:top w:w="0" w:type="dxa"/>
              <w:left w:w="0" w:type="dxa"/>
              <w:bottom w:w="0" w:type="dxa"/>
              <w:right w:w="0" w:type="dxa"/>
            </w:tcMar>
            <w:vAlign w:val="center"/>
          </w:tcPr>
          <w:p w14:paraId="5E69E07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0.130</w:t>
            </w:r>
          </w:p>
        </w:tc>
      </w:tr>
      <w:tr w:rsidR="003C0AF1" w:rsidRPr="007115F2" w14:paraId="3D4B5B06" w14:textId="77777777" w:rsidTr="0029259E">
        <w:trPr>
          <w:trHeight w:val="20"/>
          <w:jc w:val="center"/>
        </w:trPr>
        <w:tc>
          <w:tcPr>
            <w:tcW w:w="5101" w:type="dxa"/>
            <w:tcBorders>
              <w:bottom w:val="single" w:sz="4" w:space="0" w:color="auto"/>
            </w:tcBorders>
            <w:shd w:val="clear" w:color="auto" w:fill="FFFFFF"/>
            <w:tcMar>
              <w:top w:w="0" w:type="dxa"/>
              <w:left w:w="0" w:type="dxa"/>
              <w:bottom w:w="0" w:type="dxa"/>
              <w:right w:w="0" w:type="dxa"/>
            </w:tcMar>
            <w:vAlign w:val="center"/>
          </w:tcPr>
          <w:p w14:paraId="7A187F47"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Observations</w:t>
            </w:r>
          </w:p>
        </w:tc>
        <w:tc>
          <w:tcPr>
            <w:tcW w:w="1133" w:type="dxa"/>
            <w:tcBorders>
              <w:bottom w:val="single" w:sz="4" w:space="0" w:color="auto"/>
            </w:tcBorders>
            <w:shd w:val="clear" w:color="auto" w:fill="FFFFFF"/>
            <w:tcMar>
              <w:top w:w="0" w:type="dxa"/>
              <w:left w:w="0" w:type="dxa"/>
              <w:bottom w:w="0" w:type="dxa"/>
              <w:right w:w="0" w:type="dxa"/>
            </w:tcMar>
            <w:vAlign w:val="center"/>
          </w:tcPr>
          <w:p w14:paraId="18D7B923"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2,102</w:t>
            </w:r>
          </w:p>
        </w:tc>
        <w:tc>
          <w:tcPr>
            <w:tcW w:w="1133" w:type="dxa"/>
            <w:tcBorders>
              <w:bottom w:val="single" w:sz="4" w:space="0" w:color="auto"/>
            </w:tcBorders>
            <w:shd w:val="clear" w:color="auto" w:fill="FFFFFF"/>
            <w:tcMar>
              <w:top w:w="0" w:type="dxa"/>
              <w:left w:w="0" w:type="dxa"/>
              <w:bottom w:w="0" w:type="dxa"/>
              <w:right w:w="0" w:type="dxa"/>
            </w:tcMar>
            <w:vAlign w:val="center"/>
          </w:tcPr>
          <w:p w14:paraId="26E62E63"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2,102</w:t>
            </w:r>
          </w:p>
        </w:tc>
        <w:tc>
          <w:tcPr>
            <w:tcW w:w="1133" w:type="dxa"/>
            <w:tcBorders>
              <w:bottom w:val="single" w:sz="4" w:space="0" w:color="auto"/>
            </w:tcBorders>
            <w:shd w:val="clear" w:color="auto" w:fill="FFFFFF"/>
            <w:tcMar>
              <w:top w:w="0" w:type="dxa"/>
              <w:left w:w="0" w:type="dxa"/>
              <w:bottom w:w="0" w:type="dxa"/>
              <w:right w:w="0" w:type="dxa"/>
            </w:tcMar>
            <w:vAlign w:val="center"/>
          </w:tcPr>
          <w:p w14:paraId="678E480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2,102</w:t>
            </w:r>
          </w:p>
        </w:tc>
        <w:tc>
          <w:tcPr>
            <w:tcW w:w="1139" w:type="dxa"/>
            <w:tcBorders>
              <w:bottom w:val="single" w:sz="4" w:space="0" w:color="auto"/>
            </w:tcBorders>
            <w:shd w:val="clear" w:color="auto" w:fill="FFFFFF"/>
            <w:tcMar>
              <w:top w:w="0" w:type="dxa"/>
              <w:left w:w="0" w:type="dxa"/>
              <w:bottom w:w="0" w:type="dxa"/>
              <w:right w:w="0" w:type="dxa"/>
            </w:tcMar>
            <w:vAlign w:val="center"/>
          </w:tcPr>
          <w:p w14:paraId="586F34D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2,102</w:t>
            </w:r>
          </w:p>
        </w:tc>
      </w:tr>
      <w:tr w:rsidR="003C0AF1" w:rsidRPr="00BE5632" w14:paraId="1FDD5063" w14:textId="77777777" w:rsidTr="0029259E">
        <w:trPr>
          <w:trHeight w:val="409"/>
          <w:jc w:val="center"/>
        </w:trPr>
        <w:tc>
          <w:tcPr>
            <w:tcW w:w="9639" w:type="dxa"/>
            <w:gridSpan w:val="5"/>
            <w:tcBorders>
              <w:top w:val="single" w:sz="4" w:space="0" w:color="auto"/>
            </w:tcBorders>
            <w:shd w:val="clear" w:color="auto" w:fill="FFFFFF"/>
            <w:tcMar>
              <w:top w:w="0" w:type="dxa"/>
              <w:left w:w="0" w:type="dxa"/>
              <w:bottom w:w="0" w:type="dxa"/>
              <w:right w:w="0" w:type="dxa"/>
            </w:tcMar>
            <w:vAlign w:val="center"/>
          </w:tcPr>
          <w:p w14:paraId="0EEFC821" w14:textId="77777777" w:rsidR="003C0AF1" w:rsidRPr="007115F2" w:rsidRDefault="003C0AF1" w:rsidP="00D137E4">
            <w:pPr>
              <w:widowControl w:val="0"/>
              <w:suppressLineNumbers/>
              <w:suppressAutoHyphens/>
              <w:autoSpaceDE w:val="0"/>
              <w:autoSpaceDN w:val="0"/>
              <w:adjustRightInd w:val="0"/>
              <w:spacing w:line="240" w:lineRule="auto"/>
              <w:rPr>
                <w:sz w:val="22"/>
                <w:lang w:val="en-US"/>
              </w:rPr>
            </w:pPr>
            <w:r w:rsidRPr="007115F2">
              <w:rPr>
                <w:i/>
                <w:iCs/>
                <w:sz w:val="22"/>
                <w:lang w:val="en-US"/>
              </w:rPr>
              <w:t xml:space="preserve">Notes. </w:t>
            </w:r>
            <w:r w:rsidRPr="007115F2">
              <w:rPr>
                <w:sz w:val="22"/>
                <w:lang w:val="en-US"/>
              </w:rPr>
              <w:t>This table presents results from a two-way fixed effects regression examining the influence of direct and indirect board interlocks on differential returns for the three days around the alliance announcement date [-1;1]. Constant terms are estimated but not reported. Standard errors are clustered by 2-digit SIC code combinations of alliance partners to account for potential industry-related correlations in the error terms. Industry combination and year fixed effects are included to control for unobservable heterogeneity and common time-related factors. Standard errors in parentheses.</w:t>
            </w:r>
            <w:r w:rsidRPr="007115F2">
              <w:rPr>
                <w:color w:val="000000" w:themeColor="text1"/>
                <w:sz w:val="22"/>
                <w:lang w:val="en-US"/>
              </w:rPr>
              <w:t xml:space="preserve"> Exact p-values in brackets</w:t>
            </w:r>
            <w:r w:rsidRPr="007115F2">
              <w:rPr>
                <w:sz w:val="22"/>
                <w:lang w:val="en-US"/>
              </w:rPr>
              <w:t>. A detailed description of the variables can be found in the online supplement.</w:t>
            </w:r>
          </w:p>
        </w:tc>
      </w:tr>
      <w:bookmarkEnd w:id="402"/>
    </w:tbl>
    <w:p w14:paraId="4F3E5776" w14:textId="77777777" w:rsidR="00B7491A" w:rsidRDefault="00B7491A">
      <w:pPr>
        <w:spacing w:after="160" w:line="259" w:lineRule="auto"/>
        <w:jc w:val="left"/>
        <w:rPr>
          <w:rFonts w:eastAsiaTheme="majorEastAsia" w:cstheme="majorBidi"/>
          <w:b/>
          <w:caps/>
          <w:szCs w:val="32"/>
          <w:lang w:val="en-US"/>
        </w:rPr>
      </w:pPr>
      <w:r w:rsidRPr="006B252E">
        <w:rPr>
          <w:lang w:val="en-US"/>
        </w:rPr>
        <w:br w:type="page"/>
      </w:r>
    </w:p>
    <w:p w14:paraId="652EDF17" w14:textId="56A68956" w:rsidR="007E7736" w:rsidRDefault="007E7736" w:rsidP="007E7736">
      <w:pPr>
        <w:pStyle w:val="1fake"/>
      </w:pPr>
      <w:r>
        <w:lastRenderedPageBreak/>
        <w:t xml:space="preserve">Online SuPPLEMENT </w:t>
      </w:r>
      <w:r w:rsidR="00927125">
        <w:t>4</w:t>
      </w:r>
    </w:p>
    <w:p w14:paraId="672C259C" w14:textId="52908C7B" w:rsidR="00BA2405" w:rsidRDefault="00BA2405" w:rsidP="00BA2405">
      <w:pPr>
        <w:pStyle w:val="Beschriftung"/>
      </w:pPr>
      <w:bookmarkStart w:id="404" w:name="_Toc180594822"/>
      <w:r>
        <w:t xml:space="preserve">T - II - </w:t>
      </w:r>
      <w:r>
        <w:fldChar w:fldCharType="begin"/>
      </w:r>
      <w:r>
        <w:instrText xml:space="preserve"> SEQ T_-_II_- \* ARABIC </w:instrText>
      </w:r>
      <w:r>
        <w:fldChar w:fldCharType="separate"/>
      </w:r>
      <w:r w:rsidR="00E91088">
        <w:rPr>
          <w:noProof/>
        </w:rPr>
        <w:t>10</w:t>
      </w:r>
      <w:r>
        <w:fldChar w:fldCharType="end"/>
      </w:r>
      <w:r>
        <w:t xml:space="preserve">: </w:t>
      </w:r>
      <w:r w:rsidRPr="00F76A8A">
        <w:t>Regression analysis of moderating effects using absolute difference in abnormal returns</w:t>
      </w:r>
      <w:bookmarkEnd w:id="404"/>
    </w:p>
    <w:tbl>
      <w:tblPr>
        <w:tblW w:w="9072" w:type="dxa"/>
        <w:jc w:val="center"/>
        <w:tblLayout w:type="fixed"/>
        <w:tblCellMar>
          <w:top w:w="28" w:type="dxa"/>
          <w:left w:w="28" w:type="dxa"/>
          <w:bottom w:w="28" w:type="dxa"/>
          <w:right w:w="28" w:type="dxa"/>
        </w:tblCellMar>
        <w:tblLook w:val="0420" w:firstRow="1" w:lastRow="0" w:firstColumn="0" w:lastColumn="0" w:noHBand="0" w:noVBand="1"/>
      </w:tblPr>
      <w:tblGrid>
        <w:gridCol w:w="3250"/>
        <w:gridCol w:w="1428"/>
        <w:gridCol w:w="1428"/>
        <w:gridCol w:w="1428"/>
        <w:gridCol w:w="1459"/>
        <w:gridCol w:w="79"/>
      </w:tblGrid>
      <w:tr w:rsidR="003C0AF1" w:rsidRPr="007115F2" w14:paraId="691686E3" w14:textId="77777777" w:rsidTr="0029259E">
        <w:trPr>
          <w:gridAfter w:val="1"/>
          <w:wAfter w:w="79" w:type="dxa"/>
          <w:jc w:val="center"/>
        </w:trPr>
        <w:tc>
          <w:tcPr>
            <w:tcW w:w="3261" w:type="dxa"/>
            <w:tcBorders>
              <w:top w:val="single" w:sz="4" w:space="0" w:color="auto"/>
            </w:tcBorders>
            <w:shd w:val="clear" w:color="auto" w:fill="FFFFFF"/>
            <w:tcMar>
              <w:top w:w="0" w:type="dxa"/>
              <w:left w:w="0" w:type="dxa"/>
              <w:bottom w:w="0" w:type="dxa"/>
              <w:right w:w="0" w:type="dxa"/>
            </w:tcMar>
            <w:vAlign w:val="center"/>
          </w:tcPr>
          <w:p w14:paraId="23B73FB0" w14:textId="77777777" w:rsidR="003C0AF1" w:rsidRPr="007115F2" w:rsidRDefault="003C0AF1" w:rsidP="007C051A">
            <w:pPr>
              <w:widowControl w:val="0"/>
              <w:autoSpaceDE w:val="0"/>
              <w:autoSpaceDN w:val="0"/>
              <w:adjustRightInd w:val="0"/>
              <w:spacing w:line="240" w:lineRule="auto"/>
              <w:jc w:val="left"/>
              <w:rPr>
                <w:b/>
                <w:bCs/>
                <w:color w:val="000000" w:themeColor="text1"/>
                <w:sz w:val="22"/>
                <w:lang w:val="en-US"/>
              </w:rPr>
            </w:pPr>
          </w:p>
        </w:tc>
        <w:tc>
          <w:tcPr>
            <w:tcW w:w="2835" w:type="dxa"/>
            <w:gridSpan w:val="2"/>
            <w:tcBorders>
              <w:top w:val="single" w:sz="4" w:space="0" w:color="auto"/>
            </w:tcBorders>
            <w:shd w:val="clear" w:color="auto" w:fill="FFFFFF"/>
            <w:tcMar>
              <w:top w:w="0" w:type="dxa"/>
              <w:left w:w="0" w:type="dxa"/>
              <w:bottom w:w="0" w:type="dxa"/>
              <w:right w:w="0" w:type="dxa"/>
            </w:tcMar>
            <w:vAlign w:val="center"/>
          </w:tcPr>
          <w:p w14:paraId="481304F3" w14:textId="77777777" w:rsidR="003C0AF1" w:rsidRPr="007115F2" w:rsidRDefault="003C0AF1" w:rsidP="007C051A">
            <w:pPr>
              <w:widowControl w:val="0"/>
              <w:autoSpaceDE w:val="0"/>
              <w:autoSpaceDN w:val="0"/>
              <w:adjustRightInd w:val="0"/>
              <w:spacing w:line="240" w:lineRule="auto"/>
              <w:jc w:val="center"/>
              <w:rPr>
                <w:b/>
                <w:bCs/>
                <w:color w:val="000000" w:themeColor="text1"/>
                <w:sz w:val="22"/>
              </w:rPr>
            </w:pPr>
            <w:r w:rsidRPr="007115F2">
              <w:rPr>
                <w:b/>
                <w:bCs/>
                <w:color w:val="000000" w:themeColor="text1"/>
                <w:sz w:val="22"/>
              </w:rPr>
              <w:t>Direct Board Interlocks</w:t>
            </w:r>
          </w:p>
        </w:tc>
        <w:tc>
          <w:tcPr>
            <w:tcW w:w="2897" w:type="dxa"/>
            <w:gridSpan w:val="2"/>
            <w:tcBorders>
              <w:top w:val="single" w:sz="4" w:space="0" w:color="auto"/>
            </w:tcBorders>
            <w:shd w:val="clear" w:color="auto" w:fill="FFFFFF"/>
            <w:tcMar>
              <w:top w:w="0" w:type="dxa"/>
              <w:left w:w="0" w:type="dxa"/>
              <w:bottom w:w="0" w:type="dxa"/>
              <w:right w:w="0" w:type="dxa"/>
            </w:tcMar>
            <w:vAlign w:val="center"/>
          </w:tcPr>
          <w:p w14:paraId="1CB1B918" w14:textId="77777777" w:rsidR="003C0AF1" w:rsidRPr="007115F2" w:rsidRDefault="003C0AF1" w:rsidP="007C051A">
            <w:pPr>
              <w:widowControl w:val="0"/>
              <w:autoSpaceDE w:val="0"/>
              <w:autoSpaceDN w:val="0"/>
              <w:adjustRightInd w:val="0"/>
              <w:spacing w:line="240" w:lineRule="auto"/>
              <w:jc w:val="center"/>
              <w:rPr>
                <w:b/>
                <w:bCs/>
                <w:color w:val="000000" w:themeColor="text1"/>
                <w:sz w:val="22"/>
              </w:rPr>
            </w:pPr>
            <w:r w:rsidRPr="007115F2">
              <w:rPr>
                <w:b/>
                <w:bCs/>
                <w:color w:val="000000" w:themeColor="text1"/>
                <w:sz w:val="22"/>
              </w:rPr>
              <w:t>Indirect Board Interlocks</w:t>
            </w:r>
          </w:p>
        </w:tc>
      </w:tr>
      <w:tr w:rsidR="003C0AF1" w:rsidRPr="007115F2" w14:paraId="392151DE" w14:textId="77777777" w:rsidTr="0029259E">
        <w:trPr>
          <w:gridAfter w:val="1"/>
          <w:wAfter w:w="79" w:type="dxa"/>
          <w:jc w:val="center"/>
        </w:trPr>
        <w:tc>
          <w:tcPr>
            <w:tcW w:w="3261" w:type="dxa"/>
            <w:tcBorders>
              <w:bottom w:val="single" w:sz="4" w:space="0" w:color="auto"/>
            </w:tcBorders>
            <w:shd w:val="clear" w:color="auto" w:fill="FFFFFF"/>
            <w:tcMar>
              <w:top w:w="0" w:type="dxa"/>
              <w:left w:w="0" w:type="dxa"/>
              <w:bottom w:w="0" w:type="dxa"/>
              <w:right w:w="0" w:type="dxa"/>
            </w:tcMar>
            <w:vAlign w:val="center"/>
          </w:tcPr>
          <w:p w14:paraId="2041A302" w14:textId="77777777" w:rsidR="003C0AF1" w:rsidRPr="007115F2" w:rsidRDefault="003C0AF1" w:rsidP="007C051A">
            <w:pPr>
              <w:widowControl w:val="0"/>
              <w:autoSpaceDE w:val="0"/>
              <w:autoSpaceDN w:val="0"/>
              <w:adjustRightInd w:val="0"/>
              <w:spacing w:line="240" w:lineRule="auto"/>
              <w:jc w:val="left"/>
              <w:rPr>
                <w:b/>
                <w:bCs/>
                <w:color w:val="000000" w:themeColor="text1"/>
                <w:sz w:val="22"/>
              </w:rPr>
            </w:pPr>
            <w:r w:rsidRPr="007115F2">
              <w:rPr>
                <w:b/>
                <w:bCs/>
                <w:color w:val="000000" w:themeColor="text1"/>
                <w:sz w:val="22"/>
              </w:rPr>
              <w:t>Model</w:t>
            </w:r>
          </w:p>
        </w:tc>
        <w:tc>
          <w:tcPr>
            <w:tcW w:w="1433" w:type="dxa"/>
            <w:tcBorders>
              <w:bottom w:val="single" w:sz="4" w:space="0" w:color="auto"/>
            </w:tcBorders>
            <w:shd w:val="clear" w:color="auto" w:fill="FFFFFF"/>
            <w:tcMar>
              <w:top w:w="0" w:type="dxa"/>
              <w:left w:w="0" w:type="dxa"/>
              <w:bottom w:w="0" w:type="dxa"/>
              <w:right w:w="0" w:type="dxa"/>
            </w:tcMar>
            <w:vAlign w:val="center"/>
          </w:tcPr>
          <w:p w14:paraId="111756D3" w14:textId="77777777" w:rsidR="003C0AF1" w:rsidRPr="007115F2" w:rsidRDefault="003C0AF1" w:rsidP="007C051A">
            <w:pPr>
              <w:widowControl w:val="0"/>
              <w:autoSpaceDE w:val="0"/>
              <w:autoSpaceDN w:val="0"/>
              <w:adjustRightInd w:val="0"/>
              <w:spacing w:line="240" w:lineRule="auto"/>
              <w:jc w:val="center"/>
              <w:rPr>
                <w:b/>
                <w:bCs/>
                <w:color w:val="000000" w:themeColor="text1"/>
                <w:sz w:val="22"/>
              </w:rPr>
            </w:pPr>
            <w:r w:rsidRPr="007115F2">
              <w:rPr>
                <w:b/>
                <w:bCs/>
                <w:color w:val="000000" w:themeColor="text1"/>
                <w:sz w:val="22"/>
              </w:rPr>
              <w:t>(13)</w:t>
            </w:r>
          </w:p>
        </w:tc>
        <w:tc>
          <w:tcPr>
            <w:tcW w:w="1433" w:type="dxa"/>
            <w:tcBorders>
              <w:bottom w:val="single" w:sz="4" w:space="0" w:color="auto"/>
            </w:tcBorders>
            <w:shd w:val="clear" w:color="auto" w:fill="FFFFFF"/>
            <w:tcMar>
              <w:top w:w="0" w:type="dxa"/>
              <w:left w:w="0" w:type="dxa"/>
              <w:bottom w:w="0" w:type="dxa"/>
              <w:right w:w="0" w:type="dxa"/>
            </w:tcMar>
            <w:vAlign w:val="center"/>
          </w:tcPr>
          <w:p w14:paraId="476AA0FD" w14:textId="77777777" w:rsidR="003C0AF1" w:rsidRPr="007115F2" w:rsidRDefault="003C0AF1" w:rsidP="007C051A">
            <w:pPr>
              <w:widowControl w:val="0"/>
              <w:autoSpaceDE w:val="0"/>
              <w:autoSpaceDN w:val="0"/>
              <w:adjustRightInd w:val="0"/>
              <w:spacing w:line="240" w:lineRule="auto"/>
              <w:jc w:val="center"/>
              <w:rPr>
                <w:b/>
                <w:bCs/>
                <w:color w:val="000000" w:themeColor="text1"/>
                <w:sz w:val="22"/>
              </w:rPr>
            </w:pPr>
            <w:r w:rsidRPr="007115F2">
              <w:rPr>
                <w:b/>
                <w:bCs/>
                <w:color w:val="000000" w:themeColor="text1"/>
                <w:sz w:val="22"/>
              </w:rPr>
              <w:t>(14)</w:t>
            </w:r>
          </w:p>
        </w:tc>
        <w:tc>
          <w:tcPr>
            <w:tcW w:w="1433" w:type="dxa"/>
            <w:tcBorders>
              <w:bottom w:val="single" w:sz="4" w:space="0" w:color="auto"/>
            </w:tcBorders>
            <w:shd w:val="clear" w:color="auto" w:fill="FFFFFF"/>
            <w:tcMar>
              <w:top w:w="0" w:type="dxa"/>
              <w:left w:w="0" w:type="dxa"/>
              <w:bottom w:w="0" w:type="dxa"/>
              <w:right w:w="0" w:type="dxa"/>
            </w:tcMar>
            <w:vAlign w:val="center"/>
          </w:tcPr>
          <w:p w14:paraId="60AED68F" w14:textId="77777777" w:rsidR="003C0AF1" w:rsidRPr="007115F2" w:rsidRDefault="003C0AF1" w:rsidP="007C051A">
            <w:pPr>
              <w:widowControl w:val="0"/>
              <w:autoSpaceDE w:val="0"/>
              <w:autoSpaceDN w:val="0"/>
              <w:adjustRightInd w:val="0"/>
              <w:spacing w:line="240" w:lineRule="auto"/>
              <w:jc w:val="center"/>
              <w:rPr>
                <w:b/>
                <w:bCs/>
                <w:color w:val="000000" w:themeColor="text1"/>
                <w:sz w:val="22"/>
              </w:rPr>
            </w:pPr>
            <w:r w:rsidRPr="007115F2">
              <w:rPr>
                <w:b/>
                <w:bCs/>
                <w:color w:val="000000" w:themeColor="text1"/>
                <w:sz w:val="22"/>
              </w:rPr>
              <w:t>(15)</w:t>
            </w:r>
          </w:p>
        </w:tc>
        <w:tc>
          <w:tcPr>
            <w:tcW w:w="1433" w:type="dxa"/>
            <w:tcBorders>
              <w:bottom w:val="single" w:sz="4" w:space="0" w:color="auto"/>
            </w:tcBorders>
            <w:shd w:val="clear" w:color="auto" w:fill="FFFFFF"/>
            <w:tcMar>
              <w:top w:w="0" w:type="dxa"/>
              <w:left w:w="0" w:type="dxa"/>
              <w:bottom w:w="0" w:type="dxa"/>
              <w:right w:w="0" w:type="dxa"/>
            </w:tcMar>
            <w:vAlign w:val="center"/>
          </w:tcPr>
          <w:p w14:paraId="2E6A252F" w14:textId="77777777" w:rsidR="003C0AF1" w:rsidRPr="007115F2" w:rsidRDefault="003C0AF1" w:rsidP="007C051A">
            <w:pPr>
              <w:widowControl w:val="0"/>
              <w:autoSpaceDE w:val="0"/>
              <w:autoSpaceDN w:val="0"/>
              <w:adjustRightInd w:val="0"/>
              <w:spacing w:line="240" w:lineRule="auto"/>
              <w:jc w:val="center"/>
              <w:rPr>
                <w:b/>
                <w:bCs/>
                <w:color w:val="000000" w:themeColor="text1"/>
                <w:sz w:val="22"/>
              </w:rPr>
            </w:pPr>
            <w:r w:rsidRPr="007115F2">
              <w:rPr>
                <w:b/>
                <w:bCs/>
                <w:color w:val="000000" w:themeColor="text1"/>
                <w:sz w:val="22"/>
              </w:rPr>
              <w:t>(16)</w:t>
            </w:r>
          </w:p>
        </w:tc>
      </w:tr>
      <w:tr w:rsidR="003C0AF1" w:rsidRPr="007115F2" w14:paraId="7A1403C1" w14:textId="77777777" w:rsidTr="0029259E">
        <w:trPr>
          <w:gridAfter w:val="1"/>
          <w:wAfter w:w="79" w:type="dxa"/>
          <w:jc w:val="center"/>
        </w:trPr>
        <w:tc>
          <w:tcPr>
            <w:tcW w:w="3261" w:type="dxa"/>
            <w:shd w:val="clear" w:color="auto" w:fill="FFFFFF"/>
            <w:tcMar>
              <w:top w:w="0" w:type="dxa"/>
              <w:left w:w="0" w:type="dxa"/>
              <w:bottom w:w="0" w:type="dxa"/>
              <w:right w:w="0" w:type="dxa"/>
            </w:tcMar>
            <w:vAlign w:val="center"/>
          </w:tcPr>
          <w:p w14:paraId="4E4E8AAA"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r w:rsidRPr="007115F2">
              <w:rPr>
                <w:color w:val="000000" w:themeColor="text1"/>
                <w:sz w:val="22"/>
              </w:rPr>
              <w:t>Direct_BoardInterlocks</w:t>
            </w:r>
          </w:p>
        </w:tc>
        <w:tc>
          <w:tcPr>
            <w:tcW w:w="1433" w:type="dxa"/>
            <w:shd w:val="clear" w:color="auto" w:fill="FFFFFF"/>
            <w:tcMar>
              <w:top w:w="0" w:type="dxa"/>
              <w:left w:w="0" w:type="dxa"/>
              <w:bottom w:w="0" w:type="dxa"/>
              <w:right w:w="0" w:type="dxa"/>
            </w:tcMar>
            <w:vAlign w:val="center"/>
          </w:tcPr>
          <w:p w14:paraId="362A6D81"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-0.036</w:t>
            </w:r>
          </w:p>
        </w:tc>
        <w:tc>
          <w:tcPr>
            <w:tcW w:w="1433" w:type="dxa"/>
            <w:shd w:val="clear" w:color="auto" w:fill="FFFFFF"/>
            <w:tcMar>
              <w:top w:w="0" w:type="dxa"/>
              <w:left w:w="0" w:type="dxa"/>
              <w:bottom w:w="0" w:type="dxa"/>
              <w:right w:w="0" w:type="dxa"/>
            </w:tcMar>
            <w:vAlign w:val="center"/>
          </w:tcPr>
          <w:p w14:paraId="14B7CE39"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-0.019</w:t>
            </w:r>
          </w:p>
        </w:tc>
        <w:tc>
          <w:tcPr>
            <w:tcW w:w="1433" w:type="dxa"/>
            <w:shd w:val="clear" w:color="auto" w:fill="FFFFFF"/>
            <w:tcMar>
              <w:top w:w="0" w:type="dxa"/>
              <w:left w:w="0" w:type="dxa"/>
              <w:bottom w:w="0" w:type="dxa"/>
              <w:right w:w="0" w:type="dxa"/>
            </w:tcMar>
            <w:vAlign w:val="center"/>
          </w:tcPr>
          <w:p w14:paraId="6A6F2ACF"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c>
          <w:tcPr>
            <w:tcW w:w="1433" w:type="dxa"/>
            <w:shd w:val="clear" w:color="auto" w:fill="FFFFFF"/>
            <w:tcMar>
              <w:top w:w="0" w:type="dxa"/>
              <w:left w:w="0" w:type="dxa"/>
              <w:bottom w:w="0" w:type="dxa"/>
              <w:right w:w="0" w:type="dxa"/>
            </w:tcMar>
            <w:vAlign w:val="center"/>
          </w:tcPr>
          <w:p w14:paraId="45CA39B1"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r>
      <w:tr w:rsidR="003C0AF1" w:rsidRPr="007115F2" w14:paraId="1A6A33DF" w14:textId="77777777" w:rsidTr="0029259E">
        <w:trPr>
          <w:gridAfter w:val="1"/>
          <w:wAfter w:w="79" w:type="dxa"/>
          <w:jc w:val="center"/>
        </w:trPr>
        <w:tc>
          <w:tcPr>
            <w:tcW w:w="3261" w:type="dxa"/>
            <w:shd w:val="clear" w:color="auto" w:fill="FFFFFF"/>
            <w:tcMar>
              <w:top w:w="0" w:type="dxa"/>
              <w:left w:w="0" w:type="dxa"/>
              <w:bottom w:w="0" w:type="dxa"/>
              <w:right w:w="0" w:type="dxa"/>
            </w:tcMar>
            <w:vAlign w:val="center"/>
          </w:tcPr>
          <w:p w14:paraId="6CE0F5C0"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shd w:val="clear" w:color="auto" w:fill="FFFFFF"/>
            <w:tcMar>
              <w:top w:w="0" w:type="dxa"/>
              <w:left w:w="0" w:type="dxa"/>
              <w:bottom w:w="0" w:type="dxa"/>
              <w:right w:w="0" w:type="dxa"/>
            </w:tcMar>
            <w:vAlign w:val="center"/>
          </w:tcPr>
          <w:p w14:paraId="0D40C3A9"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(0.016)</w:t>
            </w:r>
          </w:p>
        </w:tc>
        <w:tc>
          <w:tcPr>
            <w:tcW w:w="1433" w:type="dxa"/>
            <w:shd w:val="clear" w:color="auto" w:fill="FFFFFF"/>
            <w:tcMar>
              <w:top w:w="0" w:type="dxa"/>
              <w:left w:w="0" w:type="dxa"/>
              <w:bottom w:w="0" w:type="dxa"/>
              <w:right w:w="0" w:type="dxa"/>
            </w:tcMar>
            <w:vAlign w:val="center"/>
          </w:tcPr>
          <w:p w14:paraId="089ED615"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(0.014)</w:t>
            </w:r>
          </w:p>
        </w:tc>
        <w:tc>
          <w:tcPr>
            <w:tcW w:w="1433" w:type="dxa"/>
            <w:shd w:val="clear" w:color="auto" w:fill="FFFFFF"/>
            <w:tcMar>
              <w:top w:w="0" w:type="dxa"/>
              <w:left w:w="0" w:type="dxa"/>
              <w:bottom w:w="0" w:type="dxa"/>
              <w:right w:w="0" w:type="dxa"/>
            </w:tcMar>
            <w:vAlign w:val="center"/>
          </w:tcPr>
          <w:p w14:paraId="50879322"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c>
          <w:tcPr>
            <w:tcW w:w="1433" w:type="dxa"/>
            <w:shd w:val="clear" w:color="auto" w:fill="FFFFFF"/>
            <w:tcMar>
              <w:top w:w="0" w:type="dxa"/>
              <w:left w:w="0" w:type="dxa"/>
              <w:bottom w:w="0" w:type="dxa"/>
              <w:right w:w="0" w:type="dxa"/>
            </w:tcMar>
            <w:vAlign w:val="center"/>
          </w:tcPr>
          <w:p w14:paraId="7C245F55"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r>
      <w:tr w:rsidR="003C0AF1" w:rsidRPr="007115F2" w14:paraId="438FA187" w14:textId="77777777" w:rsidTr="0029259E">
        <w:trPr>
          <w:gridAfter w:val="1"/>
          <w:wAfter w:w="79" w:type="dxa"/>
          <w:jc w:val="center"/>
        </w:trPr>
        <w:tc>
          <w:tcPr>
            <w:tcW w:w="3261" w:type="dxa"/>
            <w:shd w:val="clear" w:color="auto" w:fill="FFFFFF"/>
            <w:tcMar>
              <w:top w:w="0" w:type="dxa"/>
              <w:left w:w="0" w:type="dxa"/>
              <w:bottom w:w="0" w:type="dxa"/>
              <w:right w:w="0" w:type="dxa"/>
            </w:tcMar>
            <w:vAlign w:val="center"/>
          </w:tcPr>
          <w:p w14:paraId="7754AC61"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shd w:val="clear" w:color="auto" w:fill="FFFFFF"/>
            <w:tcMar>
              <w:top w:w="0" w:type="dxa"/>
              <w:left w:w="0" w:type="dxa"/>
              <w:bottom w:w="0" w:type="dxa"/>
              <w:right w:w="0" w:type="dxa"/>
            </w:tcMar>
            <w:vAlign w:val="center"/>
          </w:tcPr>
          <w:p w14:paraId="0665F230"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[0.025]</w:t>
            </w:r>
          </w:p>
        </w:tc>
        <w:tc>
          <w:tcPr>
            <w:tcW w:w="1433" w:type="dxa"/>
            <w:shd w:val="clear" w:color="auto" w:fill="FFFFFF"/>
            <w:tcMar>
              <w:top w:w="0" w:type="dxa"/>
              <w:left w:w="0" w:type="dxa"/>
              <w:bottom w:w="0" w:type="dxa"/>
              <w:right w:w="0" w:type="dxa"/>
            </w:tcMar>
            <w:vAlign w:val="center"/>
          </w:tcPr>
          <w:p w14:paraId="1008D31D"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[0.175]</w:t>
            </w:r>
          </w:p>
        </w:tc>
        <w:tc>
          <w:tcPr>
            <w:tcW w:w="1433" w:type="dxa"/>
            <w:shd w:val="clear" w:color="auto" w:fill="FFFFFF"/>
            <w:tcMar>
              <w:top w:w="0" w:type="dxa"/>
              <w:left w:w="0" w:type="dxa"/>
              <w:bottom w:w="0" w:type="dxa"/>
              <w:right w:w="0" w:type="dxa"/>
            </w:tcMar>
            <w:vAlign w:val="center"/>
          </w:tcPr>
          <w:p w14:paraId="3D97B170"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c>
          <w:tcPr>
            <w:tcW w:w="1433" w:type="dxa"/>
            <w:shd w:val="clear" w:color="auto" w:fill="FFFFFF"/>
            <w:tcMar>
              <w:top w:w="0" w:type="dxa"/>
              <w:left w:w="0" w:type="dxa"/>
              <w:bottom w:w="0" w:type="dxa"/>
              <w:right w:w="0" w:type="dxa"/>
            </w:tcMar>
            <w:vAlign w:val="center"/>
          </w:tcPr>
          <w:p w14:paraId="7F7EEE79"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r>
      <w:tr w:rsidR="003C0AF1" w:rsidRPr="007115F2" w14:paraId="4981A7F6" w14:textId="77777777" w:rsidTr="0029259E">
        <w:trPr>
          <w:gridAfter w:val="1"/>
          <w:wAfter w:w="79" w:type="dxa"/>
          <w:jc w:val="center"/>
        </w:trPr>
        <w:tc>
          <w:tcPr>
            <w:tcW w:w="3261" w:type="dxa"/>
            <w:shd w:val="clear" w:color="auto" w:fill="FFFFFF"/>
            <w:tcMar>
              <w:top w:w="0" w:type="dxa"/>
              <w:left w:w="0" w:type="dxa"/>
              <w:bottom w:w="0" w:type="dxa"/>
              <w:right w:w="0" w:type="dxa"/>
            </w:tcMar>
            <w:vAlign w:val="center"/>
          </w:tcPr>
          <w:p w14:paraId="78347E66"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r w:rsidRPr="007115F2">
              <w:rPr>
                <w:color w:val="000000" w:themeColor="text1"/>
                <w:sz w:val="22"/>
              </w:rPr>
              <w:t>Indirect_BoardInterlocks</w:t>
            </w:r>
          </w:p>
        </w:tc>
        <w:tc>
          <w:tcPr>
            <w:tcW w:w="1433" w:type="dxa"/>
            <w:shd w:val="clear" w:color="auto" w:fill="FFFFFF"/>
            <w:tcMar>
              <w:top w:w="0" w:type="dxa"/>
              <w:left w:w="0" w:type="dxa"/>
              <w:bottom w:w="0" w:type="dxa"/>
              <w:right w:w="0" w:type="dxa"/>
            </w:tcMar>
            <w:vAlign w:val="center"/>
          </w:tcPr>
          <w:p w14:paraId="10E1FE67"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c>
          <w:tcPr>
            <w:tcW w:w="1433" w:type="dxa"/>
            <w:shd w:val="clear" w:color="auto" w:fill="FFFFFF"/>
            <w:tcMar>
              <w:top w:w="0" w:type="dxa"/>
              <w:left w:w="0" w:type="dxa"/>
              <w:bottom w:w="0" w:type="dxa"/>
              <w:right w:w="0" w:type="dxa"/>
            </w:tcMar>
            <w:vAlign w:val="center"/>
          </w:tcPr>
          <w:p w14:paraId="48E965E5"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c>
          <w:tcPr>
            <w:tcW w:w="1433" w:type="dxa"/>
            <w:shd w:val="clear" w:color="auto" w:fill="FFFFFF"/>
            <w:tcMar>
              <w:top w:w="0" w:type="dxa"/>
              <w:left w:w="0" w:type="dxa"/>
              <w:bottom w:w="0" w:type="dxa"/>
              <w:right w:w="0" w:type="dxa"/>
            </w:tcMar>
            <w:vAlign w:val="center"/>
          </w:tcPr>
          <w:p w14:paraId="3CF6F009"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433" w:type="dxa"/>
            <w:shd w:val="clear" w:color="auto" w:fill="FFFFFF"/>
            <w:tcMar>
              <w:top w:w="0" w:type="dxa"/>
              <w:left w:w="0" w:type="dxa"/>
              <w:bottom w:w="0" w:type="dxa"/>
              <w:right w:w="0" w:type="dxa"/>
            </w:tcMar>
            <w:vAlign w:val="center"/>
          </w:tcPr>
          <w:p w14:paraId="68636E0C"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0.002</w:t>
            </w:r>
          </w:p>
        </w:tc>
      </w:tr>
      <w:tr w:rsidR="003C0AF1" w:rsidRPr="007115F2" w14:paraId="6E9D9179" w14:textId="77777777" w:rsidTr="0029259E">
        <w:trPr>
          <w:gridAfter w:val="1"/>
          <w:wAfter w:w="79" w:type="dxa"/>
          <w:jc w:val="center"/>
        </w:trPr>
        <w:tc>
          <w:tcPr>
            <w:tcW w:w="3261" w:type="dxa"/>
            <w:shd w:val="clear" w:color="auto" w:fill="FFFFFF"/>
            <w:tcMar>
              <w:top w:w="0" w:type="dxa"/>
              <w:left w:w="0" w:type="dxa"/>
              <w:bottom w:w="0" w:type="dxa"/>
              <w:right w:w="0" w:type="dxa"/>
            </w:tcMar>
            <w:vAlign w:val="center"/>
          </w:tcPr>
          <w:p w14:paraId="0E156DE6"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shd w:val="clear" w:color="auto" w:fill="FFFFFF"/>
            <w:tcMar>
              <w:top w:w="0" w:type="dxa"/>
              <w:left w:w="0" w:type="dxa"/>
              <w:bottom w:w="0" w:type="dxa"/>
              <w:right w:w="0" w:type="dxa"/>
            </w:tcMar>
            <w:vAlign w:val="center"/>
          </w:tcPr>
          <w:p w14:paraId="6725C8C0"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c>
          <w:tcPr>
            <w:tcW w:w="1433" w:type="dxa"/>
            <w:shd w:val="clear" w:color="auto" w:fill="FFFFFF"/>
            <w:tcMar>
              <w:top w:w="0" w:type="dxa"/>
              <w:left w:w="0" w:type="dxa"/>
              <w:bottom w:w="0" w:type="dxa"/>
              <w:right w:w="0" w:type="dxa"/>
            </w:tcMar>
            <w:vAlign w:val="center"/>
          </w:tcPr>
          <w:p w14:paraId="2F93506F"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c>
          <w:tcPr>
            <w:tcW w:w="1433" w:type="dxa"/>
            <w:shd w:val="clear" w:color="auto" w:fill="FFFFFF"/>
            <w:tcMar>
              <w:top w:w="0" w:type="dxa"/>
              <w:left w:w="0" w:type="dxa"/>
              <w:bottom w:w="0" w:type="dxa"/>
              <w:right w:w="0" w:type="dxa"/>
            </w:tcMar>
            <w:vAlign w:val="center"/>
          </w:tcPr>
          <w:p w14:paraId="41816E44"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(0.006)</w:t>
            </w:r>
          </w:p>
        </w:tc>
        <w:tc>
          <w:tcPr>
            <w:tcW w:w="1433" w:type="dxa"/>
            <w:shd w:val="clear" w:color="auto" w:fill="FFFFFF"/>
            <w:tcMar>
              <w:top w:w="0" w:type="dxa"/>
              <w:left w:w="0" w:type="dxa"/>
              <w:bottom w:w="0" w:type="dxa"/>
              <w:right w:w="0" w:type="dxa"/>
            </w:tcMar>
            <w:vAlign w:val="center"/>
          </w:tcPr>
          <w:p w14:paraId="1D700C88"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(0.006)</w:t>
            </w:r>
          </w:p>
        </w:tc>
      </w:tr>
      <w:tr w:rsidR="003C0AF1" w:rsidRPr="007115F2" w14:paraId="4D3808E0" w14:textId="77777777" w:rsidTr="0029259E">
        <w:trPr>
          <w:gridAfter w:val="1"/>
          <w:wAfter w:w="79" w:type="dxa"/>
          <w:jc w:val="center"/>
        </w:trPr>
        <w:tc>
          <w:tcPr>
            <w:tcW w:w="3261" w:type="dxa"/>
            <w:shd w:val="clear" w:color="auto" w:fill="FFFFFF"/>
            <w:tcMar>
              <w:top w:w="0" w:type="dxa"/>
              <w:left w:w="0" w:type="dxa"/>
              <w:bottom w:w="0" w:type="dxa"/>
              <w:right w:w="0" w:type="dxa"/>
            </w:tcMar>
            <w:vAlign w:val="center"/>
          </w:tcPr>
          <w:p w14:paraId="2DE2C785"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shd w:val="clear" w:color="auto" w:fill="FFFFFF"/>
            <w:tcMar>
              <w:top w:w="0" w:type="dxa"/>
              <w:left w:w="0" w:type="dxa"/>
              <w:bottom w:w="0" w:type="dxa"/>
              <w:right w:w="0" w:type="dxa"/>
            </w:tcMar>
            <w:vAlign w:val="center"/>
          </w:tcPr>
          <w:p w14:paraId="700CF6D4"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c>
          <w:tcPr>
            <w:tcW w:w="1433" w:type="dxa"/>
            <w:shd w:val="clear" w:color="auto" w:fill="FFFFFF"/>
            <w:tcMar>
              <w:top w:w="0" w:type="dxa"/>
              <w:left w:w="0" w:type="dxa"/>
              <w:bottom w:w="0" w:type="dxa"/>
              <w:right w:w="0" w:type="dxa"/>
            </w:tcMar>
            <w:vAlign w:val="center"/>
          </w:tcPr>
          <w:p w14:paraId="3C662817"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c>
          <w:tcPr>
            <w:tcW w:w="1433" w:type="dxa"/>
            <w:shd w:val="clear" w:color="auto" w:fill="FFFFFF"/>
            <w:tcMar>
              <w:top w:w="0" w:type="dxa"/>
              <w:left w:w="0" w:type="dxa"/>
              <w:bottom w:w="0" w:type="dxa"/>
              <w:right w:w="0" w:type="dxa"/>
            </w:tcMar>
            <w:vAlign w:val="center"/>
          </w:tcPr>
          <w:p w14:paraId="361CC49C"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[0.905]</w:t>
            </w:r>
          </w:p>
        </w:tc>
        <w:tc>
          <w:tcPr>
            <w:tcW w:w="1433" w:type="dxa"/>
            <w:shd w:val="clear" w:color="auto" w:fill="FFFFFF"/>
            <w:tcMar>
              <w:top w:w="0" w:type="dxa"/>
              <w:left w:w="0" w:type="dxa"/>
              <w:bottom w:w="0" w:type="dxa"/>
              <w:right w:w="0" w:type="dxa"/>
            </w:tcMar>
            <w:vAlign w:val="center"/>
          </w:tcPr>
          <w:p w14:paraId="08AF6EBD"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[0.792]</w:t>
            </w:r>
          </w:p>
        </w:tc>
      </w:tr>
      <w:tr w:rsidR="003C0AF1" w:rsidRPr="007115F2" w14:paraId="546A0233" w14:textId="77777777" w:rsidTr="0029259E">
        <w:trPr>
          <w:gridAfter w:val="1"/>
          <w:wAfter w:w="79" w:type="dxa"/>
          <w:jc w:val="center"/>
        </w:trPr>
        <w:tc>
          <w:tcPr>
            <w:tcW w:w="3261" w:type="dxa"/>
            <w:shd w:val="clear" w:color="auto" w:fill="FFFFFF"/>
            <w:tcMar>
              <w:top w:w="0" w:type="dxa"/>
              <w:left w:w="0" w:type="dxa"/>
              <w:bottom w:w="0" w:type="dxa"/>
              <w:right w:w="0" w:type="dxa"/>
            </w:tcMar>
            <w:vAlign w:val="center"/>
          </w:tcPr>
          <w:p w14:paraId="79B94666"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r w:rsidRPr="007115F2">
              <w:rPr>
                <w:color w:val="000000" w:themeColor="text1"/>
                <w:sz w:val="22"/>
              </w:rPr>
              <w:t>Relative_BoardPower</w:t>
            </w:r>
          </w:p>
        </w:tc>
        <w:tc>
          <w:tcPr>
            <w:tcW w:w="1433" w:type="dxa"/>
            <w:shd w:val="clear" w:color="auto" w:fill="FFFFFF"/>
            <w:tcMar>
              <w:top w:w="0" w:type="dxa"/>
              <w:left w:w="0" w:type="dxa"/>
              <w:bottom w:w="0" w:type="dxa"/>
              <w:right w:w="0" w:type="dxa"/>
            </w:tcMar>
            <w:vAlign w:val="center"/>
          </w:tcPr>
          <w:p w14:paraId="53CEACC4"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433" w:type="dxa"/>
            <w:shd w:val="clear" w:color="auto" w:fill="FFFFFF"/>
            <w:tcMar>
              <w:top w:w="0" w:type="dxa"/>
              <w:left w:w="0" w:type="dxa"/>
              <w:bottom w:w="0" w:type="dxa"/>
              <w:right w:w="0" w:type="dxa"/>
            </w:tcMar>
            <w:vAlign w:val="center"/>
          </w:tcPr>
          <w:p w14:paraId="3AC6C2D4"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c>
          <w:tcPr>
            <w:tcW w:w="1433" w:type="dxa"/>
            <w:shd w:val="clear" w:color="auto" w:fill="FFFFFF"/>
            <w:tcMar>
              <w:top w:w="0" w:type="dxa"/>
              <w:left w:w="0" w:type="dxa"/>
              <w:bottom w:w="0" w:type="dxa"/>
              <w:right w:w="0" w:type="dxa"/>
            </w:tcMar>
            <w:vAlign w:val="center"/>
          </w:tcPr>
          <w:p w14:paraId="762D20DE"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433" w:type="dxa"/>
            <w:shd w:val="clear" w:color="auto" w:fill="FFFFFF"/>
            <w:tcMar>
              <w:top w:w="0" w:type="dxa"/>
              <w:left w:w="0" w:type="dxa"/>
              <w:bottom w:w="0" w:type="dxa"/>
              <w:right w:w="0" w:type="dxa"/>
            </w:tcMar>
            <w:vAlign w:val="center"/>
          </w:tcPr>
          <w:p w14:paraId="3C52ED65"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r>
      <w:tr w:rsidR="003C0AF1" w:rsidRPr="007115F2" w14:paraId="511485D2" w14:textId="77777777" w:rsidTr="0029259E">
        <w:trPr>
          <w:gridAfter w:val="1"/>
          <w:wAfter w:w="79" w:type="dxa"/>
          <w:jc w:val="center"/>
        </w:trPr>
        <w:tc>
          <w:tcPr>
            <w:tcW w:w="3261" w:type="dxa"/>
            <w:shd w:val="clear" w:color="auto" w:fill="FFFFFF"/>
            <w:tcMar>
              <w:top w:w="0" w:type="dxa"/>
              <w:left w:w="0" w:type="dxa"/>
              <w:bottom w:w="0" w:type="dxa"/>
              <w:right w:w="0" w:type="dxa"/>
            </w:tcMar>
            <w:vAlign w:val="center"/>
          </w:tcPr>
          <w:p w14:paraId="01E33573"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shd w:val="clear" w:color="auto" w:fill="FFFFFF"/>
            <w:tcMar>
              <w:top w:w="0" w:type="dxa"/>
              <w:left w:w="0" w:type="dxa"/>
              <w:bottom w:w="0" w:type="dxa"/>
              <w:right w:w="0" w:type="dxa"/>
            </w:tcMar>
            <w:vAlign w:val="center"/>
          </w:tcPr>
          <w:p w14:paraId="048624DE"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433" w:type="dxa"/>
            <w:shd w:val="clear" w:color="auto" w:fill="FFFFFF"/>
            <w:tcMar>
              <w:top w:w="0" w:type="dxa"/>
              <w:left w:w="0" w:type="dxa"/>
              <w:bottom w:w="0" w:type="dxa"/>
              <w:right w:w="0" w:type="dxa"/>
            </w:tcMar>
            <w:vAlign w:val="center"/>
          </w:tcPr>
          <w:p w14:paraId="294112F2"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c>
          <w:tcPr>
            <w:tcW w:w="1433" w:type="dxa"/>
            <w:shd w:val="clear" w:color="auto" w:fill="FFFFFF"/>
            <w:tcMar>
              <w:top w:w="0" w:type="dxa"/>
              <w:left w:w="0" w:type="dxa"/>
              <w:bottom w:w="0" w:type="dxa"/>
              <w:right w:w="0" w:type="dxa"/>
            </w:tcMar>
            <w:vAlign w:val="center"/>
          </w:tcPr>
          <w:p w14:paraId="4080A486"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433" w:type="dxa"/>
            <w:shd w:val="clear" w:color="auto" w:fill="FFFFFF"/>
            <w:tcMar>
              <w:top w:w="0" w:type="dxa"/>
              <w:left w:w="0" w:type="dxa"/>
              <w:bottom w:w="0" w:type="dxa"/>
              <w:right w:w="0" w:type="dxa"/>
            </w:tcMar>
            <w:vAlign w:val="center"/>
          </w:tcPr>
          <w:p w14:paraId="22347260"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r>
      <w:tr w:rsidR="003C0AF1" w:rsidRPr="007115F2" w14:paraId="3EC97C4F" w14:textId="77777777" w:rsidTr="0029259E">
        <w:trPr>
          <w:gridAfter w:val="1"/>
          <w:wAfter w:w="79" w:type="dxa"/>
          <w:jc w:val="center"/>
        </w:trPr>
        <w:tc>
          <w:tcPr>
            <w:tcW w:w="3261" w:type="dxa"/>
            <w:shd w:val="clear" w:color="auto" w:fill="FFFFFF"/>
            <w:tcMar>
              <w:top w:w="0" w:type="dxa"/>
              <w:left w:w="0" w:type="dxa"/>
              <w:bottom w:w="0" w:type="dxa"/>
              <w:right w:w="0" w:type="dxa"/>
            </w:tcMar>
            <w:vAlign w:val="center"/>
          </w:tcPr>
          <w:p w14:paraId="1B5EA4EE"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shd w:val="clear" w:color="auto" w:fill="FFFFFF"/>
            <w:tcMar>
              <w:top w:w="0" w:type="dxa"/>
              <w:left w:w="0" w:type="dxa"/>
              <w:bottom w:w="0" w:type="dxa"/>
              <w:right w:w="0" w:type="dxa"/>
            </w:tcMar>
            <w:vAlign w:val="center"/>
          </w:tcPr>
          <w:p w14:paraId="18E9F78F"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[0.003]</w:t>
            </w:r>
          </w:p>
        </w:tc>
        <w:tc>
          <w:tcPr>
            <w:tcW w:w="1433" w:type="dxa"/>
            <w:shd w:val="clear" w:color="auto" w:fill="FFFFFF"/>
            <w:tcMar>
              <w:top w:w="0" w:type="dxa"/>
              <w:left w:w="0" w:type="dxa"/>
              <w:bottom w:w="0" w:type="dxa"/>
              <w:right w:w="0" w:type="dxa"/>
            </w:tcMar>
            <w:vAlign w:val="center"/>
          </w:tcPr>
          <w:p w14:paraId="62CAEC28"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c>
          <w:tcPr>
            <w:tcW w:w="1433" w:type="dxa"/>
            <w:shd w:val="clear" w:color="auto" w:fill="FFFFFF"/>
            <w:tcMar>
              <w:top w:w="0" w:type="dxa"/>
              <w:left w:w="0" w:type="dxa"/>
              <w:bottom w:w="0" w:type="dxa"/>
              <w:right w:w="0" w:type="dxa"/>
            </w:tcMar>
            <w:vAlign w:val="center"/>
          </w:tcPr>
          <w:p w14:paraId="1DD2B81D"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[0.002]</w:t>
            </w:r>
          </w:p>
        </w:tc>
        <w:tc>
          <w:tcPr>
            <w:tcW w:w="1433" w:type="dxa"/>
            <w:shd w:val="clear" w:color="auto" w:fill="FFFFFF"/>
            <w:tcMar>
              <w:top w:w="0" w:type="dxa"/>
              <w:left w:w="0" w:type="dxa"/>
              <w:bottom w:w="0" w:type="dxa"/>
              <w:right w:w="0" w:type="dxa"/>
            </w:tcMar>
            <w:vAlign w:val="center"/>
          </w:tcPr>
          <w:p w14:paraId="37EDF47F"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r>
      <w:tr w:rsidR="003C0AF1" w:rsidRPr="007115F2" w14:paraId="57CF297A" w14:textId="77777777" w:rsidTr="0029259E">
        <w:trPr>
          <w:gridAfter w:val="1"/>
          <w:wAfter w:w="79" w:type="dxa"/>
          <w:jc w:val="center"/>
        </w:trPr>
        <w:tc>
          <w:tcPr>
            <w:tcW w:w="3261" w:type="dxa"/>
            <w:shd w:val="clear" w:color="auto" w:fill="FFFFFF"/>
            <w:tcMar>
              <w:top w:w="0" w:type="dxa"/>
              <w:left w:w="0" w:type="dxa"/>
              <w:bottom w:w="0" w:type="dxa"/>
              <w:right w:w="0" w:type="dxa"/>
            </w:tcMar>
            <w:vAlign w:val="center"/>
          </w:tcPr>
          <w:p w14:paraId="52B2CA2D"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r w:rsidRPr="007115F2">
              <w:rPr>
                <w:color w:val="000000" w:themeColor="text1"/>
                <w:sz w:val="22"/>
              </w:rPr>
              <w:t>Relative_FirmStatus</w:t>
            </w:r>
          </w:p>
        </w:tc>
        <w:tc>
          <w:tcPr>
            <w:tcW w:w="1433" w:type="dxa"/>
            <w:shd w:val="clear" w:color="auto" w:fill="FFFFFF"/>
            <w:tcMar>
              <w:top w:w="0" w:type="dxa"/>
              <w:left w:w="0" w:type="dxa"/>
              <w:bottom w:w="0" w:type="dxa"/>
              <w:right w:w="0" w:type="dxa"/>
            </w:tcMar>
            <w:vAlign w:val="center"/>
          </w:tcPr>
          <w:p w14:paraId="3002F445"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c>
          <w:tcPr>
            <w:tcW w:w="1433" w:type="dxa"/>
            <w:shd w:val="clear" w:color="auto" w:fill="FFFFFF"/>
            <w:tcMar>
              <w:top w:w="0" w:type="dxa"/>
              <w:left w:w="0" w:type="dxa"/>
              <w:bottom w:w="0" w:type="dxa"/>
              <w:right w:w="0" w:type="dxa"/>
            </w:tcMar>
            <w:vAlign w:val="center"/>
          </w:tcPr>
          <w:p w14:paraId="7C61BF53"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433" w:type="dxa"/>
            <w:shd w:val="clear" w:color="auto" w:fill="FFFFFF"/>
            <w:tcMar>
              <w:top w:w="0" w:type="dxa"/>
              <w:left w:w="0" w:type="dxa"/>
              <w:bottom w:w="0" w:type="dxa"/>
              <w:right w:w="0" w:type="dxa"/>
            </w:tcMar>
            <w:vAlign w:val="center"/>
          </w:tcPr>
          <w:p w14:paraId="4CF5BF33"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c>
          <w:tcPr>
            <w:tcW w:w="1433" w:type="dxa"/>
            <w:shd w:val="clear" w:color="auto" w:fill="FFFFFF"/>
            <w:tcMar>
              <w:top w:w="0" w:type="dxa"/>
              <w:left w:w="0" w:type="dxa"/>
              <w:bottom w:w="0" w:type="dxa"/>
              <w:right w:w="0" w:type="dxa"/>
            </w:tcMar>
            <w:vAlign w:val="center"/>
          </w:tcPr>
          <w:p w14:paraId="0AB4DEAC"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0.001</w:t>
            </w:r>
          </w:p>
        </w:tc>
      </w:tr>
      <w:tr w:rsidR="003C0AF1" w:rsidRPr="007115F2" w14:paraId="3B1E5AF6" w14:textId="77777777" w:rsidTr="0029259E">
        <w:trPr>
          <w:gridAfter w:val="1"/>
          <w:wAfter w:w="79" w:type="dxa"/>
          <w:jc w:val="center"/>
        </w:trPr>
        <w:tc>
          <w:tcPr>
            <w:tcW w:w="3261" w:type="dxa"/>
            <w:shd w:val="clear" w:color="auto" w:fill="FFFFFF"/>
            <w:tcMar>
              <w:top w:w="0" w:type="dxa"/>
              <w:left w:w="0" w:type="dxa"/>
              <w:bottom w:w="0" w:type="dxa"/>
              <w:right w:w="0" w:type="dxa"/>
            </w:tcMar>
            <w:vAlign w:val="center"/>
          </w:tcPr>
          <w:p w14:paraId="4177019D"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shd w:val="clear" w:color="auto" w:fill="FFFFFF"/>
            <w:tcMar>
              <w:top w:w="0" w:type="dxa"/>
              <w:left w:w="0" w:type="dxa"/>
              <w:bottom w:w="0" w:type="dxa"/>
              <w:right w:w="0" w:type="dxa"/>
            </w:tcMar>
            <w:vAlign w:val="center"/>
          </w:tcPr>
          <w:p w14:paraId="0D85CB24"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c>
          <w:tcPr>
            <w:tcW w:w="1433" w:type="dxa"/>
            <w:shd w:val="clear" w:color="auto" w:fill="FFFFFF"/>
            <w:tcMar>
              <w:top w:w="0" w:type="dxa"/>
              <w:left w:w="0" w:type="dxa"/>
              <w:bottom w:w="0" w:type="dxa"/>
              <w:right w:w="0" w:type="dxa"/>
            </w:tcMar>
            <w:vAlign w:val="center"/>
          </w:tcPr>
          <w:p w14:paraId="60CED528"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433" w:type="dxa"/>
            <w:shd w:val="clear" w:color="auto" w:fill="FFFFFF"/>
            <w:tcMar>
              <w:top w:w="0" w:type="dxa"/>
              <w:left w:w="0" w:type="dxa"/>
              <w:bottom w:w="0" w:type="dxa"/>
              <w:right w:w="0" w:type="dxa"/>
            </w:tcMar>
            <w:vAlign w:val="center"/>
          </w:tcPr>
          <w:p w14:paraId="79D43865"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c>
          <w:tcPr>
            <w:tcW w:w="1433" w:type="dxa"/>
            <w:shd w:val="clear" w:color="auto" w:fill="FFFFFF"/>
            <w:tcMar>
              <w:top w:w="0" w:type="dxa"/>
              <w:left w:w="0" w:type="dxa"/>
              <w:bottom w:w="0" w:type="dxa"/>
              <w:right w:w="0" w:type="dxa"/>
            </w:tcMar>
            <w:vAlign w:val="center"/>
          </w:tcPr>
          <w:p w14:paraId="5D8464DD"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r>
      <w:tr w:rsidR="003C0AF1" w:rsidRPr="007115F2" w14:paraId="4E51F5D3" w14:textId="77777777" w:rsidTr="0029259E">
        <w:trPr>
          <w:gridAfter w:val="1"/>
          <w:wAfter w:w="79" w:type="dxa"/>
          <w:jc w:val="center"/>
        </w:trPr>
        <w:tc>
          <w:tcPr>
            <w:tcW w:w="3261" w:type="dxa"/>
            <w:shd w:val="clear" w:color="auto" w:fill="FFFFFF"/>
            <w:tcMar>
              <w:top w:w="0" w:type="dxa"/>
              <w:left w:w="0" w:type="dxa"/>
              <w:bottom w:w="0" w:type="dxa"/>
              <w:right w:w="0" w:type="dxa"/>
            </w:tcMar>
            <w:vAlign w:val="center"/>
          </w:tcPr>
          <w:p w14:paraId="16945FB1"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shd w:val="clear" w:color="auto" w:fill="FFFFFF"/>
            <w:tcMar>
              <w:top w:w="0" w:type="dxa"/>
              <w:left w:w="0" w:type="dxa"/>
              <w:bottom w:w="0" w:type="dxa"/>
              <w:right w:w="0" w:type="dxa"/>
            </w:tcMar>
            <w:vAlign w:val="center"/>
          </w:tcPr>
          <w:p w14:paraId="5527D859"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c>
          <w:tcPr>
            <w:tcW w:w="1433" w:type="dxa"/>
            <w:shd w:val="clear" w:color="auto" w:fill="FFFFFF"/>
            <w:tcMar>
              <w:top w:w="0" w:type="dxa"/>
              <w:left w:w="0" w:type="dxa"/>
              <w:bottom w:w="0" w:type="dxa"/>
              <w:right w:w="0" w:type="dxa"/>
            </w:tcMar>
            <w:vAlign w:val="center"/>
          </w:tcPr>
          <w:p w14:paraId="74A3C05F"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[0.321]</w:t>
            </w:r>
          </w:p>
        </w:tc>
        <w:tc>
          <w:tcPr>
            <w:tcW w:w="1433" w:type="dxa"/>
            <w:shd w:val="clear" w:color="auto" w:fill="FFFFFF"/>
            <w:tcMar>
              <w:top w:w="0" w:type="dxa"/>
              <w:left w:w="0" w:type="dxa"/>
              <w:bottom w:w="0" w:type="dxa"/>
              <w:right w:w="0" w:type="dxa"/>
            </w:tcMar>
            <w:vAlign w:val="center"/>
          </w:tcPr>
          <w:p w14:paraId="4917E7E2"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c>
          <w:tcPr>
            <w:tcW w:w="1433" w:type="dxa"/>
            <w:shd w:val="clear" w:color="auto" w:fill="FFFFFF"/>
            <w:tcMar>
              <w:top w:w="0" w:type="dxa"/>
              <w:left w:w="0" w:type="dxa"/>
              <w:bottom w:w="0" w:type="dxa"/>
              <w:right w:w="0" w:type="dxa"/>
            </w:tcMar>
            <w:vAlign w:val="center"/>
          </w:tcPr>
          <w:p w14:paraId="3527AE2E"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[0.146]</w:t>
            </w:r>
          </w:p>
        </w:tc>
      </w:tr>
      <w:tr w:rsidR="003C0AF1" w:rsidRPr="007115F2" w14:paraId="7E283CA3" w14:textId="77777777" w:rsidTr="0029259E">
        <w:trPr>
          <w:gridAfter w:val="1"/>
          <w:wAfter w:w="79" w:type="dxa"/>
          <w:jc w:val="center"/>
        </w:trPr>
        <w:tc>
          <w:tcPr>
            <w:tcW w:w="3261" w:type="dxa"/>
            <w:shd w:val="clear" w:color="auto" w:fill="FFFFFF"/>
            <w:tcMar>
              <w:top w:w="0" w:type="dxa"/>
              <w:left w:w="0" w:type="dxa"/>
              <w:bottom w:w="0" w:type="dxa"/>
              <w:right w:w="0" w:type="dxa"/>
            </w:tcMar>
            <w:vAlign w:val="center"/>
          </w:tcPr>
          <w:p w14:paraId="395074B2" w14:textId="77777777" w:rsidR="003C0AF1" w:rsidRPr="007115F2" w:rsidRDefault="003C0AF1" w:rsidP="007C051A">
            <w:pPr>
              <w:widowControl w:val="0"/>
              <w:autoSpaceDE w:val="0"/>
              <w:autoSpaceDN w:val="0"/>
              <w:adjustRightInd w:val="0"/>
              <w:spacing w:line="240" w:lineRule="auto"/>
              <w:jc w:val="left"/>
              <w:rPr>
                <w:color w:val="000000" w:themeColor="text1"/>
                <w:sz w:val="22"/>
                <w:lang w:val="en-US"/>
              </w:rPr>
            </w:pPr>
            <w:r w:rsidRPr="007115F2">
              <w:rPr>
                <w:color w:val="000000" w:themeColor="text1"/>
                <w:sz w:val="22"/>
                <w:lang w:val="en-US"/>
              </w:rPr>
              <w:t xml:space="preserve">Direct_BoardInterlocks x </w:t>
            </w:r>
            <w:r w:rsidRPr="007115F2">
              <w:rPr>
                <w:color w:val="000000" w:themeColor="text1"/>
                <w:sz w:val="22"/>
                <w:lang w:val="en-US"/>
              </w:rPr>
              <w:br/>
              <w:t>Relative_BoardPower</w:t>
            </w:r>
          </w:p>
        </w:tc>
        <w:tc>
          <w:tcPr>
            <w:tcW w:w="1433" w:type="dxa"/>
            <w:shd w:val="clear" w:color="auto" w:fill="FFFFFF"/>
            <w:tcMar>
              <w:top w:w="0" w:type="dxa"/>
              <w:left w:w="0" w:type="dxa"/>
              <w:bottom w:w="0" w:type="dxa"/>
              <w:right w:w="0" w:type="dxa"/>
            </w:tcMar>
            <w:vAlign w:val="center"/>
          </w:tcPr>
          <w:p w14:paraId="5E99B0B8"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0.038</w:t>
            </w:r>
          </w:p>
        </w:tc>
        <w:tc>
          <w:tcPr>
            <w:tcW w:w="1433" w:type="dxa"/>
            <w:shd w:val="clear" w:color="auto" w:fill="FFFFFF"/>
            <w:tcMar>
              <w:top w:w="0" w:type="dxa"/>
              <w:left w:w="0" w:type="dxa"/>
              <w:bottom w:w="0" w:type="dxa"/>
              <w:right w:w="0" w:type="dxa"/>
            </w:tcMar>
            <w:vAlign w:val="center"/>
          </w:tcPr>
          <w:p w14:paraId="491D7DCD"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c>
          <w:tcPr>
            <w:tcW w:w="1433" w:type="dxa"/>
            <w:shd w:val="clear" w:color="auto" w:fill="FFFFFF"/>
            <w:tcMar>
              <w:top w:w="0" w:type="dxa"/>
              <w:left w:w="0" w:type="dxa"/>
              <w:bottom w:w="0" w:type="dxa"/>
              <w:right w:w="0" w:type="dxa"/>
            </w:tcMar>
            <w:vAlign w:val="center"/>
          </w:tcPr>
          <w:p w14:paraId="0B6FFE16"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c>
          <w:tcPr>
            <w:tcW w:w="1433" w:type="dxa"/>
            <w:shd w:val="clear" w:color="auto" w:fill="FFFFFF"/>
            <w:tcMar>
              <w:top w:w="0" w:type="dxa"/>
              <w:left w:w="0" w:type="dxa"/>
              <w:bottom w:w="0" w:type="dxa"/>
              <w:right w:w="0" w:type="dxa"/>
            </w:tcMar>
            <w:vAlign w:val="center"/>
          </w:tcPr>
          <w:p w14:paraId="627358F3"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r>
      <w:tr w:rsidR="003C0AF1" w:rsidRPr="007115F2" w14:paraId="36615FA0" w14:textId="77777777" w:rsidTr="0029259E">
        <w:trPr>
          <w:gridAfter w:val="1"/>
          <w:wAfter w:w="79" w:type="dxa"/>
          <w:jc w:val="center"/>
        </w:trPr>
        <w:tc>
          <w:tcPr>
            <w:tcW w:w="3261" w:type="dxa"/>
            <w:shd w:val="clear" w:color="auto" w:fill="FFFFFF"/>
            <w:tcMar>
              <w:top w:w="0" w:type="dxa"/>
              <w:left w:w="0" w:type="dxa"/>
              <w:bottom w:w="0" w:type="dxa"/>
              <w:right w:w="0" w:type="dxa"/>
            </w:tcMar>
            <w:vAlign w:val="center"/>
          </w:tcPr>
          <w:p w14:paraId="68AB3BAA"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shd w:val="clear" w:color="auto" w:fill="FFFFFF"/>
            <w:tcMar>
              <w:top w:w="0" w:type="dxa"/>
              <w:left w:w="0" w:type="dxa"/>
              <w:bottom w:w="0" w:type="dxa"/>
              <w:right w:w="0" w:type="dxa"/>
            </w:tcMar>
            <w:vAlign w:val="center"/>
          </w:tcPr>
          <w:p w14:paraId="0C1CCBBE"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(0.013)</w:t>
            </w:r>
          </w:p>
        </w:tc>
        <w:tc>
          <w:tcPr>
            <w:tcW w:w="1433" w:type="dxa"/>
            <w:shd w:val="clear" w:color="auto" w:fill="FFFFFF"/>
            <w:tcMar>
              <w:top w:w="0" w:type="dxa"/>
              <w:left w:w="0" w:type="dxa"/>
              <w:bottom w:w="0" w:type="dxa"/>
              <w:right w:w="0" w:type="dxa"/>
            </w:tcMar>
            <w:vAlign w:val="center"/>
          </w:tcPr>
          <w:p w14:paraId="47C0E97A"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c>
          <w:tcPr>
            <w:tcW w:w="1433" w:type="dxa"/>
            <w:shd w:val="clear" w:color="auto" w:fill="FFFFFF"/>
            <w:tcMar>
              <w:top w:w="0" w:type="dxa"/>
              <w:left w:w="0" w:type="dxa"/>
              <w:bottom w:w="0" w:type="dxa"/>
              <w:right w:w="0" w:type="dxa"/>
            </w:tcMar>
            <w:vAlign w:val="center"/>
          </w:tcPr>
          <w:p w14:paraId="4EC9C2AA"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c>
          <w:tcPr>
            <w:tcW w:w="1433" w:type="dxa"/>
            <w:shd w:val="clear" w:color="auto" w:fill="FFFFFF"/>
            <w:tcMar>
              <w:top w:w="0" w:type="dxa"/>
              <w:left w:w="0" w:type="dxa"/>
              <w:bottom w:w="0" w:type="dxa"/>
              <w:right w:w="0" w:type="dxa"/>
            </w:tcMar>
            <w:vAlign w:val="center"/>
          </w:tcPr>
          <w:p w14:paraId="2D3DC954"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r>
      <w:tr w:rsidR="003C0AF1" w:rsidRPr="007115F2" w14:paraId="3976C157" w14:textId="77777777" w:rsidTr="0029259E">
        <w:trPr>
          <w:gridAfter w:val="1"/>
          <w:wAfter w:w="79" w:type="dxa"/>
          <w:jc w:val="center"/>
        </w:trPr>
        <w:tc>
          <w:tcPr>
            <w:tcW w:w="3261" w:type="dxa"/>
            <w:shd w:val="clear" w:color="auto" w:fill="FFFFFF"/>
            <w:tcMar>
              <w:top w:w="0" w:type="dxa"/>
              <w:left w:w="0" w:type="dxa"/>
              <w:bottom w:w="0" w:type="dxa"/>
              <w:right w:w="0" w:type="dxa"/>
            </w:tcMar>
            <w:vAlign w:val="center"/>
          </w:tcPr>
          <w:p w14:paraId="509E5B3C"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shd w:val="clear" w:color="auto" w:fill="FFFFFF"/>
            <w:tcMar>
              <w:top w:w="0" w:type="dxa"/>
              <w:left w:w="0" w:type="dxa"/>
              <w:bottom w:w="0" w:type="dxa"/>
              <w:right w:w="0" w:type="dxa"/>
            </w:tcMar>
            <w:vAlign w:val="center"/>
          </w:tcPr>
          <w:p w14:paraId="661EEC07"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[0.005]</w:t>
            </w:r>
          </w:p>
        </w:tc>
        <w:tc>
          <w:tcPr>
            <w:tcW w:w="1433" w:type="dxa"/>
            <w:shd w:val="clear" w:color="auto" w:fill="FFFFFF"/>
            <w:tcMar>
              <w:top w:w="0" w:type="dxa"/>
              <w:left w:w="0" w:type="dxa"/>
              <w:bottom w:w="0" w:type="dxa"/>
              <w:right w:w="0" w:type="dxa"/>
            </w:tcMar>
            <w:vAlign w:val="center"/>
          </w:tcPr>
          <w:p w14:paraId="4B51C393"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c>
          <w:tcPr>
            <w:tcW w:w="1433" w:type="dxa"/>
            <w:shd w:val="clear" w:color="auto" w:fill="FFFFFF"/>
            <w:tcMar>
              <w:top w:w="0" w:type="dxa"/>
              <w:left w:w="0" w:type="dxa"/>
              <w:bottom w:w="0" w:type="dxa"/>
              <w:right w:w="0" w:type="dxa"/>
            </w:tcMar>
            <w:vAlign w:val="center"/>
          </w:tcPr>
          <w:p w14:paraId="1AC8C1FC"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c>
          <w:tcPr>
            <w:tcW w:w="1433" w:type="dxa"/>
            <w:shd w:val="clear" w:color="auto" w:fill="FFFFFF"/>
            <w:tcMar>
              <w:top w:w="0" w:type="dxa"/>
              <w:left w:w="0" w:type="dxa"/>
              <w:bottom w:w="0" w:type="dxa"/>
              <w:right w:w="0" w:type="dxa"/>
            </w:tcMar>
            <w:vAlign w:val="center"/>
          </w:tcPr>
          <w:p w14:paraId="22C6A363"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r>
      <w:tr w:rsidR="003C0AF1" w:rsidRPr="007115F2" w14:paraId="1075A54A" w14:textId="77777777" w:rsidTr="0029259E">
        <w:trPr>
          <w:gridAfter w:val="1"/>
          <w:wAfter w:w="79" w:type="dxa"/>
          <w:jc w:val="center"/>
        </w:trPr>
        <w:tc>
          <w:tcPr>
            <w:tcW w:w="3261" w:type="dxa"/>
            <w:shd w:val="clear" w:color="auto" w:fill="FFFFFF"/>
            <w:tcMar>
              <w:top w:w="0" w:type="dxa"/>
              <w:left w:w="0" w:type="dxa"/>
              <w:bottom w:w="0" w:type="dxa"/>
              <w:right w:w="0" w:type="dxa"/>
            </w:tcMar>
            <w:vAlign w:val="center"/>
          </w:tcPr>
          <w:p w14:paraId="1BE3FF2C" w14:textId="77777777" w:rsidR="003C0AF1" w:rsidRPr="007115F2" w:rsidRDefault="003C0AF1" w:rsidP="007C051A">
            <w:pPr>
              <w:widowControl w:val="0"/>
              <w:autoSpaceDE w:val="0"/>
              <w:autoSpaceDN w:val="0"/>
              <w:adjustRightInd w:val="0"/>
              <w:spacing w:line="240" w:lineRule="auto"/>
              <w:jc w:val="left"/>
              <w:rPr>
                <w:color w:val="000000" w:themeColor="text1"/>
                <w:sz w:val="22"/>
                <w:lang w:val="en-US"/>
              </w:rPr>
            </w:pPr>
            <w:r w:rsidRPr="007115F2">
              <w:rPr>
                <w:color w:val="000000" w:themeColor="text1"/>
                <w:sz w:val="22"/>
                <w:lang w:val="en-US"/>
              </w:rPr>
              <w:t xml:space="preserve">Direct_BoardInterlocks x </w:t>
            </w:r>
            <w:r w:rsidRPr="007115F2">
              <w:rPr>
                <w:color w:val="000000" w:themeColor="text1"/>
                <w:sz w:val="22"/>
                <w:lang w:val="en-US"/>
              </w:rPr>
              <w:br/>
              <w:t>Relative_FirmStatus</w:t>
            </w:r>
          </w:p>
        </w:tc>
        <w:tc>
          <w:tcPr>
            <w:tcW w:w="1433" w:type="dxa"/>
            <w:shd w:val="clear" w:color="auto" w:fill="FFFFFF"/>
            <w:tcMar>
              <w:top w:w="0" w:type="dxa"/>
              <w:left w:w="0" w:type="dxa"/>
              <w:bottom w:w="0" w:type="dxa"/>
              <w:right w:w="0" w:type="dxa"/>
            </w:tcMar>
            <w:vAlign w:val="center"/>
          </w:tcPr>
          <w:p w14:paraId="14C1094A" w14:textId="77777777" w:rsidR="003C0AF1" w:rsidRPr="007115F2" w:rsidRDefault="003C0AF1" w:rsidP="007C051A">
            <w:pPr>
              <w:widowControl w:val="0"/>
              <w:autoSpaceDE w:val="0"/>
              <w:autoSpaceDN w:val="0"/>
              <w:adjustRightInd w:val="0"/>
              <w:spacing w:line="240" w:lineRule="auto"/>
              <w:jc w:val="center"/>
              <w:rPr>
                <w:color w:val="000000" w:themeColor="text1"/>
                <w:sz w:val="22"/>
                <w:lang w:val="en-US"/>
              </w:rPr>
            </w:pPr>
          </w:p>
        </w:tc>
        <w:tc>
          <w:tcPr>
            <w:tcW w:w="1433" w:type="dxa"/>
            <w:shd w:val="clear" w:color="auto" w:fill="FFFFFF"/>
            <w:tcMar>
              <w:top w:w="0" w:type="dxa"/>
              <w:left w:w="0" w:type="dxa"/>
              <w:bottom w:w="0" w:type="dxa"/>
              <w:right w:w="0" w:type="dxa"/>
            </w:tcMar>
            <w:vAlign w:val="center"/>
          </w:tcPr>
          <w:p w14:paraId="4C8E083D"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0.008</w:t>
            </w:r>
          </w:p>
        </w:tc>
        <w:tc>
          <w:tcPr>
            <w:tcW w:w="1433" w:type="dxa"/>
            <w:shd w:val="clear" w:color="auto" w:fill="FFFFFF"/>
            <w:tcMar>
              <w:top w:w="0" w:type="dxa"/>
              <w:left w:w="0" w:type="dxa"/>
              <w:bottom w:w="0" w:type="dxa"/>
              <w:right w:w="0" w:type="dxa"/>
            </w:tcMar>
            <w:vAlign w:val="center"/>
          </w:tcPr>
          <w:p w14:paraId="7FDEFA60"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c>
          <w:tcPr>
            <w:tcW w:w="1433" w:type="dxa"/>
            <w:shd w:val="clear" w:color="auto" w:fill="FFFFFF"/>
            <w:tcMar>
              <w:top w:w="0" w:type="dxa"/>
              <w:left w:w="0" w:type="dxa"/>
              <w:bottom w:w="0" w:type="dxa"/>
              <w:right w:w="0" w:type="dxa"/>
            </w:tcMar>
            <w:vAlign w:val="center"/>
          </w:tcPr>
          <w:p w14:paraId="28383C7F"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r>
      <w:tr w:rsidR="003C0AF1" w:rsidRPr="007115F2" w14:paraId="3A2713BE" w14:textId="77777777" w:rsidTr="0029259E">
        <w:trPr>
          <w:gridAfter w:val="1"/>
          <w:wAfter w:w="79" w:type="dxa"/>
          <w:jc w:val="center"/>
        </w:trPr>
        <w:tc>
          <w:tcPr>
            <w:tcW w:w="3261" w:type="dxa"/>
            <w:shd w:val="clear" w:color="auto" w:fill="FFFFFF"/>
            <w:tcMar>
              <w:top w:w="0" w:type="dxa"/>
              <w:left w:w="0" w:type="dxa"/>
              <w:bottom w:w="0" w:type="dxa"/>
              <w:right w:w="0" w:type="dxa"/>
            </w:tcMar>
            <w:vAlign w:val="center"/>
          </w:tcPr>
          <w:p w14:paraId="0C52B07F"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shd w:val="clear" w:color="auto" w:fill="FFFFFF"/>
            <w:tcMar>
              <w:top w:w="0" w:type="dxa"/>
              <w:left w:w="0" w:type="dxa"/>
              <w:bottom w:w="0" w:type="dxa"/>
              <w:right w:w="0" w:type="dxa"/>
            </w:tcMar>
            <w:vAlign w:val="center"/>
          </w:tcPr>
          <w:p w14:paraId="5B49BCD8"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c>
          <w:tcPr>
            <w:tcW w:w="1433" w:type="dxa"/>
            <w:shd w:val="clear" w:color="auto" w:fill="FFFFFF"/>
            <w:tcMar>
              <w:top w:w="0" w:type="dxa"/>
              <w:left w:w="0" w:type="dxa"/>
              <w:bottom w:w="0" w:type="dxa"/>
              <w:right w:w="0" w:type="dxa"/>
            </w:tcMar>
            <w:vAlign w:val="center"/>
          </w:tcPr>
          <w:p w14:paraId="36DE99F7"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433" w:type="dxa"/>
            <w:shd w:val="clear" w:color="auto" w:fill="FFFFFF"/>
            <w:tcMar>
              <w:top w:w="0" w:type="dxa"/>
              <w:left w:w="0" w:type="dxa"/>
              <w:bottom w:w="0" w:type="dxa"/>
              <w:right w:w="0" w:type="dxa"/>
            </w:tcMar>
            <w:vAlign w:val="center"/>
          </w:tcPr>
          <w:p w14:paraId="14C55700"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c>
          <w:tcPr>
            <w:tcW w:w="1433" w:type="dxa"/>
            <w:shd w:val="clear" w:color="auto" w:fill="FFFFFF"/>
            <w:tcMar>
              <w:top w:w="0" w:type="dxa"/>
              <w:left w:w="0" w:type="dxa"/>
              <w:bottom w:w="0" w:type="dxa"/>
              <w:right w:w="0" w:type="dxa"/>
            </w:tcMar>
            <w:vAlign w:val="center"/>
          </w:tcPr>
          <w:p w14:paraId="71A74C4D"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r>
      <w:tr w:rsidR="003C0AF1" w:rsidRPr="007115F2" w14:paraId="5C80EF8C" w14:textId="77777777" w:rsidTr="0029259E">
        <w:trPr>
          <w:gridAfter w:val="1"/>
          <w:wAfter w:w="79" w:type="dxa"/>
          <w:jc w:val="center"/>
        </w:trPr>
        <w:tc>
          <w:tcPr>
            <w:tcW w:w="3261" w:type="dxa"/>
            <w:shd w:val="clear" w:color="auto" w:fill="FFFFFF"/>
            <w:tcMar>
              <w:top w:w="0" w:type="dxa"/>
              <w:left w:w="0" w:type="dxa"/>
              <w:bottom w:w="0" w:type="dxa"/>
              <w:right w:w="0" w:type="dxa"/>
            </w:tcMar>
            <w:vAlign w:val="center"/>
          </w:tcPr>
          <w:p w14:paraId="082D3DEA"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shd w:val="clear" w:color="auto" w:fill="FFFFFF"/>
            <w:tcMar>
              <w:top w:w="0" w:type="dxa"/>
              <w:left w:w="0" w:type="dxa"/>
              <w:bottom w:w="0" w:type="dxa"/>
              <w:right w:w="0" w:type="dxa"/>
            </w:tcMar>
            <w:vAlign w:val="center"/>
          </w:tcPr>
          <w:p w14:paraId="4AACDDF9"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c>
          <w:tcPr>
            <w:tcW w:w="1433" w:type="dxa"/>
            <w:shd w:val="clear" w:color="auto" w:fill="FFFFFF"/>
            <w:tcMar>
              <w:top w:w="0" w:type="dxa"/>
              <w:left w:w="0" w:type="dxa"/>
              <w:bottom w:w="0" w:type="dxa"/>
              <w:right w:w="0" w:type="dxa"/>
            </w:tcMar>
            <w:vAlign w:val="center"/>
          </w:tcPr>
          <w:p w14:paraId="64CC7A7D"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[&lt;0.001]</w:t>
            </w:r>
          </w:p>
        </w:tc>
        <w:tc>
          <w:tcPr>
            <w:tcW w:w="1433" w:type="dxa"/>
            <w:shd w:val="clear" w:color="auto" w:fill="FFFFFF"/>
            <w:tcMar>
              <w:top w:w="0" w:type="dxa"/>
              <w:left w:w="0" w:type="dxa"/>
              <w:bottom w:w="0" w:type="dxa"/>
              <w:right w:w="0" w:type="dxa"/>
            </w:tcMar>
            <w:vAlign w:val="center"/>
          </w:tcPr>
          <w:p w14:paraId="1383EFDE"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c>
          <w:tcPr>
            <w:tcW w:w="1433" w:type="dxa"/>
            <w:shd w:val="clear" w:color="auto" w:fill="FFFFFF"/>
            <w:tcMar>
              <w:top w:w="0" w:type="dxa"/>
              <w:left w:w="0" w:type="dxa"/>
              <w:bottom w:w="0" w:type="dxa"/>
              <w:right w:w="0" w:type="dxa"/>
            </w:tcMar>
            <w:vAlign w:val="center"/>
          </w:tcPr>
          <w:p w14:paraId="4795E50D"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r>
      <w:tr w:rsidR="003C0AF1" w:rsidRPr="007115F2" w14:paraId="16186E6D" w14:textId="77777777" w:rsidTr="0029259E">
        <w:trPr>
          <w:gridAfter w:val="1"/>
          <w:wAfter w:w="79" w:type="dxa"/>
          <w:jc w:val="center"/>
        </w:trPr>
        <w:tc>
          <w:tcPr>
            <w:tcW w:w="3261" w:type="dxa"/>
            <w:shd w:val="clear" w:color="auto" w:fill="FFFFFF"/>
            <w:tcMar>
              <w:top w:w="0" w:type="dxa"/>
              <w:left w:w="0" w:type="dxa"/>
              <w:bottom w:w="0" w:type="dxa"/>
              <w:right w:w="0" w:type="dxa"/>
            </w:tcMar>
            <w:vAlign w:val="center"/>
          </w:tcPr>
          <w:p w14:paraId="5972C72B" w14:textId="77777777" w:rsidR="003C0AF1" w:rsidRPr="007115F2" w:rsidRDefault="003C0AF1" w:rsidP="007C051A">
            <w:pPr>
              <w:widowControl w:val="0"/>
              <w:autoSpaceDE w:val="0"/>
              <w:autoSpaceDN w:val="0"/>
              <w:adjustRightInd w:val="0"/>
              <w:spacing w:line="240" w:lineRule="auto"/>
              <w:jc w:val="left"/>
              <w:rPr>
                <w:color w:val="000000" w:themeColor="text1"/>
                <w:sz w:val="22"/>
                <w:lang w:val="en-US"/>
              </w:rPr>
            </w:pPr>
            <w:r w:rsidRPr="007115F2">
              <w:rPr>
                <w:color w:val="000000" w:themeColor="text1"/>
                <w:sz w:val="22"/>
                <w:lang w:val="en-US"/>
              </w:rPr>
              <w:t xml:space="preserve">Indirect_BoardInterlocks x </w:t>
            </w:r>
            <w:r w:rsidRPr="007115F2">
              <w:rPr>
                <w:color w:val="000000" w:themeColor="text1"/>
                <w:sz w:val="22"/>
                <w:lang w:val="en-US"/>
              </w:rPr>
              <w:br/>
              <w:t>Relative_BoardPower</w:t>
            </w:r>
          </w:p>
        </w:tc>
        <w:tc>
          <w:tcPr>
            <w:tcW w:w="1433" w:type="dxa"/>
            <w:shd w:val="clear" w:color="auto" w:fill="FFFFFF"/>
            <w:tcMar>
              <w:top w:w="0" w:type="dxa"/>
              <w:left w:w="0" w:type="dxa"/>
              <w:bottom w:w="0" w:type="dxa"/>
              <w:right w:w="0" w:type="dxa"/>
            </w:tcMar>
            <w:vAlign w:val="center"/>
          </w:tcPr>
          <w:p w14:paraId="234F9962" w14:textId="77777777" w:rsidR="003C0AF1" w:rsidRPr="007115F2" w:rsidRDefault="003C0AF1" w:rsidP="007C051A">
            <w:pPr>
              <w:widowControl w:val="0"/>
              <w:autoSpaceDE w:val="0"/>
              <w:autoSpaceDN w:val="0"/>
              <w:adjustRightInd w:val="0"/>
              <w:spacing w:line="240" w:lineRule="auto"/>
              <w:jc w:val="center"/>
              <w:rPr>
                <w:color w:val="000000" w:themeColor="text1"/>
                <w:sz w:val="22"/>
                <w:lang w:val="en-US"/>
              </w:rPr>
            </w:pPr>
          </w:p>
        </w:tc>
        <w:tc>
          <w:tcPr>
            <w:tcW w:w="1433" w:type="dxa"/>
            <w:shd w:val="clear" w:color="auto" w:fill="FFFFFF"/>
            <w:tcMar>
              <w:top w:w="0" w:type="dxa"/>
              <w:left w:w="0" w:type="dxa"/>
              <w:bottom w:w="0" w:type="dxa"/>
              <w:right w:w="0" w:type="dxa"/>
            </w:tcMar>
            <w:vAlign w:val="center"/>
          </w:tcPr>
          <w:p w14:paraId="3FBC197F" w14:textId="77777777" w:rsidR="003C0AF1" w:rsidRPr="007115F2" w:rsidRDefault="003C0AF1" w:rsidP="007C051A">
            <w:pPr>
              <w:widowControl w:val="0"/>
              <w:autoSpaceDE w:val="0"/>
              <w:autoSpaceDN w:val="0"/>
              <w:adjustRightInd w:val="0"/>
              <w:spacing w:line="240" w:lineRule="auto"/>
              <w:jc w:val="center"/>
              <w:rPr>
                <w:color w:val="000000" w:themeColor="text1"/>
                <w:sz w:val="22"/>
                <w:lang w:val="en-US"/>
              </w:rPr>
            </w:pPr>
          </w:p>
        </w:tc>
        <w:tc>
          <w:tcPr>
            <w:tcW w:w="1433" w:type="dxa"/>
            <w:shd w:val="clear" w:color="auto" w:fill="FFFFFF"/>
            <w:tcMar>
              <w:top w:w="0" w:type="dxa"/>
              <w:left w:w="0" w:type="dxa"/>
              <w:bottom w:w="0" w:type="dxa"/>
              <w:right w:w="0" w:type="dxa"/>
            </w:tcMar>
            <w:vAlign w:val="center"/>
          </w:tcPr>
          <w:p w14:paraId="2E2AEF42"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0.004</w:t>
            </w:r>
          </w:p>
        </w:tc>
        <w:tc>
          <w:tcPr>
            <w:tcW w:w="1433" w:type="dxa"/>
            <w:shd w:val="clear" w:color="auto" w:fill="FFFFFF"/>
            <w:tcMar>
              <w:top w:w="0" w:type="dxa"/>
              <w:left w:w="0" w:type="dxa"/>
              <w:bottom w:w="0" w:type="dxa"/>
              <w:right w:w="0" w:type="dxa"/>
            </w:tcMar>
            <w:vAlign w:val="center"/>
          </w:tcPr>
          <w:p w14:paraId="402993D0"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r>
      <w:tr w:rsidR="003C0AF1" w:rsidRPr="007115F2" w14:paraId="0CFC927A" w14:textId="77777777" w:rsidTr="0029259E">
        <w:trPr>
          <w:gridAfter w:val="1"/>
          <w:wAfter w:w="79" w:type="dxa"/>
          <w:jc w:val="center"/>
        </w:trPr>
        <w:tc>
          <w:tcPr>
            <w:tcW w:w="3261" w:type="dxa"/>
            <w:shd w:val="clear" w:color="auto" w:fill="FFFFFF"/>
            <w:tcMar>
              <w:top w:w="0" w:type="dxa"/>
              <w:left w:w="0" w:type="dxa"/>
              <w:bottom w:w="0" w:type="dxa"/>
              <w:right w:w="0" w:type="dxa"/>
            </w:tcMar>
            <w:vAlign w:val="center"/>
          </w:tcPr>
          <w:p w14:paraId="42511999"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shd w:val="clear" w:color="auto" w:fill="FFFFFF"/>
            <w:tcMar>
              <w:top w:w="0" w:type="dxa"/>
              <w:left w:w="0" w:type="dxa"/>
              <w:bottom w:w="0" w:type="dxa"/>
              <w:right w:w="0" w:type="dxa"/>
            </w:tcMar>
            <w:vAlign w:val="center"/>
          </w:tcPr>
          <w:p w14:paraId="3C4FDFCB"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c>
          <w:tcPr>
            <w:tcW w:w="1433" w:type="dxa"/>
            <w:shd w:val="clear" w:color="auto" w:fill="FFFFFF"/>
            <w:tcMar>
              <w:top w:w="0" w:type="dxa"/>
              <w:left w:w="0" w:type="dxa"/>
              <w:bottom w:w="0" w:type="dxa"/>
              <w:right w:w="0" w:type="dxa"/>
            </w:tcMar>
            <w:vAlign w:val="center"/>
          </w:tcPr>
          <w:p w14:paraId="5F494716"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c>
          <w:tcPr>
            <w:tcW w:w="1433" w:type="dxa"/>
            <w:shd w:val="clear" w:color="auto" w:fill="FFFFFF"/>
            <w:tcMar>
              <w:top w:w="0" w:type="dxa"/>
              <w:left w:w="0" w:type="dxa"/>
              <w:bottom w:w="0" w:type="dxa"/>
              <w:right w:w="0" w:type="dxa"/>
            </w:tcMar>
            <w:vAlign w:val="center"/>
          </w:tcPr>
          <w:p w14:paraId="1938F6C1"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433" w:type="dxa"/>
            <w:shd w:val="clear" w:color="auto" w:fill="FFFFFF"/>
            <w:tcMar>
              <w:top w:w="0" w:type="dxa"/>
              <w:left w:w="0" w:type="dxa"/>
              <w:bottom w:w="0" w:type="dxa"/>
              <w:right w:w="0" w:type="dxa"/>
            </w:tcMar>
            <w:vAlign w:val="center"/>
          </w:tcPr>
          <w:p w14:paraId="395F02D6"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r>
      <w:tr w:rsidR="003C0AF1" w:rsidRPr="007115F2" w14:paraId="5FC5DC68" w14:textId="77777777" w:rsidTr="0029259E">
        <w:trPr>
          <w:gridAfter w:val="1"/>
          <w:wAfter w:w="79" w:type="dxa"/>
          <w:jc w:val="center"/>
        </w:trPr>
        <w:tc>
          <w:tcPr>
            <w:tcW w:w="3261" w:type="dxa"/>
            <w:shd w:val="clear" w:color="auto" w:fill="FFFFFF"/>
            <w:tcMar>
              <w:top w:w="0" w:type="dxa"/>
              <w:left w:w="0" w:type="dxa"/>
              <w:bottom w:w="0" w:type="dxa"/>
              <w:right w:w="0" w:type="dxa"/>
            </w:tcMar>
            <w:vAlign w:val="center"/>
          </w:tcPr>
          <w:p w14:paraId="508C17C7"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shd w:val="clear" w:color="auto" w:fill="FFFFFF"/>
            <w:tcMar>
              <w:top w:w="0" w:type="dxa"/>
              <w:left w:w="0" w:type="dxa"/>
              <w:bottom w:w="0" w:type="dxa"/>
              <w:right w:w="0" w:type="dxa"/>
            </w:tcMar>
            <w:vAlign w:val="center"/>
          </w:tcPr>
          <w:p w14:paraId="297915BF"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c>
          <w:tcPr>
            <w:tcW w:w="1433" w:type="dxa"/>
            <w:shd w:val="clear" w:color="auto" w:fill="FFFFFF"/>
            <w:tcMar>
              <w:top w:w="0" w:type="dxa"/>
              <w:left w:w="0" w:type="dxa"/>
              <w:bottom w:w="0" w:type="dxa"/>
              <w:right w:w="0" w:type="dxa"/>
            </w:tcMar>
            <w:vAlign w:val="center"/>
          </w:tcPr>
          <w:p w14:paraId="2543FBCF"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c>
          <w:tcPr>
            <w:tcW w:w="1433" w:type="dxa"/>
            <w:shd w:val="clear" w:color="auto" w:fill="FFFFFF"/>
            <w:tcMar>
              <w:top w:w="0" w:type="dxa"/>
              <w:left w:w="0" w:type="dxa"/>
              <w:bottom w:w="0" w:type="dxa"/>
              <w:right w:w="0" w:type="dxa"/>
            </w:tcMar>
            <w:vAlign w:val="center"/>
          </w:tcPr>
          <w:p w14:paraId="3C1FE940"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[0.045]</w:t>
            </w:r>
          </w:p>
        </w:tc>
        <w:tc>
          <w:tcPr>
            <w:tcW w:w="1433" w:type="dxa"/>
            <w:shd w:val="clear" w:color="auto" w:fill="FFFFFF"/>
            <w:tcMar>
              <w:top w:w="0" w:type="dxa"/>
              <w:left w:w="0" w:type="dxa"/>
              <w:bottom w:w="0" w:type="dxa"/>
              <w:right w:w="0" w:type="dxa"/>
            </w:tcMar>
            <w:vAlign w:val="center"/>
          </w:tcPr>
          <w:p w14:paraId="2F4406CE"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r>
      <w:tr w:rsidR="003C0AF1" w:rsidRPr="007115F2" w14:paraId="275949FB" w14:textId="77777777" w:rsidTr="0029259E">
        <w:trPr>
          <w:gridAfter w:val="1"/>
          <w:wAfter w:w="79" w:type="dxa"/>
          <w:jc w:val="center"/>
        </w:trPr>
        <w:tc>
          <w:tcPr>
            <w:tcW w:w="3261" w:type="dxa"/>
            <w:shd w:val="clear" w:color="auto" w:fill="FFFFFF"/>
            <w:tcMar>
              <w:top w:w="0" w:type="dxa"/>
              <w:left w:w="0" w:type="dxa"/>
              <w:bottom w:w="0" w:type="dxa"/>
              <w:right w:w="0" w:type="dxa"/>
            </w:tcMar>
            <w:vAlign w:val="center"/>
          </w:tcPr>
          <w:p w14:paraId="44A57E3D" w14:textId="77777777" w:rsidR="003C0AF1" w:rsidRPr="007115F2" w:rsidRDefault="003C0AF1" w:rsidP="007C051A">
            <w:pPr>
              <w:widowControl w:val="0"/>
              <w:autoSpaceDE w:val="0"/>
              <w:autoSpaceDN w:val="0"/>
              <w:adjustRightInd w:val="0"/>
              <w:spacing w:line="240" w:lineRule="auto"/>
              <w:jc w:val="left"/>
              <w:rPr>
                <w:color w:val="000000" w:themeColor="text1"/>
                <w:sz w:val="22"/>
                <w:lang w:val="en-US"/>
              </w:rPr>
            </w:pPr>
            <w:r w:rsidRPr="007115F2">
              <w:rPr>
                <w:color w:val="000000" w:themeColor="text1"/>
                <w:sz w:val="22"/>
                <w:lang w:val="en-US"/>
              </w:rPr>
              <w:t xml:space="preserve">Indirect_BoardInterlocks x </w:t>
            </w:r>
            <w:r w:rsidRPr="007115F2">
              <w:rPr>
                <w:color w:val="000000" w:themeColor="text1"/>
                <w:sz w:val="22"/>
                <w:lang w:val="en-US"/>
              </w:rPr>
              <w:br/>
              <w:t>Relative_FirmStatus</w:t>
            </w:r>
          </w:p>
        </w:tc>
        <w:tc>
          <w:tcPr>
            <w:tcW w:w="1433" w:type="dxa"/>
            <w:shd w:val="clear" w:color="auto" w:fill="FFFFFF"/>
            <w:tcMar>
              <w:top w:w="0" w:type="dxa"/>
              <w:left w:w="0" w:type="dxa"/>
              <w:bottom w:w="0" w:type="dxa"/>
              <w:right w:w="0" w:type="dxa"/>
            </w:tcMar>
            <w:vAlign w:val="center"/>
          </w:tcPr>
          <w:p w14:paraId="1BE8B8B0" w14:textId="77777777" w:rsidR="003C0AF1" w:rsidRPr="007115F2" w:rsidRDefault="003C0AF1" w:rsidP="007C051A">
            <w:pPr>
              <w:widowControl w:val="0"/>
              <w:autoSpaceDE w:val="0"/>
              <w:autoSpaceDN w:val="0"/>
              <w:adjustRightInd w:val="0"/>
              <w:spacing w:line="240" w:lineRule="auto"/>
              <w:jc w:val="center"/>
              <w:rPr>
                <w:color w:val="000000" w:themeColor="text1"/>
                <w:sz w:val="22"/>
                <w:lang w:val="en-US"/>
              </w:rPr>
            </w:pPr>
          </w:p>
        </w:tc>
        <w:tc>
          <w:tcPr>
            <w:tcW w:w="1433" w:type="dxa"/>
            <w:shd w:val="clear" w:color="auto" w:fill="FFFFFF"/>
            <w:tcMar>
              <w:top w:w="0" w:type="dxa"/>
              <w:left w:w="0" w:type="dxa"/>
              <w:bottom w:w="0" w:type="dxa"/>
              <w:right w:w="0" w:type="dxa"/>
            </w:tcMar>
            <w:vAlign w:val="center"/>
          </w:tcPr>
          <w:p w14:paraId="4A01F933" w14:textId="77777777" w:rsidR="003C0AF1" w:rsidRPr="007115F2" w:rsidRDefault="003C0AF1" w:rsidP="007C051A">
            <w:pPr>
              <w:widowControl w:val="0"/>
              <w:autoSpaceDE w:val="0"/>
              <w:autoSpaceDN w:val="0"/>
              <w:adjustRightInd w:val="0"/>
              <w:spacing w:line="240" w:lineRule="auto"/>
              <w:jc w:val="center"/>
              <w:rPr>
                <w:color w:val="000000" w:themeColor="text1"/>
                <w:sz w:val="22"/>
                <w:lang w:val="en-US"/>
              </w:rPr>
            </w:pPr>
          </w:p>
        </w:tc>
        <w:tc>
          <w:tcPr>
            <w:tcW w:w="1433" w:type="dxa"/>
            <w:shd w:val="clear" w:color="auto" w:fill="FFFFFF"/>
            <w:tcMar>
              <w:top w:w="0" w:type="dxa"/>
              <w:left w:w="0" w:type="dxa"/>
              <w:bottom w:w="0" w:type="dxa"/>
              <w:right w:w="0" w:type="dxa"/>
            </w:tcMar>
            <w:vAlign w:val="center"/>
          </w:tcPr>
          <w:p w14:paraId="48C1FB62" w14:textId="77777777" w:rsidR="003C0AF1" w:rsidRPr="007115F2" w:rsidRDefault="003C0AF1" w:rsidP="007C051A">
            <w:pPr>
              <w:widowControl w:val="0"/>
              <w:autoSpaceDE w:val="0"/>
              <w:autoSpaceDN w:val="0"/>
              <w:adjustRightInd w:val="0"/>
              <w:spacing w:line="240" w:lineRule="auto"/>
              <w:jc w:val="center"/>
              <w:rPr>
                <w:color w:val="000000" w:themeColor="text1"/>
                <w:sz w:val="22"/>
                <w:lang w:val="en-US"/>
              </w:rPr>
            </w:pPr>
          </w:p>
        </w:tc>
        <w:tc>
          <w:tcPr>
            <w:tcW w:w="1433" w:type="dxa"/>
            <w:shd w:val="clear" w:color="auto" w:fill="FFFFFF"/>
            <w:tcMar>
              <w:top w:w="0" w:type="dxa"/>
              <w:left w:w="0" w:type="dxa"/>
              <w:bottom w:w="0" w:type="dxa"/>
              <w:right w:w="0" w:type="dxa"/>
            </w:tcMar>
            <w:vAlign w:val="center"/>
          </w:tcPr>
          <w:p w14:paraId="54D5C0FB"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0.002</w:t>
            </w:r>
          </w:p>
        </w:tc>
      </w:tr>
      <w:tr w:rsidR="003C0AF1" w:rsidRPr="007115F2" w14:paraId="01DE2EEA" w14:textId="77777777" w:rsidTr="0029259E">
        <w:trPr>
          <w:gridAfter w:val="1"/>
          <w:wAfter w:w="79" w:type="dxa"/>
          <w:jc w:val="center"/>
        </w:trPr>
        <w:tc>
          <w:tcPr>
            <w:tcW w:w="3261" w:type="dxa"/>
            <w:shd w:val="clear" w:color="auto" w:fill="FFFFFF"/>
            <w:tcMar>
              <w:top w:w="0" w:type="dxa"/>
              <w:left w:w="0" w:type="dxa"/>
              <w:bottom w:w="0" w:type="dxa"/>
              <w:right w:w="0" w:type="dxa"/>
            </w:tcMar>
            <w:vAlign w:val="center"/>
          </w:tcPr>
          <w:p w14:paraId="2777F222"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shd w:val="clear" w:color="auto" w:fill="FFFFFF"/>
            <w:tcMar>
              <w:top w:w="0" w:type="dxa"/>
              <w:left w:w="0" w:type="dxa"/>
              <w:bottom w:w="0" w:type="dxa"/>
              <w:right w:w="0" w:type="dxa"/>
            </w:tcMar>
            <w:vAlign w:val="center"/>
          </w:tcPr>
          <w:p w14:paraId="3F90D4EC"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c>
          <w:tcPr>
            <w:tcW w:w="1433" w:type="dxa"/>
            <w:shd w:val="clear" w:color="auto" w:fill="FFFFFF"/>
            <w:tcMar>
              <w:top w:w="0" w:type="dxa"/>
              <w:left w:w="0" w:type="dxa"/>
              <w:bottom w:w="0" w:type="dxa"/>
              <w:right w:w="0" w:type="dxa"/>
            </w:tcMar>
            <w:vAlign w:val="center"/>
          </w:tcPr>
          <w:p w14:paraId="32454205"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c>
          <w:tcPr>
            <w:tcW w:w="1433" w:type="dxa"/>
            <w:shd w:val="clear" w:color="auto" w:fill="FFFFFF"/>
            <w:tcMar>
              <w:top w:w="0" w:type="dxa"/>
              <w:left w:w="0" w:type="dxa"/>
              <w:bottom w:w="0" w:type="dxa"/>
              <w:right w:w="0" w:type="dxa"/>
            </w:tcMar>
            <w:vAlign w:val="center"/>
          </w:tcPr>
          <w:p w14:paraId="26027CF4"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c>
          <w:tcPr>
            <w:tcW w:w="1433" w:type="dxa"/>
            <w:shd w:val="clear" w:color="auto" w:fill="FFFFFF"/>
            <w:tcMar>
              <w:top w:w="0" w:type="dxa"/>
              <w:left w:w="0" w:type="dxa"/>
              <w:bottom w:w="0" w:type="dxa"/>
              <w:right w:w="0" w:type="dxa"/>
            </w:tcMar>
            <w:vAlign w:val="center"/>
          </w:tcPr>
          <w:p w14:paraId="48806CE3"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(0.001)</w:t>
            </w:r>
          </w:p>
        </w:tc>
      </w:tr>
      <w:tr w:rsidR="003C0AF1" w:rsidRPr="007115F2" w14:paraId="4E379296" w14:textId="77777777" w:rsidTr="0029259E">
        <w:trPr>
          <w:gridAfter w:val="1"/>
          <w:wAfter w:w="79" w:type="dxa"/>
          <w:jc w:val="center"/>
        </w:trPr>
        <w:tc>
          <w:tcPr>
            <w:tcW w:w="3261" w:type="dxa"/>
            <w:shd w:val="clear" w:color="auto" w:fill="FFFFFF"/>
            <w:tcMar>
              <w:top w:w="0" w:type="dxa"/>
              <w:left w:w="0" w:type="dxa"/>
              <w:bottom w:w="0" w:type="dxa"/>
              <w:right w:w="0" w:type="dxa"/>
            </w:tcMar>
            <w:vAlign w:val="center"/>
          </w:tcPr>
          <w:p w14:paraId="43BA7071"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shd w:val="clear" w:color="auto" w:fill="FFFFFF"/>
            <w:tcMar>
              <w:top w:w="0" w:type="dxa"/>
              <w:left w:w="0" w:type="dxa"/>
              <w:bottom w:w="0" w:type="dxa"/>
              <w:right w:w="0" w:type="dxa"/>
            </w:tcMar>
            <w:vAlign w:val="center"/>
          </w:tcPr>
          <w:p w14:paraId="62788A0D"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c>
          <w:tcPr>
            <w:tcW w:w="1433" w:type="dxa"/>
            <w:shd w:val="clear" w:color="auto" w:fill="FFFFFF"/>
            <w:tcMar>
              <w:top w:w="0" w:type="dxa"/>
              <w:left w:w="0" w:type="dxa"/>
              <w:bottom w:w="0" w:type="dxa"/>
              <w:right w:w="0" w:type="dxa"/>
            </w:tcMar>
            <w:vAlign w:val="center"/>
          </w:tcPr>
          <w:p w14:paraId="4554EDE3"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c>
          <w:tcPr>
            <w:tcW w:w="1433" w:type="dxa"/>
            <w:shd w:val="clear" w:color="auto" w:fill="FFFFFF"/>
            <w:tcMar>
              <w:top w:w="0" w:type="dxa"/>
              <w:left w:w="0" w:type="dxa"/>
              <w:bottom w:w="0" w:type="dxa"/>
              <w:right w:w="0" w:type="dxa"/>
            </w:tcMar>
            <w:vAlign w:val="center"/>
          </w:tcPr>
          <w:p w14:paraId="6636FD25"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p>
        </w:tc>
        <w:tc>
          <w:tcPr>
            <w:tcW w:w="1433" w:type="dxa"/>
            <w:shd w:val="clear" w:color="auto" w:fill="FFFFFF"/>
            <w:tcMar>
              <w:top w:w="0" w:type="dxa"/>
              <w:left w:w="0" w:type="dxa"/>
              <w:bottom w:w="0" w:type="dxa"/>
              <w:right w:w="0" w:type="dxa"/>
            </w:tcMar>
            <w:vAlign w:val="center"/>
          </w:tcPr>
          <w:p w14:paraId="669A72EB"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[0.124]</w:t>
            </w:r>
          </w:p>
        </w:tc>
      </w:tr>
      <w:tr w:rsidR="003C0AF1" w:rsidRPr="007115F2" w14:paraId="6FB220DB" w14:textId="77777777" w:rsidTr="0029259E">
        <w:trPr>
          <w:gridAfter w:val="1"/>
          <w:wAfter w:w="79" w:type="dxa"/>
          <w:jc w:val="center"/>
        </w:trPr>
        <w:tc>
          <w:tcPr>
            <w:tcW w:w="3261"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F6FF0"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r w:rsidRPr="007115F2">
              <w:rPr>
                <w:color w:val="000000" w:themeColor="text1"/>
                <w:sz w:val="22"/>
              </w:rPr>
              <w:t>Prior_Board_Ties</w:t>
            </w:r>
          </w:p>
        </w:tc>
        <w:tc>
          <w:tcPr>
            <w:tcW w:w="1433"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63629"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433"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892EB"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433"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91AE8"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433"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A38CF"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r>
      <w:tr w:rsidR="003C0AF1" w:rsidRPr="007115F2" w14:paraId="2E68093E"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37296"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FB63D"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F2285"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C126D"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B855C"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r>
      <w:tr w:rsidR="003C0AF1" w:rsidRPr="007115F2" w14:paraId="13F17E0A"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75BCC"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99DDE"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[0.979]</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A11B0"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[0.864]</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53DB8"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[0.773]</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D78D5"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[0.852]</w:t>
            </w:r>
          </w:p>
        </w:tc>
      </w:tr>
      <w:tr w:rsidR="003C0AF1" w:rsidRPr="007115F2" w14:paraId="5F733294"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D065F"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r w:rsidRPr="007115F2">
              <w:rPr>
                <w:color w:val="000000" w:themeColor="text1"/>
                <w:sz w:val="22"/>
              </w:rPr>
              <w:t>Relative_Board_NetworkSize</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A41F5"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10681"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36D09"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AE656"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r>
      <w:tr w:rsidR="003C0AF1" w:rsidRPr="007115F2" w14:paraId="1FC7448D"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84097"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2BF1D"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AA8B4"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6F441"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54CFC"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r>
      <w:tr w:rsidR="003C0AF1" w:rsidRPr="007115F2" w14:paraId="7C6AE9ED"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DA95E"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75450"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[0.128]</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A60BE"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[0.361]</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E5781"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[0.094]</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FBAB7"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[0.537]</w:t>
            </w:r>
          </w:p>
        </w:tc>
      </w:tr>
      <w:tr w:rsidR="003C0AF1" w:rsidRPr="007115F2" w14:paraId="5F4C03EB"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D1512"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r w:rsidRPr="007115F2">
              <w:rPr>
                <w:color w:val="000000" w:themeColor="text1"/>
                <w:sz w:val="22"/>
              </w:rPr>
              <w:t>Ln(Total_FirmSize)</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E23A4"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A04B8"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-0.004</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40540"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A2C22"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-0.005</w:t>
            </w:r>
          </w:p>
        </w:tc>
      </w:tr>
      <w:tr w:rsidR="003C0AF1" w:rsidRPr="007115F2" w14:paraId="232CC455"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F39F9"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FB2A3"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5055C"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B8BB6"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BB789"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(0.001)</w:t>
            </w:r>
          </w:p>
        </w:tc>
      </w:tr>
      <w:tr w:rsidR="003C0AF1" w:rsidRPr="007115F2" w14:paraId="353C2170"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4C840"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2EAC9"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[0.078]</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5E8F4"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[0.001]</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69A82"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[0.067]</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213BD"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[&lt;0.001]</w:t>
            </w:r>
          </w:p>
        </w:tc>
      </w:tr>
      <w:tr w:rsidR="003C0AF1" w:rsidRPr="007115F2" w14:paraId="0FBEC8C1"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BA61E"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r w:rsidRPr="007115F2">
              <w:rPr>
                <w:color w:val="000000" w:themeColor="text1"/>
                <w:sz w:val="22"/>
              </w:rPr>
              <w:t>Relative_FirmSize</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0C456"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8DF41"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96315"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AE563"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r>
      <w:tr w:rsidR="003C0AF1" w:rsidRPr="007115F2" w14:paraId="6A1F6AC8"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85A06"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25DB7"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1FE8A"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EAB6E"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376BF"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r>
      <w:tr w:rsidR="003C0AF1" w:rsidRPr="007115F2" w14:paraId="7351FF1C"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05BFD"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5D0E0"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[0.014]</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B04A7"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[&lt;0.001]</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E6E6F"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[0.024]</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F6426"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[&lt;0.001]</w:t>
            </w:r>
          </w:p>
        </w:tc>
      </w:tr>
      <w:tr w:rsidR="003C0AF1" w:rsidRPr="007115F2" w14:paraId="5E562A60"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4D85F"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r w:rsidRPr="007115F2">
              <w:rPr>
                <w:color w:val="000000" w:themeColor="text1"/>
                <w:sz w:val="22"/>
              </w:rPr>
              <w:t>Relative_FirmPerformance</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D9073"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0.129</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B60BE"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0.095</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B587A"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0.134</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E191B"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0.093</w:t>
            </w:r>
          </w:p>
        </w:tc>
      </w:tr>
      <w:tr w:rsidR="003C0AF1" w:rsidRPr="007115F2" w14:paraId="00BF84ED"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49199"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26391"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(0.036)</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26201"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(0.031)</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6A045"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(0.036)</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F6417"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(0.030)</w:t>
            </w:r>
          </w:p>
        </w:tc>
      </w:tr>
      <w:tr w:rsidR="003C0AF1" w:rsidRPr="007115F2" w14:paraId="3A9BC57C"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B1EE9"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DBC4E"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[&lt;0.001]</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DCB76"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[0.002]</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34083"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[&lt;0.001]</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EC8D7"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[0.002]</w:t>
            </w:r>
          </w:p>
        </w:tc>
      </w:tr>
      <w:tr w:rsidR="003C0AF1" w:rsidRPr="007115F2" w14:paraId="695268AA"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3F6AC"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r w:rsidRPr="007115F2">
              <w:rPr>
                <w:color w:val="000000" w:themeColor="text1"/>
                <w:sz w:val="22"/>
              </w:rPr>
              <w:t>Relative_RDIntensity</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AE90C"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B2C8E"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-0.005</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90A19"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511A2"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-0.005</w:t>
            </w:r>
          </w:p>
        </w:tc>
      </w:tr>
      <w:tr w:rsidR="003C0AF1" w:rsidRPr="007115F2" w14:paraId="521FA622"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6226B"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3227C"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(0.004)</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ED10E"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(0.003)</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6D00B"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(0.004)</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7F42F"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(0.004)</w:t>
            </w:r>
          </w:p>
        </w:tc>
      </w:tr>
      <w:tr w:rsidR="003C0AF1" w:rsidRPr="007115F2" w14:paraId="6B572347"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5583F"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71FF5"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[0.653]</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1E73F"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[0.171]</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155A4"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[0.660]</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F7B39"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[0.216]</w:t>
            </w:r>
          </w:p>
        </w:tc>
      </w:tr>
      <w:tr w:rsidR="003C0AF1" w:rsidRPr="007115F2" w14:paraId="15F7515B"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15860"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r w:rsidRPr="007115F2">
              <w:rPr>
                <w:color w:val="000000" w:themeColor="text1"/>
                <w:sz w:val="22"/>
              </w:rPr>
              <w:t>Relative_AllianceExperience</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81ED6"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3C7EA"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9437D"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EBFF7"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r>
      <w:tr w:rsidR="003C0AF1" w:rsidRPr="007115F2" w14:paraId="4B71191A"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8D5BE"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CB104"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FBBDF"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7368C"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47F37"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r>
      <w:tr w:rsidR="003C0AF1" w:rsidRPr="007115F2" w14:paraId="164CA140"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CD628"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0A2F5"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[0.502]</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87675"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[0.843]</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53E19"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[0.500]</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C0585"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[0.977]</w:t>
            </w:r>
          </w:p>
        </w:tc>
      </w:tr>
      <w:tr w:rsidR="003C0AF1" w:rsidRPr="007115F2" w14:paraId="74478DFB"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2D73D"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r w:rsidRPr="007115F2">
              <w:rPr>
                <w:color w:val="000000" w:themeColor="text1"/>
                <w:sz w:val="22"/>
              </w:rPr>
              <w:t>Alliance_RelationalEmbeddedness</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80178"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D4F48"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74C34"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358EF"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-0.002</w:t>
            </w:r>
          </w:p>
        </w:tc>
      </w:tr>
      <w:tr w:rsidR="003C0AF1" w:rsidRPr="007115F2" w14:paraId="137CDF29"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EC91F"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69CAD"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580C7"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A034C"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D4C82"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(0.001)</w:t>
            </w:r>
          </w:p>
        </w:tc>
      </w:tr>
      <w:tr w:rsidR="003C0AF1" w:rsidRPr="007115F2" w14:paraId="7859FDFD"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9E9C2"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9845B"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[0.151]</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75879"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[0.078]</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9E363"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[0.186]</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5271B"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[0.168]</w:t>
            </w:r>
          </w:p>
        </w:tc>
      </w:tr>
      <w:tr w:rsidR="003C0AF1" w:rsidRPr="007115F2" w14:paraId="57D5795D"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1C22E"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r w:rsidRPr="007115F2">
              <w:rPr>
                <w:color w:val="000000" w:themeColor="text1"/>
                <w:sz w:val="22"/>
              </w:rPr>
              <w:t>Alliance_StructuralEmbeddedness</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32E83"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-0.016</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C1C39"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0.005</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39F3C"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-0.017</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0832E"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0.006</w:t>
            </w:r>
          </w:p>
        </w:tc>
      </w:tr>
      <w:tr w:rsidR="003C0AF1" w:rsidRPr="007115F2" w14:paraId="7C96BF7D"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DD627"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D6930"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(0.013)</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93A2A"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(0.016)</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95465"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(0.014)</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77957"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(0.015)</w:t>
            </w:r>
          </w:p>
        </w:tc>
      </w:tr>
      <w:tr w:rsidR="003C0AF1" w:rsidRPr="007115F2" w14:paraId="1B093E24"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D2A27"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6F668"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[0.225]</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7BE43"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[0.761]</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AD8F3"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[0.238]</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19620"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[0.692]</w:t>
            </w:r>
          </w:p>
        </w:tc>
      </w:tr>
      <w:tr w:rsidR="003C0AF1" w:rsidRPr="007115F2" w14:paraId="263665DB"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1AFDD"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r w:rsidRPr="007115F2">
              <w:rPr>
                <w:color w:val="000000" w:themeColor="text1"/>
                <w:sz w:val="22"/>
              </w:rPr>
              <w:t>JV_Indicator</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48161"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0.004</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46D1B"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AA336"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0.004</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438DE"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0.002</w:t>
            </w:r>
          </w:p>
        </w:tc>
      </w:tr>
      <w:tr w:rsidR="003C0AF1" w:rsidRPr="007115F2" w14:paraId="165C882A"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E47CC"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50A4B"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(0.005)</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8A707"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(0.003)</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C91D5"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(0.004)</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36D80"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(0.003)</w:t>
            </w:r>
          </w:p>
        </w:tc>
      </w:tr>
      <w:tr w:rsidR="003C0AF1" w:rsidRPr="007115F2" w14:paraId="3C38961F"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083BA"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A79EC"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[0.392]</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4163E"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[0.748]</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63B9C"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[0.365]</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9CFE0"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[0.650]</w:t>
            </w:r>
          </w:p>
        </w:tc>
      </w:tr>
      <w:tr w:rsidR="003C0AF1" w:rsidRPr="007115F2" w14:paraId="27B91AF0"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4039E"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r w:rsidRPr="007115F2">
              <w:rPr>
                <w:color w:val="000000" w:themeColor="text1"/>
                <w:sz w:val="22"/>
              </w:rPr>
              <w:t>Equity_Indicator</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BB4DF"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0.021</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674C6"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0.019</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ABEBF"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0.021</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49807"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0.018</w:t>
            </w:r>
          </w:p>
        </w:tc>
      </w:tr>
      <w:tr w:rsidR="003C0AF1" w:rsidRPr="007115F2" w14:paraId="657D7F08"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B2D3A"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2BAD8"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(0.015)</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6FA30"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(0.014)</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8EED0"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(0.014)</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E6034"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(0.014)</w:t>
            </w:r>
          </w:p>
        </w:tc>
      </w:tr>
      <w:tr w:rsidR="003C0AF1" w:rsidRPr="007115F2" w14:paraId="7FEAE2C4"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F5570"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D6303"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[0.155]</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C1BD8"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[0.170]</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4F854"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[0.155]</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74D3D"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[0.189]</w:t>
            </w:r>
          </w:p>
        </w:tc>
      </w:tr>
      <w:tr w:rsidR="003C0AF1" w:rsidRPr="007115F2" w14:paraId="058057A6"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A7B17"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r w:rsidRPr="007115F2">
              <w:rPr>
                <w:color w:val="000000" w:themeColor="text1"/>
                <w:sz w:val="22"/>
              </w:rPr>
              <w:t>Technology_Indicator</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10995"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96615"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0.003</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DFC02"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9C467"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0.003</w:t>
            </w:r>
          </w:p>
        </w:tc>
      </w:tr>
      <w:tr w:rsidR="003C0AF1" w:rsidRPr="007115F2" w14:paraId="6BBE1627"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F1F92"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AFA96"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BF81A"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(0.003)</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9CC58"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13013"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(0.002)</w:t>
            </w:r>
          </w:p>
        </w:tc>
      </w:tr>
      <w:tr w:rsidR="003C0AF1" w:rsidRPr="007115F2" w14:paraId="6D44B1CA"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4BA6B"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09C93"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[0.622]</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37710"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[0.300]</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B7B7A"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[0.523]</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CC8EC"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[0.273]</w:t>
            </w:r>
          </w:p>
        </w:tc>
      </w:tr>
      <w:tr w:rsidR="003C0AF1" w:rsidRPr="007115F2" w14:paraId="4E4040B1"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58B17"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r w:rsidRPr="007115F2">
              <w:rPr>
                <w:color w:val="000000" w:themeColor="text1"/>
                <w:sz w:val="22"/>
              </w:rPr>
              <w:t>ExplorationAlliance_Indicator</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5E32B"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-0.008</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8E588"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-0.008†</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A3E17"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-0.009</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CCE3A"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-0.008</w:t>
            </w:r>
          </w:p>
        </w:tc>
      </w:tr>
      <w:tr w:rsidR="003C0AF1" w:rsidRPr="007115F2" w14:paraId="439BC03C"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E93EE"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DCBD4"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(0.004)</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170F6"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(0.003)</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76B67"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(0.005)</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026C3"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(0.004)</w:t>
            </w:r>
          </w:p>
        </w:tc>
      </w:tr>
      <w:tr w:rsidR="003C0AF1" w:rsidRPr="007115F2" w14:paraId="173B14F0"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A9CE2"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167D7"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[0.058]</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95F80"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[0.018]</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1746A"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[0.065]</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BD8DA"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[0.030]</w:t>
            </w:r>
          </w:p>
        </w:tc>
      </w:tr>
      <w:tr w:rsidR="003C0AF1" w:rsidRPr="007115F2" w14:paraId="60DD6690"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F0AB0"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r w:rsidRPr="007115F2">
              <w:rPr>
                <w:color w:val="000000" w:themeColor="text1"/>
                <w:sz w:val="22"/>
              </w:rPr>
              <w:t>InternationalAlliance_Indicator</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9D111"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-0.004</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62575"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E0C2"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-0.004</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63FE1"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-0.001</w:t>
            </w:r>
          </w:p>
        </w:tc>
      </w:tr>
      <w:tr w:rsidR="003C0AF1" w:rsidRPr="007115F2" w14:paraId="28E74DD1"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49BA0"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2FF86"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(0.003)</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18C92"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(0.004)</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AB586"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(0.003)</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2B285"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(0.004)</w:t>
            </w:r>
          </w:p>
        </w:tc>
      </w:tr>
      <w:tr w:rsidR="003C0AF1" w:rsidRPr="007115F2" w14:paraId="37A5A33E"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118ED"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6194F"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[0.216]</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5C40B"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[0.744]</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E9364"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[0.139]</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94269"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[0.805]</w:t>
            </w:r>
          </w:p>
        </w:tc>
      </w:tr>
      <w:tr w:rsidR="003C0AF1" w:rsidRPr="007115F2" w14:paraId="4DBBBFA0"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446FB"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r w:rsidRPr="007115F2">
              <w:rPr>
                <w:color w:val="000000" w:themeColor="text1"/>
                <w:sz w:val="22"/>
              </w:rPr>
              <w:t>Relatedness_Indicator</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3F3A2"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0.004</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66FA3"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0.004</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57543"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07C41"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0.003</w:t>
            </w:r>
          </w:p>
        </w:tc>
      </w:tr>
      <w:tr w:rsidR="003C0AF1" w:rsidRPr="007115F2" w14:paraId="2218BB8F"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33A43"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EEDB7"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(0.003)</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242FF"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(0.003)</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10F58"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(0.003)</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69397"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(0.004)</w:t>
            </w:r>
          </w:p>
        </w:tc>
      </w:tr>
      <w:tr w:rsidR="003C0AF1" w:rsidRPr="007115F2" w14:paraId="18D9A403"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01D2A"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BA149"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[0.134]</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73CDE"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[0.262]</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6F834"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[0.421]</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C976A"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[0.417]</w:t>
            </w:r>
          </w:p>
        </w:tc>
      </w:tr>
      <w:tr w:rsidR="003C0AF1" w:rsidRPr="007115F2" w14:paraId="26DA0457"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5CD25"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r w:rsidRPr="007115F2">
              <w:rPr>
                <w:color w:val="000000" w:themeColor="text1"/>
                <w:sz w:val="22"/>
              </w:rPr>
              <w:t>Industry_Growth</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BFE46"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0.006</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6AAC1"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19A89"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0.006</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24D3D"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0.004</w:t>
            </w:r>
          </w:p>
        </w:tc>
      </w:tr>
      <w:tr w:rsidR="003C0AF1" w:rsidRPr="007115F2" w14:paraId="7739C2BC"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535A8"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81C6A"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(0.009)</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6D2B1"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(0.008)</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DB562"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(0.008)</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4255A"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(0.008)</w:t>
            </w:r>
          </w:p>
        </w:tc>
      </w:tr>
      <w:tr w:rsidR="003C0AF1" w:rsidRPr="007115F2" w14:paraId="6421C9C1"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0ACB7"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EE397"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[0.503]</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DDC1D"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[0.905]</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23094"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[0.469]</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E9B1E"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[0.653]</w:t>
            </w:r>
          </w:p>
        </w:tc>
      </w:tr>
      <w:tr w:rsidR="003C0AF1" w:rsidRPr="007115F2" w14:paraId="1BCFC27A"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5D4B0"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r w:rsidRPr="007115F2">
              <w:rPr>
                <w:color w:val="000000" w:themeColor="text1"/>
                <w:sz w:val="22"/>
              </w:rPr>
              <w:t>Industry_Complementarity</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D7380"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4D03C"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-0.004</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58CBA"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-0.002</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48A05"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-0.004</w:t>
            </w:r>
          </w:p>
        </w:tc>
      </w:tr>
      <w:tr w:rsidR="003C0AF1" w:rsidRPr="007115F2" w14:paraId="4A3D29B5"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481F0"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98FD6"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(0.007)</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FA855"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(0.004)</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9A96F"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(0.006)</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5D806"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(0.004)</w:t>
            </w:r>
          </w:p>
        </w:tc>
      </w:tr>
      <w:tr w:rsidR="003C0AF1" w:rsidRPr="007115F2" w14:paraId="59B59D1F"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5E231"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338AE"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[0.745]</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264F9"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[0.381]</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85E60"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[0.711]</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9725F"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[0.294]</w:t>
            </w:r>
          </w:p>
        </w:tc>
      </w:tr>
      <w:tr w:rsidR="003C0AF1" w:rsidRPr="007115F2" w14:paraId="6CB7EC7E"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99CB5"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r w:rsidRPr="007115F2">
              <w:rPr>
                <w:color w:val="000000" w:themeColor="text1"/>
                <w:sz w:val="22"/>
              </w:rPr>
              <w:t>Industry_RelatedScope</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D9B8E"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55B38"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95BDE"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63C65"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0.000</w:t>
            </w:r>
          </w:p>
        </w:tc>
      </w:tr>
      <w:tr w:rsidR="003C0AF1" w:rsidRPr="007115F2" w14:paraId="7F861667"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89D00"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BF352"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28753"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E62A1"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(0.001)</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A8E69"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(0.001)</w:t>
            </w:r>
          </w:p>
        </w:tc>
      </w:tr>
      <w:tr w:rsidR="003C0AF1" w:rsidRPr="007115F2" w14:paraId="637FA192" w14:textId="77777777" w:rsidTr="0029259E">
        <w:trPr>
          <w:gridAfter w:val="1"/>
          <w:wAfter w:w="79" w:type="dxa"/>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65977"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30160"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[0.752]</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87CDF"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[0.773]</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B24F1"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[0.624]</w:t>
            </w:r>
          </w:p>
        </w:tc>
        <w:tc>
          <w:tcPr>
            <w:tcW w:w="14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518A7"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rFonts w:eastAsia="Helvetica"/>
                <w:color w:val="000000"/>
                <w:sz w:val="22"/>
              </w:rPr>
              <w:t>[0.806]</w:t>
            </w:r>
          </w:p>
        </w:tc>
      </w:tr>
      <w:tr w:rsidR="003C0AF1" w:rsidRPr="007115F2" w14:paraId="0F8B5FA2" w14:textId="77777777" w:rsidTr="0029259E">
        <w:trPr>
          <w:gridAfter w:val="1"/>
          <w:wAfter w:w="79" w:type="dxa"/>
          <w:jc w:val="center"/>
        </w:trPr>
        <w:tc>
          <w:tcPr>
            <w:tcW w:w="3261" w:type="dxa"/>
            <w:shd w:val="clear" w:color="auto" w:fill="FFFFFF"/>
            <w:tcMar>
              <w:top w:w="0" w:type="dxa"/>
              <w:left w:w="0" w:type="dxa"/>
              <w:bottom w:w="0" w:type="dxa"/>
              <w:right w:w="0" w:type="dxa"/>
            </w:tcMar>
            <w:vAlign w:val="center"/>
          </w:tcPr>
          <w:p w14:paraId="32665540"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r w:rsidRPr="007115F2">
              <w:rPr>
                <w:color w:val="000000" w:themeColor="text1"/>
                <w:sz w:val="22"/>
              </w:rPr>
              <w:t>Year FE</w:t>
            </w:r>
          </w:p>
        </w:tc>
        <w:tc>
          <w:tcPr>
            <w:tcW w:w="1433" w:type="dxa"/>
            <w:shd w:val="clear" w:color="auto" w:fill="FFFFFF"/>
            <w:tcMar>
              <w:top w:w="0" w:type="dxa"/>
              <w:left w:w="0" w:type="dxa"/>
              <w:bottom w:w="0" w:type="dxa"/>
              <w:right w:w="0" w:type="dxa"/>
            </w:tcMar>
            <w:vAlign w:val="center"/>
          </w:tcPr>
          <w:p w14:paraId="1AE151B8"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True</w:t>
            </w:r>
          </w:p>
        </w:tc>
        <w:tc>
          <w:tcPr>
            <w:tcW w:w="1433" w:type="dxa"/>
            <w:shd w:val="clear" w:color="auto" w:fill="FFFFFF"/>
            <w:tcMar>
              <w:top w:w="0" w:type="dxa"/>
              <w:left w:w="0" w:type="dxa"/>
              <w:bottom w:w="0" w:type="dxa"/>
              <w:right w:w="0" w:type="dxa"/>
            </w:tcMar>
            <w:vAlign w:val="center"/>
          </w:tcPr>
          <w:p w14:paraId="5108AEAC"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True</w:t>
            </w:r>
          </w:p>
        </w:tc>
        <w:tc>
          <w:tcPr>
            <w:tcW w:w="1433" w:type="dxa"/>
            <w:shd w:val="clear" w:color="auto" w:fill="FFFFFF"/>
            <w:tcMar>
              <w:top w:w="0" w:type="dxa"/>
              <w:left w:w="0" w:type="dxa"/>
              <w:bottom w:w="0" w:type="dxa"/>
              <w:right w:w="0" w:type="dxa"/>
            </w:tcMar>
            <w:vAlign w:val="center"/>
          </w:tcPr>
          <w:p w14:paraId="5521EA7A"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True</w:t>
            </w:r>
          </w:p>
        </w:tc>
        <w:tc>
          <w:tcPr>
            <w:tcW w:w="1433" w:type="dxa"/>
            <w:shd w:val="clear" w:color="auto" w:fill="FFFFFF"/>
            <w:tcMar>
              <w:top w:w="0" w:type="dxa"/>
              <w:left w:w="0" w:type="dxa"/>
              <w:bottom w:w="0" w:type="dxa"/>
              <w:right w:w="0" w:type="dxa"/>
            </w:tcMar>
            <w:vAlign w:val="center"/>
          </w:tcPr>
          <w:p w14:paraId="112D3D0A"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True</w:t>
            </w:r>
          </w:p>
        </w:tc>
      </w:tr>
      <w:tr w:rsidR="003C0AF1" w:rsidRPr="007115F2" w14:paraId="1CE77822" w14:textId="77777777" w:rsidTr="0029259E">
        <w:trPr>
          <w:gridAfter w:val="1"/>
          <w:wAfter w:w="79" w:type="dxa"/>
          <w:jc w:val="center"/>
        </w:trPr>
        <w:tc>
          <w:tcPr>
            <w:tcW w:w="3261" w:type="dxa"/>
            <w:shd w:val="clear" w:color="auto" w:fill="FFFFFF"/>
            <w:tcMar>
              <w:top w:w="0" w:type="dxa"/>
              <w:left w:w="0" w:type="dxa"/>
              <w:bottom w:w="0" w:type="dxa"/>
              <w:right w:w="0" w:type="dxa"/>
            </w:tcMar>
            <w:vAlign w:val="center"/>
          </w:tcPr>
          <w:p w14:paraId="70E089C3"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r w:rsidRPr="007115F2">
              <w:rPr>
                <w:color w:val="000000" w:themeColor="text1"/>
                <w:sz w:val="22"/>
              </w:rPr>
              <w:t>Industry Combination FE</w:t>
            </w:r>
          </w:p>
        </w:tc>
        <w:tc>
          <w:tcPr>
            <w:tcW w:w="1433" w:type="dxa"/>
            <w:shd w:val="clear" w:color="auto" w:fill="FFFFFF"/>
            <w:tcMar>
              <w:top w:w="0" w:type="dxa"/>
              <w:left w:w="0" w:type="dxa"/>
              <w:bottom w:w="0" w:type="dxa"/>
              <w:right w:w="0" w:type="dxa"/>
            </w:tcMar>
            <w:vAlign w:val="center"/>
          </w:tcPr>
          <w:p w14:paraId="7111FBB7"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True</w:t>
            </w:r>
          </w:p>
        </w:tc>
        <w:tc>
          <w:tcPr>
            <w:tcW w:w="1433" w:type="dxa"/>
            <w:shd w:val="clear" w:color="auto" w:fill="FFFFFF"/>
            <w:tcMar>
              <w:top w:w="0" w:type="dxa"/>
              <w:left w:w="0" w:type="dxa"/>
              <w:bottom w:w="0" w:type="dxa"/>
              <w:right w:w="0" w:type="dxa"/>
            </w:tcMar>
            <w:vAlign w:val="center"/>
          </w:tcPr>
          <w:p w14:paraId="59F2A1AD"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True</w:t>
            </w:r>
          </w:p>
        </w:tc>
        <w:tc>
          <w:tcPr>
            <w:tcW w:w="1433" w:type="dxa"/>
            <w:shd w:val="clear" w:color="auto" w:fill="FFFFFF"/>
            <w:tcMar>
              <w:top w:w="0" w:type="dxa"/>
              <w:left w:w="0" w:type="dxa"/>
              <w:bottom w:w="0" w:type="dxa"/>
              <w:right w:w="0" w:type="dxa"/>
            </w:tcMar>
            <w:vAlign w:val="center"/>
          </w:tcPr>
          <w:p w14:paraId="4C314FF9"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True</w:t>
            </w:r>
          </w:p>
        </w:tc>
        <w:tc>
          <w:tcPr>
            <w:tcW w:w="1433" w:type="dxa"/>
            <w:shd w:val="clear" w:color="auto" w:fill="FFFFFF"/>
            <w:tcMar>
              <w:top w:w="0" w:type="dxa"/>
              <w:left w:w="0" w:type="dxa"/>
              <w:bottom w:w="0" w:type="dxa"/>
              <w:right w:w="0" w:type="dxa"/>
            </w:tcMar>
            <w:vAlign w:val="center"/>
          </w:tcPr>
          <w:p w14:paraId="1AD5F367"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True</w:t>
            </w:r>
          </w:p>
        </w:tc>
      </w:tr>
      <w:tr w:rsidR="003C0AF1" w:rsidRPr="007115F2" w14:paraId="61225D28" w14:textId="77777777" w:rsidTr="0029259E">
        <w:trPr>
          <w:gridAfter w:val="1"/>
          <w:wAfter w:w="79" w:type="dxa"/>
          <w:jc w:val="center"/>
        </w:trPr>
        <w:tc>
          <w:tcPr>
            <w:tcW w:w="3261" w:type="dxa"/>
            <w:shd w:val="clear" w:color="auto" w:fill="FFFFFF"/>
            <w:tcMar>
              <w:top w:w="0" w:type="dxa"/>
              <w:left w:w="0" w:type="dxa"/>
              <w:bottom w:w="0" w:type="dxa"/>
              <w:right w:w="0" w:type="dxa"/>
            </w:tcMar>
            <w:vAlign w:val="center"/>
          </w:tcPr>
          <w:p w14:paraId="76F86F4A"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r w:rsidRPr="007115F2">
              <w:rPr>
                <w:color w:val="000000" w:themeColor="text1"/>
                <w:sz w:val="22"/>
              </w:rPr>
              <w:t>Adjusted R-Squared</w:t>
            </w:r>
          </w:p>
        </w:tc>
        <w:tc>
          <w:tcPr>
            <w:tcW w:w="1433" w:type="dxa"/>
            <w:shd w:val="clear" w:color="auto" w:fill="FFFFFF"/>
            <w:tcMar>
              <w:top w:w="0" w:type="dxa"/>
              <w:left w:w="0" w:type="dxa"/>
              <w:bottom w:w="0" w:type="dxa"/>
              <w:right w:w="0" w:type="dxa"/>
            </w:tcMar>
            <w:vAlign w:val="center"/>
          </w:tcPr>
          <w:p w14:paraId="33D259E7"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0.160</w:t>
            </w:r>
          </w:p>
        </w:tc>
        <w:tc>
          <w:tcPr>
            <w:tcW w:w="1433" w:type="dxa"/>
            <w:shd w:val="clear" w:color="auto" w:fill="FFFFFF"/>
            <w:tcMar>
              <w:top w:w="0" w:type="dxa"/>
              <w:left w:w="0" w:type="dxa"/>
              <w:bottom w:w="0" w:type="dxa"/>
              <w:right w:w="0" w:type="dxa"/>
            </w:tcMar>
            <w:vAlign w:val="center"/>
          </w:tcPr>
          <w:p w14:paraId="27CFBBAD"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0.142</w:t>
            </w:r>
          </w:p>
        </w:tc>
        <w:tc>
          <w:tcPr>
            <w:tcW w:w="1433" w:type="dxa"/>
            <w:shd w:val="clear" w:color="auto" w:fill="FFFFFF"/>
            <w:tcMar>
              <w:top w:w="0" w:type="dxa"/>
              <w:left w:w="0" w:type="dxa"/>
              <w:bottom w:w="0" w:type="dxa"/>
              <w:right w:w="0" w:type="dxa"/>
            </w:tcMar>
            <w:vAlign w:val="center"/>
          </w:tcPr>
          <w:p w14:paraId="675F9DA2"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0.138</w:t>
            </w:r>
          </w:p>
        </w:tc>
        <w:tc>
          <w:tcPr>
            <w:tcW w:w="1433" w:type="dxa"/>
            <w:shd w:val="clear" w:color="auto" w:fill="FFFFFF"/>
            <w:tcMar>
              <w:top w:w="0" w:type="dxa"/>
              <w:left w:w="0" w:type="dxa"/>
              <w:bottom w:w="0" w:type="dxa"/>
              <w:right w:w="0" w:type="dxa"/>
            </w:tcMar>
            <w:vAlign w:val="center"/>
          </w:tcPr>
          <w:p w14:paraId="5A2F3C1F"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0.125</w:t>
            </w:r>
          </w:p>
        </w:tc>
      </w:tr>
      <w:tr w:rsidR="003C0AF1" w:rsidRPr="007115F2" w14:paraId="26D5036B" w14:textId="77777777" w:rsidTr="0029259E">
        <w:trPr>
          <w:gridAfter w:val="1"/>
          <w:wAfter w:w="79" w:type="dxa"/>
          <w:jc w:val="center"/>
        </w:trPr>
        <w:tc>
          <w:tcPr>
            <w:tcW w:w="3261" w:type="dxa"/>
            <w:tcBorders>
              <w:bottom w:val="single" w:sz="4" w:space="0" w:color="auto"/>
            </w:tcBorders>
            <w:shd w:val="clear" w:color="auto" w:fill="FFFFFF"/>
            <w:tcMar>
              <w:top w:w="0" w:type="dxa"/>
              <w:left w:w="0" w:type="dxa"/>
              <w:bottom w:w="0" w:type="dxa"/>
              <w:right w:w="0" w:type="dxa"/>
            </w:tcMar>
            <w:vAlign w:val="center"/>
          </w:tcPr>
          <w:p w14:paraId="7E5CB6F2" w14:textId="77777777" w:rsidR="003C0AF1" w:rsidRPr="007115F2" w:rsidRDefault="003C0AF1" w:rsidP="007C051A">
            <w:pPr>
              <w:widowControl w:val="0"/>
              <w:autoSpaceDE w:val="0"/>
              <w:autoSpaceDN w:val="0"/>
              <w:adjustRightInd w:val="0"/>
              <w:spacing w:line="240" w:lineRule="auto"/>
              <w:jc w:val="left"/>
              <w:rPr>
                <w:color w:val="000000" w:themeColor="text1"/>
                <w:sz w:val="22"/>
              </w:rPr>
            </w:pPr>
            <w:r w:rsidRPr="007115F2">
              <w:rPr>
                <w:color w:val="000000" w:themeColor="text1"/>
                <w:sz w:val="22"/>
              </w:rPr>
              <w:t>Observations</w:t>
            </w:r>
          </w:p>
        </w:tc>
        <w:tc>
          <w:tcPr>
            <w:tcW w:w="1433" w:type="dxa"/>
            <w:tcBorders>
              <w:bottom w:val="single" w:sz="4" w:space="0" w:color="auto"/>
            </w:tcBorders>
            <w:shd w:val="clear" w:color="auto" w:fill="FFFFFF"/>
            <w:tcMar>
              <w:top w:w="0" w:type="dxa"/>
              <w:left w:w="0" w:type="dxa"/>
              <w:bottom w:w="0" w:type="dxa"/>
              <w:right w:w="0" w:type="dxa"/>
            </w:tcMar>
            <w:vAlign w:val="center"/>
          </w:tcPr>
          <w:p w14:paraId="45E365F0"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1,528</w:t>
            </w:r>
          </w:p>
        </w:tc>
        <w:tc>
          <w:tcPr>
            <w:tcW w:w="1433" w:type="dxa"/>
            <w:tcBorders>
              <w:bottom w:val="single" w:sz="4" w:space="0" w:color="auto"/>
            </w:tcBorders>
            <w:shd w:val="clear" w:color="auto" w:fill="FFFFFF"/>
            <w:tcMar>
              <w:top w:w="0" w:type="dxa"/>
              <w:left w:w="0" w:type="dxa"/>
              <w:bottom w:w="0" w:type="dxa"/>
              <w:right w:w="0" w:type="dxa"/>
            </w:tcMar>
            <w:vAlign w:val="center"/>
          </w:tcPr>
          <w:p w14:paraId="3FCA8420"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1,824</w:t>
            </w:r>
          </w:p>
        </w:tc>
        <w:tc>
          <w:tcPr>
            <w:tcW w:w="1433" w:type="dxa"/>
            <w:tcBorders>
              <w:bottom w:val="single" w:sz="4" w:space="0" w:color="auto"/>
            </w:tcBorders>
            <w:shd w:val="clear" w:color="auto" w:fill="FFFFFF"/>
            <w:tcMar>
              <w:top w:w="0" w:type="dxa"/>
              <w:left w:w="0" w:type="dxa"/>
              <w:bottom w:w="0" w:type="dxa"/>
              <w:right w:w="0" w:type="dxa"/>
            </w:tcMar>
            <w:vAlign w:val="center"/>
          </w:tcPr>
          <w:p w14:paraId="573B9498"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1,528</w:t>
            </w:r>
          </w:p>
        </w:tc>
        <w:tc>
          <w:tcPr>
            <w:tcW w:w="1433" w:type="dxa"/>
            <w:tcBorders>
              <w:bottom w:val="single" w:sz="4" w:space="0" w:color="auto"/>
            </w:tcBorders>
            <w:shd w:val="clear" w:color="auto" w:fill="FFFFFF"/>
            <w:tcMar>
              <w:top w:w="0" w:type="dxa"/>
              <w:left w:w="0" w:type="dxa"/>
              <w:bottom w:w="0" w:type="dxa"/>
              <w:right w:w="0" w:type="dxa"/>
            </w:tcMar>
            <w:vAlign w:val="center"/>
          </w:tcPr>
          <w:p w14:paraId="23C0644F" w14:textId="77777777" w:rsidR="003C0AF1" w:rsidRPr="007115F2" w:rsidRDefault="003C0AF1" w:rsidP="007C051A">
            <w:pPr>
              <w:widowControl w:val="0"/>
              <w:autoSpaceDE w:val="0"/>
              <w:autoSpaceDN w:val="0"/>
              <w:adjustRightInd w:val="0"/>
              <w:spacing w:line="240" w:lineRule="auto"/>
              <w:jc w:val="center"/>
              <w:rPr>
                <w:color w:val="000000" w:themeColor="text1"/>
                <w:sz w:val="22"/>
              </w:rPr>
            </w:pPr>
            <w:r w:rsidRPr="007115F2">
              <w:rPr>
                <w:color w:val="000000" w:themeColor="text1"/>
                <w:sz w:val="22"/>
              </w:rPr>
              <w:t>1,824</w:t>
            </w:r>
          </w:p>
        </w:tc>
      </w:tr>
      <w:tr w:rsidR="003C0AF1" w:rsidRPr="00BE5632" w14:paraId="3644CADE" w14:textId="77777777" w:rsidTr="0029259E">
        <w:trPr>
          <w:trHeight w:val="1675"/>
          <w:jc w:val="center"/>
        </w:trPr>
        <w:tc>
          <w:tcPr>
            <w:tcW w:w="9072" w:type="dxa"/>
            <w:gridSpan w:val="6"/>
            <w:tcBorders>
              <w:top w:val="single" w:sz="4" w:space="0" w:color="auto"/>
            </w:tcBorders>
            <w:shd w:val="clear" w:color="auto" w:fill="FFFFFF"/>
            <w:tcMar>
              <w:top w:w="0" w:type="dxa"/>
              <w:left w:w="0" w:type="dxa"/>
              <w:bottom w:w="0" w:type="dxa"/>
              <w:right w:w="0" w:type="dxa"/>
            </w:tcMar>
            <w:vAlign w:val="center"/>
          </w:tcPr>
          <w:p w14:paraId="54F0D5BE" w14:textId="77777777" w:rsidR="003C0AF1" w:rsidRPr="007115F2" w:rsidRDefault="003C0AF1" w:rsidP="00D137E4">
            <w:pPr>
              <w:widowControl w:val="0"/>
              <w:suppressLineNumbers/>
              <w:suppressAutoHyphens/>
              <w:autoSpaceDE w:val="0"/>
              <w:autoSpaceDN w:val="0"/>
              <w:adjustRightInd w:val="0"/>
              <w:spacing w:line="240" w:lineRule="auto"/>
              <w:rPr>
                <w:color w:val="000000" w:themeColor="text1"/>
                <w:sz w:val="22"/>
                <w:lang w:val="en-US"/>
              </w:rPr>
            </w:pPr>
            <w:r w:rsidRPr="007115F2">
              <w:rPr>
                <w:i/>
                <w:iCs/>
                <w:color w:val="000000" w:themeColor="text1"/>
                <w:sz w:val="22"/>
                <w:lang w:val="en-US"/>
              </w:rPr>
              <w:t>Notes</w:t>
            </w:r>
            <w:r w:rsidRPr="007115F2">
              <w:rPr>
                <w:color w:val="000000" w:themeColor="text1"/>
                <w:sz w:val="22"/>
                <w:lang w:val="en-US"/>
              </w:rPr>
              <w:t>. This table reports results from a two-way fixed effects regression examining the moderating influence of differences in board power and firm status on the absolute difference of abnormal returns of alliance partners for the three days around the alliance announcement date [-1;1]. Constant terms are estimated but not reported. Standard errors are clustered by 2-digit SIC code combinations of alliance partners to account for potential industry-related correlations in the error terms. Industry combination and year fixed effects are included to control for unobservable heterogeneity and common time-related factors. Standard errors in parentheses. Exact p-values in brackets. A detailed description of the variables can be found in the online supplement.</w:t>
            </w:r>
          </w:p>
        </w:tc>
      </w:tr>
    </w:tbl>
    <w:p w14:paraId="28038B6B" w14:textId="71C8B7BC" w:rsidR="007E7736" w:rsidRDefault="007E7736">
      <w:pPr>
        <w:spacing w:after="160" w:line="259" w:lineRule="auto"/>
        <w:jc w:val="left"/>
        <w:rPr>
          <w:lang w:val="en-US"/>
        </w:rPr>
      </w:pPr>
      <w:r>
        <w:rPr>
          <w:lang w:val="en-US"/>
        </w:rPr>
        <w:br w:type="page"/>
      </w:r>
    </w:p>
    <w:p w14:paraId="23BA31F9" w14:textId="7A411B92" w:rsidR="007E7736" w:rsidRDefault="007E7736" w:rsidP="007E7736">
      <w:pPr>
        <w:pStyle w:val="1fake"/>
      </w:pPr>
      <w:r>
        <w:lastRenderedPageBreak/>
        <w:t xml:space="preserve">Online SuPPLEMENT </w:t>
      </w:r>
      <w:r w:rsidR="00927125">
        <w:t>5</w:t>
      </w:r>
    </w:p>
    <w:p w14:paraId="003207B6" w14:textId="1C124F94" w:rsidR="00BA2405" w:rsidRDefault="00BA2405" w:rsidP="00BA2405">
      <w:pPr>
        <w:pStyle w:val="Beschriftung"/>
      </w:pPr>
      <w:bookmarkStart w:id="405" w:name="_Toc180594823"/>
      <w:r>
        <w:t xml:space="preserve">T - II - </w:t>
      </w:r>
      <w:r>
        <w:fldChar w:fldCharType="begin"/>
      </w:r>
      <w:r>
        <w:instrText xml:space="preserve"> SEQ T_-_II_- \* ARABIC </w:instrText>
      </w:r>
      <w:r>
        <w:fldChar w:fldCharType="separate"/>
      </w:r>
      <w:r w:rsidR="00E91088">
        <w:rPr>
          <w:noProof/>
        </w:rPr>
        <w:t>11</w:t>
      </w:r>
      <w:r>
        <w:fldChar w:fldCharType="end"/>
      </w:r>
      <w:r>
        <w:t xml:space="preserve">: </w:t>
      </w:r>
      <w:r w:rsidRPr="008871A2">
        <w:t>Regression analysis of moderating effects using alternative moderator measures</w:t>
      </w:r>
      <w:bookmarkEnd w:id="405"/>
    </w:p>
    <w:tbl>
      <w:tblPr>
        <w:tblW w:w="9072" w:type="dxa"/>
        <w:jc w:val="center"/>
        <w:tblLayout w:type="fixed"/>
        <w:tblLook w:val="0420" w:firstRow="1" w:lastRow="0" w:firstColumn="0" w:lastColumn="0" w:noHBand="0" w:noVBand="1"/>
      </w:tblPr>
      <w:tblGrid>
        <w:gridCol w:w="3261"/>
        <w:gridCol w:w="1452"/>
        <w:gridCol w:w="1453"/>
        <w:gridCol w:w="1453"/>
        <w:gridCol w:w="1453"/>
      </w:tblGrid>
      <w:tr w:rsidR="003C0AF1" w:rsidRPr="007115F2" w14:paraId="01ABFF5A" w14:textId="77777777" w:rsidTr="0029259E">
        <w:trPr>
          <w:trHeight w:val="408"/>
          <w:jc w:val="center"/>
        </w:trPr>
        <w:tc>
          <w:tcPr>
            <w:tcW w:w="326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1719CB3"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b/>
                <w:bCs/>
                <w:color w:val="000000" w:themeColor="text1"/>
                <w:sz w:val="22"/>
              </w:rPr>
            </w:pPr>
            <w:r w:rsidRPr="007115F2">
              <w:rPr>
                <w:b/>
                <w:bCs/>
                <w:color w:val="000000" w:themeColor="text1"/>
                <w:sz w:val="22"/>
              </w:rPr>
              <w:t>Models</w:t>
            </w:r>
          </w:p>
        </w:tc>
        <w:tc>
          <w:tcPr>
            <w:tcW w:w="14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E95349A"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b/>
                <w:bCs/>
                <w:color w:val="000000" w:themeColor="text1"/>
                <w:sz w:val="22"/>
              </w:rPr>
            </w:pPr>
            <w:r w:rsidRPr="007115F2">
              <w:rPr>
                <w:b/>
                <w:bCs/>
                <w:color w:val="000000" w:themeColor="text1"/>
                <w:sz w:val="22"/>
              </w:rPr>
              <w:t>(17)</w:t>
            </w:r>
            <w:r w:rsidRPr="007115F2">
              <w:rPr>
                <w:b/>
                <w:bCs/>
                <w:color w:val="000000" w:themeColor="text1"/>
                <w:sz w:val="22"/>
              </w:rPr>
              <w:br/>
              <w:t>CEODuality</w:t>
            </w:r>
          </w:p>
        </w:tc>
        <w:tc>
          <w:tcPr>
            <w:tcW w:w="145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D0FCCEA"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b/>
                <w:bCs/>
                <w:color w:val="000000" w:themeColor="text1"/>
                <w:sz w:val="22"/>
              </w:rPr>
            </w:pPr>
            <w:r w:rsidRPr="007115F2">
              <w:rPr>
                <w:b/>
                <w:bCs/>
                <w:color w:val="000000" w:themeColor="text1"/>
                <w:sz w:val="22"/>
              </w:rPr>
              <w:t>(18)</w:t>
            </w:r>
            <w:r w:rsidRPr="007115F2">
              <w:rPr>
                <w:b/>
                <w:bCs/>
                <w:color w:val="000000" w:themeColor="text1"/>
                <w:sz w:val="22"/>
              </w:rPr>
              <w:br/>
              <w:t>AnalystCov</w:t>
            </w:r>
          </w:p>
        </w:tc>
        <w:tc>
          <w:tcPr>
            <w:tcW w:w="145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235061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center"/>
              <w:rPr>
                <w:b/>
                <w:bCs/>
                <w:color w:val="000000" w:themeColor="text1"/>
                <w:sz w:val="22"/>
              </w:rPr>
            </w:pPr>
            <w:r w:rsidRPr="007115F2">
              <w:rPr>
                <w:b/>
                <w:bCs/>
                <w:color w:val="000000" w:themeColor="text1"/>
                <w:sz w:val="22"/>
              </w:rPr>
              <w:t>(19)</w:t>
            </w:r>
            <w:r w:rsidRPr="007115F2">
              <w:rPr>
                <w:b/>
                <w:bCs/>
                <w:color w:val="000000" w:themeColor="text1"/>
                <w:sz w:val="22"/>
              </w:rPr>
              <w:br/>
              <w:t>CEODuality</w:t>
            </w:r>
          </w:p>
        </w:tc>
        <w:tc>
          <w:tcPr>
            <w:tcW w:w="145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737C5CD"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b/>
                <w:bCs/>
                <w:color w:val="000000" w:themeColor="text1"/>
                <w:sz w:val="22"/>
              </w:rPr>
            </w:pPr>
            <w:r w:rsidRPr="007115F2">
              <w:rPr>
                <w:b/>
                <w:bCs/>
                <w:color w:val="000000" w:themeColor="text1"/>
                <w:sz w:val="22"/>
              </w:rPr>
              <w:t>(20)</w:t>
            </w:r>
            <w:r w:rsidRPr="007115F2">
              <w:rPr>
                <w:b/>
                <w:bCs/>
                <w:color w:val="000000" w:themeColor="text1"/>
                <w:sz w:val="22"/>
              </w:rPr>
              <w:br/>
              <w:t>AnalystCov</w:t>
            </w:r>
          </w:p>
        </w:tc>
      </w:tr>
      <w:tr w:rsidR="003C0AF1" w:rsidRPr="007115F2" w14:paraId="787F5F2A"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FC3D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Direct_BoardInterlocks</w:t>
            </w: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7CB2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A21D7"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-0.008</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0FA3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AEF6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r>
      <w:tr w:rsidR="003C0AF1" w:rsidRPr="007115F2" w14:paraId="5B7F8BFD"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2CE2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BD72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(0.006)</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8FDD4"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(0.007)</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E9CFD"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949C3"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r>
      <w:tr w:rsidR="003C0AF1" w:rsidRPr="007115F2" w14:paraId="3B4A0004"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A540F"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7938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[0.993]</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4425D"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[0.227]</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2E83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263C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r>
      <w:tr w:rsidR="003C0AF1" w:rsidRPr="007115F2" w14:paraId="58A90C20" w14:textId="77777777" w:rsidTr="0029259E">
        <w:trPr>
          <w:trHeight w:val="192"/>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F5AB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Indirect_BoardInterlocks</w:t>
            </w: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80057"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1C5A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7518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-0.004</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0AAE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r>
      <w:tr w:rsidR="003C0AF1" w:rsidRPr="007115F2" w14:paraId="1FC9FDB4"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3080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8F88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2F4AF"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1CCD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C4A4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r>
      <w:tr w:rsidR="003C0AF1" w:rsidRPr="007115F2" w14:paraId="1882F531"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6A48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39DF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030C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B00A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[0.247]</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5DF43"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[0.923]</w:t>
            </w:r>
          </w:p>
        </w:tc>
      </w:tr>
      <w:tr w:rsidR="003C0AF1" w:rsidRPr="007115F2" w14:paraId="177F58B3"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5293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Relative_CEODuality</w:t>
            </w: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A5F8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0456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3DF4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8A21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r>
      <w:tr w:rsidR="003C0AF1" w:rsidRPr="007115F2" w14:paraId="5F6F1F29"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A86A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D3E7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1333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7A25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CEFFA"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r>
      <w:tr w:rsidR="003C0AF1" w:rsidRPr="007115F2" w14:paraId="2496CA7C"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B63D3"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1802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[0.568]</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D29BD"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6F08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[0.340]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66614"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r>
      <w:tr w:rsidR="003C0AF1" w:rsidRPr="007115F2" w14:paraId="4665CEE1"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2B9E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Relative_AnalystCoverage</w:t>
            </w: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1EDD7"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E29A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179C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9E6BD"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r>
      <w:tr w:rsidR="003C0AF1" w:rsidRPr="007115F2" w14:paraId="263CABAB"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E6F1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7DD8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98124"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C35C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78B6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r>
      <w:tr w:rsidR="003C0AF1" w:rsidRPr="007115F2" w14:paraId="7BAEDF8F"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2754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AA49A"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9601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[0.053]</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75363"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6F20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[0.173]</w:t>
            </w:r>
          </w:p>
        </w:tc>
      </w:tr>
      <w:tr w:rsidR="003C0AF1" w:rsidRPr="007115F2" w14:paraId="0806FBF3" w14:textId="77777777" w:rsidTr="0029259E">
        <w:trPr>
          <w:trHeight w:val="408"/>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3710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lang w:val="en-US"/>
              </w:rPr>
            </w:pPr>
            <w:r w:rsidRPr="007115F2">
              <w:rPr>
                <w:sz w:val="22"/>
                <w:lang w:val="en-US"/>
              </w:rPr>
              <w:t>Direct_BoardInterlocks x</w:t>
            </w:r>
            <w:r w:rsidRPr="007115F2">
              <w:rPr>
                <w:sz w:val="22"/>
                <w:lang w:val="en-US"/>
              </w:rPr>
              <w:br/>
              <w:t>Relative_CEODuality</w:t>
            </w: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2F72D"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0.059</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13BA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A92B7"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B6BE6"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r>
      <w:tr w:rsidR="003C0AF1" w:rsidRPr="007115F2" w14:paraId="5F9465FD"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C3EE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591B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(0.026)</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3C7A3"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E8DD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4FC0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r>
      <w:tr w:rsidR="003C0AF1" w:rsidRPr="007115F2" w14:paraId="2378FE55"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97A84"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E1176"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[0.022]</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0D13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6A31D"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C669A"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r>
      <w:tr w:rsidR="003C0AF1" w:rsidRPr="007115F2" w14:paraId="34FB0E17" w14:textId="77777777" w:rsidTr="0029259E">
        <w:trPr>
          <w:trHeight w:val="408"/>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1DB4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lang w:val="en-US"/>
              </w:rPr>
            </w:pPr>
            <w:r w:rsidRPr="007115F2">
              <w:rPr>
                <w:sz w:val="22"/>
                <w:lang w:val="en-US"/>
              </w:rPr>
              <w:t>Direct_BoardInterlocks x</w:t>
            </w:r>
            <w:r w:rsidRPr="007115F2">
              <w:rPr>
                <w:sz w:val="22"/>
                <w:lang w:val="en-US"/>
              </w:rPr>
              <w:br/>
              <w:t>Relative_AnalystCoverage</w:t>
            </w: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6B2F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lang w:val="en-US"/>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CD57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0.004</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7374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D6B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r>
      <w:tr w:rsidR="003C0AF1" w:rsidRPr="007115F2" w14:paraId="6ADC781C"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864BF"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DA57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0A06A"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6DD7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B321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r>
      <w:tr w:rsidR="003C0AF1" w:rsidRPr="007115F2" w14:paraId="7A39BEBB"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8C46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2A0F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61ADF"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[0.001]</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1892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729C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r>
      <w:tr w:rsidR="003C0AF1" w:rsidRPr="007115F2" w14:paraId="738F1CFE"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7024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highlight w:val="red"/>
                <w:lang w:val="en-US"/>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DFD8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highlight w:val="red"/>
                <w:lang w:val="en-US"/>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431A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highlight w:val="red"/>
                <w:lang w:val="en-US"/>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1DF6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highlight w:val="red"/>
                <w:lang w:val="en-US"/>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48FD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highlight w:val="red"/>
                <w:lang w:val="en-US"/>
              </w:rPr>
            </w:pPr>
          </w:p>
        </w:tc>
      </w:tr>
      <w:tr w:rsidR="003C0AF1" w:rsidRPr="007115F2" w14:paraId="6E2EECD3" w14:textId="77777777" w:rsidTr="0029259E">
        <w:trPr>
          <w:trHeight w:val="408"/>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8401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lang w:val="en-US"/>
              </w:rPr>
            </w:pPr>
            <w:r w:rsidRPr="007115F2">
              <w:rPr>
                <w:sz w:val="22"/>
                <w:lang w:val="en-US"/>
              </w:rPr>
              <w:t>Indirect_BoardInterlocks x</w:t>
            </w:r>
            <w:r w:rsidRPr="007115F2">
              <w:rPr>
                <w:sz w:val="22"/>
                <w:lang w:val="en-US"/>
              </w:rPr>
              <w:br/>
              <w:t>Relative_CEODuality</w:t>
            </w: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EDFD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lang w:val="en-US"/>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ED54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lang w:val="en-US"/>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92D9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0.009</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77636"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r>
      <w:tr w:rsidR="003C0AF1" w:rsidRPr="007115F2" w14:paraId="418AB17F"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05A8F"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ED5D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DCA23"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042F6"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(0.004)</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58B37"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r>
      <w:tr w:rsidR="003C0AF1" w:rsidRPr="007115F2" w14:paraId="281417F5"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819ED"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742D6"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BC5E4"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37903"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[0.042]</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6144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r>
      <w:tr w:rsidR="003C0AF1" w:rsidRPr="007115F2" w14:paraId="0B7CF4C1" w14:textId="77777777" w:rsidTr="0029259E">
        <w:trPr>
          <w:trHeight w:val="408"/>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7EA6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lang w:val="en-US"/>
              </w:rPr>
            </w:pPr>
            <w:r w:rsidRPr="007115F2">
              <w:rPr>
                <w:sz w:val="22"/>
                <w:lang w:val="en-US"/>
              </w:rPr>
              <w:t xml:space="preserve">Indirect_BoardInterlocks x </w:t>
            </w:r>
            <w:r w:rsidRPr="007115F2">
              <w:rPr>
                <w:sz w:val="22"/>
                <w:lang w:val="en-US"/>
              </w:rPr>
              <w:br/>
              <w:t>Relative_AnalystCoverage</w:t>
            </w: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8F19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lang w:val="en-US"/>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9558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lang w:val="en-US"/>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3A2F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lang w:val="en-US"/>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FC60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r>
      <w:tr w:rsidR="003C0AF1" w:rsidRPr="007115F2" w14:paraId="5981A88A"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64D67"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4589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7491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C901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1735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r>
      <w:tr w:rsidR="003C0AF1" w:rsidRPr="007115F2" w14:paraId="1C4CB9BD"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BA63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4CEB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45E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59FAF"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BE494"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[0.121]</w:t>
            </w:r>
          </w:p>
        </w:tc>
      </w:tr>
      <w:tr w:rsidR="003C0AF1" w:rsidRPr="007115F2" w14:paraId="2CA62492" w14:textId="77777777" w:rsidTr="0029259E">
        <w:trPr>
          <w:trHeight w:val="192"/>
          <w:jc w:val="center"/>
        </w:trPr>
        <w:tc>
          <w:tcPr>
            <w:tcW w:w="3261"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E557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Prior_Board_Ties</w:t>
            </w:r>
          </w:p>
        </w:tc>
        <w:tc>
          <w:tcPr>
            <w:tcW w:w="1452"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071FD"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453"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201FA"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453"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2B27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453"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4F5CA"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r>
      <w:tr w:rsidR="003C0AF1" w:rsidRPr="007115F2" w14:paraId="11DD16B8"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5B4E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8EC4A"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D908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F378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13863"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r>
      <w:tr w:rsidR="003C0AF1" w:rsidRPr="007115F2" w14:paraId="63E78A2C"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D41C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113D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[0.744]</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3AAFA"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[0.312]</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2FA4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[0.769]</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9791A"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[0.351]</w:t>
            </w:r>
          </w:p>
        </w:tc>
      </w:tr>
      <w:tr w:rsidR="003C0AF1" w:rsidRPr="007115F2" w14:paraId="524E1C92"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CAEDF"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Relative_Board_NetworkSize</w:t>
            </w: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D88A4"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FB713"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F0FE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2972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r>
      <w:tr w:rsidR="003C0AF1" w:rsidRPr="007115F2" w14:paraId="414F9588"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ADF9D"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143F4"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8D12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C2253"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DB89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r>
      <w:tr w:rsidR="003C0AF1" w:rsidRPr="007115F2" w14:paraId="2A8A4568"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854F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0DB1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[0.872]</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25DF3"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[0.462]</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ADD2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[0.892]</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35C57"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[0.508]</w:t>
            </w:r>
          </w:p>
        </w:tc>
      </w:tr>
      <w:tr w:rsidR="003C0AF1" w:rsidRPr="007115F2" w14:paraId="653ED5AE"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56B6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Ln(Total_FirmSize)</w:t>
            </w: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6AA0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5DDA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54D5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43414"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r>
      <w:tr w:rsidR="003C0AF1" w:rsidRPr="007115F2" w14:paraId="7E36A28A"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85C1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0A237"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BC7A3"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67FC6"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0945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r>
      <w:tr w:rsidR="003C0AF1" w:rsidRPr="007115F2" w14:paraId="754B688E"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69467"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7E81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[0.039]</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FAEC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[0.006]</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185ED"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[0.045]</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BA95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[0.008]</w:t>
            </w:r>
          </w:p>
        </w:tc>
      </w:tr>
      <w:tr w:rsidR="003C0AF1" w:rsidRPr="007115F2" w14:paraId="0D6B9C9A"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7118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Relative_FirmSize</w:t>
            </w: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7A73A"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757B4"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C62F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E728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r>
      <w:tr w:rsidR="003C0AF1" w:rsidRPr="007115F2" w14:paraId="306E8A0F"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37C56"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5D88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021BD"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B04B7"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084A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r>
      <w:tr w:rsidR="003C0AF1" w:rsidRPr="007115F2" w14:paraId="24F3A501"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337B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C5DC3"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[&lt;0.001]</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5E13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[&lt;0.001]</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E2A5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[&lt;0.001]</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A1A67"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[&lt;0.001]</w:t>
            </w:r>
          </w:p>
        </w:tc>
      </w:tr>
      <w:tr w:rsidR="003C0AF1" w:rsidRPr="007115F2" w14:paraId="65FD03D1"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DEB0F"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Relative_FirmPerformance</w:t>
            </w: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F742A"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867A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0.018</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DE0FD"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D29E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0.019</w:t>
            </w:r>
          </w:p>
        </w:tc>
      </w:tr>
      <w:tr w:rsidR="003C0AF1" w:rsidRPr="007115F2" w14:paraId="1481BFDA"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849A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E9EF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(0.013)</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5BAB6"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(0.016)</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87C1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(0.013)</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D12A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(0.016)</w:t>
            </w:r>
          </w:p>
        </w:tc>
      </w:tr>
      <w:tr w:rsidR="003C0AF1" w:rsidRPr="007115F2" w14:paraId="6EA984AE"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9DBBF"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00827"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[0.996]</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58ADF"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[0.241]</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D6A86"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[0.893]</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C6487"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[0.221]</w:t>
            </w:r>
          </w:p>
        </w:tc>
      </w:tr>
      <w:tr w:rsidR="003C0AF1" w:rsidRPr="007115F2" w14:paraId="2ECC0D15"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3E7F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Relative_RDIntensity</w:t>
            </w: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5F59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AC6F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FE544"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B655A"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r>
      <w:tr w:rsidR="003C0AF1" w:rsidRPr="007115F2" w14:paraId="2E0BA00E"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E9ADF"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8385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6984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CD5D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4E1E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r>
      <w:tr w:rsidR="003C0AF1" w:rsidRPr="007115F2" w14:paraId="42A5AC86"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80EF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286A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[0.678]</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375C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[0.191]</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9277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[0.715]</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C86A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[0.185]</w:t>
            </w:r>
          </w:p>
        </w:tc>
      </w:tr>
      <w:tr w:rsidR="003C0AF1" w:rsidRPr="007115F2" w14:paraId="16F5A0F9"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868F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lastRenderedPageBreak/>
              <w:t>Relative_AllianceExperience</w:t>
            </w: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EE4B4"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8B09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BA3F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D1D9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r>
      <w:tr w:rsidR="003C0AF1" w:rsidRPr="007115F2" w14:paraId="6B5E88D5"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D25E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31623"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4F7B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ECC8A"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9AD6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r>
      <w:tr w:rsidR="003C0AF1" w:rsidRPr="007115F2" w14:paraId="40BF4B62"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43E9A"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27117"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[0.557]</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93C5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[0.224]</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CF6A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[0.619]</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E3F4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[0.198]</w:t>
            </w:r>
          </w:p>
        </w:tc>
      </w:tr>
      <w:tr w:rsidR="003C0AF1" w:rsidRPr="007115F2" w14:paraId="460BBBFB"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BC35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Alliance_RelationalEmbeddedness</w:t>
            </w: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1F18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B3A07"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E200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F34D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r>
      <w:tr w:rsidR="003C0AF1" w:rsidRPr="007115F2" w14:paraId="517C0AEC"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760ED"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E4EA6"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BF50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39BEF"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1CE8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r>
      <w:tr w:rsidR="003C0AF1" w:rsidRPr="007115F2" w14:paraId="2E000AA6"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BD45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D772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[0.011]</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FF3F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[0.011]</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E654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[0.008]</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030E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[0.014]</w:t>
            </w:r>
          </w:p>
        </w:tc>
      </w:tr>
      <w:tr w:rsidR="003C0AF1" w:rsidRPr="007115F2" w14:paraId="6C707EAA"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543C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Alliance_StructuralEmbeddedness</w:t>
            </w: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6932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7C87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21E6D"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600F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r>
      <w:tr w:rsidR="003C0AF1" w:rsidRPr="007115F2" w14:paraId="4BE61796"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825A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99F6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(0.006)</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63367"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(0.006)</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EB43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(0.006)</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5360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(0.006)</w:t>
            </w:r>
          </w:p>
        </w:tc>
      </w:tr>
      <w:tr w:rsidR="003C0AF1" w:rsidRPr="007115F2" w14:paraId="261DB58C"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3B10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C3E93"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[0.634]</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97B1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[0.729]</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444ED"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[0.660]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4FF9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[0.602]</w:t>
            </w:r>
          </w:p>
        </w:tc>
      </w:tr>
      <w:tr w:rsidR="003C0AF1" w:rsidRPr="007115F2" w14:paraId="57B337EF"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A7B1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JV_Indicator</w:t>
            </w: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1539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1663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BC81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8E2D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r>
      <w:tr w:rsidR="003C0AF1" w:rsidRPr="007115F2" w14:paraId="69B90B97"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59FE6"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3E663"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A47C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0284F"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72D13"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r>
      <w:tr w:rsidR="003C0AF1" w:rsidRPr="007115F2" w14:paraId="67485DC4"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E89F3"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F3746"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[0.517]</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845F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[0.320]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187F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[0.617]</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93FF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[0.338]</w:t>
            </w:r>
          </w:p>
        </w:tc>
      </w:tr>
      <w:tr w:rsidR="003C0AF1" w:rsidRPr="007115F2" w14:paraId="2234460F"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2236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Equity_Indicator</w:t>
            </w: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4581F"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0.005</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557D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0.007</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8480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0.005</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0C5E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0.009</w:t>
            </w:r>
          </w:p>
        </w:tc>
      </w:tr>
      <w:tr w:rsidR="003C0AF1" w:rsidRPr="007115F2" w14:paraId="59617631"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06C5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8221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(0.007)</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17F57"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(0.007)</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EE70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(0.007)</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2AB46"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(0.007)</w:t>
            </w:r>
          </w:p>
        </w:tc>
      </w:tr>
      <w:tr w:rsidR="003C0AF1" w:rsidRPr="007115F2" w14:paraId="0939A493"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026DF"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FF02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[0.479]</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D22B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[0.318]</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AC8AA"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[0.439]</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0DC2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[0.213]</w:t>
            </w:r>
          </w:p>
        </w:tc>
      </w:tr>
      <w:tr w:rsidR="003C0AF1" w:rsidRPr="007115F2" w14:paraId="59215454"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B52E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Technology_Indicator</w:t>
            </w: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9186D"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AEEA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178F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9A95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r>
      <w:tr w:rsidR="003C0AF1" w:rsidRPr="007115F2" w14:paraId="41C2DE1F"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CF46D"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9F89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3014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54987"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28B3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r>
      <w:tr w:rsidR="003C0AF1" w:rsidRPr="007115F2" w14:paraId="12C32605"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026BF"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B6546"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[0.999]</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8F9E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[0.436]</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7299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[0.980]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2910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[0.368]</w:t>
            </w:r>
          </w:p>
        </w:tc>
      </w:tr>
      <w:tr w:rsidR="003C0AF1" w:rsidRPr="007115F2" w14:paraId="281DFB17"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64B2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ExplorationAlliance_Indicator</w:t>
            </w: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F1ADA"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5C953"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974D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3D6A3"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r>
      <w:tr w:rsidR="003C0AF1" w:rsidRPr="007115F2" w14:paraId="515B1225"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66CF6"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ED76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A99E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F2D0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0286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r>
      <w:tr w:rsidR="003C0AF1" w:rsidRPr="007115F2" w14:paraId="5B99606E"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3F2B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3A8E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[0.234]</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29B6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[0.247]</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F915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[0.209]</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75374"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[0.208]</w:t>
            </w:r>
          </w:p>
        </w:tc>
      </w:tr>
      <w:tr w:rsidR="003C0AF1" w:rsidRPr="007115F2" w14:paraId="55DF1D81"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54D4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InternationalAlliance_Indicator</w:t>
            </w: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182A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E9B9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4801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2088F"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r>
      <w:tr w:rsidR="003C0AF1" w:rsidRPr="007115F2" w14:paraId="64E9FD7C"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BC99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2472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08926"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A3274"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E2FB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r>
      <w:tr w:rsidR="003C0AF1" w:rsidRPr="007115F2" w14:paraId="5CC719E3"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E754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53E7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[0.143]</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94A6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[0.102]</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7DA43"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[0.121]</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D0073"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[0.124]</w:t>
            </w:r>
          </w:p>
        </w:tc>
      </w:tr>
      <w:tr w:rsidR="003C0AF1" w:rsidRPr="007115F2" w14:paraId="75CFB75E"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8F8B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Relatedness_Indicator</w:t>
            </w: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9BFB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BF33F"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0.002</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F7AC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6C5D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r>
      <w:tr w:rsidR="003C0AF1" w:rsidRPr="007115F2" w14:paraId="27BB5B01"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A863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AAEC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03C9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087ED"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B759A"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r>
      <w:tr w:rsidR="003C0AF1" w:rsidRPr="007115F2" w14:paraId="242B011A"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F08D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2BA8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[0.604]</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BB7F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[0.501]</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E866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[0.820]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621C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[0.640]</w:t>
            </w:r>
          </w:p>
        </w:tc>
      </w:tr>
      <w:tr w:rsidR="003C0AF1" w:rsidRPr="007115F2" w14:paraId="0DA8648D"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5F746"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Industry_Growth</w:t>
            </w: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BEE14"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0.009</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95133"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0.005</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D0CDD"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0.009</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32D2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0.004</w:t>
            </w:r>
          </w:p>
        </w:tc>
      </w:tr>
      <w:tr w:rsidR="003C0AF1" w:rsidRPr="007115F2" w14:paraId="641A73C2"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622D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3F6CA"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(0.004)</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F64F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06F47"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(0.004)</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9EF34"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(0.003)</w:t>
            </w:r>
          </w:p>
        </w:tc>
      </w:tr>
      <w:tr w:rsidR="003C0AF1" w:rsidRPr="007115F2" w14:paraId="308BE166"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7B97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2B17F"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[0.030]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00F8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[0.173]</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FB4C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[0.027]</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8471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[0.189]</w:t>
            </w:r>
          </w:p>
        </w:tc>
      </w:tr>
      <w:tr w:rsidR="003C0AF1" w:rsidRPr="007115F2" w14:paraId="553C063D"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2C7B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Industry_Complementarity</w:t>
            </w: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3AFA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-0.007</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5CDFD"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-0.004</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C5D0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-0.007</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A4BD6"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-0.004</w:t>
            </w:r>
          </w:p>
        </w:tc>
      </w:tr>
      <w:tr w:rsidR="003C0AF1" w:rsidRPr="007115F2" w14:paraId="7CAB9FEC"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8468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65FE3"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(0.005)</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9862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(0.004)</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CFF74"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(0.005)</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0EB3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(0.004)</w:t>
            </w:r>
          </w:p>
        </w:tc>
      </w:tr>
      <w:tr w:rsidR="003C0AF1" w:rsidRPr="007115F2" w14:paraId="35183682"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31AD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A937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[0.214]</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8D7E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[0.357]</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FD3A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[0.190]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73E26"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[0.355]</w:t>
            </w:r>
          </w:p>
        </w:tc>
      </w:tr>
      <w:tr w:rsidR="003C0AF1" w:rsidRPr="007115F2" w14:paraId="6B1C00A9"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FF90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Industry_RelatedScope</w:t>
            </w: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29A8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-0.001</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E09A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412E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5B7E1"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r>
      <w:tr w:rsidR="003C0AF1" w:rsidRPr="007115F2" w14:paraId="55F6D54A"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2500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3EC8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62A20"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AC5E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6CBD7"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(0.000)</w:t>
            </w:r>
          </w:p>
        </w:tc>
      </w:tr>
      <w:tr w:rsidR="003C0AF1" w:rsidRPr="007115F2" w14:paraId="666BE90A" w14:textId="77777777" w:rsidTr="0029259E">
        <w:trPr>
          <w:trHeight w:val="203"/>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15E1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p>
        </w:tc>
        <w:tc>
          <w:tcPr>
            <w:tcW w:w="14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3428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[0.094]</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C8C2A"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[0.431]</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9ED8A"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[0.141]</w:t>
            </w:r>
          </w:p>
        </w:tc>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AAF83"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rFonts w:eastAsia="Helvetica"/>
                <w:sz w:val="22"/>
              </w:rPr>
              <w:t>[0.441]</w:t>
            </w:r>
          </w:p>
        </w:tc>
      </w:tr>
      <w:tr w:rsidR="003C0AF1" w:rsidRPr="007115F2" w14:paraId="1CB534A7" w14:textId="77777777" w:rsidTr="0029259E">
        <w:trPr>
          <w:trHeight w:val="203"/>
          <w:jc w:val="center"/>
        </w:trPr>
        <w:tc>
          <w:tcPr>
            <w:tcW w:w="3261" w:type="dxa"/>
            <w:shd w:val="clear" w:color="auto" w:fill="FFFFFF"/>
            <w:tcMar>
              <w:top w:w="0" w:type="dxa"/>
              <w:left w:w="0" w:type="dxa"/>
              <w:bottom w:w="0" w:type="dxa"/>
              <w:right w:w="0" w:type="dxa"/>
            </w:tcMar>
            <w:vAlign w:val="center"/>
          </w:tcPr>
          <w:p w14:paraId="54D8042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Year FE</w:t>
            </w:r>
          </w:p>
        </w:tc>
        <w:tc>
          <w:tcPr>
            <w:tcW w:w="1452" w:type="dxa"/>
            <w:shd w:val="clear" w:color="auto" w:fill="FFFFFF"/>
            <w:tcMar>
              <w:top w:w="0" w:type="dxa"/>
              <w:left w:w="0" w:type="dxa"/>
              <w:bottom w:w="0" w:type="dxa"/>
              <w:right w:w="0" w:type="dxa"/>
            </w:tcMar>
            <w:vAlign w:val="center"/>
          </w:tcPr>
          <w:p w14:paraId="7E24BE2F"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True</w:t>
            </w:r>
          </w:p>
        </w:tc>
        <w:tc>
          <w:tcPr>
            <w:tcW w:w="1453" w:type="dxa"/>
            <w:shd w:val="clear" w:color="auto" w:fill="FFFFFF"/>
            <w:tcMar>
              <w:top w:w="0" w:type="dxa"/>
              <w:left w:w="0" w:type="dxa"/>
              <w:bottom w:w="0" w:type="dxa"/>
              <w:right w:w="0" w:type="dxa"/>
            </w:tcMar>
            <w:vAlign w:val="center"/>
          </w:tcPr>
          <w:p w14:paraId="62A105B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True</w:t>
            </w:r>
          </w:p>
        </w:tc>
        <w:tc>
          <w:tcPr>
            <w:tcW w:w="1453" w:type="dxa"/>
            <w:shd w:val="clear" w:color="auto" w:fill="FFFFFF"/>
            <w:tcMar>
              <w:top w:w="0" w:type="dxa"/>
              <w:left w:w="0" w:type="dxa"/>
              <w:bottom w:w="0" w:type="dxa"/>
              <w:right w:w="0" w:type="dxa"/>
            </w:tcMar>
            <w:vAlign w:val="center"/>
          </w:tcPr>
          <w:p w14:paraId="5665F674"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True</w:t>
            </w:r>
          </w:p>
        </w:tc>
        <w:tc>
          <w:tcPr>
            <w:tcW w:w="1453" w:type="dxa"/>
            <w:shd w:val="clear" w:color="auto" w:fill="FFFFFF"/>
            <w:tcMar>
              <w:top w:w="0" w:type="dxa"/>
              <w:left w:w="0" w:type="dxa"/>
              <w:bottom w:w="0" w:type="dxa"/>
              <w:right w:w="0" w:type="dxa"/>
            </w:tcMar>
            <w:vAlign w:val="center"/>
          </w:tcPr>
          <w:p w14:paraId="20ACB555"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True</w:t>
            </w:r>
          </w:p>
        </w:tc>
      </w:tr>
      <w:tr w:rsidR="003C0AF1" w:rsidRPr="007115F2" w14:paraId="04C32136" w14:textId="77777777" w:rsidTr="0029259E">
        <w:trPr>
          <w:trHeight w:val="203"/>
          <w:jc w:val="center"/>
        </w:trPr>
        <w:tc>
          <w:tcPr>
            <w:tcW w:w="3261" w:type="dxa"/>
            <w:shd w:val="clear" w:color="auto" w:fill="FFFFFF"/>
            <w:tcMar>
              <w:top w:w="0" w:type="dxa"/>
              <w:left w:w="0" w:type="dxa"/>
              <w:bottom w:w="0" w:type="dxa"/>
              <w:right w:w="0" w:type="dxa"/>
            </w:tcMar>
            <w:vAlign w:val="center"/>
          </w:tcPr>
          <w:p w14:paraId="6EB1BC0A"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Industry Combination FE</w:t>
            </w:r>
          </w:p>
        </w:tc>
        <w:tc>
          <w:tcPr>
            <w:tcW w:w="1452" w:type="dxa"/>
            <w:shd w:val="clear" w:color="auto" w:fill="FFFFFF"/>
            <w:tcMar>
              <w:top w:w="0" w:type="dxa"/>
              <w:left w:w="0" w:type="dxa"/>
              <w:bottom w:w="0" w:type="dxa"/>
              <w:right w:w="0" w:type="dxa"/>
            </w:tcMar>
            <w:vAlign w:val="center"/>
          </w:tcPr>
          <w:p w14:paraId="3387AF83"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True</w:t>
            </w:r>
          </w:p>
        </w:tc>
        <w:tc>
          <w:tcPr>
            <w:tcW w:w="1453" w:type="dxa"/>
            <w:shd w:val="clear" w:color="auto" w:fill="FFFFFF"/>
            <w:tcMar>
              <w:top w:w="0" w:type="dxa"/>
              <w:left w:w="0" w:type="dxa"/>
              <w:bottom w:w="0" w:type="dxa"/>
              <w:right w:w="0" w:type="dxa"/>
            </w:tcMar>
            <w:vAlign w:val="center"/>
          </w:tcPr>
          <w:p w14:paraId="7765135F"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True</w:t>
            </w:r>
          </w:p>
        </w:tc>
        <w:tc>
          <w:tcPr>
            <w:tcW w:w="1453" w:type="dxa"/>
            <w:shd w:val="clear" w:color="auto" w:fill="FFFFFF"/>
            <w:tcMar>
              <w:top w:w="0" w:type="dxa"/>
              <w:left w:w="0" w:type="dxa"/>
              <w:bottom w:w="0" w:type="dxa"/>
              <w:right w:w="0" w:type="dxa"/>
            </w:tcMar>
            <w:vAlign w:val="center"/>
          </w:tcPr>
          <w:p w14:paraId="7BA51B1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True</w:t>
            </w:r>
          </w:p>
        </w:tc>
        <w:tc>
          <w:tcPr>
            <w:tcW w:w="1453" w:type="dxa"/>
            <w:shd w:val="clear" w:color="auto" w:fill="FFFFFF"/>
            <w:tcMar>
              <w:top w:w="0" w:type="dxa"/>
              <w:left w:w="0" w:type="dxa"/>
              <w:bottom w:w="0" w:type="dxa"/>
              <w:right w:w="0" w:type="dxa"/>
            </w:tcMar>
            <w:vAlign w:val="center"/>
          </w:tcPr>
          <w:p w14:paraId="080D6407"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True</w:t>
            </w:r>
          </w:p>
        </w:tc>
      </w:tr>
      <w:tr w:rsidR="003C0AF1" w:rsidRPr="007115F2" w14:paraId="240127EC" w14:textId="77777777" w:rsidTr="0029259E">
        <w:trPr>
          <w:trHeight w:val="203"/>
          <w:jc w:val="center"/>
        </w:trPr>
        <w:tc>
          <w:tcPr>
            <w:tcW w:w="3261" w:type="dxa"/>
            <w:shd w:val="clear" w:color="auto" w:fill="FFFFFF"/>
            <w:tcMar>
              <w:top w:w="0" w:type="dxa"/>
              <w:left w:w="0" w:type="dxa"/>
              <w:bottom w:w="0" w:type="dxa"/>
              <w:right w:w="0" w:type="dxa"/>
            </w:tcMar>
            <w:vAlign w:val="center"/>
          </w:tcPr>
          <w:p w14:paraId="4CDDBEBA"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Adjusted R-Squared</w:t>
            </w:r>
          </w:p>
        </w:tc>
        <w:tc>
          <w:tcPr>
            <w:tcW w:w="1452" w:type="dxa"/>
            <w:shd w:val="clear" w:color="auto" w:fill="FFFFFF"/>
            <w:tcMar>
              <w:top w:w="0" w:type="dxa"/>
              <w:left w:w="0" w:type="dxa"/>
              <w:bottom w:w="0" w:type="dxa"/>
              <w:right w:w="0" w:type="dxa"/>
            </w:tcMar>
            <w:vAlign w:val="center"/>
          </w:tcPr>
          <w:p w14:paraId="71EAC28E"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0.125</w:t>
            </w:r>
          </w:p>
        </w:tc>
        <w:tc>
          <w:tcPr>
            <w:tcW w:w="1453" w:type="dxa"/>
            <w:shd w:val="clear" w:color="auto" w:fill="FFFFFF"/>
            <w:tcMar>
              <w:top w:w="0" w:type="dxa"/>
              <w:left w:w="0" w:type="dxa"/>
              <w:bottom w:w="0" w:type="dxa"/>
              <w:right w:w="0" w:type="dxa"/>
            </w:tcMar>
            <w:vAlign w:val="center"/>
          </w:tcPr>
          <w:p w14:paraId="5636AB62"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0.132</w:t>
            </w:r>
          </w:p>
        </w:tc>
        <w:tc>
          <w:tcPr>
            <w:tcW w:w="1453" w:type="dxa"/>
            <w:shd w:val="clear" w:color="auto" w:fill="FFFFFF"/>
            <w:tcMar>
              <w:top w:w="0" w:type="dxa"/>
              <w:left w:w="0" w:type="dxa"/>
              <w:bottom w:w="0" w:type="dxa"/>
              <w:right w:w="0" w:type="dxa"/>
            </w:tcMar>
            <w:vAlign w:val="center"/>
          </w:tcPr>
          <w:p w14:paraId="0A59BABA"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0.113</w:t>
            </w:r>
          </w:p>
        </w:tc>
        <w:tc>
          <w:tcPr>
            <w:tcW w:w="1453" w:type="dxa"/>
            <w:shd w:val="clear" w:color="auto" w:fill="FFFFFF"/>
            <w:tcMar>
              <w:top w:w="0" w:type="dxa"/>
              <w:left w:w="0" w:type="dxa"/>
              <w:bottom w:w="0" w:type="dxa"/>
              <w:right w:w="0" w:type="dxa"/>
            </w:tcMar>
            <w:vAlign w:val="center"/>
          </w:tcPr>
          <w:p w14:paraId="2F5D292B"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0.121</w:t>
            </w:r>
          </w:p>
        </w:tc>
      </w:tr>
      <w:tr w:rsidR="003C0AF1" w:rsidRPr="007115F2" w14:paraId="0D63F209" w14:textId="77777777" w:rsidTr="0029259E">
        <w:trPr>
          <w:trHeight w:val="203"/>
          <w:jc w:val="center"/>
        </w:trPr>
        <w:tc>
          <w:tcPr>
            <w:tcW w:w="3261" w:type="dxa"/>
            <w:tcBorders>
              <w:bottom w:val="single" w:sz="4" w:space="0" w:color="auto"/>
            </w:tcBorders>
            <w:shd w:val="clear" w:color="auto" w:fill="FFFFFF"/>
            <w:tcMar>
              <w:top w:w="0" w:type="dxa"/>
              <w:left w:w="0" w:type="dxa"/>
              <w:bottom w:w="0" w:type="dxa"/>
              <w:right w:w="0" w:type="dxa"/>
            </w:tcMar>
            <w:vAlign w:val="center"/>
          </w:tcPr>
          <w:p w14:paraId="5B653F48"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jc w:val="left"/>
              <w:rPr>
                <w:sz w:val="22"/>
              </w:rPr>
            </w:pPr>
            <w:r w:rsidRPr="007115F2">
              <w:rPr>
                <w:sz w:val="22"/>
              </w:rPr>
              <w:t>Observations</w:t>
            </w:r>
          </w:p>
        </w:tc>
        <w:tc>
          <w:tcPr>
            <w:tcW w:w="1452" w:type="dxa"/>
            <w:tcBorders>
              <w:bottom w:val="single" w:sz="4" w:space="0" w:color="auto"/>
            </w:tcBorders>
            <w:shd w:val="clear" w:color="auto" w:fill="FFFFFF"/>
            <w:tcMar>
              <w:top w:w="0" w:type="dxa"/>
              <w:left w:w="0" w:type="dxa"/>
              <w:bottom w:w="0" w:type="dxa"/>
              <w:right w:w="0" w:type="dxa"/>
            </w:tcMar>
            <w:vAlign w:val="center"/>
          </w:tcPr>
          <w:p w14:paraId="56398FFC"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1,528</w:t>
            </w:r>
          </w:p>
        </w:tc>
        <w:tc>
          <w:tcPr>
            <w:tcW w:w="1453" w:type="dxa"/>
            <w:tcBorders>
              <w:bottom w:val="single" w:sz="4" w:space="0" w:color="auto"/>
            </w:tcBorders>
            <w:shd w:val="clear" w:color="auto" w:fill="FFFFFF"/>
            <w:tcMar>
              <w:top w:w="0" w:type="dxa"/>
              <w:left w:w="0" w:type="dxa"/>
              <w:bottom w:w="0" w:type="dxa"/>
              <w:right w:w="0" w:type="dxa"/>
            </w:tcMar>
            <w:vAlign w:val="center"/>
          </w:tcPr>
          <w:p w14:paraId="7955A6C9"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1,788</w:t>
            </w:r>
          </w:p>
        </w:tc>
        <w:tc>
          <w:tcPr>
            <w:tcW w:w="1453" w:type="dxa"/>
            <w:tcBorders>
              <w:bottom w:val="single" w:sz="4" w:space="0" w:color="auto"/>
            </w:tcBorders>
            <w:shd w:val="clear" w:color="auto" w:fill="FFFFFF"/>
            <w:tcMar>
              <w:top w:w="0" w:type="dxa"/>
              <w:left w:w="0" w:type="dxa"/>
              <w:bottom w:w="0" w:type="dxa"/>
              <w:right w:w="0" w:type="dxa"/>
            </w:tcMar>
            <w:vAlign w:val="center"/>
          </w:tcPr>
          <w:p w14:paraId="65EC70F7"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1,528</w:t>
            </w:r>
          </w:p>
        </w:tc>
        <w:tc>
          <w:tcPr>
            <w:tcW w:w="1453" w:type="dxa"/>
            <w:tcBorders>
              <w:bottom w:val="single" w:sz="4" w:space="0" w:color="auto"/>
            </w:tcBorders>
            <w:shd w:val="clear" w:color="auto" w:fill="FFFFFF"/>
            <w:tcMar>
              <w:top w:w="0" w:type="dxa"/>
              <w:left w:w="0" w:type="dxa"/>
              <w:bottom w:w="0" w:type="dxa"/>
              <w:right w:w="0" w:type="dxa"/>
            </w:tcMar>
            <w:vAlign w:val="center"/>
          </w:tcPr>
          <w:p w14:paraId="3AB6AEFD" w14:textId="77777777" w:rsidR="003C0AF1" w:rsidRPr="007115F2" w:rsidRDefault="003C0AF1" w:rsidP="007C051A">
            <w:pPr>
              <w:widowControl w:val="0"/>
              <w:pBdr>
                <w:top w:val="none" w:sz="0" w:space="0" w:color="000000"/>
                <w:left w:val="none" w:sz="0" w:space="0" w:color="000000"/>
                <w:bottom w:val="none" w:sz="0" w:space="0" w:color="000000"/>
                <w:right w:val="none" w:sz="0" w:space="0" w:color="000000"/>
              </w:pBdr>
              <w:autoSpaceDE w:val="0"/>
              <w:autoSpaceDN w:val="0"/>
              <w:adjustRightInd w:val="0"/>
              <w:spacing w:line="240" w:lineRule="auto"/>
              <w:ind w:left="100"/>
              <w:jc w:val="center"/>
              <w:rPr>
                <w:sz w:val="22"/>
              </w:rPr>
            </w:pPr>
            <w:r w:rsidRPr="007115F2">
              <w:rPr>
                <w:sz w:val="22"/>
              </w:rPr>
              <w:t>1,788</w:t>
            </w:r>
          </w:p>
        </w:tc>
      </w:tr>
      <w:tr w:rsidR="003C0AF1" w:rsidRPr="00BE5632" w14:paraId="60A1C9E2" w14:textId="77777777" w:rsidTr="0029259E">
        <w:trPr>
          <w:trHeight w:val="1008"/>
          <w:jc w:val="center"/>
        </w:trPr>
        <w:tc>
          <w:tcPr>
            <w:tcW w:w="9072" w:type="dxa"/>
            <w:gridSpan w:val="5"/>
            <w:tcBorders>
              <w:top w:val="single" w:sz="4" w:space="0" w:color="auto"/>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E48F9BE" w14:textId="77777777" w:rsidR="003C0AF1" w:rsidRPr="007115F2" w:rsidRDefault="003C0AF1" w:rsidP="00D137E4">
            <w:pPr>
              <w:widowControl w:val="0"/>
              <w:suppressLineNumbers/>
              <w:pBdr>
                <w:top w:val="none" w:sz="0" w:space="0" w:color="000000"/>
                <w:left w:val="none" w:sz="0" w:space="0" w:color="000000"/>
                <w:bottom w:val="none" w:sz="0" w:space="0" w:color="000000"/>
                <w:right w:val="none" w:sz="0" w:space="0" w:color="000000"/>
              </w:pBdr>
              <w:suppressAutoHyphens/>
              <w:autoSpaceDE w:val="0"/>
              <w:autoSpaceDN w:val="0"/>
              <w:adjustRightInd w:val="0"/>
              <w:spacing w:line="240" w:lineRule="auto"/>
              <w:rPr>
                <w:color w:val="000000" w:themeColor="text1"/>
                <w:sz w:val="22"/>
                <w:lang w:val="en-US"/>
              </w:rPr>
            </w:pPr>
            <w:r w:rsidRPr="007115F2">
              <w:rPr>
                <w:color w:val="000000" w:themeColor="text1"/>
                <w:sz w:val="22"/>
                <w:lang w:val="en-US"/>
              </w:rPr>
              <w:t>Notes. This table presents results from a two-way fixed effects regression examining the moderating influence of differences in board power and firm status on differential benefits for the three days around the alliance announcement date [-1;1]. Standard errors are clustered by 2-digit SIC code combinations of alliance partners to account for potential industry-related correlations in the error terms. Industry combination and year fixed effects are included to control for unobservable heterogeneity and common time-related factors. Standard errors in parentheses. Exact p-values in brackets. A detailed description of the variables can be found in the online supplement.</w:t>
            </w:r>
          </w:p>
        </w:tc>
      </w:tr>
    </w:tbl>
    <w:p w14:paraId="7DDEE353" w14:textId="779C77AC" w:rsidR="007E7736" w:rsidRDefault="007E7736">
      <w:pPr>
        <w:spacing w:after="160" w:line="259" w:lineRule="auto"/>
        <w:jc w:val="left"/>
        <w:rPr>
          <w:lang w:val="en-US"/>
        </w:rPr>
      </w:pPr>
      <w:r>
        <w:rPr>
          <w:lang w:val="en-US"/>
        </w:rPr>
        <w:br w:type="page"/>
      </w:r>
    </w:p>
    <w:p w14:paraId="49242531" w14:textId="56DED026" w:rsidR="007E7736" w:rsidRDefault="007E7736" w:rsidP="007E7736">
      <w:pPr>
        <w:pStyle w:val="1fake"/>
      </w:pPr>
      <w:r>
        <w:lastRenderedPageBreak/>
        <w:t xml:space="preserve">Online SuPPLEMENT </w:t>
      </w:r>
      <w:r w:rsidR="00927125">
        <w:t>6</w:t>
      </w:r>
    </w:p>
    <w:p w14:paraId="537FFB2B" w14:textId="1E93F428" w:rsidR="00BA2405" w:rsidRDefault="00BA2405" w:rsidP="00BA2405">
      <w:pPr>
        <w:pStyle w:val="Beschriftung"/>
      </w:pPr>
      <w:bookmarkStart w:id="406" w:name="_Toc180594824"/>
      <w:r>
        <w:t xml:space="preserve">T - II - </w:t>
      </w:r>
      <w:r>
        <w:fldChar w:fldCharType="begin"/>
      </w:r>
      <w:r>
        <w:instrText xml:space="preserve"> SEQ T_-_II_- \* ARABIC </w:instrText>
      </w:r>
      <w:r>
        <w:fldChar w:fldCharType="separate"/>
      </w:r>
      <w:r w:rsidR="00E91088">
        <w:rPr>
          <w:noProof/>
        </w:rPr>
        <w:t>12</w:t>
      </w:r>
      <w:r>
        <w:fldChar w:fldCharType="end"/>
      </w:r>
      <w:r>
        <w:t xml:space="preserve">: </w:t>
      </w:r>
      <w:r w:rsidRPr="00842988">
        <w:t>Variable definitions</w:t>
      </w:r>
      <w:bookmarkEnd w:id="406"/>
    </w:p>
    <w:tbl>
      <w:tblPr>
        <w:tblStyle w:val="Tabellenraster"/>
        <w:tblW w:w="9072"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4394"/>
        <w:gridCol w:w="1984"/>
      </w:tblGrid>
      <w:tr w:rsidR="003C0AF1" w:rsidRPr="007115F2" w14:paraId="5D1EFF78" w14:textId="77777777" w:rsidTr="0029259E">
        <w:trPr>
          <w:trHeight w:val="248"/>
        </w:trPr>
        <w:tc>
          <w:tcPr>
            <w:tcW w:w="2694" w:type="dxa"/>
            <w:tcBorders>
              <w:top w:val="single" w:sz="4" w:space="0" w:color="auto"/>
              <w:bottom w:val="single" w:sz="4" w:space="0" w:color="auto"/>
            </w:tcBorders>
            <w:tcMar>
              <w:left w:w="108" w:type="dxa"/>
              <w:right w:w="108" w:type="dxa"/>
            </w:tcMar>
            <w:vAlign w:val="center"/>
          </w:tcPr>
          <w:p w14:paraId="25140596" w14:textId="77777777" w:rsidR="003C0AF1" w:rsidRPr="007115F2" w:rsidRDefault="003C0AF1" w:rsidP="007C051A">
            <w:pPr>
              <w:widowControl w:val="0"/>
              <w:autoSpaceDE w:val="0"/>
              <w:autoSpaceDN w:val="0"/>
              <w:adjustRightInd w:val="0"/>
              <w:spacing w:line="240" w:lineRule="auto"/>
              <w:jc w:val="left"/>
              <w:rPr>
                <w:b/>
                <w:bCs/>
                <w:color w:val="000000"/>
                <w:sz w:val="22"/>
                <w:lang w:val="en-US"/>
              </w:rPr>
            </w:pPr>
            <w:r w:rsidRPr="007115F2">
              <w:rPr>
                <w:b/>
                <w:bCs/>
                <w:color w:val="000000"/>
                <w:sz w:val="22"/>
                <w:lang w:val="en-US"/>
              </w:rPr>
              <w:t>Variable</w:t>
            </w:r>
          </w:p>
        </w:tc>
        <w:tc>
          <w:tcPr>
            <w:tcW w:w="4394" w:type="dxa"/>
            <w:tcBorders>
              <w:top w:val="single" w:sz="4" w:space="0" w:color="auto"/>
              <w:bottom w:val="single" w:sz="4" w:space="0" w:color="auto"/>
            </w:tcBorders>
            <w:tcMar>
              <w:left w:w="108" w:type="dxa"/>
              <w:right w:w="108" w:type="dxa"/>
            </w:tcMar>
            <w:vAlign w:val="center"/>
          </w:tcPr>
          <w:p w14:paraId="0C27032B" w14:textId="77777777" w:rsidR="003C0AF1" w:rsidRPr="007115F2" w:rsidRDefault="003C0AF1" w:rsidP="007C051A">
            <w:pPr>
              <w:widowControl w:val="0"/>
              <w:autoSpaceDE w:val="0"/>
              <w:autoSpaceDN w:val="0"/>
              <w:adjustRightInd w:val="0"/>
              <w:spacing w:line="240" w:lineRule="auto"/>
              <w:jc w:val="left"/>
              <w:rPr>
                <w:b/>
                <w:bCs/>
                <w:color w:val="000000"/>
                <w:sz w:val="22"/>
                <w:lang w:val="en-US"/>
              </w:rPr>
            </w:pPr>
            <w:r w:rsidRPr="007115F2">
              <w:rPr>
                <w:b/>
                <w:bCs/>
                <w:color w:val="000000"/>
                <w:sz w:val="22"/>
                <w:lang w:val="en-US"/>
              </w:rPr>
              <w:t>Definition</w:t>
            </w:r>
          </w:p>
        </w:tc>
        <w:tc>
          <w:tcPr>
            <w:tcW w:w="1984" w:type="dxa"/>
            <w:tcBorders>
              <w:top w:val="single" w:sz="4" w:space="0" w:color="auto"/>
              <w:bottom w:val="single" w:sz="4" w:space="0" w:color="auto"/>
            </w:tcBorders>
          </w:tcPr>
          <w:p w14:paraId="4FB13A86" w14:textId="77777777" w:rsidR="003C0AF1" w:rsidRPr="007115F2" w:rsidRDefault="003C0AF1" w:rsidP="007C051A">
            <w:pPr>
              <w:widowControl w:val="0"/>
              <w:autoSpaceDE w:val="0"/>
              <w:autoSpaceDN w:val="0"/>
              <w:adjustRightInd w:val="0"/>
              <w:spacing w:line="240" w:lineRule="auto"/>
              <w:jc w:val="left"/>
              <w:rPr>
                <w:b/>
                <w:bCs/>
                <w:color w:val="000000"/>
                <w:sz w:val="22"/>
                <w:lang w:val="en-US"/>
              </w:rPr>
            </w:pPr>
            <w:r w:rsidRPr="007115F2">
              <w:rPr>
                <w:b/>
                <w:bCs/>
                <w:color w:val="000000"/>
                <w:sz w:val="22"/>
                <w:lang w:val="en-US"/>
              </w:rPr>
              <w:t>Prior Studies</w:t>
            </w:r>
          </w:p>
        </w:tc>
      </w:tr>
      <w:tr w:rsidR="003C0AF1" w:rsidRPr="007115F2" w14:paraId="0E2D771E" w14:textId="77777777" w:rsidTr="0029259E">
        <w:trPr>
          <w:trHeight w:val="167"/>
        </w:trPr>
        <w:tc>
          <w:tcPr>
            <w:tcW w:w="2694" w:type="dxa"/>
            <w:tcBorders>
              <w:top w:val="single" w:sz="4" w:space="0" w:color="auto"/>
            </w:tcBorders>
            <w:tcMar>
              <w:left w:w="108" w:type="dxa"/>
              <w:right w:w="108" w:type="dxa"/>
            </w:tcMar>
          </w:tcPr>
          <w:p w14:paraId="093B81CD" w14:textId="77777777" w:rsidR="003C0AF1" w:rsidRPr="007115F2" w:rsidRDefault="003C0AF1" w:rsidP="007C051A">
            <w:pPr>
              <w:widowControl w:val="0"/>
              <w:autoSpaceDE w:val="0"/>
              <w:autoSpaceDN w:val="0"/>
              <w:adjustRightInd w:val="0"/>
              <w:spacing w:line="240" w:lineRule="auto"/>
              <w:jc w:val="left"/>
              <w:rPr>
                <w:b/>
                <w:bCs/>
                <w:color w:val="000000"/>
                <w:sz w:val="22"/>
                <w:lang w:val="en-US"/>
              </w:rPr>
            </w:pPr>
            <w:r w:rsidRPr="007115F2">
              <w:rPr>
                <w:b/>
                <w:bCs/>
                <w:color w:val="000000"/>
                <w:sz w:val="22"/>
                <w:lang w:val="en-US"/>
              </w:rPr>
              <w:t>Dependent variables</w:t>
            </w:r>
          </w:p>
        </w:tc>
        <w:tc>
          <w:tcPr>
            <w:tcW w:w="4394" w:type="dxa"/>
            <w:tcBorders>
              <w:top w:val="single" w:sz="4" w:space="0" w:color="auto"/>
            </w:tcBorders>
            <w:tcMar>
              <w:left w:w="108" w:type="dxa"/>
              <w:right w:w="108" w:type="dxa"/>
            </w:tcMar>
          </w:tcPr>
          <w:p w14:paraId="4AEF5BD4" w14:textId="77777777" w:rsidR="003C0AF1" w:rsidRPr="007115F2" w:rsidRDefault="003C0AF1" w:rsidP="007C051A">
            <w:pPr>
              <w:widowControl w:val="0"/>
              <w:suppressLineNumbers/>
              <w:suppressAutoHyphens/>
              <w:autoSpaceDE w:val="0"/>
              <w:autoSpaceDN w:val="0"/>
              <w:adjustRightInd w:val="0"/>
              <w:spacing w:line="240" w:lineRule="auto"/>
              <w:jc w:val="left"/>
              <w:rPr>
                <w:color w:val="000000"/>
                <w:sz w:val="22"/>
                <w:lang w:val="en-US"/>
              </w:rPr>
            </w:pPr>
          </w:p>
        </w:tc>
        <w:tc>
          <w:tcPr>
            <w:tcW w:w="1984" w:type="dxa"/>
            <w:tcBorders>
              <w:top w:val="single" w:sz="4" w:space="0" w:color="auto"/>
            </w:tcBorders>
          </w:tcPr>
          <w:p w14:paraId="5BA2C35C" w14:textId="77777777" w:rsidR="003C0AF1" w:rsidRPr="007115F2" w:rsidRDefault="003C0AF1" w:rsidP="007C051A">
            <w:pPr>
              <w:widowControl w:val="0"/>
              <w:autoSpaceDE w:val="0"/>
              <w:autoSpaceDN w:val="0"/>
              <w:adjustRightInd w:val="0"/>
              <w:spacing w:line="240" w:lineRule="auto"/>
              <w:jc w:val="left"/>
              <w:rPr>
                <w:color w:val="000000"/>
                <w:sz w:val="22"/>
                <w:lang w:val="en-US"/>
              </w:rPr>
            </w:pPr>
          </w:p>
        </w:tc>
      </w:tr>
      <w:tr w:rsidR="003C0AF1" w:rsidRPr="007115F2" w14:paraId="64114D20" w14:textId="77777777" w:rsidTr="0029259E">
        <w:trPr>
          <w:trHeight w:val="232"/>
        </w:trPr>
        <w:tc>
          <w:tcPr>
            <w:tcW w:w="2694" w:type="dxa"/>
            <w:tcMar>
              <w:left w:w="108" w:type="dxa"/>
              <w:right w:w="108" w:type="dxa"/>
            </w:tcMar>
          </w:tcPr>
          <w:p w14:paraId="013F7373"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DiffBenefits_1,</w:t>
            </w:r>
          </w:p>
          <w:p w14:paraId="7A3CA311"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DiffBenefits_2,</w:t>
            </w:r>
          </w:p>
          <w:p w14:paraId="0348CE66"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DiffBenefits_5</w:t>
            </w:r>
          </w:p>
        </w:tc>
        <w:tc>
          <w:tcPr>
            <w:tcW w:w="4394" w:type="dxa"/>
            <w:tcMar>
              <w:left w:w="108" w:type="dxa"/>
              <w:right w:w="108" w:type="dxa"/>
            </w:tcMar>
          </w:tcPr>
          <w:p w14:paraId="1B22CA71"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r w:rsidRPr="007115F2">
              <w:rPr>
                <w:color w:val="000000"/>
                <w:sz w:val="22"/>
                <w:lang w:val="en-US"/>
              </w:rPr>
              <w:t>Differential benefits measured over 3, 5, or 11 days around the alliance announcement date. Following Gulati and Wang (2003), the measure of differential benefits is based on the cumulative abnormal returns (</w:t>
            </w:r>
            <w:r w:rsidRPr="007115F2">
              <w:rPr>
                <w:i/>
                <w:iCs/>
                <w:color w:val="000000"/>
                <w:sz w:val="22"/>
                <w:lang w:val="en-US"/>
              </w:rPr>
              <w:t>CAR</w:t>
            </w:r>
            <w:r w:rsidRPr="007115F2">
              <w:rPr>
                <w:color w:val="000000"/>
                <w:sz w:val="22"/>
                <w:lang w:val="en-US"/>
              </w:rPr>
              <w:t xml:space="preserve">) of both alliance partners </w:t>
            </w:r>
            <w:r w:rsidRPr="007115F2">
              <w:rPr>
                <w:i/>
                <w:iCs/>
                <w:color w:val="000000"/>
                <w:sz w:val="22"/>
                <w:lang w:val="en-US"/>
              </w:rPr>
              <w:t>i</w:t>
            </w:r>
            <w:r w:rsidRPr="007115F2">
              <w:rPr>
                <w:color w:val="000000"/>
                <w:sz w:val="22"/>
                <w:lang w:val="en-US"/>
              </w:rPr>
              <w:t xml:space="preserve"> and </w:t>
            </w:r>
            <w:r w:rsidRPr="007115F2">
              <w:rPr>
                <w:i/>
                <w:iCs/>
                <w:color w:val="000000"/>
                <w:sz w:val="22"/>
                <w:lang w:val="en-US"/>
              </w:rPr>
              <w:t>j</w:t>
            </w:r>
            <w:r w:rsidRPr="007115F2">
              <w:rPr>
                <w:color w:val="000000"/>
                <w:sz w:val="22"/>
                <w:lang w:val="en-US"/>
              </w:rPr>
              <w:t xml:space="preserve"> and is calculated as follows:</w:t>
            </w:r>
          </w:p>
          <w:p w14:paraId="20BD0B0D"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p>
          <w:p w14:paraId="0F5DAC78" w14:textId="77777777" w:rsidR="003C0AF1" w:rsidRPr="007115F2" w:rsidRDefault="00000000" w:rsidP="007C051A">
            <w:pPr>
              <w:widowControl w:val="0"/>
              <w:suppressLineNumbers/>
              <w:suppressAutoHyphens/>
              <w:autoSpaceDE w:val="0"/>
              <w:autoSpaceDN w:val="0"/>
              <w:adjustRightInd w:val="0"/>
              <w:spacing w:line="240" w:lineRule="auto"/>
              <w:rPr>
                <w:color w:val="000000"/>
                <w:sz w:val="22"/>
                <w:lang w:val="en-US"/>
              </w:rPr>
            </w:pPr>
            <m:oMath>
              <m:sSub>
                <m:sSubPr>
                  <m:ctrlPr>
                    <w:rPr>
                      <w:rFonts w:ascii="Cambria Math" w:hAnsi="Cambria Math"/>
                      <w:i/>
                      <w:sz w:val="22"/>
                    </w:rPr>
                  </m:ctrlPr>
                </m:sSubPr>
                <m:e>
                  <m:r>
                    <w:rPr>
                      <w:rFonts w:ascii="Cambria Math" w:hAnsi="Cambria Math"/>
                      <w:sz w:val="22"/>
                    </w:rPr>
                    <m:t>DifferentialBenefits</m:t>
                  </m:r>
                </m:e>
                <m:sub>
                  <m:r>
                    <w:rPr>
                      <w:rFonts w:ascii="Cambria Math" w:hAnsi="Cambria Math"/>
                      <w:sz w:val="22"/>
                    </w:rPr>
                    <m:t>GW</m:t>
                  </m:r>
                </m:sub>
              </m:sSub>
              <m:r>
                <w:rPr>
                  <w:rFonts w:ascii="Cambria Math" w:hAnsi="Cambria Math"/>
                  <w:sz w:val="22"/>
                  <w:lang w:val="en-US"/>
                </w:rPr>
                <m:t>=</m:t>
              </m:r>
              <m:func>
                <m:funcPr>
                  <m:ctrlPr>
                    <w:rPr>
                      <w:rFonts w:ascii="Cambria Math" w:hAnsi="Cambria Math"/>
                      <w:i/>
                      <w:sz w:val="22"/>
                    </w:rPr>
                  </m:ctrlPr>
                </m:funcPr>
                <m:fName>
                  <m:r>
                    <m:rPr>
                      <m:sty m:val="p"/>
                    </m:rPr>
                    <w:rPr>
                      <w:rFonts w:ascii="Cambria Math" w:hAnsi="Cambria Math"/>
                      <w:sz w:val="22"/>
                      <w:lang w:val="en-US"/>
                    </w:rPr>
                    <m:t>(</m:t>
                  </m:r>
                  <m:r>
                    <w:rPr>
                      <w:rFonts w:ascii="Cambria Math" w:hAnsi="Cambria Math"/>
                      <w:sz w:val="22"/>
                      <w:lang w:val="en-US"/>
                    </w:rPr>
                    <m:t>exp</m:t>
                  </m:r>
                </m:fName>
                <m:e>
                  <m:d>
                    <m:dPr>
                      <m:ctrlPr>
                        <w:rPr>
                          <w:rFonts w:ascii="Cambria Math" w:hAnsi="Cambria Math"/>
                          <w:i/>
                          <w:sz w:val="22"/>
                        </w:rPr>
                      </m:ctrlPr>
                    </m:dPr>
                    <m:e>
                      <m:func>
                        <m:funcPr>
                          <m:ctrlPr>
                            <w:rPr>
                              <w:rFonts w:ascii="Cambria Math" w:hAnsi="Cambria Math"/>
                              <w:i/>
                              <w:sz w:val="22"/>
                            </w:rPr>
                          </m:ctrlPr>
                        </m:funcPr>
                        <m:fName>
                          <m:r>
                            <w:rPr>
                              <w:rFonts w:ascii="Cambria Math" w:hAnsi="Cambria Math"/>
                              <w:sz w:val="22"/>
                            </w:rPr>
                            <m:t>max</m:t>
                          </m:r>
                        </m:fName>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CAR</m:t>
                                  </m:r>
                                </m:e>
                                <m:sub>
                                  <m:r>
                                    <w:rPr>
                                      <w:rFonts w:ascii="Cambria Math" w:hAnsi="Cambria Math"/>
                                      <w:sz w:val="22"/>
                                    </w:rPr>
                                    <m:t>i</m:t>
                                  </m:r>
                                </m:sub>
                              </m:sSub>
                              <m:r>
                                <w:rPr>
                                  <w:rFonts w:ascii="Cambria Math" w:hAnsi="Cambria Math"/>
                                  <w:sz w:val="22"/>
                                  <w:lang w:val="en-US"/>
                                </w:rPr>
                                <m:t xml:space="preserve">, </m:t>
                              </m:r>
                              <m:sSub>
                                <m:sSubPr>
                                  <m:ctrlPr>
                                    <w:rPr>
                                      <w:rFonts w:ascii="Cambria Math" w:hAnsi="Cambria Math"/>
                                      <w:i/>
                                      <w:sz w:val="22"/>
                                    </w:rPr>
                                  </m:ctrlPr>
                                </m:sSubPr>
                                <m:e>
                                  <m:r>
                                    <w:rPr>
                                      <w:rFonts w:ascii="Cambria Math" w:hAnsi="Cambria Math"/>
                                      <w:sz w:val="22"/>
                                    </w:rPr>
                                    <m:t>CAR</m:t>
                                  </m:r>
                                </m:e>
                                <m:sub>
                                  <m:r>
                                    <w:rPr>
                                      <w:rFonts w:ascii="Cambria Math" w:hAnsi="Cambria Math"/>
                                      <w:sz w:val="22"/>
                                    </w:rPr>
                                    <m:t>j</m:t>
                                  </m:r>
                                </m:sub>
                              </m:sSub>
                            </m:e>
                          </m:d>
                        </m:e>
                      </m:func>
                    </m:e>
                  </m:d>
                </m:e>
              </m:func>
              <m:r>
                <w:rPr>
                  <w:rFonts w:ascii="Cambria Math" w:hAnsi="Cambria Math"/>
                  <w:sz w:val="22"/>
                  <w:lang w:val="en-US"/>
                </w:rPr>
                <m:t>-exp</m:t>
              </m:r>
              <m:r>
                <m:rPr>
                  <m:sty m:val="p"/>
                </m:rPr>
                <w:rPr>
                  <w:rFonts w:ascii="Cambria Math" w:hAnsi="Cambria Math"/>
                  <w:sz w:val="22"/>
                  <w:lang w:val="en-US"/>
                </w:rPr>
                <m:t>⁡</m:t>
              </m:r>
              <m:r>
                <w:rPr>
                  <w:rFonts w:ascii="Cambria Math" w:hAnsi="Cambria Math"/>
                  <w:sz w:val="22"/>
                  <w:lang w:val="en-US"/>
                </w:rPr>
                <m:t>(</m:t>
              </m:r>
              <m:func>
                <m:funcPr>
                  <m:ctrlPr>
                    <w:rPr>
                      <w:rFonts w:ascii="Cambria Math" w:hAnsi="Cambria Math"/>
                      <w:sz w:val="22"/>
                    </w:rPr>
                  </m:ctrlPr>
                </m:funcPr>
                <m:fName>
                  <m:r>
                    <w:rPr>
                      <w:rFonts w:ascii="Cambria Math" w:hAnsi="Cambria Math"/>
                      <w:sz w:val="22"/>
                      <w:lang w:val="en-US"/>
                    </w:rPr>
                    <m:t>min</m:t>
                  </m:r>
                  <m:ctrlPr>
                    <w:rPr>
                      <w:rFonts w:ascii="Cambria Math" w:hAnsi="Cambria Math"/>
                      <w:i/>
                      <w:sz w:val="22"/>
                    </w:rPr>
                  </m:ctrlPr>
                </m:fName>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CAR</m:t>
                          </m:r>
                        </m:e>
                        <m:sub>
                          <m:r>
                            <w:rPr>
                              <w:rFonts w:ascii="Cambria Math" w:hAnsi="Cambria Math"/>
                              <w:sz w:val="22"/>
                            </w:rPr>
                            <m:t>i</m:t>
                          </m:r>
                        </m:sub>
                      </m:sSub>
                      <m:r>
                        <w:rPr>
                          <w:rFonts w:ascii="Cambria Math" w:hAnsi="Cambria Math"/>
                          <w:sz w:val="22"/>
                          <w:lang w:val="en-US"/>
                        </w:rPr>
                        <m:t xml:space="preserve">, </m:t>
                      </m:r>
                      <m:sSub>
                        <m:sSubPr>
                          <m:ctrlPr>
                            <w:rPr>
                              <w:rFonts w:ascii="Cambria Math" w:hAnsi="Cambria Math"/>
                              <w:i/>
                              <w:sz w:val="22"/>
                            </w:rPr>
                          </m:ctrlPr>
                        </m:sSubPr>
                        <m:e>
                          <m:r>
                            <w:rPr>
                              <w:rFonts w:ascii="Cambria Math" w:hAnsi="Cambria Math"/>
                              <w:sz w:val="22"/>
                            </w:rPr>
                            <m:t>CAR</m:t>
                          </m:r>
                        </m:e>
                        <m:sub>
                          <m:r>
                            <w:rPr>
                              <w:rFonts w:ascii="Cambria Math" w:hAnsi="Cambria Math"/>
                              <w:sz w:val="22"/>
                            </w:rPr>
                            <m:t>j</m:t>
                          </m:r>
                        </m:sub>
                      </m:sSub>
                    </m:e>
                  </m:d>
                  <m:r>
                    <w:rPr>
                      <w:rFonts w:ascii="Cambria Math" w:hAnsi="Cambria Math"/>
                      <w:sz w:val="22"/>
                      <w:lang w:val="en-US"/>
                    </w:rPr>
                    <m:t>)</m:t>
                  </m:r>
                </m:e>
              </m:func>
              <m:r>
                <w:rPr>
                  <w:rFonts w:ascii="Cambria Math" w:hAnsi="Cambria Math"/>
                  <w:sz w:val="22"/>
                  <w:lang w:val="en-US"/>
                </w:rPr>
                <m:t xml:space="preserve"> /</m:t>
              </m:r>
              <m:func>
                <m:funcPr>
                  <m:ctrlPr>
                    <w:rPr>
                      <w:rFonts w:ascii="Cambria Math" w:hAnsi="Cambria Math"/>
                      <w:i/>
                      <w:sz w:val="22"/>
                    </w:rPr>
                  </m:ctrlPr>
                </m:funcPr>
                <m:fName>
                  <m:r>
                    <m:rPr>
                      <m:sty m:val="p"/>
                    </m:rPr>
                    <w:rPr>
                      <w:rFonts w:ascii="Cambria Math" w:hAnsi="Cambria Math"/>
                      <w:sz w:val="22"/>
                      <w:lang w:val="en-US"/>
                    </w:rPr>
                    <m:t>(</m:t>
                  </m:r>
                  <m:r>
                    <w:rPr>
                      <w:rFonts w:ascii="Cambria Math" w:hAnsi="Cambria Math"/>
                      <w:sz w:val="22"/>
                      <w:lang w:val="en-US"/>
                    </w:rPr>
                    <m:t>exp</m:t>
                  </m:r>
                </m:fName>
                <m:e>
                  <m:d>
                    <m:dPr>
                      <m:ctrlPr>
                        <w:rPr>
                          <w:rFonts w:ascii="Cambria Math" w:hAnsi="Cambria Math"/>
                          <w:i/>
                          <w:sz w:val="22"/>
                        </w:rPr>
                      </m:ctrlPr>
                    </m:dPr>
                    <m:e>
                      <m:func>
                        <m:funcPr>
                          <m:ctrlPr>
                            <w:rPr>
                              <w:rFonts w:ascii="Cambria Math" w:hAnsi="Cambria Math"/>
                              <w:i/>
                              <w:sz w:val="22"/>
                            </w:rPr>
                          </m:ctrlPr>
                        </m:funcPr>
                        <m:fName>
                          <m:r>
                            <w:rPr>
                              <w:rFonts w:ascii="Cambria Math" w:hAnsi="Cambria Math"/>
                              <w:sz w:val="22"/>
                            </w:rPr>
                            <m:t>max</m:t>
                          </m:r>
                        </m:fName>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CAR</m:t>
                                  </m:r>
                                </m:e>
                                <m:sub>
                                  <m:r>
                                    <w:rPr>
                                      <w:rFonts w:ascii="Cambria Math" w:hAnsi="Cambria Math"/>
                                      <w:sz w:val="22"/>
                                    </w:rPr>
                                    <m:t>i</m:t>
                                  </m:r>
                                </m:sub>
                              </m:sSub>
                              <m:r>
                                <w:rPr>
                                  <w:rFonts w:ascii="Cambria Math" w:hAnsi="Cambria Math"/>
                                  <w:sz w:val="22"/>
                                  <w:lang w:val="en-US"/>
                                </w:rPr>
                                <m:t xml:space="preserve">, </m:t>
                              </m:r>
                              <m:sSub>
                                <m:sSubPr>
                                  <m:ctrlPr>
                                    <w:rPr>
                                      <w:rFonts w:ascii="Cambria Math" w:hAnsi="Cambria Math"/>
                                      <w:i/>
                                      <w:sz w:val="22"/>
                                    </w:rPr>
                                  </m:ctrlPr>
                                </m:sSubPr>
                                <m:e>
                                  <m:r>
                                    <w:rPr>
                                      <w:rFonts w:ascii="Cambria Math" w:hAnsi="Cambria Math"/>
                                      <w:sz w:val="22"/>
                                    </w:rPr>
                                    <m:t>CAR</m:t>
                                  </m:r>
                                </m:e>
                                <m:sub>
                                  <m:r>
                                    <w:rPr>
                                      <w:rFonts w:ascii="Cambria Math" w:hAnsi="Cambria Math"/>
                                      <w:sz w:val="22"/>
                                    </w:rPr>
                                    <m:t>j</m:t>
                                  </m:r>
                                </m:sub>
                              </m:sSub>
                            </m:e>
                          </m:d>
                        </m:e>
                      </m:func>
                    </m:e>
                  </m:d>
                </m:e>
              </m:func>
              <m:r>
                <m:rPr>
                  <m:sty m:val="p"/>
                </m:rPr>
                <w:rPr>
                  <w:rFonts w:ascii="Cambria Math" w:hAnsi="Cambria Math"/>
                  <w:sz w:val="22"/>
                  <w:lang w:val="en-US"/>
                </w:rPr>
                <m:t>+</m:t>
              </m:r>
              <m:r>
                <w:rPr>
                  <w:rFonts w:ascii="Cambria Math" w:hAnsi="Cambria Math"/>
                  <w:sz w:val="22"/>
                  <w:lang w:val="en-US"/>
                </w:rPr>
                <m:t>exp</m:t>
              </m:r>
              <m:r>
                <m:rPr>
                  <m:sty m:val="p"/>
                </m:rPr>
                <w:rPr>
                  <w:rFonts w:ascii="Cambria Math" w:hAnsi="Cambria Math"/>
                  <w:sz w:val="22"/>
                  <w:lang w:val="en-US"/>
                </w:rPr>
                <m:t>⁡</m:t>
              </m:r>
              <m:r>
                <w:rPr>
                  <w:rFonts w:ascii="Cambria Math" w:hAnsi="Cambria Math"/>
                  <w:sz w:val="22"/>
                  <w:lang w:val="en-US"/>
                </w:rPr>
                <m:t>(</m:t>
              </m:r>
              <m:func>
                <m:funcPr>
                  <m:ctrlPr>
                    <w:rPr>
                      <w:rFonts w:ascii="Cambria Math" w:hAnsi="Cambria Math"/>
                      <w:sz w:val="22"/>
                    </w:rPr>
                  </m:ctrlPr>
                </m:funcPr>
                <m:fName>
                  <m:r>
                    <w:rPr>
                      <w:rFonts w:ascii="Cambria Math" w:hAnsi="Cambria Math"/>
                      <w:sz w:val="22"/>
                      <w:lang w:val="en-US"/>
                    </w:rPr>
                    <m:t>min</m:t>
                  </m:r>
                  <m:ctrlPr>
                    <w:rPr>
                      <w:rFonts w:ascii="Cambria Math" w:hAnsi="Cambria Math"/>
                      <w:i/>
                      <w:sz w:val="22"/>
                    </w:rPr>
                  </m:ctrlPr>
                </m:fName>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CAR</m:t>
                          </m:r>
                        </m:e>
                        <m:sub>
                          <m:r>
                            <w:rPr>
                              <w:rFonts w:ascii="Cambria Math" w:hAnsi="Cambria Math"/>
                              <w:sz w:val="22"/>
                            </w:rPr>
                            <m:t>i</m:t>
                          </m:r>
                        </m:sub>
                      </m:sSub>
                      <m:r>
                        <w:rPr>
                          <w:rFonts w:ascii="Cambria Math" w:hAnsi="Cambria Math"/>
                          <w:sz w:val="22"/>
                          <w:lang w:val="en-US"/>
                        </w:rPr>
                        <m:t xml:space="preserve">, </m:t>
                      </m:r>
                      <m:sSub>
                        <m:sSubPr>
                          <m:ctrlPr>
                            <w:rPr>
                              <w:rFonts w:ascii="Cambria Math" w:hAnsi="Cambria Math"/>
                              <w:i/>
                              <w:sz w:val="22"/>
                            </w:rPr>
                          </m:ctrlPr>
                        </m:sSubPr>
                        <m:e>
                          <m:r>
                            <w:rPr>
                              <w:rFonts w:ascii="Cambria Math" w:hAnsi="Cambria Math"/>
                              <w:sz w:val="22"/>
                            </w:rPr>
                            <m:t>CAR</m:t>
                          </m:r>
                        </m:e>
                        <m:sub>
                          <m:r>
                            <w:rPr>
                              <w:rFonts w:ascii="Cambria Math" w:hAnsi="Cambria Math"/>
                              <w:sz w:val="22"/>
                            </w:rPr>
                            <m:t>j</m:t>
                          </m:r>
                        </m:sub>
                      </m:sSub>
                    </m:e>
                  </m:d>
                </m:e>
              </m:func>
              <m:r>
                <w:rPr>
                  <w:rFonts w:ascii="Cambria Math" w:hAnsi="Cambria Math"/>
                  <w:sz w:val="22"/>
                  <w:lang w:val="en-US"/>
                </w:rPr>
                <m:t>))</m:t>
              </m:r>
            </m:oMath>
            <w:r w:rsidR="003C0AF1" w:rsidRPr="007115F2">
              <w:rPr>
                <w:color w:val="000000"/>
                <w:sz w:val="22"/>
                <w:lang w:val="en-US"/>
              </w:rPr>
              <w:t xml:space="preserve"> </w:t>
            </w:r>
          </w:p>
        </w:tc>
        <w:tc>
          <w:tcPr>
            <w:tcW w:w="1984" w:type="dxa"/>
          </w:tcPr>
          <w:p w14:paraId="17AE3AA8"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Gulati &amp; Wang, 2003</w:t>
            </w:r>
          </w:p>
          <w:p w14:paraId="120D0850" w14:textId="77777777" w:rsidR="003C0AF1" w:rsidRPr="007115F2" w:rsidRDefault="003C0AF1" w:rsidP="007C051A">
            <w:pPr>
              <w:widowControl w:val="0"/>
              <w:autoSpaceDE w:val="0"/>
              <w:autoSpaceDN w:val="0"/>
              <w:adjustRightInd w:val="0"/>
              <w:spacing w:line="240" w:lineRule="auto"/>
              <w:jc w:val="left"/>
              <w:rPr>
                <w:color w:val="000000"/>
                <w:sz w:val="22"/>
                <w:lang w:val="en-US"/>
              </w:rPr>
            </w:pPr>
          </w:p>
          <w:p w14:paraId="1904B144" w14:textId="77777777" w:rsidR="003C0AF1" w:rsidRPr="007115F2" w:rsidRDefault="003C0AF1" w:rsidP="007C051A">
            <w:pPr>
              <w:widowControl w:val="0"/>
              <w:autoSpaceDE w:val="0"/>
              <w:autoSpaceDN w:val="0"/>
              <w:adjustRightInd w:val="0"/>
              <w:spacing w:line="240" w:lineRule="auto"/>
              <w:jc w:val="left"/>
              <w:rPr>
                <w:color w:val="000000"/>
                <w:sz w:val="22"/>
                <w:lang w:val="en-US"/>
              </w:rPr>
            </w:pPr>
          </w:p>
        </w:tc>
      </w:tr>
      <w:tr w:rsidR="003C0AF1" w:rsidRPr="007115F2" w14:paraId="3FC3A569" w14:textId="77777777" w:rsidTr="0029259E">
        <w:trPr>
          <w:trHeight w:val="210"/>
        </w:trPr>
        <w:tc>
          <w:tcPr>
            <w:tcW w:w="2694" w:type="dxa"/>
            <w:tcMar>
              <w:left w:w="108" w:type="dxa"/>
              <w:right w:w="108" w:type="dxa"/>
            </w:tcMar>
          </w:tcPr>
          <w:p w14:paraId="06C8B326"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DiffBenefits_Abs_1,</w:t>
            </w:r>
          </w:p>
          <w:p w14:paraId="5C8D6935"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DiffBenefits_Abs_2,</w:t>
            </w:r>
          </w:p>
          <w:p w14:paraId="3809FD22"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DiffBenefits_Abs_5</w:t>
            </w:r>
          </w:p>
          <w:p w14:paraId="7240C3E3" w14:textId="77777777" w:rsidR="003C0AF1" w:rsidRPr="007115F2" w:rsidRDefault="003C0AF1" w:rsidP="007C051A">
            <w:pPr>
              <w:widowControl w:val="0"/>
              <w:autoSpaceDE w:val="0"/>
              <w:autoSpaceDN w:val="0"/>
              <w:adjustRightInd w:val="0"/>
              <w:spacing w:line="240" w:lineRule="auto"/>
              <w:jc w:val="left"/>
              <w:rPr>
                <w:color w:val="000000"/>
                <w:sz w:val="22"/>
                <w:lang w:val="en-US"/>
              </w:rPr>
            </w:pPr>
          </w:p>
        </w:tc>
        <w:tc>
          <w:tcPr>
            <w:tcW w:w="4394" w:type="dxa"/>
            <w:tcMar>
              <w:left w:w="108" w:type="dxa"/>
              <w:right w:w="108" w:type="dxa"/>
            </w:tcMar>
          </w:tcPr>
          <w:p w14:paraId="39A7C0B2"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r w:rsidRPr="007115F2">
              <w:rPr>
                <w:color w:val="000000"/>
                <w:sz w:val="22"/>
                <w:lang w:val="en-US"/>
              </w:rPr>
              <w:t>Absolute differential benefits is measured over 3, 5, or 11 days around the alliance announcement date and represents the absolute difference in the alliance partners' cumulative abnormal returns (</w:t>
            </w:r>
            <w:r w:rsidRPr="007115F2">
              <w:rPr>
                <w:i/>
                <w:iCs/>
                <w:color w:val="000000"/>
                <w:sz w:val="22"/>
                <w:lang w:val="en-US"/>
              </w:rPr>
              <w:t>CAR</w:t>
            </w:r>
            <w:r w:rsidRPr="007115F2">
              <w:rPr>
                <w:color w:val="000000"/>
                <w:sz w:val="22"/>
                <w:lang w:val="en-US"/>
              </w:rPr>
              <w:t>) around the alliance announcement date:</w:t>
            </w:r>
          </w:p>
          <w:p w14:paraId="73982F6C" w14:textId="77777777" w:rsidR="003C0AF1" w:rsidRPr="007115F2" w:rsidRDefault="003C0AF1" w:rsidP="007C051A">
            <w:pPr>
              <w:widowControl w:val="0"/>
              <w:suppressLineNumbers/>
              <w:suppressAutoHyphens/>
              <w:autoSpaceDE w:val="0"/>
              <w:autoSpaceDN w:val="0"/>
              <w:adjustRightInd w:val="0"/>
              <w:spacing w:line="240" w:lineRule="auto"/>
              <w:rPr>
                <w:sz w:val="22"/>
                <w:lang w:val="en-US"/>
              </w:rPr>
            </w:pPr>
          </w:p>
          <w:p w14:paraId="30603C5E" w14:textId="77777777" w:rsidR="003C0AF1" w:rsidRPr="007115F2" w:rsidRDefault="00000000" w:rsidP="007C051A">
            <w:pPr>
              <w:widowControl w:val="0"/>
              <w:suppressLineNumbers/>
              <w:suppressAutoHyphens/>
              <w:autoSpaceDE w:val="0"/>
              <w:autoSpaceDN w:val="0"/>
              <w:adjustRightInd w:val="0"/>
              <w:spacing w:line="240" w:lineRule="auto"/>
              <w:rPr>
                <w:color w:val="000000"/>
                <w:sz w:val="22"/>
                <w:lang w:val="en-US"/>
              </w:rPr>
            </w:pPr>
            <m:oMathPara>
              <m:oMath>
                <m:sSub>
                  <m:sSubPr>
                    <m:ctrlPr>
                      <w:rPr>
                        <w:rFonts w:ascii="Cambria Math" w:hAnsi="Cambria Math"/>
                        <w:i/>
                        <w:sz w:val="22"/>
                      </w:rPr>
                    </m:ctrlPr>
                  </m:sSubPr>
                  <m:e>
                    <m:r>
                      <w:rPr>
                        <w:rFonts w:ascii="Cambria Math" w:hAnsi="Cambria Math"/>
                        <w:sz w:val="22"/>
                      </w:rPr>
                      <m:t>DifferentialBenefits</m:t>
                    </m:r>
                  </m:e>
                  <m:sub>
                    <m:r>
                      <w:rPr>
                        <w:rFonts w:ascii="Cambria Math" w:hAnsi="Cambria Math"/>
                        <w:sz w:val="22"/>
                      </w:rPr>
                      <m:t>Abs</m:t>
                    </m:r>
                  </m:sub>
                </m:sSub>
                <m:r>
                  <w:rPr>
                    <w:rFonts w:ascii="Cambria Math" w:hAnsi="Cambria Math"/>
                    <w:sz w:val="22"/>
                    <w:lang w:val="en-US"/>
                  </w:rPr>
                  <m:t>=</m:t>
                </m:r>
                <m:r>
                  <m:rPr>
                    <m:sty m:val="p"/>
                  </m:rPr>
                  <w:rPr>
                    <w:rFonts w:ascii="Cambria Math" w:hAnsi="Cambria Math"/>
                    <w:sz w:val="22"/>
                    <w:lang w:val="en-US"/>
                  </w:rPr>
                  <w:br/>
                </m:r>
              </m:oMath>
              <m:oMath>
                <m:func>
                  <m:funcPr>
                    <m:ctrlPr>
                      <w:rPr>
                        <w:rFonts w:ascii="Cambria Math" w:hAnsi="Cambria Math"/>
                        <w:sz w:val="22"/>
                      </w:rPr>
                    </m:ctrlPr>
                  </m:funcPr>
                  <m:fName>
                    <m:r>
                      <w:rPr>
                        <w:rFonts w:ascii="Cambria Math" w:hAnsi="Cambria Math"/>
                        <w:sz w:val="22"/>
                        <w:lang w:val="en-US"/>
                      </w:rPr>
                      <m:t>max</m:t>
                    </m:r>
                    <m:ctrlPr>
                      <w:rPr>
                        <w:rFonts w:ascii="Cambria Math" w:hAnsi="Cambria Math"/>
                        <w:i/>
                        <w:sz w:val="22"/>
                      </w:rPr>
                    </m:ctrlPr>
                  </m:fName>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CAR</m:t>
                            </m:r>
                          </m:e>
                          <m:sub>
                            <m:r>
                              <w:rPr>
                                <w:rFonts w:ascii="Cambria Math" w:hAnsi="Cambria Math"/>
                                <w:sz w:val="22"/>
                              </w:rPr>
                              <m:t>i</m:t>
                            </m:r>
                          </m:sub>
                        </m:sSub>
                        <m:r>
                          <w:rPr>
                            <w:rFonts w:ascii="Cambria Math" w:hAnsi="Cambria Math"/>
                            <w:sz w:val="22"/>
                            <w:lang w:val="en-US"/>
                          </w:rPr>
                          <m:t xml:space="preserve">, </m:t>
                        </m:r>
                        <m:sSub>
                          <m:sSubPr>
                            <m:ctrlPr>
                              <w:rPr>
                                <w:rFonts w:ascii="Cambria Math" w:hAnsi="Cambria Math"/>
                                <w:i/>
                                <w:sz w:val="22"/>
                              </w:rPr>
                            </m:ctrlPr>
                          </m:sSubPr>
                          <m:e>
                            <m:r>
                              <w:rPr>
                                <w:rFonts w:ascii="Cambria Math" w:hAnsi="Cambria Math"/>
                                <w:sz w:val="22"/>
                              </w:rPr>
                              <m:t>CAR</m:t>
                            </m:r>
                          </m:e>
                          <m:sub>
                            <m:r>
                              <w:rPr>
                                <w:rFonts w:ascii="Cambria Math" w:hAnsi="Cambria Math"/>
                                <w:sz w:val="22"/>
                              </w:rPr>
                              <m:t>j</m:t>
                            </m:r>
                          </m:sub>
                        </m:sSub>
                      </m:e>
                    </m:d>
                  </m:e>
                </m:func>
                <m:r>
                  <w:rPr>
                    <w:rFonts w:ascii="Cambria Math" w:hAnsi="Cambria Math"/>
                    <w:sz w:val="22"/>
                    <w:lang w:val="en-US"/>
                  </w:rPr>
                  <m:t xml:space="preserve">- </m:t>
                </m:r>
                <m:func>
                  <m:funcPr>
                    <m:ctrlPr>
                      <w:rPr>
                        <w:rFonts w:ascii="Cambria Math" w:hAnsi="Cambria Math"/>
                        <w:sz w:val="22"/>
                      </w:rPr>
                    </m:ctrlPr>
                  </m:funcPr>
                  <m:fName>
                    <m:r>
                      <w:rPr>
                        <w:rFonts w:ascii="Cambria Math" w:hAnsi="Cambria Math"/>
                        <w:sz w:val="22"/>
                        <w:lang w:val="en-US"/>
                      </w:rPr>
                      <m:t>min</m:t>
                    </m:r>
                    <m:ctrlPr>
                      <w:rPr>
                        <w:rFonts w:ascii="Cambria Math" w:hAnsi="Cambria Math"/>
                        <w:i/>
                        <w:sz w:val="22"/>
                      </w:rPr>
                    </m:ctrlPr>
                  </m:fName>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CAR</m:t>
                            </m:r>
                          </m:e>
                          <m:sub>
                            <m:r>
                              <w:rPr>
                                <w:rFonts w:ascii="Cambria Math" w:hAnsi="Cambria Math"/>
                                <w:sz w:val="22"/>
                              </w:rPr>
                              <m:t>i</m:t>
                            </m:r>
                          </m:sub>
                        </m:sSub>
                        <m:r>
                          <w:rPr>
                            <w:rFonts w:ascii="Cambria Math" w:hAnsi="Cambria Math"/>
                            <w:sz w:val="22"/>
                            <w:lang w:val="en-US"/>
                          </w:rPr>
                          <m:t xml:space="preserve">, </m:t>
                        </m:r>
                        <m:sSub>
                          <m:sSubPr>
                            <m:ctrlPr>
                              <w:rPr>
                                <w:rFonts w:ascii="Cambria Math" w:hAnsi="Cambria Math"/>
                                <w:i/>
                                <w:sz w:val="22"/>
                              </w:rPr>
                            </m:ctrlPr>
                          </m:sSubPr>
                          <m:e>
                            <m:r>
                              <w:rPr>
                                <w:rFonts w:ascii="Cambria Math" w:hAnsi="Cambria Math"/>
                                <w:sz w:val="22"/>
                              </w:rPr>
                              <m:t>CAR</m:t>
                            </m:r>
                          </m:e>
                          <m:sub>
                            <m:r>
                              <w:rPr>
                                <w:rFonts w:ascii="Cambria Math" w:hAnsi="Cambria Math"/>
                                <w:sz w:val="22"/>
                              </w:rPr>
                              <m:t>j</m:t>
                            </m:r>
                          </m:sub>
                        </m:sSub>
                      </m:e>
                    </m:d>
                  </m:e>
                </m:func>
                <m:r>
                  <w:rPr>
                    <w:rFonts w:ascii="Cambria Math" w:hAnsi="Cambria Math"/>
                    <w:sz w:val="22"/>
                    <w:lang w:val="en-US"/>
                  </w:rPr>
                  <m:t xml:space="preserve"> </m:t>
                </m:r>
              </m:oMath>
            </m:oMathPara>
          </w:p>
        </w:tc>
        <w:tc>
          <w:tcPr>
            <w:tcW w:w="1984" w:type="dxa"/>
          </w:tcPr>
          <w:p w14:paraId="76F8BEFB" w14:textId="77777777" w:rsidR="003C0AF1" w:rsidRPr="007115F2" w:rsidRDefault="003C0AF1" w:rsidP="007C051A">
            <w:pPr>
              <w:widowControl w:val="0"/>
              <w:autoSpaceDE w:val="0"/>
              <w:autoSpaceDN w:val="0"/>
              <w:adjustRightInd w:val="0"/>
              <w:spacing w:line="240" w:lineRule="auto"/>
              <w:jc w:val="left"/>
              <w:rPr>
                <w:color w:val="000000"/>
                <w:sz w:val="22"/>
                <w:lang w:val="en-US"/>
              </w:rPr>
            </w:pPr>
          </w:p>
        </w:tc>
      </w:tr>
      <w:tr w:rsidR="003C0AF1" w:rsidRPr="007115F2" w14:paraId="0538DEE5" w14:textId="77777777" w:rsidTr="0029259E">
        <w:trPr>
          <w:trHeight w:val="210"/>
        </w:trPr>
        <w:tc>
          <w:tcPr>
            <w:tcW w:w="2694" w:type="dxa"/>
            <w:tcMar>
              <w:left w:w="108" w:type="dxa"/>
              <w:right w:w="108" w:type="dxa"/>
            </w:tcMar>
          </w:tcPr>
          <w:p w14:paraId="4FAD7B4B" w14:textId="77777777" w:rsidR="003C0AF1" w:rsidRPr="007115F2" w:rsidRDefault="003C0AF1" w:rsidP="007C051A">
            <w:pPr>
              <w:widowControl w:val="0"/>
              <w:autoSpaceDE w:val="0"/>
              <w:autoSpaceDN w:val="0"/>
              <w:adjustRightInd w:val="0"/>
              <w:spacing w:line="240" w:lineRule="auto"/>
              <w:jc w:val="left"/>
              <w:rPr>
                <w:b/>
                <w:bCs/>
                <w:color w:val="000000"/>
                <w:sz w:val="22"/>
                <w:lang w:val="en-US"/>
              </w:rPr>
            </w:pPr>
            <w:r w:rsidRPr="007115F2">
              <w:rPr>
                <w:b/>
                <w:bCs/>
                <w:color w:val="000000"/>
                <w:sz w:val="22"/>
                <w:lang w:val="en-US"/>
              </w:rPr>
              <w:t>Independent variables</w:t>
            </w:r>
          </w:p>
        </w:tc>
        <w:tc>
          <w:tcPr>
            <w:tcW w:w="4394" w:type="dxa"/>
            <w:tcMar>
              <w:left w:w="108" w:type="dxa"/>
              <w:right w:w="108" w:type="dxa"/>
            </w:tcMar>
          </w:tcPr>
          <w:p w14:paraId="4D5FD765"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r w:rsidRPr="007115F2">
              <w:rPr>
                <w:color w:val="000000"/>
                <w:sz w:val="22"/>
                <w:lang w:val="en-US"/>
              </w:rPr>
              <w:t xml:space="preserve"> </w:t>
            </w:r>
          </w:p>
        </w:tc>
        <w:tc>
          <w:tcPr>
            <w:tcW w:w="1984" w:type="dxa"/>
          </w:tcPr>
          <w:p w14:paraId="70D70DC9" w14:textId="77777777" w:rsidR="003C0AF1" w:rsidRPr="007115F2" w:rsidRDefault="003C0AF1" w:rsidP="007C051A">
            <w:pPr>
              <w:widowControl w:val="0"/>
              <w:autoSpaceDE w:val="0"/>
              <w:autoSpaceDN w:val="0"/>
              <w:adjustRightInd w:val="0"/>
              <w:spacing w:line="240" w:lineRule="auto"/>
              <w:jc w:val="left"/>
              <w:rPr>
                <w:color w:val="000000"/>
                <w:sz w:val="22"/>
                <w:lang w:val="en-US"/>
              </w:rPr>
            </w:pPr>
          </w:p>
        </w:tc>
      </w:tr>
      <w:tr w:rsidR="003C0AF1" w:rsidRPr="00BE5632" w14:paraId="4924422B" w14:textId="77777777" w:rsidTr="0029259E">
        <w:trPr>
          <w:trHeight w:val="1132"/>
        </w:trPr>
        <w:tc>
          <w:tcPr>
            <w:tcW w:w="2694" w:type="dxa"/>
            <w:tcMar>
              <w:left w:w="108" w:type="dxa"/>
              <w:right w:w="108" w:type="dxa"/>
            </w:tcMar>
          </w:tcPr>
          <w:p w14:paraId="71CBA8DE"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Direct_BoardInterlocks</w:t>
            </w:r>
          </w:p>
        </w:tc>
        <w:tc>
          <w:tcPr>
            <w:tcW w:w="4394" w:type="dxa"/>
            <w:tcMar>
              <w:left w:w="108" w:type="dxa"/>
              <w:right w:w="108" w:type="dxa"/>
            </w:tcMar>
          </w:tcPr>
          <w:p w14:paraId="2D1A36E6"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r w:rsidRPr="007115F2">
              <w:rPr>
                <w:color w:val="000000"/>
                <w:sz w:val="22"/>
                <w:lang w:val="en-US"/>
              </w:rPr>
              <w:t>Dichotomous indicator variable indicating whether the alliance partners were connected by a direct board interlock at the time of the alliance announcement (i.e., whether a board member served on both boards at the same time).</w:t>
            </w:r>
          </w:p>
        </w:tc>
        <w:tc>
          <w:tcPr>
            <w:tcW w:w="1984" w:type="dxa"/>
          </w:tcPr>
          <w:p w14:paraId="61B8DEE8" w14:textId="77777777" w:rsidR="003C0AF1" w:rsidRPr="007115F2" w:rsidRDefault="003C0AF1" w:rsidP="007C051A">
            <w:pPr>
              <w:widowControl w:val="0"/>
              <w:autoSpaceDE w:val="0"/>
              <w:autoSpaceDN w:val="0"/>
              <w:adjustRightInd w:val="0"/>
              <w:spacing w:line="240" w:lineRule="auto"/>
              <w:jc w:val="left"/>
              <w:rPr>
                <w:sz w:val="22"/>
                <w:lang w:val="en-US"/>
              </w:rPr>
            </w:pPr>
            <w:r w:rsidRPr="007115F2">
              <w:rPr>
                <w:sz w:val="22"/>
                <w:lang w:val="en-US"/>
              </w:rPr>
              <w:t>Gulati &amp; Westphal, 1999;</w:t>
            </w:r>
          </w:p>
          <w:p w14:paraId="0C4C63D2" w14:textId="77777777" w:rsidR="003C0AF1" w:rsidRPr="007115F2" w:rsidRDefault="003C0AF1" w:rsidP="007C051A">
            <w:pPr>
              <w:widowControl w:val="0"/>
              <w:autoSpaceDE w:val="0"/>
              <w:autoSpaceDN w:val="0"/>
              <w:adjustRightInd w:val="0"/>
              <w:spacing w:line="240" w:lineRule="auto"/>
              <w:jc w:val="left"/>
              <w:rPr>
                <w:sz w:val="22"/>
                <w:lang w:val="en-US"/>
              </w:rPr>
            </w:pPr>
            <w:r w:rsidRPr="007115F2">
              <w:rPr>
                <w:sz w:val="22"/>
                <w:lang w:val="en-US"/>
              </w:rPr>
              <w:t>Liu, Mantecon, Silveri, &amp; Sun, 2020</w:t>
            </w:r>
          </w:p>
          <w:p w14:paraId="699E143A" w14:textId="77777777" w:rsidR="003C0AF1" w:rsidRPr="007115F2" w:rsidRDefault="003C0AF1" w:rsidP="007C051A">
            <w:pPr>
              <w:widowControl w:val="0"/>
              <w:autoSpaceDE w:val="0"/>
              <w:autoSpaceDN w:val="0"/>
              <w:adjustRightInd w:val="0"/>
              <w:spacing w:line="240" w:lineRule="auto"/>
              <w:jc w:val="left"/>
              <w:rPr>
                <w:sz w:val="22"/>
                <w:lang w:val="en-US"/>
              </w:rPr>
            </w:pPr>
          </w:p>
          <w:p w14:paraId="707AE3F6" w14:textId="77777777" w:rsidR="003C0AF1" w:rsidRPr="007115F2" w:rsidRDefault="003C0AF1" w:rsidP="007C051A">
            <w:pPr>
              <w:widowControl w:val="0"/>
              <w:autoSpaceDE w:val="0"/>
              <w:autoSpaceDN w:val="0"/>
              <w:adjustRightInd w:val="0"/>
              <w:spacing w:line="240" w:lineRule="auto"/>
              <w:jc w:val="left"/>
              <w:rPr>
                <w:sz w:val="22"/>
                <w:lang w:val="en-US"/>
              </w:rPr>
            </w:pPr>
          </w:p>
          <w:p w14:paraId="35884DFA" w14:textId="77777777" w:rsidR="003C0AF1" w:rsidRPr="007115F2" w:rsidRDefault="003C0AF1" w:rsidP="007C051A">
            <w:pPr>
              <w:widowControl w:val="0"/>
              <w:autoSpaceDE w:val="0"/>
              <w:autoSpaceDN w:val="0"/>
              <w:adjustRightInd w:val="0"/>
              <w:spacing w:line="240" w:lineRule="auto"/>
              <w:jc w:val="left"/>
              <w:rPr>
                <w:color w:val="000000"/>
                <w:sz w:val="22"/>
                <w:lang w:val="en-US"/>
              </w:rPr>
            </w:pPr>
          </w:p>
        </w:tc>
      </w:tr>
      <w:tr w:rsidR="003C0AF1" w:rsidRPr="007115F2" w14:paraId="6BF81FE4" w14:textId="77777777" w:rsidTr="0029259E">
        <w:trPr>
          <w:trHeight w:val="1132"/>
        </w:trPr>
        <w:tc>
          <w:tcPr>
            <w:tcW w:w="2694" w:type="dxa"/>
            <w:tcMar>
              <w:left w:w="108" w:type="dxa"/>
              <w:right w:w="108" w:type="dxa"/>
            </w:tcMar>
          </w:tcPr>
          <w:p w14:paraId="0F0B3701"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Indirect_BoardInterlocks</w:t>
            </w:r>
          </w:p>
        </w:tc>
        <w:tc>
          <w:tcPr>
            <w:tcW w:w="4394" w:type="dxa"/>
            <w:tcMar>
              <w:left w:w="108" w:type="dxa"/>
              <w:right w:w="108" w:type="dxa"/>
            </w:tcMar>
          </w:tcPr>
          <w:p w14:paraId="3C49CA80"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r w:rsidRPr="007115F2">
              <w:rPr>
                <w:color w:val="000000"/>
                <w:sz w:val="22"/>
                <w:lang w:val="en-US"/>
              </w:rPr>
              <w:t>Dichotomous indicator variable indicating whether the two alliance partners were linked by an indirect board interlock at the time the alliance was announced. Indirect interlocks exist when directors of both alliance partners sit on the board of a third firm.</w:t>
            </w:r>
          </w:p>
        </w:tc>
        <w:tc>
          <w:tcPr>
            <w:tcW w:w="1984" w:type="dxa"/>
          </w:tcPr>
          <w:p w14:paraId="75EA5F9F"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Burt, 1980;</w:t>
            </w:r>
          </w:p>
          <w:p w14:paraId="3B634FC6"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Gulati &amp; Westphal, 1999</w:t>
            </w:r>
          </w:p>
        </w:tc>
      </w:tr>
      <w:tr w:rsidR="003C0AF1" w:rsidRPr="007115F2" w14:paraId="5BE76FCE" w14:textId="77777777" w:rsidTr="0029259E">
        <w:trPr>
          <w:trHeight w:val="230"/>
        </w:trPr>
        <w:tc>
          <w:tcPr>
            <w:tcW w:w="2694" w:type="dxa"/>
            <w:tcMar>
              <w:left w:w="108" w:type="dxa"/>
              <w:right w:w="108" w:type="dxa"/>
            </w:tcMar>
          </w:tcPr>
          <w:p w14:paraId="28EC5A2D" w14:textId="77777777" w:rsidR="003C0AF1" w:rsidRPr="007115F2" w:rsidRDefault="003C0AF1" w:rsidP="007C051A">
            <w:pPr>
              <w:widowControl w:val="0"/>
              <w:autoSpaceDE w:val="0"/>
              <w:autoSpaceDN w:val="0"/>
              <w:adjustRightInd w:val="0"/>
              <w:spacing w:line="240" w:lineRule="auto"/>
              <w:jc w:val="left"/>
              <w:rPr>
                <w:b/>
                <w:bCs/>
                <w:color w:val="000000"/>
                <w:sz w:val="22"/>
                <w:lang w:val="en-US"/>
              </w:rPr>
            </w:pPr>
            <w:r w:rsidRPr="007115F2">
              <w:rPr>
                <w:b/>
                <w:bCs/>
                <w:color w:val="000000"/>
                <w:sz w:val="22"/>
                <w:lang w:val="en-US"/>
              </w:rPr>
              <w:t>Moderating variables</w:t>
            </w:r>
          </w:p>
        </w:tc>
        <w:tc>
          <w:tcPr>
            <w:tcW w:w="4394" w:type="dxa"/>
            <w:tcMar>
              <w:left w:w="108" w:type="dxa"/>
              <w:right w:w="108" w:type="dxa"/>
            </w:tcMar>
          </w:tcPr>
          <w:p w14:paraId="0E4C3D01"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r w:rsidRPr="007115F2">
              <w:rPr>
                <w:color w:val="000000"/>
                <w:sz w:val="22"/>
                <w:lang w:val="en-US"/>
              </w:rPr>
              <w:t xml:space="preserve"> </w:t>
            </w:r>
          </w:p>
        </w:tc>
        <w:tc>
          <w:tcPr>
            <w:tcW w:w="1984" w:type="dxa"/>
          </w:tcPr>
          <w:p w14:paraId="1DCCFBE0" w14:textId="77777777" w:rsidR="003C0AF1" w:rsidRPr="007115F2" w:rsidRDefault="003C0AF1" w:rsidP="007C051A">
            <w:pPr>
              <w:widowControl w:val="0"/>
              <w:autoSpaceDE w:val="0"/>
              <w:autoSpaceDN w:val="0"/>
              <w:adjustRightInd w:val="0"/>
              <w:spacing w:line="240" w:lineRule="auto"/>
              <w:jc w:val="left"/>
              <w:rPr>
                <w:color w:val="000000"/>
                <w:sz w:val="22"/>
                <w:lang w:val="en-US"/>
              </w:rPr>
            </w:pPr>
          </w:p>
        </w:tc>
      </w:tr>
      <w:tr w:rsidR="003C0AF1" w:rsidRPr="007115F2" w14:paraId="40A4E455" w14:textId="77777777" w:rsidTr="0029259E">
        <w:trPr>
          <w:trHeight w:val="230"/>
        </w:trPr>
        <w:tc>
          <w:tcPr>
            <w:tcW w:w="2694" w:type="dxa"/>
            <w:tcMar>
              <w:left w:w="108" w:type="dxa"/>
              <w:right w:w="108" w:type="dxa"/>
            </w:tcMar>
          </w:tcPr>
          <w:p w14:paraId="58B90AD9"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Relaltive_BoardPower</w:t>
            </w:r>
          </w:p>
        </w:tc>
        <w:tc>
          <w:tcPr>
            <w:tcW w:w="4394" w:type="dxa"/>
            <w:tcMar>
              <w:left w:w="108" w:type="dxa"/>
              <w:right w:w="108" w:type="dxa"/>
            </w:tcMar>
          </w:tcPr>
          <w:p w14:paraId="4DE21EF1"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r w:rsidRPr="007115F2">
              <w:rPr>
                <w:color w:val="000000"/>
                <w:sz w:val="22"/>
                <w:lang w:val="en-US"/>
              </w:rPr>
              <w:t xml:space="preserve">Ratio of one alliance partner's Board Power Index to that of the other alliance partner. </w:t>
            </w:r>
          </w:p>
          <w:p w14:paraId="76C9E3E8"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r w:rsidRPr="007115F2">
              <w:rPr>
                <w:color w:val="000000"/>
                <w:sz w:val="22"/>
                <w:lang w:val="en-US"/>
              </w:rPr>
              <w:t xml:space="preserve">The Board Power Index, a composite index that captures the structural and ownership power of the board for each alliance partner, is adapted from Haynes and Hillman (2010). It includes CEO duality (i.e., whether the CEO is also the chairman), the ratio of outside directors to total directors, the ratio of CEO ownership to director ownership, and the ratio of directors </w:t>
            </w:r>
            <w:r w:rsidRPr="007115F2">
              <w:rPr>
                <w:color w:val="000000"/>
                <w:sz w:val="22"/>
                <w:lang w:val="en-US"/>
              </w:rPr>
              <w:lastRenderedPageBreak/>
              <w:t>appointed after the CEO. These variables were standardized, inverted, and summed to create an index of board power.</w:t>
            </w:r>
          </w:p>
          <w:p w14:paraId="3A392BC0"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p>
          <w:p w14:paraId="3E5030F4"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r w:rsidRPr="007115F2">
              <w:rPr>
                <w:color w:val="000000"/>
                <w:sz w:val="22"/>
                <w:lang w:val="en-US"/>
              </w:rPr>
              <w:t>Data was obtained from the BoardEx database of Wharton Research Data Services.</w:t>
            </w:r>
          </w:p>
        </w:tc>
        <w:tc>
          <w:tcPr>
            <w:tcW w:w="1984" w:type="dxa"/>
          </w:tcPr>
          <w:p w14:paraId="2572D011"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lastRenderedPageBreak/>
              <w:t>Haynes &amp; Hillman, 2010</w:t>
            </w:r>
          </w:p>
        </w:tc>
      </w:tr>
      <w:tr w:rsidR="003C0AF1" w:rsidRPr="00BE5632" w14:paraId="5AE71E5E" w14:textId="77777777" w:rsidTr="0029259E">
        <w:trPr>
          <w:trHeight w:val="230"/>
        </w:trPr>
        <w:tc>
          <w:tcPr>
            <w:tcW w:w="2694" w:type="dxa"/>
            <w:tcMar>
              <w:left w:w="108" w:type="dxa"/>
              <w:right w:w="108" w:type="dxa"/>
            </w:tcMar>
          </w:tcPr>
          <w:p w14:paraId="10D867A6"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Relative_FirmStatus</w:t>
            </w:r>
          </w:p>
        </w:tc>
        <w:tc>
          <w:tcPr>
            <w:tcW w:w="4394" w:type="dxa"/>
            <w:tcMar>
              <w:left w:w="108" w:type="dxa"/>
              <w:right w:w="108" w:type="dxa"/>
            </w:tcMar>
          </w:tcPr>
          <w:p w14:paraId="590D0BD1"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r w:rsidRPr="007115F2">
              <w:rPr>
                <w:color w:val="000000"/>
                <w:sz w:val="22"/>
                <w:lang w:val="en-US"/>
              </w:rPr>
              <w:t>Ratio of the higher to the lower Bonacich eigenvector centrality measure for each partner in the alliance network (Bonacich, 1987) Eigenvector centrality is a widely used measure of firm status that captures the extent to which each alliance partner is connected to well-connected others in the overall alliance network  (Yang, Lin, &amp; Lin, 2010).</w:t>
            </w:r>
          </w:p>
          <w:p w14:paraId="648B39D3"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p>
        </w:tc>
        <w:tc>
          <w:tcPr>
            <w:tcW w:w="1984" w:type="dxa"/>
          </w:tcPr>
          <w:p w14:paraId="4C3638E1"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Ahuja, Polidoro, &amp; Mitchell, 2009;</w:t>
            </w:r>
          </w:p>
          <w:p w14:paraId="5730F8C9"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Arslan, 2018;</w:t>
            </w:r>
          </w:p>
          <w:p w14:paraId="0CC52A30"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Chandler, Haunschild, Rhee, &amp; Beckman, 2013;</w:t>
            </w:r>
          </w:p>
          <w:p w14:paraId="02F02DE3"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Gulati &amp; Gargiulo, 1999;</w:t>
            </w:r>
          </w:p>
          <w:p w14:paraId="531D04A7"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Jensen, 2003;</w:t>
            </w:r>
          </w:p>
          <w:p w14:paraId="1B485470"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Podolny, 1993;</w:t>
            </w:r>
          </w:p>
          <w:p w14:paraId="40DC0808"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Yang et al., 2010</w:t>
            </w:r>
          </w:p>
          <w:p w14:paraId="542CEF59" w14:textId="77777777" w:rsidR="003C0AF1" w:rsidRPr="007115F2" w:rsidRDefault="003C0AF1" w:rsidP="007C051A">
            <w:pPr>
              <w:widowControl w:val="0"/>
              <w:autoSpaceDE w:val="0"/>
              <w:autoSpaceDN w:val="0"/>
              <w:adjustRightInd w:val="0"/>
              <w:spacing w:line="240" w:lineRule="auto"/>
              <w:jc w:val="left"/>
              <w:rPr>
                <w:color w:val="000000"/>
                <w:sz w:val="22"/>
                <w:lang w:val="en-US"/>
              </w:rPr>
            </w:pPr>
          </w:p>
        </w:tc>
      </w:tr>
      <w:tr w:rsidR="003C0AF1" w:rsidRPr="007115F2" w14:paraId="4AC5FC91" w14:textId="77777777" w:rsidTr="0029259E">
        <w:trPr>
          <w:trHeight w:val="232"/>
        </w:trPr>
        <w:tc>
          <w:tcPr>
            <w:tcW w:w="2694" w:type="dxa"/>
            <w:tcMar>
              <w:left w:w="108" w:type="dxa"/>
              <w:right w:w="108" w:type="dxa"/>
            </w:tcMar>
          </w:tcPr>
          <w:p w14:paraId="6F84F1B5" w14:textId="77777777" w:rsidR="003C0AF1" w:rsidRPr="007115F2" w:rsidRDefault="003C0AF1" w:rsidP="007C051A">
            <w:pPr>
              <w:widowControl w:val="0"/>
              <w:autoSpaceDE w:val="0"/>
              <w:autoSpaceDN w:val="0"/>
              <w:adjustRightInd w:val="0"/>
              <w:spacing w:line="240" w:lineRule="auto"/>
              <w:jc w:val="left"/>
              <w:rPr>
                <w:b/>
                <w:bCs/>
                <w:color w:val="000000"/>
                <w:sz w:val="22"/>
                <w:lang w:val="en-US"/>
              </w:rPr>
            </w:pPr>
            <w:r w:rsidRPr="007115F2">
              <w:rPr>
                <w:b/>
                <w:bCs/>
                <w:color w:val="000000"/>
                <w:sz w:val="22"/>
                <w:lang w:val="en-US"/>
              </w:rPr>
              <w:t>Board-level controls</w:t>
            </w:r>
          </w:p>
        </w:tc>
        <w:tc>
          <w:tcPr>
            <w:tcW w:w="4394" w:type="dxa"/>
            <w:tcMar>
              <w:left w:w="108" w:type="dxa"/>
              <w:right w:w="108" w:type="dxa"/>
            </w:tcMar>
          </w:tcPr>
          <w:p w14:paraId="5A39ACBB"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p>
        </w:tc>
        <w:tc>
          <w:tcPr>
            <w:tcW w:w="1984" w:type="dxa"/>
          </w:tcPr>
          <w:p w14:paraId="71A46510" w14:textId="77777777" w:rsidR="003C0AF1" w:rsidRPr="007115F2" w:rsidRDefault="003C0AF1" w:rsidP="007C051A">
            <w:pPr>
              <w:widowControl w:val="0"/>
              <w:autoSpaceDE w:val="0"/>
              <w:autoSpaceDN w:val="0"/>
              <w:adjustRightInd w:val="0"/>
              <w:spacing w:line="240" w:lineRule="auto"/>
              <w:jc w:val="left"/>
              <w:rPr>
                <w:color w:val="000000"/>
                <w:sz w:val="22"/>
                <w:lang w:val="en-US"/>
              </w:rPr>
            </w:pPr>
          </w:p>
        </w:tc>
      </w:tr>
      <w:tr w:rsidR="003C0AF1" w:rsidRPr="007115F2" w14:paraId="586880D1" w14:textId="77777777" w:rsidTr="0029259E">
        <w:trPr>
          <w:trHeight w:val="853"/>
        </w:trPr>
        <w:tc>
          <w:tcPr>
            <w:tcW w:w="2694" w:type="dxa"/>
            <w:tcMar>
              <w:left w:w="108" w:type="dxa"/>
              <w:right w:w="108" w:type="dxa"/>
            </w:tcMar>
          </w:tcPr>
          <w:p w14:paraId="287713EE"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Prior_Board_Ties</w:t>
            </w:r>
          </w:p>
        </w:tc>
        <w:tc>
          <w:tcPr>
            <w:tcW w:w="4394" w:type="dxa"/>
            <w:tcMar>
              <w:left w:w="108" w:type="dxa"/>
              <w:right w:w="108" w:type="dxa"/>
            </w:tcMar>
          </w:tcPr>
          <w:p w14:paraId="7B444F59" w14:textId="77777777" w:rsidR="003C0AF1" w:rsidRPr="007115F2" w:rsidRDefault="003C0AF1" w:rsidP="007C051A">
            <w:pPr>
              <w:widowControl w:val="0"/>
              <w:suppressLineNumbers/>
              <w:suppressAutoHyphens/>
              <w:autoSpaceDE w:val="0"/>
              <w:autoSpaceDN w:val="0"/>
              <w:adjustRightInd w:val="0"/>
              <w:spacing w:line="240" w:lineRule="auto"/>
              <w:rPr>
                <w:color w:val="000000" w:themeColor="text1"/>
                <w:sz w:val="22"/>
                <w:lang w:val="en-US"/>
              </w:rPr>
            </w:pPr>
            <w:r w:rsidRPr="007115F2">
              <w:rPr>
                <w:color w:val="000000" w:themeColor="text1"/>
                <w:sz w:val="22"/>
                <w:lang w:val="en-US"/>
              </w:rPr>
              <w:t>Total number of private (e.g., educational) and non-private (e.g., former employment) connections of directors of both alliance partners with all other firms in the network. Data is taken from Wharton Research Data Services' BoardEx database.</w:t>
            </w:r>
          </w:p>
        </w:tc>
        <w:tc>
          <w:tcPr>
            <w:tcW w:w="1984" w:type="dxa"/>
          </w:tcPr>
          <w:p w14:paraId="06A50AE3" w14:textId="77777777" w:rsidR="003C0AF1" w:rsidRPr="007115F2" w:rsidRDefault="003C0AF1" w:rsidP="007C051A">
            <w:pPr>
              <w:widowControl w:val="0"/>
              <w:autoSpaceDE w:val="0"/>
              <w:autoSpaceDN w:val="0"/>
              <w:adjustRightInd w:val="0"/>
              <w:spacing w:line="240" w:lineRule="auto"/>
              <w:jc w:val="left"/>
              <w:rPr>
                <w:sz w:val="22"/>
                <w:lang w:val="en-US"/>
              </w:rPr>
            </w:pPr>
            <w:r w:rsidRPr="007115F2">
              <w:rPr>
                <w:sz w:val="22"/>
                <w:lang w:val="en-US"/>
              </w:rPr>
              <w:t>Gulati &amp; Westphal, 1999;</w:t>
            </w:r>
          </w:p>
          <w:p w14:paraId="049F5C31" w14:textId="77777777" w:rsidR="003C0AF1" w:rsidRPr="007115F2" w:rsidRDefault="003C0AF1" w:rsidP="007C051A">
            <w:pPr>
              <w:widowControl w:val="0"/>
              <w:autoSpaceDE w:val="0"/>
              <w:autoSpaceDN w:val="0"/>
              <w:adjustRightInd w:val="0"/>
              <w:spacing w:line="240" w:lineRule="auto"/>
              <w:jc w:val="left"/>
              <w:rPr>
                <w:sz w:val="22"/>
                <w:lang w:val="en-US"/>
              </w:rPr>
            </w:pPr>
            <w:r w:rsidRPr="007115F2">
              <w:rPr>
                <w:sz w:val="22"/>
                <w:lang w:val="en-US"/>
              </w:rPr>
              <w:t>Liu et al., 2020;</w:t>
            </w:r>
          </w:p>
          <w:p w14:paraId="70A08057"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Polidoro, Ahuja, &amp; Mitchell, 2011</w:t>
            </w:r>
          </w:p>
        </w:tc>
      </w:tr>
      <w:tr w:rsidR="003C0AF1" w:rsidRPr="007115F2" w14:paraId="4E66759E" w14:textId="77777777" w:rsidTr="0029259E">
        <w:trPr>
          <w:trHeight w:val="853"/>
        </w:trPr>
        <w:tc>
          <w:tcPr>
            <w:tcW w:w="2694" w:type="dxa"/>
            <w:tcMar>
              <w:left w:w="108" w:type="dxa"/>
              <w:right w:w="108" w:type="dxa"/>
            </w:tcMar>
          </w:tcPr>
          <w:p w14:paraId="3C22AB77"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Relative_Board_NetworkSize</w:t>
            </w:r>
          </w:p>
        </w:tc>
        <w:tc>
          <w:tcPr>
            <w:tcW w:w="4394" w:type="dxa"/>
            <w:tcMar>
              <w:left w:w="108" w:type="dxa"/>
              <w:right w:w="108" w:type="dxa"/>
            </w:tcMar>
          </w:tcPr>
          <w:p w14:paraId="1918D065" w14:textId="77777777" w:rsidR="003C0AF1" w:rsidRPr="007115F2" w:rsidRDefault="003C0AF1" w:rsidP="007C051A">
            <w:pPr>
              <w:widowControl w:val="0"/>
              <w:suppressLineNumbers/>
              <w:suppressAutoHyphens/>
              <w:autoSpaceDE w:val="0"/>
              <w:autoSpaceDN w:val="0"/>
              <w:adjustRightInd w:val="0"/>
              <w:spacing w:line="240" w:lineRule="auto"/>
              <w:rPr>
                <w:color w:val="000000" w:themeColor="text1"/>
                <w:sz w:val="22"/>
                <w:lang w:val="en-US"/>
              </w:rPr>
            </w:pPr>
            <w:r w:rsidRPr="007115F2">
              <w:rPr>
                <w:color w:val="000000" w:themeColor="text1"/>
                <w:sz w:val="22"/>
                <w:lang w:val="en-US"/>
              </w:rPr>
              <w:t>Ratio of the total number network connections of board members of both alliance partners at the time of the alliance announcement. The variable is calculated from the BoardEx database of Wharton Research Data Services.</w:t>
            </w:r>
          </w:p>
        </w:tc>
        <w:tc>
          <w:tcPr>
            <w:tcW w:w="1984" w:type="dxa"/>
          </w:tcPr>
          <w:p w14:paraId="67FF7633"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Chandler et al., 2013</w:t>
            </w:r>
          </w:p>
        </w:tc>
      </w:tr>
      <w:tr w:rsidR="003C0AF1" w:rsidRPr="007115F2" w14:paraId="158B0CCB" w14:textId="77777777" w:rsidTr="0029259E">
        <w:trPr>
          <w:trHeight w:val="57"/>
        </w:trPr>
        <w:tc>
          <w:tcPr>
            <w:tcW w:w="2694" w:type="dxa"/>
            <w:tcMar>
              <w:left w:w="108" w:type="dxa"/>
              <w:right w:w="108" w:type="dxa"/>
            </w:tcMar>
          </w:tcPr>
          <w:p w14:paraId="4BBB083D" w14:textId="77777777" w:rsidR="003C0AF1" w:rsidRPr="007115F2" w:rsidRDefault="003C0AF1" w:rsidP="007C051A">
            <w:pPr>
              <w:widowControl w:val="0"/>
              <w:autoSpaceDE w:val="0"/>
              <w:autoSpaceDN w:val="0"/>
              <w:adjustRightInd w:val="0"/>
              <w:spacing w:line="240" w:lineRule="auto"/>
              <w:jc w:val="left"/>
              <w:rPr>
                <w:b/>
                <w:bCs/>
                <w:color w:val="000000"/>
                <w:sz w:val="22"/>
                <w:lang w:val="en-US"/>
              </w:rPr>
            </w:pPr>
            <w:r w:rsidRPr="007115F2">
              <w:rPr>
                <w:b/>
                <w:bCs/>
                <w:color w:val="000000"/>
                <w:sz w:val="22"/>
                <w:lang w:val="en-US"/>
              </w:rPr>
              <w:t>Firm Dyad-level controls</w:t>
            </w:r>
          </w:p>
        </w:tc>
        <w:tc>
          <w:tcPr>
            <w:tcW w:w="4394" w:type="dxa"/>
            <w:tcMar>
              <w:left w:w="108" w:type="dxa"/>
              <w:right w:w="108" w:type="dxa"/>
            </w:tcMar>
          </w:tcPr>
          <w:p w14:paraId="6137DDD5"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r w:rsidRPr="007115F2">
              <w:rPr>
                <w:color w:val="000000"/>
                <w:sz w:val="22"/>
                <w:lang w:val="en-US"/>
              </w:rPr>
              <w:t xml:space="preserve"> </w:t>
            </w:r>
          </w:p>
        </w:tc>
        <w:tc>
          <w:tcPr>
            <w:tcW w:w="1984" w:type="dxa"/>
          </w:tcPr>
          <w:p w14:paraId="37460DC5" w14:textId="77777777" w:rsidR="003C0AF1" w:rsidRPr="007115F2" w:rsidRDefault="003C0AF1" w:rsidP="007C051A">
            <w:pPr>
              <w:widowControl w:val="0"/>
              <w:autoSpaceDE w:val="0"/>
              <w:autoSpaceDN w:val="0"/>
              <w:adjustRightInd w:val="0"/>
              <w:spacing w:line="240" w:lineRule="auto"/>
              <w:jc w:val="left"/>
              <w:rPr>
                <w:color w:val="000000"/>
                <w:sz w:val="22"/>
                <w:lang w:val="en-US"/>
              </w:rPr>
            </w:pPr>
          </w:p>
        </w:tc>
      </w:tr>
      <w:tr w:rsidR="003C0AF1" w:rsidRPr="007115F2" w14:paraId="52B49276" w14:textId="77777777" w:rsidTr="0029259E">
        <w:trPr>
          <w:trHeight w:val="552"/>
        </w:trPr>
        <w:tc>
          <w:tcPr>
            <w:tcW w:w="2694" w:type="dxa"/>
            <w:tcMar>
              <w:left w:w="108" w:type="dxa"/>
              <w:right w:w="108" w:type="dxa"/>
            </w:tcMar>
          </w:tcPr>
          <w:p w14:paraId="12769380"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Ln(Total_FirmSize)</w:t>
            </w:r>
          </w:p>
        </w:tc>
        <w:tc>
          <w:tcPr>
            <w:tcW w:w="4394" w:type="dxa"/>
            <w:tcMar>
              <w:left w:w="108" w:type="dxa"/>
              <w:right w:w="108" w:type="dxa"/>
            </w:tcMar>
          </w:tcPr>
          <w:p w14:paraId="6A05617A"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r w:rsidRPr="007115F2">
              <w:rPr>
                <w:color w:val="000000"/>
                <w:sz w:val="22"/>
                <w:lang w:val="en-US"/>
              </w:rPr>
              <w:t>Natural logarithm of the sum of sales of the two alliance partners in the year prior to the alliance announcement.</w:t>
            </w:r>
          </w:p>
        </w:tc>
        <w:tc>
          <w:tcPr>
            <w:tcW w:w="1984" w:type="dxa"/>
          </w:tcPr>
          <w:p w14:paraId="6B796633" w14:textId="77777777" w:rsidR="003C0AF1" w:rsidRPr="007115F2" w:rsidRDefault="003C0AF1" w:rsidP="007C051A">
            <w:pPr>
              <w:widowControl w:val="0"/>
              <w:autoSpaceDE w:val="0"/>
              <w:autoSpaceDN w:val="0"/>
              <w:adjustRightInd w:val="0"/>
              <w:spacing w:line="240" w:lineRule="auto"/>
              <w:jc w:val="left"/>
              <w:rPr>
                <w:color w:val="000000"/>
                <w:sz w:val="22"/>
              </w:rPr>
            </w:pPr>
            <w:r w:rsidRPr="007115F2">
              <w:rPr>
                <w:color w:val="000000"/>
                <w:sz w:val="22"/>
              </w:rPr>
              <w:t>Gulati &amp; Wang, 2003;</w:t>
            </w:r>
          </w:p>
          <w:p w14:paraId="2B52AD69" w14:textId="77777777" w:rsidR="003C0AF1" w:rsidRPr="007115F2" w:rsidRDefault="003C0AF1" w:rsidP="007C051A">
            <w:pPr>
              <w:widowControl w:val="0"/>
              <w:autoSpaceDE w:val="0"/>
              <w:autoSpaceDN w:val="0"/>
              <w:adjustRightInd w:val="0"/>
              <w:spacing w:line="240" w:lineRule="auto"/>
              <w:jc w:val="left"/>
              <w:rPr>
                <w:color w:val="000000"/>
                <w:sz w:val="22"/>
              </w:rPr>
            </w:pPr>
            <w:r w:rsidRPr="007115F2">
              <w:rPr>
                <w:color w:val="000000"/>
                <w:sz w:val="22"/>
              </w:rPr>
              <w:t>Kale, Dyer, &amp; Singh, 2002</w:t>
            </w:r>
          </w:p>
          <w:p w14:paraId="1DD36ACA" w14:textId="77777777" w:rsidR="003C0AF1" w:rsidRPr="007115F2" w:rsidRDefault="003C0AF1" w:rsidP="007C051A">
            <w:pPr>
              <w:widowControl w:val="0"/>
              <w:autoSpaceDE w:val="0"/>
              <w:autoSpaceDN w:val="0"/>
              <w:adjustRightInd w:val="0"/>
              <w:spacing w:line="240" w:lineRule="auto"/>
              <w:jc w:val="left"/>
              <w:rPr>
                <w:color w:val="000000"/>
                <w:sz w:val="22"/>
              </w:rPr>
            </w:pPr>
          </w:p>
        </w:tc>
      </w:tr>
      <w:tr w:rsidR="003C0AF1" w:rsidRPr="007115F2" w14:paraId="0E006B2E" w14:textId="77777777" w:rsidTr="0029259E">
        <w:trPr>
          <w:trHeight w:val="361"/>
        </w:trPr>
        <w:tc>
          <w:tcPr>
            <w:tcW w:w="2694" w:type="dxa"/>
            <w:tcMar>
              <w:left w:w="108" w:type="dxa"/>
              <w:right w:w="108" w:type="dxa"/>
            </w:tcMar>
          </w:tcPr>
          <w:p w14:paraId="746392DA"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Relative_FirmSize</w:t>
            </w:r>
          </w:p>
        </w:tc>
        <w:tc>
          <w:tcPr>
            <w:tcW w:w="4394" w:type="dxa"/>
            <w:tcMar>
              <w:left w:w="108" w:type="dxa"/>
              <w:right w:w="108" w:type="dxa"/>
            </w:tcMar>
          </w:tcPr>
          <w:p w14:paraId="2B05BB2B"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r w:rsidRPr="007115F2">
              <w:rPr>
                <w:color w:val="000000"/>
                <w:sz w:val="22"/>
                <w:lang w:val="en-US"/>
              </w:rPr>
              <w:t>Ratio of higher to lower sales of the two alliance partners in the year prior to the alliance announcement. Relative size captures different organizational structures and strategic dependence on the alliance, resulting in different intentions to collaborate (Das, Sen, &amp; Sengupta, 1998).</w:t>
            </w:r>
          </w:p>
        </w:tc>
        <w:tc>
          <w:tcPr>
            <w:tcW w:w="1984" w:type="dxa"/>
          </w:tcPr>
          <w:p w14:paraId="15EA31C5"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Gulati &amp; Gargiulo, 1999;</w:t>
            </w:r>
          </w:p>
          <w:p w14:paraId="5484218A"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Gulati &amp; Wang, 2003;</w:t>
            </w:r>
          </w:p>
          <w:p w14:paraId="6C079634"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Gulati, Lavie, &amp; Singh, 2009;</w:t>
            </w:r>
          </w:p>
          <w:p w14:paraId="7A1A3861" w14:textId="77777777" w:rsidR="003C0AF1" w:rsidRPr="007115F2" w:rsidRDefault="003C0AF1" w:rsidP="007C051A">
            <w:pPr>
              <w:widowControl w:val="0"/>
              <w:autoSpaceDE w:val="0"/>
              <w:autoSpaceDN w:val="0"/>
              <w:adjustRightInd w:val="0"/>
              <w:spacing w:line="240" w:lineRule="auto"/>
              <w:jc w:val="left"/>
              <w:rPr>
                <w:color w:val="000000"/>
                <w:sz w:val="22"/>
              </w:rPr>
            </w:pPr>
            <w:r w:rsidRPr="007115F2">
              <w:rPr>
                <w:color w:val="000000"/>
                <w:sz w:val="22"/>
              </w:rPr>
              <w:t>Oxley, 1997</w:t>
            </w:r>
          </w:p>
          <w:p w14:paraId="5AF1EC3B" w14:textId="77777777" w:rsidR="003C0AF1" w:rsidRPr="007115F2" w:rsidRDefault="003C0AF1" w:rsidP="007C051A">
            <w:pPr>
              <w:widowControl w:val="0"/>
              <w:autoSpaceDE w:val="0"/>
              <w:autoSpaceDN w:val="0"/>
              <w:adjustRightInd w:val="0"/>
              <w:spacing w:line="240" w:lineRule="auto"/>
              <w:jc w:val="left"/>
              <w:rPr>
                <w:color w:val="000000"/>
                <w:sz w:val="22"/>
                <w:lang w:val="en-US"/>
              </w:rPr>
            </w:pPr>
          </w:p>
        </w:tc>
      </w:tr>
      <w:tr w:rsidR="003C0AF1" w:rsidRPr="007115F2" w14:paraId="68FBBB62" w14:textId="77777777" w:rsidTr="0029259E">
        <w:trPr>
          <w:trHeight w:val="310"/>
        </w:trPr>
        <w:tc>
          <w:tcPr>
            <w:tcW w:w="2694" w:type="dxa"/>
            <w:tcMar>
              <w:left w:w="108" w:type="dxa"/>
              <w:right w:w="108" w:type="dxa"/>
            </w:tcMar>
          </w:tcPr>
          <w:p w14:paraId="411C6BB9"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Relative_FirmPerformance</w:t>
            </w:r>
          </w:p>
        </w:tc>
        <w:tc>
          <w:tcPr>
            <w:tcW w:w="4394" w:type="dxa"/>
            <w:tcMar>
              <w:left w:w="108" w:type="dxa"/>
              <w:right w:w="108" w:type="dxa"/>
            </w:tcMar>
          </w:tcPr>
          <w:p w14:paraId="7A5D71E5"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r w:rsidRPr="007115F2">
              <w:rPr>
                <w:color w:val="000000"/>
                <w:sz w:val="22"/>
                <w:lang w:val="en-US"/>
              </w:rPr>
              <w:t>Following Wang and Zajac (2007), relative firm performance is calculated by first taking the exponential of the return on assets of both alliance partners (one year prior to the alliance announcement) and then calculating the ratio of the absolute value of the difference between the two firms' transformed ROAs to the sum of both firms' transformed ROAs. This process controls for the potential mixing of positive and negative ROA values.</w:t>
            </w:r>
          </w:p>
        </w:tc>
        <w:tc>
          <w:tcPr>
            <w:tcW w:w="1984" w:type="dxa"/>
          </w:tcPr>
          <w:p w14:paraId="6DE7484A"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Ahuja et al., 2009;</w:t>
            </w:r>
          </w:p>
          <w:p w14:paraId="5CCD2083"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Gulati &amp; Gargiulo, 1999;</w:t>
            </w:r>
          </w:p>
          <w:p w14:paraId="44653581" w14:textId="77777777" w:rsidR="003C0AF1" w:rsidRPr="007115F2" w:rsidRDefault="003C0AF1" w:rsidP="007C051A">
            <w:pPr>
              <w:widowControl w:val="0"/>
              <w:autoSpaceDE w:val="0"/>
              <w:autoSpaceDN w:val="0"/>
              <w:adjustRightInd w:val="0"/>
              <w:spacing w:line="240" w:lineRule="auto"/>
              <w:jc w:val="left"/>
              <w:rPr>
                <w:color w:val="000000"/>
                <w:sz w:val="22"/>
              </w:rPr>
            </w:pPr>
            <w:r w:rsidRPr="007115F2">
              <w:rPr>
                <w:color w:val="000000"/>
                <w:sz w:val="22"/>
              </w:rPr>
              <w:t>Gulati &amp; Wang, 2003;</w:t>
            </w:r>
          </w:p>
          <w:p w14:paraId="79C26FA0"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Wang &amp; Zajac, 2007</w:t>
            </w:r>
          </w:p>
          <w:p w14:paraId="33413E31" w14:textId="77777777" w:rsidR="003C0AF1" w:rsidRPr="007115F2" w:rsidRDefault="003C0AF1" w:rsidP="007C051A">
            <w:pPr>
              <w:widowControl w:val="0"/>
              <w:autoSpaceDE w:val="0"/>
              <w:autoSpaceDN w:val="0"/>
              <w:adjustRightInd w:val="0"/>
              <w:spacing w:line="240" w:lineRule="auto"/>
              <w:jc w:val="left"/>
              <w:rPr>
                <w:color w:val="000000"/>
                <w:sz w:val="22"/>
                <w:lang w:val="en-US"/>
              </w:rPr>
            </w:pPr>
          </w:p>
        </w:tc>
      </w:tr>
      <w:tr w:rsidR="003C0AF1" w:rsidRPr="007115F2" w14:paraId="13DEBEFD" w14:textId="77777777" w:rsidTr="0029259E">
        <w:trPr>
          <w:trHeight w:val="586"/>
        </w:trPr>
        <w:tc>
          <w:tcPr>
            <w:tcW w:w="2694" w:type="dxa"/>
            <w:tcMar>
              <w:left w:w="108" w:type="dxa"/>
              <w:right w:w="108" w:type="dxa"/>
            </w:tcMar>
          </w:tcPr>
          <w:p w14:paraId="1C5099C9"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Relative_RDIntensity</w:t>
            </w:r>
          </w:p>
        </w:tc>
        <w:tc>
          <w:tcPr>
            <w:tcW w:w="4394" w:type="dxa"/>
            <w:tcMar>
              <w:left w:w="108" w:type="dxa"/>
              <w:right w:w="108" w:type="dxa"/>
            </w:tcMar>
          </w:tcPr>
          <w:p w14:paraId="5B287F2C"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r w:rsidRPr="007115F2">
              <w:rPr>
                <w:color w:val="000000"/>
                <w:sz w:val="22"/>
                <w:lang w:val="en-US"/>
              </w:rPr>
              <w:t xml:space="preserve">Ratio of the absolute value of the difference between the two firms' exponentially </w:t>
            </w:r>
            <w:r w:rsidRPr="007115F2">
              <w:rPr>
                <w:color w:val="000000"/>
                <w:sz w:val="22"/>
                <w:lang w:val="en-US"/>
              </w:rPr>
              <w:lastRenderedPageBreak/>
              <w:t>transformed R&amp;D intensities to the sum of the two firms' transformed R&amp;D intensities. This procedure controls for the potential mixing of positive and negative R&amp;D intensity values.</w:t>
            </w:r>
          </w:p>
        </w:tc>
        <w:tc>
          <w:tcPr>
            <w:tcW w:w="1984" w:type="dxa"/>
          </w:tcPr>
          <w:p w14:paraId="3BA39BF1"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lastRenderedPageBreak/>
              <w:t>Oxley, 1997;</w:t>
            </w:r>
          </w:p>
          <w:p w14:paraId="0EA2480B"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 xml:space="preserve">Yang, Zheng, &amp; </w:t>
            </w:r>
            <w:r w:rsidRPr="007115F2">
              <w:rPr>
                <w:color w:val="000000"/>
                <w:sz w:val="22"/>
                <w:lang w:val="en-US"/>
              </w:rPr>
              <w:lastRenderedPageBreak/>
              <w:t>Zaheer, 2015</w:t>
            </w:r>
          </w:p>
          <w:p w14:paraId="02B27929" w14:textId="77777777" w:rsidR="003C0AF1" w:rsidRPr="007115F2" w:rsidRDefault="003C0AF1" w:rsidP="007C051A">
            <w:pPr>
              <w:widowControl w:val="0"/>
              <w:autoSpaceDE w:val="0"/>
              <w:autoSpaceDN w:val="0"/>
              <w:adjustRightInd w:val="0"/>
              <w:spacing w:line="240" w:lineRule="auto"/>
              <w:jc w:val="left"/>
              <w:rPr>
                <w:color w:val="000000"/>
                <w:sz w:val="22"/>
                <w:lang w:val="en-US"/>
              </w:rPr>
            </w:pPr>
          </w:p>
        </w:tc>
      </w:tr>
      <w:tr w:rsidR="003C0AF1" w:rsidRPr="007115F2" w14:paraId="2D1F6F26" w14:textId="77777777" w:rsidTr="0029259E">
        <w:trPr>
          <w:trHeight w:val="230"/>
        </w:trPr>
        <w:tc>
          <w:tcPr>
            <w:tcW w:w="2694" w:type="dxa"/>
            <w:tcMar>
              <w:left w:w="108" w:type="dxa"/>
              <w:right w:w="108" w:type="dxa"/>
            </w:tcMar>
          </w:tcPr>
          <w:p w14:paraId="6351A004"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Relative_AllianceExperience</w:t>
            </w:r>
          </w:p>
        </w:tc>
        <w:tc>
          <w:tcPr>
            <w:tcW w:w="4394" w:type="dxa"/>
            <w:tcMar>
              <w:left w:w="108" w:type="dxa"/>
              <w:right w:w="108" w:type="dxa"/>
            </w:tcMar>
          </w:tcPr>
          <w:p w14:paraId="4D749B75"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r w:rsidRPr="007115F2">
              <w:rPr>
                <w:color w:val="000000"/>
                <w:sz w:val="22"/>
                <w:lang w:val="en-US"/>
              </w:rPr>
              <w:t>Ratio of higher to lower number of alliances formed by each partner in the 5 years prior to the alliance announcement (Arslan, 2018).</w:t>
            </w:r>
          </w:p>
        </w:tc>
        <w:tc>
          <w:tcPr>
            <w:tcW w:w="1984" w:type="dxa"/>
          </w:tcPr>
          <w:p w14:paraId="0D7CC7D3"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Gulati &amp; Gargiulo, 1999;</w:t>
            </w:r>
          </w:p>
          <w:p w14:paraId="070AA7D9"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Gulati et al., 2009;</w:t>
            </w:r>
          </w:p>
          <w:p w14:paraId="3ED5DA2B"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Kumar, 2011</w:t>
            </w:r>
          </w:p>
        </w:tc>
      </w:tr>
      <w:tr w:rsidR="003C0AF1" w:rsidRPr="007115F2" w14:paraId="2A43868F" w14:textId="77777777" w:rsidTr="0029259E">
        <w:trPr>
          <w:trHeight w:val="230"/>
        </w:trPr>
        <w:tc>
          <w:tcPr>
            <w:tcW w:w="2694" w:type="dxa"/>
            <w:tcMar>
              <w:left w:w="108" w:type="dxa"/>
              <w:right w:w="108" w:type="dxa"/>
            </w:tcMar>
          </w:tcPr>
          <w:p w14:paraId="29F7E23E" w14:textId="77777777" w:rsidR="003C0AF1" w:rsidRPr="007115F2" w:rsidRDefault="003C0AF1" w:rsidP="007C051A">
            <w:pPr>
              <w:widowControl w:val="0"/>
              <w:autoSpaceDE w:val="0"/>
              <w:autoSpaceDN w:val="0"/>
              <w:adjustRightInd w:val="0"/>
              <w:spacing w:line="240" w:lineRule="auto"/>
              <w:jc w:val="left"/>
              <w:rPr>
                <w:b/>
                <w:bCs/>
                <w:color w:val="000000"/>
                <w:sz w:val="22"/>
                <w:lang w:val="en-US"/>
              </w:rPr>
            </w:pPr>
            <w:r w:rsidRPr="007115F2">
              <w:rPr>
                <w:b/>
                <w:bCs/>
                <w:color w:val="000000"/>
                <w:sz w:val="22"/>
                <w:lang w:val="en-US"/>
              </w:rPr>
              <w:t>Alliance-level controls</w:t>
            </w:r>
          </w:p>
        </w:tc>
        <w:tc>
          <w:tcPr>
            <w:tcW w:w="4394" w:type="dxa"/>
            <w:tcMar>
              <w:left w:w="108" w:type="dxa"/>
              <w:right w:w="108" w:type="dxa"/>
            </w:tcMar>
          </w:tcPr>
          <w:p w14:paraId="25AF2B68"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r w:rsidRPr="007115F2">
              <w:rPr>
                <w:color w:val="000000"/>
                <w:sz w:val="22"/>
                <w:lang w:val="en-US"/>
              </w:rPr>
              <w:t xml:space="preserve"> </w:t>
            </w:r>
          </w:p>
        </w:tc>
        <w:tc>
          <w:tcPr>
            <w:tcW w:w="1984" w:type="dxa"/>
          </w:tcPr>
          <w:p w14:paraId="4C21082D" w14:textId="77777777" w:rsidR="003C0AF1" w:rsidRPr="007115F2" w:rsidRDefault="003C0AF1" w:rsidP="007C051A">
            <w:pPr>
              <w:widowControl w:val="0"/>
              <w:autoSpaceDE w:val="0"/>
              <w:autoSpaceDN w:val="0"/>
              <w:adjustRightInd w:val="0"/>
              <w:spacing w:line="240" w:lineRule="auto"/>
              <w:jc w:val="left"/>
              <w:rPr>
                <w:color w:val="000000"/>
                <w:sz w:val="22"/>
                <w:lang w:val="en-US"/>
              </w:rPr>
            </w:pPr>
          </w:p>
        </w:tc>
      </w:tr>
      <w:tr w:rsidR="003C0AF1" w:rsidRPr="007115F2" w14:paraId="1964D0D6" w14:textId="77777777" w:rsidTr="0029259E">
        <w:trPr>
          <w:trHeight w:val="644"/>
        </w:trPr>
        <w:tc>
          <w:tcPr>
            <w:tcW w:w="2694" w:type="dxa"/>
            <w:tcMar>
              <w:left w:w="108" w:type="dxa"/>
              <w:right w:w="108" w:type="dxa"/>
            </w:tcMar>
          </w:tcPr>
          <w:p w14:paraId="7B8DD81D"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Alliance_RelationalEmbeddedness</w:t>
            </w:r>
          </w:p>
        </w:tc>
        <w:tc>
          <w:tcPr>
            <w:tcW w:w="4394" w:type="dxa"/>
            <w:tcMar>
              <w:left w:w="108" w:type="dxa"/>
              <w:right w:w="108" w:type="dxa"/>
            </w:tcMar>
          </w:tcPr>
          <w:p w14:paraId="0BA8CB45"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r w:rsidRPr="007115F2">
              <w:rPr>
                <w:color w:val="000000"/>
                <w:sz w:val="22"/>
                <w:lang w:val="en-US"/>
              </w:rPr>
              <w:t>Relational embeddedness is measured as the sum of prior alliances between two allies, controlling for pre-existing trust and cooperative motives between the two alliance partners (Gulati &amp; Gargiulo, 1999).</w:t>
            </w:r>
          </w:p>
        </w:tc>
        <w:tc>
          <w:tcPr>
            <w:tcW w:w="1984" w:type="dxa"/>
          </w:tcPr>
          <w:p w14:paraId="658ADDEC"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Ahuja et al., 2009;</w:t>
            </w:r>
          </w:p>
          <w:p w14:paraId="1B7087FE"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Gulati &amp; Singh, 1998;</w:t>
            </w:r>
          </w:p>
          <w:p w14:paraId="471DEC45"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Gulati &amp; Westphal, 1999;</w:t>
            </w:r>
          </w:p>
          <w:p w14:paraId="61FDFA77"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Gulati et al., 2009;</w:t>
            </w:r>
          </w:p>
          <w:p w14:paraId="677E9A8B" w14:textId="77777777" w:rsidR="003C0AF1" w:rsidRPr="007115F2" w:rsidRDefault="003C0AF1" w:rsidP="007C051A">
            <w:pPr>
              <w:widowControl w:val="0"/>
              <w:autoSpaceDE w:val="0"/>
              <w:autoSpaceDN w:val="0"/>
              <w:adjustRightInd w:val="0"/>
              <w:spacing w:line="240" w:lineRule="auto"/>
              <w:jc w:val="left"/>
              <w:rPr>
                <w:color w:val="000000"/>
                <w:sz w:val="22"/>
              </w:rPr>
            </w:pPr>
            <w:r w:rsidRPr="007115F2">
              <w:rPr>
                <w:color w:val="000000"/>
                <w:sz w:val="22"/>
              </w:rPr>
              <w:t>Oxley, Sampson, &amp; Silverman, 2009;</w:t>
            </w:r>
          </w:p>
          <w:p w14:paraId="7EFBB53D"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Wang &amp; Zajac, 2007</w:t>
            </w:r>
          </w:p>
        </w:tc>
      </w:tr>
      <w:tr w:rsidR="003C0AF1" w:rsidRPr="00BE5632" w14:paraId="729056BA" w14:textId="77777777" w:rsidTr="0029259E">
        <w:trPr>
          <w:trHeight w:val="655"/>
        </w:trPr>
        <w:tc>
          <w:tcPr>
            <w:tcW w:w="2694" w:type="dxa"/>
            <w:tcMar>
              <w:left w:w="108" w:type="dxa"/>
              <w:right w:w="108" w:type="dxa"/>
            </w:tcMar>
          </w:tcPr>
          <w:p w14:paraId="4BAC55F8"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Alliance_StructuralEmbeddedness</w:t>
            </w:r>
          </w:p>
        </w:tc>
        <w:tc>
          <w:tcPr>
            <w:tcW w:w="4394" w:type="dxa"/>
            <w:tcMar>
              <w:left w:w="108" w:type="dxa"/>
              <w:right w:w="108" w:type="dxa"/>
            </w:tcMar>
          </w:tcPr>
          <w:p w14:paraId="2D6AD5B9"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r w:rsidRPr="007115F2">
              <w:rPr>
                <w:color w:val="000000"/>
                <w:sz w:val="22"/>
                <w:lang w:val="en-US"/>
              </w:rPr>
              <w:t>Structural embeddedness is measured as the geometric mean of partners' eigenvector centrality scores divided by the network maximum, and controls for informational advantages with respect to each partner's network status (Arslan, 2018; Gulati &amp; Gargiulo, 1999).</w:t>
            </w:r>
          </w:p>
        </w:tc>
        <w:tc>
          <w:tcPr>
            <w:tcW w:w="1984" w:type="dxa"/>
          </w:tcPr>
          <w:p w14:paraId="7695F0BF"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Ahuja et al., 2009;</w:t>
            </w:r>
          </w:p>
          <w:p w14:paraId="7141C7B8"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Arslan, 2018;</w:t>
            </w:r>
          </w:p>
          <w:p w14:paraId="0397D343"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Gulati &amp; Gargiulo, 1999</w:t>
            </w:r>
          </w:p>
        </w:tc>
      </w:tr>
      <w:tr w:rsidR="003C0AF1" w:rsidRPr="00BE5632" w14:paraId="59D55EBC" w14:textId="77777777" w:rsidTr="0029259E">
        <w:trPr>
          <w:trHeight w:val="655"/>
        </w:trPr>
        <w:tc>
          <w:tcPr>
            <w:tcW w:w="2694" w:type="dxa"/>
            <w:tcMar>
              <w:left w:w="108" w:type="dxa"/>
              <w:right w:w="108" w:type="dxa"/>
            </w:tcMar>
          </w:tcPr>
          <w:p w14:paraId="265C0FEA"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JV_Indicator</w:t>
            </w:r>
          </w:p>
        </w:tc>
        <w:tc>
          <w:tcPr>
            <w:tcW w:w="4394" w:type="dxa"/>
            <w:tcMar>
              <w:left w:w="108" w:type="dxa"/>
              <w:right w:w="108" w:type="dxa"/>
            </w:tcMar>
          </w:tcPr>
          <w:p w14:paraId="34DB3EAD"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r w:rsidRPr="007115F2">
              <w:rPr>
                <w:color w:val="000000"/>
                <w:sz w:val="22"/>
                <w:lang w:val="en-US"/>
              </w:rPr>
              <w:t>Dichotomous indicator variable that measures whether the alliance is a joint venture.</w:t>
            </w:r>
          </w:p>
        </w:tc>
        <w:tc>
          <w:tcPr>
            <w:tcW w:w="1984" w:type="dxa"/>
          </w:tcPr>
          <w:p w14:paraId="5A00554D" w14:textId="77777777" w:rsidR="003C0AF1" w:rsidRPr="007115F2" w:rsidRDefault="003C0AF1" w:rsidP="007C051A">
            <w:pPr>
              <w:widowControl w:val="0"/>
              <w:autoSpaceDE w:val="0"/>
              <w:autoSpaceDN w:val="0"/>
              <w:adjustRightInd w:val="0"/>
              <w:spacing w:line="240" w:lineRule="auto"/>
              <w:jc w:val="left"/>
              <w:rPr>
                <w:color w:val="000000"/>
                <w:sz w:val="22"/>
                <w:lang w:val="en-US"/>
              </w:rPr>
            </w:pPr>
          </w:p>
        </w:tc>
      </w:tr>
      <w:tr w:rsidR="003C0AF1" w:rsidRPr="007115F2" w14:paraId="3D84422F" w14:textId="77777777" w:rsidTr="0029259E">
        <w:trPr>
          <w:trHeight w:val="644"/>
        </w:trPr>
        <w:tc>
          <w:tcPr>
            <w:tcW w:w="2694" w:type="dxa"/>
            <w:tcMar>
              <w:left w:w="108" w:type="dxa"/>
              <w:right w:w="108" w:type="dxa"/>
            </w:tcMar>
          </w:tcPr>
          <w:p w14:paraId="69A0447C"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Equity_Indicator</w:t>
            </w:r>
          </w:p>
        </w:tc>
        <w:tc>
          <w:tcPr>
            <w:tcW w:w="4394" w:type="dxa"/>
            <w:tcMar>
              <w:left w:w="108" w:type="dxa"/>
              <w:right w:w="108" w:type="dxa"/>
            </w:tcMar>
          </w:tcPr>
          <w:p w14:paraId="4470425B"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r w:rsidRPr="007115F2">
              <w:rPr>
                <w:color w:val="000000"/>
                <w:sz w:val="22"/>
                <w:lang w:val="en-US"/>
              </w:rPr>
              <w:t>Dichotomous indicator variable that measures whether the alliance is an equity alliance.</w:t>
            </w:r>
          </w:p>
        </w:tc>
        <w:tc>
          <w:tcPr>
            <w:tcW w:w="1984" w:type="dxa"/>
          </w:tcPr>
          <w:p w14:paraId="21AE79D2"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Mowery, Oxley, &amp; Silverman, 1996</w:t>
            </w:r>
          </w:p>
        </w:tc>
      </w:tr>
      <w:tr w:rsidR="003C0AF1" w:rsidRPr="007115F2" w14:paraId="4370F06A" w14:textId="77777777" w:rsidTr="0029259E">
        <w:trPr>
          <w:trHeight w:val="655"/>
        </w:trPr>
        <w:tc>
          <w:tcPr>
            <w:tcW w:w="2694" w:type="dxa"/>
            <w:tcMar>
              <w:left w:w="108" w:type="dxa"/>
              <w:right w:w="108" w:type="dxa"/>
            </w:tcMar>
          </w:tcPr>
          <w:p w14:paraId="15EBD733"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Technology_Indicator</w:t>
            </w:r>
          </w:p>
        </w:tc>
        <w:tc>
          <w:tcPr>
            <w:tcW w:w="4394" w:type="dxa"/>
            <w:tcMar>
              <w:left w:w="108" w:type="dxa"/>
              <w:right w:w="108" w:type="dxa"/>
            </w:tcMar>
          </w:tcPr>
          <w:p w14:paraId="13AB7601"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r w:rsidRPr="007115F2">
              <w:rPr>
                <w:color w:val="000000"/>
                <w:sz w:val="22"/>
                <w:lang w:val="en-US"/>
              </w:rPr>
              <w:t xml:space="preserve">Dichotomous indicator variable measuring whether the alliance is a technology alliance as opposed to a marketing alliance. Alliances were categorized as technology alliances if they were formed to share complementary technology, reduce innovation time, or develop new technology. </w:t>
            </w:r>
          </w:p>
          <w:p w14:paraId="33DAB9DD"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p>
          <w:p w14:paraId="69192149"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p>
        </w:tc>
        <w:tc>
          <w:tcPr>
            <w:tcW w:w="1984" w:type="dxa"/>
          </w:tcPr>
          <w:p w14:paraId="041ECABC" w14:textId="77777777" w:rsidR="003C0AF1" w:rsidRPr="007115F2" w:rsidRDefault="003C0AF1" w:rsidP="007C051A">
            <w:pPr>
              <w:widowControl w:val="0"/>
              <w:autoSpaceDE w:val="0"/>
              <w:autoSpaceDN w:val="0"/>
              <w:adjustRightInd w:val="0"/>
              <w:spacing w:line="240" w:lineRule="auto"/>
              <w:jc w:val="left"/>
              <w:rPr>
                <w:color w:val="000000"/>
                <w:sz w:val="22"/>
              </w:rPr>
            </w:pPr>
            <w:r w:rsidRPr="007115F2">
              <w:rPr>
                <w:color w:val="000000"/>
                <w:sz w:val="22"/>
              </w:rPr>
              <w:t>Arslan, 2018;</w:t>
            </w:r>
          </w:p>
          <w:p w14:paraId="2C544047" w14:textId="77777777" w:rsidR="003C0AF1" w:rsidRPr="007115F2" w:rsidRDefault="003C0AF1" w:rsidP="007C051A">
            <w:pPr>
              <w:widowControl w:val="0"/>
              <w:autoSpaceDE w:val="0"/>
              <w:autoSpaceDN w:val="0"/>
              <w:adjustRightInd w:val="0"/>
              <w:spacing w:line="240" w:lineRule="auto"/>
              <w:jc w:val="left"/>
              <w:rPr>
                <w:color w:val="000000"/>
                <w:sz w:val="22"/>
              </w:rPr>
            </w:pPr>
            <w:r w:rsidRPr="007115F2">
              <w:rPr>
                <w:color w:val="000000"/>
                <w:sz w:val="22"/>
              </w:rPr>
              <w:t>Das &amp; Teng, 1998;</w:t>
            </w:r>
          </w:p>
          <w:p w14:paraId="37329D30" w14:textId="77777777" w:rsidR="003C0AF1" w:rsidRPr="007115F2" w:rsidRDefault="003C0AF1" w:rsidP="007C051A">
            <w:pPr>
              <w:widowControl w:val="0"/>
              <w:autoSpaceDE w:val="0"/>
              <w:autoSpaceDN w:val="0"/>
              <w:adjustRightInd w:val="0"/>
              <w:spacing w:line="240" w:lineRule="auto"/>
              <w:jc w:val="left"/>
              <w:rPr>
                <w:color w:val="000000"/>
                <w:sz w:val="22"/>
              </w:rPr>
            </w:pPr>
            <w:r w:rsidRPr="007115F2">
              <w:rPr>
                <w:color w:val="000000"/>
                <w:sz w:val="22"/>
              </w:rPr>
              <w:t>Gulati &amp; Singh, 1998;</w:t>
            </w:r>
          </w:p>
          <w:p w14:paraId="2BC51986"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Oxley, 1997</w:t>
            </w:r>
          </w:p>
        </w:tc>
      </w:tr>
      <w:tr w:rsidR="003C0AF1" w:rsidRPr="00BE5632" w14:paraId="4B2608D9" w14:textId="77777777" w:rsidTr="0029259E">
        <w:trPr>
          <w:trHeight w:val="230"/>
        </w:trPr>
        <w:tc>
          <w:tcPr>
            <w:tcW w:w="2694" w:type="dxa"/>
            <w:tcMar>
              <w:left w:w="108" w:type="dxa"/>
              <w:right w:w="108" w:type="dxa"/>
            </w:tcMar>
          </w:tcPr>
          <w:p w14:paraId="5EC3D7F7"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ExplorationAlliance_Indicator</w:t>
            </w:r>
          </w:p>
        </w:tc>
        <w:tc>
          <w:tcPr>
            <w:tcW w:w="4394" w:type="dxa"/>
            <w:tcMar>
              <w:left w:w="108" w:type="dxa"/>
              <w:right w:w="108" w:type="dxa"/>
            </w:tcMar>
          </w:tcPr>
          <w:p w14:paraId="1A41072F"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r w:rsidRPr="007115F2">
              <w:rPr>
                <w:color w:val="000000"/>
                <w:sz w:val="22"/>
                <w:lang w:val="en-US"/>
              </w:rPr>
              <w:t>Dichotomous indicator variable measuring whether the alliance is an exploration alliance or an exploitation alliance. Alliances were categorized as exploration alliances if they represented cooperation in new business areas, whereas exploitation alliances represented cooperation in the firms' core competencies. The variable was included to control for the likelihood of resource appropriation, which may be greater when firms cooperate in non-core competencies that involve reciprocal interdependence (Gulati &amp; Singh, 1998).</w:t>
            </w:r>
          </w:p>
        </w:tc>
        <w:tc>
          <w:tcPr>
            <w:tcW w:w="1984" w:type="dxa"/>
          </w:tcPr>
          <w:p w14:paraId="4BBD517E"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Gulati &amp; Singh, 1998;</w:t>
            </w:r>
          </w:p>
          <w:p w14:paraId="38EC2A30"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Gulati et al., 2009</w:t>
            </w:r>
          </w:p>
          <w:p w14:paraId="571B3DFD" w14:textId="77777777" w:rsidR="003C0AF1" w:rsidRPr="007115F2" w:rsidRDefault="003C0AF1" w:rsidP="007C051A">
            <w:pPr>
              <w:widowControl w:val="0"/>
              <w:autoSpaceDE w:val="0"/>
              <w:autoSpaceDN w:val="0"/>
              <w:adjustRightInd w:val="0"/>
              <w:spacing w:line="240" w:lineRule="auto"/>
              <w:jc w:val="left"/>
              <w:rPr>
                <w:color w:val="000000"/>
                <w:sz w:val="22"/>
                <w:lang w:val="en-US"/>
              </w:rPr>
            </w:pPr>
          </w:p>
        </w:tc>
      </w:tr>
      <w:tr w:rsidR="003C0AF1" w:rsidRPr="00BE5632" w14:paraId="1E08A0EB" w14:textId="77777777" w:rsidTr="0029259E">
        <w:trPr>
          <w:trHeight w:val="230"/>
        </w:trPr>
        <w:tc>
          <w:tcPr>
            <w:tcW w:w="2694" w:type="dxa"/>
            <w:tcMar>
              <w:left w:w="108" w:type="dxa"/>
              <w:right w:w="108" w:type="dxa"/>
            </w:tcMar>
          </w:tcPr>
          <w:p w14:paraId="0D2E42EE"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InternationalAlliance_Indicator</w:t>
            </w:r>
          </w:p>
        </w:tc>
        <w:tc>
          <w:tcPr>
            <w:tcW w:w="4394" w:type="dxa"/>
            <w:tcMar>
              <w:left w:w="108" w:type="dxa"/>
              <w:right w:w="108" w:type="dxa"/>
            </w:tcMar>
          </w:tcPr>
          <w:p w14:paraId="42CA4C9F"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r w:rsidRPr="007115F2">
              <w:rPr>
                <w:color w:val="000000"/>
                <w:sz w:val="22"/>
                <w:lang w:val="en-US"/>
              </w:rPr>
              <w:t>Dichotomous indicator variable that measures whether the alliance is an international alliance of two firms incorporated in two different countries.</w:t>
            </w:r>
          </w:p>
        </w:tc>
        <w:tc>
          <w:tcPr>
            <w:tcW w:w="1984" w:type="dxa"/>
          </w:tcPr>
          <w:p w14:paraId="65EA5763"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Mowery et al., 1996;</w:t>
            </w:r>
          </w:p>
          <w:p w14:paraId="6A2752D2"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Oxley, 1997;</w:t>
            </w:r>
          </w:p>
          <w:p w14:paraId="01A124AD"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 xml:space="preserve">Park &amp; Russo, </w:t>
            </w:r>
            <w:r w:rsidRPr="007115F2">
              <w:rPr>
                <w:color w:val="000000"/>
                <w:sz w:val="22"/>
                <w:lang w:val="en-US"/>
              </w:rPr>
              <w:lastRenderedPageBreak/>
              <w:t>1996</w:t>
            </w:r>
          </w:p>
        </w:tc>
      </w:tr>
      <w:tr w:rsidR="003C0AF1" w:rsidRPr="00BE5632" w14:paraId="6A49AD1C" w14:textId="77777777" w:rsidTr="0029259E">
        <w:trPr>
          <w:trHeight w:val="230"/>
        </w:trPr>
        <w:tc>
          <w:tcPr>
            <w:tcW w:w="2694" w:type="dxa"/>
            <w:tcMar>
              <w:left w:w="108" w:type="dxa"/>
              <w:right w:w="108" w:type="dxa"/>
            </w:tcMar>
          </w:tcPr>
          <w:p w14:paraId="4C122752"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lastRenderedPageBreak/>
              <w:t>Relatedness_Indicator</w:t>
            </w:r>
          </w:p>
        </w:tc>
        <w:tc>
          <w:tcPr>
            <w:tcW w:w="4394" w:type="dxa"/>
            <w:tcMar>
              <w:left w:w="108" w:type="dxa"/>
              <w:right w:w="108" w:type="dxa"/>
            </w:tcMar>
          </w:tcPr>
          <w:p w14:paraId="6F7B52DC"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r w:rsidRPr="007115F2">
              <w:rPr>
                <w:color w:val="000000"/>
                <w:sz w:val="22"/>
                <w:lang w:val="en-US"/>
              </w:rPr>
              <w:t>Dichotomous indicator variable measuring whether the alliance partner operated in the same primary industry at the 4-digit SIC level.</w:t>
            </w:r>
          </w:p>
        </w:tc>
        <w:tc>
          <w:tcPr>
            <w:tcW w:w="1984" w:type="dxa"/>
          </w:tcPr>
          <w:p w14:paraId="6926B0D0"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Arslan, 2018;</w:t>
            </w:r>
          </w:p>
          <w:p w14:paraId="0C5A152D"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Gulati et al., 2009;</w:t>
            </w:r>
          </w:p>
          <w:p w14:paraId="76EB0B41"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Gulati &amp; Wang, 2003;</w:t>
            </w:r>
          </w:p>
          <w:p w14:paraId="321BA763"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Mowery et al., 1996;</w:t>
            </w:r>
          </w:p>
          <w:p w14:paraId="69F154A8"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Wang &amp; Zajac, 2007</w:t>
            </w:r>
          </w:p>
        </w:tc>
      </w:tr>
      <w:tr w:rsidR="003C0AF1" w:rsidRPr="007115F2" w14:paraId="05BEDF64" w14:textId="77777777" w:rsidTr="0029259E">
        <w:trPr>
          <w:trHeight w:val="230"/>
        </w:trPr>
        <w:tc>
          <w:tcPr>
            <w:tcW w:w="2694" w:type="dxa"/>
            <w:tcMar>
              <w:left w:w="108" w:type="dxa"/>
              <w:right w:w="108" w:type="dxa"/>
            </w:tcMar>
          </w:tcPr>
          <w:p w14:paraId="27830395" w14:textId="77777777" w:rsidR="003C0AF1" w:rsidRPr="007115F2" w:rsidRDefault="003C0AF1" w:rsidP="007C051A">
            <w:pPr>
              <w:widowControl w:val="0"/>
              <w:autoSpaceDE w:val="0"/>
              <w:autoSpaceDN w:val="0"/>
              <w:adjustRightInd w:val="0"/>
              <w:spacing w:line="240" w:lineRule="auto"/>
              <w:jc w:val="left"/>
              <w:rPr>
                <w:b/>
                <w:bCs/>
                <w:color w:val="000000"/>
                <w:sz w:val="22"/>
                <w:lang w:val="en-US"/>
              </w:rPr>
            </w:pPr>
            <w:r w:rsidRPr="007115F2">
              <w:rPr>
                <w:b/>
                <w:bCs/>
                <w:color w:val="000000"/>
                <w:sz w:val="22"/>
                <w:lang w:val="en-US"/>
              </w:rPr>
              <w:t>Industry-level controls</w:t>
            </w:r>
          </w:p>
        </w:tc>
        <w:tc>
          <w:tcPr>
            <w:tcW w:w="4394" w:type="dxa"/>
            <w:tcMar>
              <w:left w:w="108" w:type="dxa"/>
              <w:right w:w="108" w:type="dxa"/>
            </w:tcMar>
          </w:tcPr>
          <w:p w14:paraId="682D40FF"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p>
        </w:tc>
        <w:tc>
          <w:tcPr>
            <w:tcW w:w="1984" w:type="dxa"/>
          </w:tcPr>
          <w:p w14:paraId="2B23569F" w14:textId="77777777" w:rsidR="003C0AF1" w:rsidRPr="007115F2" w:rsidRDefault="003C0AF1" w:rsidP="007C051A">
            <w:pPr>
              <w:widowControl w:val="0"/>
              <w:autoSpaceDE w:val="0"/>
              <w:autoSpaceDN w:val="0"/>
              <w:adjustRightInd w:val="0"/>
              <w:spacing w:line="240" w:lineRule="auto"/>
              <w:jc w:val="left"/>
              <w:rPr>
                <w:color w:val="000000"/>
                <w:sz w:val="22"/>
                <w:lang w:val="en-US"/>
              </w:rPr>
            </w:pPr>
          </w:p>
        </w:tc>
      </w:tr>
      <w:tr w:rsidR="003C0AF1" w:rsidRPr="007115F2" w14:paraId="07B090D4" w14:textId="77777777" w:rsidTr="0029259E">
        <w:trPr>
          <w:trHeight w:val="230"/>
        </w:trPr>
        <w:tc>
          <w:tcPr>
            <w:tcW w:w="2694" w:type="dxa"/>
            <w:tcMar>
              <w:left w:w="108" w:type="dxa"/>
              <w:right w:w="108" w:type="dxa"/>
            </w:tcMar>
          </w:tcPr>
          <w:p w14:paraId="068CB9B3"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Industry_RelatedScope</w:t>
            </w:r>
          </w:p>
        </w:tc>
        <w:tc>
          <w:tcPr>
            <w:tcW w:w="4394" w:type="dxa"/>
            <w:tcMar>
              <w:left w:w="108" w:type="dxa"/>
              <w:right w:w="108" w:type="dxa"/>
            </w:tcMar>
          </w:tcPr>
          <w:p w14:paraId="5FBCCE9C"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r w:rsidRPr="007115F2">
              <w:rPr>
                <w:color w:val="000000"/>
                <w:sz w:val="22"/>
                <w:lang w:val="en-US"/>
              </w:rPr>
              <w:t>Sum of 3-digit SICs shared by the partners, excluding any overlap in 4-digit SICs. This measure controls for resources close to the core business of the other alliance partner that can be used to generate private benefits.</w:t>
            </w:r>
          </w:p>
        </w:tc>
        <w:tc>
          <w:tcPr>
            <w:tcW w:w="1984" w:type="dxa"/>
          </w:tcPr>
          <w:p w14:paraId="694F148E"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Arslan, 2018;</w:t>
            </w:r>
          </w:p>
          <w:p w14:paraId="19D47C48"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Khanna, Gulati, &amp; Nohria, 1998</w:t>
            </w:r>
          </w:p>
        </w:tc>
      </w:tr>
      <w:tr w:rsidR="003C0AF1" w:rsidRPr="007115F2" w14:paraId="75536EFF" w14:textId="77777777" w:rsidTr="0029259E">
        <w:trPr>
          <w:trHeight w:val="230"/>
        </w:trPr>
        <w:tc>
          <w:tcPr>
            <w:tcW w:w="2694" w:type="dxa"/>
            <w:tcMar>
              <w:left w:w="108" w:type="dxa"/>
              <w:right w:w="108" w:type="dxa"/>
            </w:tcMar>
          </w:tcPr>
          <w:p w14:paraId="1BB0D11C"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Industry_Complementarity</w:t>
            </w:r>
          </w:p>
        </w:tc>
        <w:tc>
          <w:tcPr>
            <w:tcW w:w="4394" w:type="dxa"/>
            <w:tcMar>
              <w:left w:w="108" w:type="dxa"/>
              <w:right w:w="108" w:type="dxa"/>
            </w:tcMar>
          </w:tcPr>
          <w:p w14:paraId="6952EC92"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r w:rsidRPr="007115F2">
              <w:rPr>
                <w:color w:val="000000"/>
                <w:sz w:val="22"/>
                <w:lang w:val="en-US"/>
              </w:rPr>
              <w:t>Ratio of the number of non-shared industries between the partners to the number of all industries in which the partners operate. Complementarity was set to "0" if the alliance partners did not operate in at least one common industry (Mitsuhashi &amp; Greve, 2009).</w:t>
            </w:r>
          </w:p>
        </w:tc>
        <w:tc>
          <w:tcPr>
            <w:tcW w:w="1984" w:type="dxa"/>
          </w:tcPr>
          <w:p w14:paraId="2D4A8F3B"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Arslan, 2018;</w:t>
            </w:r>
          </w:p>
          <w:p w14:paraId="20659D62"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Mitsuhashi &amp; Greve, 2009</w:t>
            </w:r>
          </w:p>
        </w:tc>
      </w:tr>
      <w:tr w:rsidR="003C0AF1" w:rsidRPr="007115F2" w14:paraId="5732D04E" w14:textId="77777777" w:rsidTr="0029259E">
        <w:trPr>
          <w:trHeight w:val="230"/>
        </w:trPr>
        <w:tc>
          <w:tcPr>
            <w:tcW w:w="2694" w:type="dxa"/>
            <w:tcMar>
              <w:left w:w="108" w:type="dxa"/>
              <w:right w:w="108" w:type="dxa"/>
            </w:tcMar>
          </w:tcPr>
          <w:p w14:paraId="1CD627E5"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Industry_Growth</w:t>
            </w:r>
          </w:p>
        </w:tc>
        <w:tc>
          <w:tcPr>
            <w:tcW w:w="4394" w:type="dxa"/>
            <w:tcMar>
              <w:left w:w="108" w:type="dxa"/>
              <w:right w:w="108" w:type="dxa"/>
            </w:tcMar>
          </w:tcPr>
          <w:p w14:paraId="5EC54E63"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r w:rsidRPr="007115F2">
              <w:rPr>
                <w:color w:val="000000"/>
                <w:sz w:val="22"/>
                <w:lang w:val="en-US"/>
              </w:rPr>
              <w:t>Average annual revenue growth of each alliance partner's 2-digit SIC industry five years prior to alliance announcement to one year prior to alliance announcement</w:t>
            </w:r>
          </w:p>
        </w:tc>
        <w:tc>
          <w:tcPr>
            <w:tcW w:w="1984" w:type="dxa"/>
          </w:tcPr>
          <w:p w14:paraId="525D0FC5"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Luo, 2007a, 2007b</w:t>
            </w:r>
          </w:p>
        </w:tc>
      </w:tr>
      <w:tr w:rsidR="003C0AF1" w:rsidRPr="00BE5632" w14:paraId="34811014" w14:textId="77777777" w:rsidTr="0029259E">
        <w:trPr>
          <w:trHeight w:val="230"/>
        </w:trPr>
        <w:tc>
          <w:tcPr>
            <w:tcW w:w="2694" w:type="dxa"/>
            <w:tcMar>
              <w:left w:w="108" w:type="dxa"/>
              <w:right w:w="108" w:type="dxa"/>
            </w:tcMar>
          </w:tcPr>
          <w:p w14:paraId="536E3513"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Year</w:t>
            </w:r>
          </w:p>
        </w:tc>
        <w:tc>
          <w:tcPr>
            <w:tcW w:w="4394" w:type="dxa"/>
            <w:tcMar>
              <w:left w:w="108" w:type="dxa"/>
              <w:right w:w="108" w:type="dxa"/>
            </w:tcMar>
          </w:tcPr>
          <w:p w14:paraId="45F6F397"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r w:rsidRPr="007115F2">
              <w:rPr>
                <w:color w:val="000000"/>
                <w:sz w:val="22"/>
                <w:lang w:val="en-US"/>
              </w:rPr>
              <w:t>To control for the possibility that unobserved temporal factors or other unspecified events affected differential benefits, we added dummy variables for each year between 2002 and 2021.</w:t>
            </w:r>
          </w:p>
        </w:tc>
        <w:tc>
          <w:tcPr>
            <w:tcW w:w="1984" w:type="dxa"/>
          </w:tcPr>
          <w:p w14:paraId="2DEBD1F5"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Gulati &amp; Wang, 2003;</w:t>
            </w:r>
          </w:p>
          <w:p w14:paraId="4AE25F46"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Gulati et al., 2009</w:t>
            </w:r>
          </w:p>
          <w:p w14:paraId="696DCDE7" w14:textId="77777777" w:rsidR="003C0AF1" w:rsidRPr="007115F2" w:rsidRDefault="003C0AF1" w:rsidP="007C051A">
            <w:pPr>
              <w:widowControl w:val="0"/>
              <w:autoSpaceDE w:val="0"/>
              <w:autoSpaceDN w:val="0"/>
              <w:adjustRightInd w:val="0"/>
              <w:spacing w:line="240" w:lineRule="auto"/>
              <w:jc w:val="left"/>
              <w:rPr>
                <w:color w:val="000000"/>
                <w:sz w:val="22"/>
                <w:lang w:val="en-US"/>
              </w:rPr>
            </w:pPr>
          </w:p>
        </w:tc>
      </w:tr>
      <w:tr w:rsidR="003C0AF1" w:rsidRPr="007115F2" w14:paraId="34B402C2" w14:textId="77777777" w:rsidTr="0029259E">
        <w:trPr>
          <w:trHeight w:val="230"/>
        </w:trPr>
        <w:tc>
          <w:tcPr>
            <w:tcW w:w="2694" w:type="dxa"/>
            <w:tcMar>
              <w:left w:w="108" w:type="dxa"/>
              <w:right w:w="108" w:type="dxa"/>
            </w:tcMar>
          </w:tcPr>
          <w:p w14:paraId="56529E17"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IndustryGroupCombination</w:t>
            </w:r>
          </w:p>
        </w:tc>
        <w:tc>
          <w:tcPr>
            <w:tcW w:w="4394" w:type="dxa"/>
            <w:tcMar>
              <w:left w:w="108" w:type="dxa"/>
              <w:right w:w="108" w:type="dxa"/>
            </w:tcMar>
          </w:tcPr>
          <w:p w14:paraId="3A87B57E"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r w:rsidRPr="007115F2">
              <w:rPr>
                <w:color w:val="000000"/>
                <w:sz w:val="22"/>
                <w:lang w:val="en-US"/>
              </w:rPr>
              <w:t>To control for the possibility that unobserved industry factors affected differential benefits, we added dummy variables for each 2-digit SIC industry combination.</w:t>
            </w:r>
          </w:p>
        </w:tc>
        <w:tc>
          <w:tcPr>
            <w:tcW w:w="1984" w:type="dxa"/>
          </w:tcPr>
          <w:p w14:paraId="034A7426"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Gulati &amp; Wang, 2003</w:t>
            </w:r>
          </w:p>
          <w:p w14:paraId="5A569352" w14:textId="77777777" w:rsidR="003C0AF1" w:rsidRPr="007115F2" w:rsidRDefault="003C0AF1" w:rsidP="007C051A">
            <w:pPr>
              <w:widowControl w:val="0"/>
              <w:autoSpaceDE w:val="0"/>
              <w:autoSpaceDN w:val="0"/>
              <w:adjustRightInd w:val="0"/>
              <w:spacing w:line="240" w:lineRule="auto"/>
              <w:jc w:val="left"/>
              <w:rPr>
                <w:color w:val="000000"/>
                <w:sz w:val="22"/>
                <w:lang w:val="en-US"/>
              </w:rPr>
            </w:pPr>
          </w:p>
          <w:p w14:paraId="465E8F80" w14:textId="77777777" w:rsidR="003C0AF1" w:rsidRPr="007115F2" w:rsidRDefault="003C0AF1" w:rsidP="007C051A">
            <w:pPr>
              <w:widowControl w:val="0"/>
              <w:autoSpaceDE w:val="0"/>
              <w:autoSpaceDN w:val="0"/>
              <w:adjustRightInd w:val="0"/>
              <w:spacing w:line="240" w:lineRule="auto"/>
              <w:jc w:val="left"/>
              <w:rPr>
                <w:color w:val="000000"/>
                <w:sz w:val="22"/>
                <w:lang w:val="en-US"/>
              </w:rPr>
            </w:pPr>
          </w:p>
        </w:tc>
      </w:tr>
      <w:tr w:rsidR="003C0AF1" w:rsidRPr="007115F2" w14:paraId="5FF7CB54" w14:textId="77777777" w:rsidTr="0029259E">
        <w:trPr>
          <w:trHeight w:val="230"/>
        </w:trPr>
        <w:tc>
          <w:tcPr>
            <w:tcW w:w="2694" w:type="dxa"/>
            <w:tcMar>
              <w:left w:w="108" w:type="dxa"/>
              <w:right w:w="108" w:type="dxa"/>
            </w:tcMar>
          </w:tcPr>
          <w:p w14:paraId="78DA9D79"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b/>
                <w:bCs/>
                <w:color w:val="000000"/>
                <w:sz w:val="22"/>
                <w:lang w:val="en-US"/>
              </w:rPr>
              <w:t>Robustness check controls</w:t>
            </w:r>
          </w:p>
        </w:tc>
        <w:tc>
          <w:tcPr>
            <w:tcW w:w="4394" w:type="dxa"/>
            <w:tcMar>
              <w:left w:w="108" w:type="dxa"/>
              <w:right w:w="108" w:type="dxa"/>
            </w:tcMar>
          </w:tcPr>
          <w:p w14:paraId="75D8125B"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p>
        </w:tc>
        <w:tc>
          <w:tcPr>
            <w:tcW w:w="1984" w:type="dxa"/>
          </w:tcPr>
          <w:p w14:paraId="7D45205F" w14:textId="77777777" w:rsidR="003C0AF1" w:rsidRPr="007115F2" w:rsidRDefault="003C0AF1" w:rsidP="007C051A">
            <w:pPr>
              <w:widowControl w:val="0"/>
              <w:autoSpaceDE w:val="0"/>
              <w:autoSpaceDN w:val="0"/>
              <w:adjustRightInd w:val="0"/>
              <w:spacing w:line="240" w:lineRule="auto"/>
              <w:jc w:val="left"/>
              <w:rPr>
                <w:color w:val="000000"/>
                <w:sz w:val="22"/>
                <w:lang w:val="en-US"/>
              </w:rPr>
            </w:pPr>
          </w:p>
        </w:tc>
      </w:tr>
      <w:tr w:rsidR="003C0AF1" w:rsidRPr="007115F2" w14:paraId="2142C35F" w14:textId="77777777" w:rsidTr="0029259E">
        <w:trPr>
          <w:trHeight w:val="230"/>
        </w:trPr>
        <w:tc>
          <w:tcPr>
            <w:tcW w:w="2694" w:type="dxa"/>
            <w:tcMar>
              <w:left w:w="108" w:type="dxa"/>
              <w:right w:w="108" w:type="dxa"/>
            </w:tcMar>
          </w:tcPr>
          <w:p w14:paraId="4040483B"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Relative_CEODuality</w:t>
            </w:r>
          </w:p>
        </w:tc>
        <w:tc>
          <w:tcPr>
            <w:tcW w:w="4394" w:type="dxa"/>
            <w:tcMar>
              <w:left w:w="108" w:type="dxa"/>
              <w:right w:w="108" w:type="dxa"/>
            </w:tcMar>
          </w:tcPr>
          <w:p w14:paraId="7D1FDCCA"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r w:rsidRPr="007115F2">
              <w:rPr>
                <w:color w:val="000000"/>
                <w:sz w:val="22"/>
                <w:lang w:val="en-US"/>
              </w:rPr>
              <w:t>Dichotomous indicator variable measuring whether there is a difference in CEO duality between alliance partners. CEO duality was coded inversely to board power (0 = CEO duality, 1 = no CEO duality). If both alliance partners had high board power, the measure took a value of 0. If both alliance partners had different levels of board power, the measure took a value of 1.</w:t>
            </w:r>
          </w:p>
        </w:tc>
        <w:tc>
          <w:tcPr>
            <w:tcW w:w="1984" w:type="dxa"/>
          </w:tcPr>
          <w:p w14:paraId="4A663E06" w14:textId="77777777" w:rsidR="003C0AF1" w:rsidRPr="007115F2" w:rsidRDefault="003C0AF1" w:rsidP="007C051A">
            <w:pPr>
              <w:widowControl w:val="0"/>
              <w:autoSpaceDE w:val="0"/>
              <w:autoSpaceDN w:val="0"/>
              <w:adjustRightInd w:val="0"/>
              <w:spacing w:line="240" w:lineRule="auto"/>
              <w:jc w:val="left"/>
              <w:rPr>
                <w:color w:val="000000"/>
                <w:sz w:val="22"/>
              </w:rPr>
            </w:pPr>
            <w:r w:rsidRPr="007115F2">
              <w:rPr>
                <w:color w:val="000000"/>
                <w:sz w:val="22"/>
              </w:rPr>
              <w:t>Gupta, Wowak, &amp; Boeker, 2022;</w:t>
            </w:r>
          </w:p>
          <w:p w14:paraId="4F6643C5" w14:textId="77777777" w:rsidR="003C0AF1" w:rsidRPr="007115F2" w:rsidRDefault="003C0AF1" w:rsidP="007C051A">
            <w:pPr>
              <w:widowControl w:val="0"/>
              <w:autoSpaceDE w:val="0"/>
              <w:autoSpaceDN w:val="0"/>
              <w:adjustRightInd w:val="0"/>
              <w:spacing w:line="240" w:lineRule="auto"/>
              <w:jc w:val="left"/>
              <w:rPr>
                <w:color w:val="000000"/>
                <w:sz w:val="22"/>
              </w:rPr>
            </w:pPr>
            <w:r w:rsidRPr="007115F2">
              <w:rPr>
                <w:color w:val="000000"/>
                <w:sz w:val="22"/>
              </w:rPr>
              <w:t>Kiel &amp; Nicholson, 2003</w:t>
            </w:r>
          </w:p>
        </w:tc>
      </w:tr>
      <w:tr w:rsidR="003C0AF1" w:rsidRPr="007115F2" w14:paraId="5AE09C70" w14:textId="77777777" w:rsidTr="0029259E">
        <w:trPr>
          <w:trHeight w:val="230"/>
        </w:trPr>
        <w:tc>
          <w:tcPr>
            <w:tcW w:w="2694" w:type="dxa"/>
            <w:tcBorders>
              <w:bottom w:val="single" w:sz="4" w:space="0" w:color="auto"/>
            </w:tcBorders>
            <w:tcMar>
              <w:left w:w="108" w:type="dxa"/>
              <w:right w:w="108" w:type="dxa"/>
            </w:tcMar>
          </w:tcPr>
          <w:p w14:paraId="194DCF15"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Relative_AnalystCoverage</w:t>
            </w:r>
          </w:p>
        </w:tc>
        <w:tc>
          <w:tcPr>
            <w:tcW w:w="4394" w:type="dxa"/>
            <w:tcBorders>
              <w:bottom w:val="single" w:sz="4" w:space="0" w:color="auto"/>
            </w:tcBorders>
            <w:tcMar>
              <w:left w:w="108" w:type="dxa"/>
              <w:right w:w="108" w:type="dxa"/>
            </w:tcMar>
          </w:tcPr>
          <w:p w14:paraId="590E1B9D" w14:textId="77777777" w:rsidR="003C0AF1" w:rsidRPr="007115F2" w:rsidRDefault="003C0AF1" w:rsidP="007C051A">
            <w:pPr>
              <w:widowControl w:val="0"/>
              <w:suppressLineNumbers/>
              <w:suppressAutoHyphens/>
              <w:autoSpaceDE w:val="0"/>
              <w:autoSpaceDN w:val="0"/>
              <w:adjustRightInd w:val="0"/>
              <w:spacing w:line="240" w:lineRule="auto"/>
              <w:rPr>
                <w:color w:val="000000"/>
                <w:sz w:val="22"/>
                <w:lang w:val="en-US"/>
              </w:rPr>
            </w:pPr>
            <w:r w:rsidRPr="007115F2">
              <w:rPr>
                <w:color w:val="000000"/>
                <w:sz w:val="22"/>
                <w:lang w:val="en-US"/>
              </w:rPr>
              <w:t>Ratio of the higher to lower standardized residual of analyst coverage for a company at the time of the alliance announcement.</w:t>
            </w:r>
          </w:p>
        </w:tc>
        <w:tc>
          <w:tcPr>
            <w:tcW w:w="1984" w:type="dxa"/>
            <w:tcBorders>
              <w:bottom w:val="single" w:sz="4" w:space="0" w:color="auto"/>
            </w:tcBorders>
          </w:tcPr>
          <w:p w14:paraId="0D463EB7" w14:textId="77777777" w:rsidR="003C0AF1" w:rsidRPr="007115F2" w:rsidRDefault="003C0AF1" w:rsidP="007C051A">
            <w:pPr>
              <w:widowControl w:val="0"/>
              <w:autoSpaceDE w:val="0"/>
              <w:autoSpaceDN w:val="0"/>
              <w:adjustRightInd w:val="0"/>
              <w:spacing w:line="240" w:lineRule="auto"/>
              <w:jc w:val="left"/>
              <w:rPr>
                <w:color w:val="000000"/>
                <w:sz w:val="22"/>
                <w:lang w:val="en-US"/>
              </w:rPr>
            </w:pPr>
            <w:r w:rsidRPr="007115F2">
              <w:rPr>
                <w:color w:val="000000"/>
                <w:sz w:val="22"/>
                <w:lang w:val="en-US"/>
              </w:rPr>
              <w:t>Shen, Tang, and Chen (2014)</w:t>
            </w:r>
          </w:p>
        </w:tc>
      </w:tr>
    </w:tbl>
    <w:p w14:paraId="75DE6A19" w14:textId="77777777" w:rsidR="003C0AF1" w:rsidRPr="00F62E5B" w:rsidRDefault="003C0AF1" w:rsidP="003C0AF1">
      <w:pPr>
        <w:pStyle w:val="Paragraph"/>
      </w:pPr>
    </w:p>
    <w:p w14:paraId="62DA964B" w14:textId="77777777" w:rsidR="00403DA7" w:rsidRPr="00F62E5B" w:rsidRDefault="00403DA7" w:rsidP="003C0AF1">
      <w:pPr>
        <w:pStyle w:val="Paragraph"/>
      </w:pPr>
    </w:p>
    <w:p w14:paraId="76C49C46" w14:textId="77777777" w:rsidR="00403DA7" w:rsidRPr="00F62E5B" w:rsidRDefault="00403DA7" w:rsidP="00403DA7">
      <w:pPr>
        <w:rPr>
          <w:lang w:val="en-US"/>
        </w:rPr>
        <w:sectPr w:rsidR="00403DA7" w:rsidRPr="00F62E5B" w:rsidSect="00794C6C">
          <w:headerReference w:type="even" r:id="rId52"/>
          <w:headerReference w:type="default" r:id="rId53"/>
          <w:footerReference w:type="even" r:id="rId54"/>
          <w:footerReference w:type="default" r:id="rId55"/>
          <w:headerReference w:type="first" r:id="rId56"/>
          <w:footerReference w:type="first" r:id="rId57"/>
          <w:pgSz w:w="11906" w:h="16838"/>
          <w:pgMar w:top="1417" w:right="1417" w:bottom="1134" w:left="1417" w:header="709" w:footer="709" w:gutter="0"/>
          <w:cols w:space="708"/>
          <w:docGrid w:linePitch="360"/>
        </w:sectPr>
      </w:pPr>
    </w:p>
    <w:p w14:paraId="6FAC323F" w14:textId="26C4D044" w:rsidR="00403DA7" w:rsidRDefault="00941A7A" w:rsidP="00C14475">
      <w:pPr>
        <w:pStyle w:val="1fake"/>
      </w:pPr>
      <w:r>
        <w:lastRenderedPageBreak/>
        <w:t>References of Online Supplement</w:t>
      </w:r>
    </w:p>
    <w:p w14:paraId="2C85A74F" w14:textId="77777777" w:rsidR="003C0AF1" w:rsidRPr="008B2AD0" w:rsidRDefault="003C0AF1" w:rsidP="00092681">
      <w:pPr>
        <w:pStyle w:val="CitaviBibliographyEntry"/>
        <w:jc w:val="both"/>
      </w:pPr>
      <w:bookmarkStart w:id="407" w:name="_CTVL001f65f4328f494414ea196cdb24c58834a"/>
      <w:r w:rsidRPr="008B2AD0">
        <w:t>Ahuja, G., Polidoro, F., &amp; Mitchell, W. 2009. Structural homophily or social asymmetry? The formation of alliances by poorly embedded firms.</w:t>
      </w:r>
      <w:bookmarkEnd w:id="407"/>
      <w:r w:rsidRPr="008B2AD0">
        <w:t xml:space="preserve"> </w:t>
      </w:r>
      <w:r w:rsidRPr="008B2AD0">
        <w:rPr>
          <w:i/>
        </w:rPr>
        <w:t>Strategic Management Journal</w:t>
      </w:r>
      <w:r w:rsidRPr="008B2AD0">
        <w:t>, 30: 941-958.</w:t>
      </w:r>
    </w:p>
    <w:p w14:paraId="1E7056F8" w14:textId="77777777" w:rsidR="003C0AF1" w:rsidRPr="008B2AD0" w:rsidRDefault="003C0AF1" w:rsidP="00092681">
      <w:pPr>
        <w:pStyle w:val="CitaviBibliographyEntry"/>
        <w:jc w:val="both"/>
      </w:pPr>
      <w:r w:rsidRPr="008B2AD0">
        <w:t xml:space="preserve">Arslan, B. 2018. The interplay of competitive and cooperative behavior and differential benefits in alliances. </w:t>
      </w:r>
      <w:r w:rsidRPr="008B2AD0">
        <w:rPr>
          <w:i/>
        </w:rPr>
        <w:t>Strategic Management Journal</w:t>
      </w:r>
      <w:r w:rsidRPr="008B2AD0">
        <w:t>, 39: 3222-3246.</w:t>
      </w:r>
    </w:p>
    <w:p w14:paraId="56C536B1" w14:textId="77777777" w:rsidR="003C0AF1" w:rsidRPr="008B2AD0" w:rsidRDefault="003C0AF1" w:rsidP="00092681">
      <w:pPr>
        <w:pStyle w:val="CitaviBibliographyEntry"/>
        <w:jc w:val="both"/>
      </w:pPr>
      <w:r w:rsidRPr="008B2AD0">
        <w:t xml:space="preserve">Beckman, C. M., Haunschild, P. R., &amp; Phillips, D. J. 2004. Friends or Strangers? Firm-Specific Uncertainty, Market Uncertainty, and Network Partner Selection. </w:t>
      </w:r>
      <w:r w:rsidRPr="008B2AD0">
        <w:rPr>
          <w:i/>
        </w:rPr>
        <w:t>Organization Science</w:t>
      </w:r>
      <w:r w:rsidRPr="008B2AD0">
        <w:t>, 15: 259-275.</w:t>
      </w:r>
    </w:p>
    <w:p w14:paraId="66D012E5" w14:textId="77777777" w:rsidR="003C0AF1" w:rsidRPr="008B2AD0" w:rsidRDefault="003C0AF1" w:rsidP="00092681">
      <w:pPr>
        <w:pStyle w:val="CitaviBibliographyEntry"/>
        <w:jc w:val="both"/>
      </w:pPr>
      <w:r w:rsidRPr="008B2AD0">
        <w:t xml:space="preserve">Bonacich, P. 1987. Power and Centrality: A Family of Measures. </w:t>
      </w:r>
      <w:r w:rsidRPr="008B2AD0">
        <w:rPr>
          <w:i/>
        </w:rPr>
        <w:t>American Journal of Sociology</w:t>
      </w:r>
      <w:r w:rsidRPr="008B2AD0">
        <w:t>, 92: 1170-1182.</w:t>
      </w:r>
    </w:p>
    <w:p w14:paraId="5771B8ED" w14:textId="77777777" w:rsidR="003C0AF1" w:rsidRPr="008B2AD0" w:rsidRDefault="003C0AF1" w:rsidP="00092681">
      <w:pPr>
        <w:pStyle w:val="CitaviBibliographyEntry"/>
        <w:jc w:val="both"/>
      </w:pPr>
      <w:r w:rsidRPr="008B2AD0">
        <w:t xml:space="preserve">Burt, R. S. 1980. Cooptive Corporate Actor Networks: A Reconsideration of Interlocking Directorates Involving American Manufacturing. </w:t>
      </w:r>
      <w:r w:rsidRPr="008B2AD0">
        <w:rPr>
          <w:i/>
        </w:rPr>
        <w:t>Administrative Science Quarterly</w:t>
      </w:r>
      <w:r w:rsidRPr="008B2AD0">
        <w:t>, 25: 557.</w:t>
      </w:r>
    </w:p>
    <w:p w14:paraId="40D03EDA" w14:textId="77777777" w:rsidR="003C0AF1" w:rsidRPr="008B2AD0" w:rsidRDefault="003C0AF1" w:rsidP="00092681">
      <w:pPr>
        <w:pStyle w:val="CitaviBibliographyEntry"/>
        <w:jc w:val="both"/>
      </w:pPr>
      <w:r w:rsidRPr="008B2AD0">
        <w:t xml:space="preserve">Chandler, D., Haunschild, P. R., Rhee, M., &amp; Beckman, C. M. 2013. The effects of firm reputation and status on interorganizational network structure. </w:t>
      </w:r>
      <w:r w:rsidRPr="008B2AD0">
        <w:rPr>
          <w:i/>
        </w:rPr>
        <w:t>Strategic Organization</w:t>
      </w:r>
      <w:r w:rsidRPr="008B2AD0">
        <w:t>, 11: 217-244.</w:t>
      </w:r>
    </w:p>
    <w:p w14:paraId="10081A79" w14:textId="77777777" w:rsidR="003C0AF1" w:rsidRPr="003160B3" w:rsidRDefault="003C0AF1" w:rsidP="00092681">
      <w:pPr>
        <w:pStyle w:val="CitaviBibliographyEntry"/>
        <w:jc w:val="both"/>
      </w:pPr>
      <w:r w:rsidRPr="008B2AD0">
        <w:t xml:space="preserve">Das, S., Sen, P. K., &amp; Sengupta, S. 1998. Impact of strategic alliances on firm valuation. </w:t>
      </w:r>
      <w:r w:rsidRPr="003160B3">
        <w:rPr>
          <w:i/>
        </w:rPr>
        <w:t>Academy of Management Journal</w:t>
      </w:r>
      <w:r w:rsidRPr="003160B3">
        <w:t>, 41: 27-41.</w:t>
      </w:r>
    </w:p>
    <w:p w14:paraId="21EC4F4D" w14:textId="77777777" w:rsidR="003C0AF1" w:rsidRPr="008B2AD0" w:rsidRDefault="003C0AF1" w:rsidP="00092681">
      <w:pPr>
        <w:pStyle w:val="CitaviBibliographyEntry"/>
        <w:jc w:val="both"/>
      </w:pPr>
      <w:r w:rsidRPr="003160B3">
        <w:t xml:space="preserve">Das, T. K., &amp; Teng, B.-S. 1998. </w:t>
      </w:r>
      <w:r w:rsidRPr="008B2AD0">
        <w:t xml:space="preserve">Between Trust and Control: Developing Confidence in Partner Cooperation in Alliances. </w:t>
      </w:r>
      <w:r w:rsidRPr="008B2AD0">
        <w:rPr>
          <w:i/>
        </w:rPr>
        <w:t>Academy of Management Review</w:t>
      </w:r>
      <w:r w:rsidRPr="008B2AD0">
        <w:t>, 23: 491.</w:t>
      </w:r>
    </w:p>
    <w:p w14:paraId="01AB116C" w14:textId="77777777" w:rsidR="003C0AF1" w:rsidRPr="008B2AD0" w:rsidRDefault="003C0AF1" w:rsidP="00092681">
      <w:pPr>
        <w:pStyle w:val="CitaviBibliographyEntry"/>
        <w:jc w:val="both"/>
      </w:pPr>
      <w:bookmarkStart w:id="408" w:name="_CTVL001aa011ac36aef4e24964e2dc49a395ad5"/>
      <w:r w:rsidRPr="008B2AD0">
        <w:t>Gulati, R., &amp; Gargiulo, M. 1999. Where Do Interorganizational Networks Come From?</w:t>
      </w:r>
      <w:bookmarkEnd w:id="408"/>
      <w:r w:rsidRPr="008B2AD0">
        <w:t xml:space="preserve"> </w:t>
      </w:r>
      <w:r w:rsidRPr="008B2AD0">
        <w:rPr>
          <w:i/>
        </w:rPr>
        <w:t>American Journal of Sociology</w:t>
      </w:r>
      <w:r w:rsidRPr="008B2AD0">
        <w:t>, 104: 1439-1493.</w:t>
      </w:r>
    </w:p>
    <w:p w14:paraId="1AC8048C" w14:textId="77777777" w:rsidR="003C0AF1" w:rsidRPr="008B2AD0" w:rsidRDefault="003C0AF1" w:rsidP="00092681">
      <w:pPr>
        <w:pStyle w:val="CitaviBibliographyEntry"/>
        <w:jc w:val="both"/>
      </w:pPr>
      <w:bookmarkStart w:id="409" w:name="_CTVL001935557b1879b4c6bb524c8effcae4547"/>
      <w:r w:rsidRPr="008B2AD0">
        <w:t>Gulati, R., Lavie, D., &amp; Singh, H. 2009. The nature of partnering experience and the gains from alliances.</w:t>
      </w:r>
      <w:bookmarkEnd w:id="409"/>
      <w:r w:rsidRPr="008B2AD0">
        <w:t xml:space="preserve"> </w:t>
      </w:r>
      <w:r w:rsidRPr="008B2AD0">
        <w:rPr>
          <w:i/>
        </w:rPr>
        <w:t>Strategic Management Journal</w:t>
      </w:r>
      <w:r w:rsidRPr="008B2AD0">
        <w:t>, 30: 1213-1233.</w:t>
      </w:r>
    </w:p>
    <w:p w14:paraId="06633E11" w14:textId="77777777" w:rsidR="003C0AF1" w:rsidRPr="008B2AD0" w:rsidRDefault="003C0AF1" w:rsidP="00092681">
      <w:pPr>
        <w:pStyle w:val="CitaviBibliographyEntry"/>
        <w:jc w:val="both"/>
      </w:pPr>
      <w:r w:rsidRPr="008B2AD0">
        <w:lastRenderedPageBreak/>
        <w:t xml:space="preserve">Gulati, R., &amp; Singh, H. 1998. The Architecture of Cooperation: Managing Coordination Costs and Appropriation Concerns in Strategic Alliances. </w:t>
      </w:r>
      <w:r w:rsidRPr="008B2AD0">
        <w:rPr>
          <w:i/>
        </w:rPr>
        <w:t>Administrative Science Quarterly</w:t>
      </w:r>
      <w:r w:rsidRPr="008B2AD0">
        <w:t>, 43: 781.</w:t>
      </w:r>
    </w:p>
    <w:p w14:paraId="2850B611" w14:textId="77777777" w:rsidR="003C0AF1" w:rsidRPr="008B2AD0" w:rsidRDefault="003C0AF1" w:rsidP="00092681">
      <w:pPr>
        <w:pStyle w:val="CitaviBibliographyEntry"/>
        <w:jc w:val="both"/>
      </w:pPr>
      <w:r w:rsidRPr="008B2AD0">
        <w:t xml:space="preserve">Gulati, R., &amp; Wang, L. O. 2003. Size of the pie and share of the pie: Implications of network embeddedness and business relatedness for value creation and value appropriation in joint ventures. In </w:t>
      </w:r>
      <w:r w:rsidRPr="008B2AD0">
        <w:rPr>
          <w:i/>
        </w:rPr>
        <w:t xml:space="preserve">The Governance of Relations in Markets and Organizations: </w:t>
      </w:r>
      <w:r w:rsidRPr="008B2AD0">
        <w:t>209-242. Bingley: Emerald (MCB UP ).</w:t>
      </w:r>
    </w:p>
    <w:p w14:paraId="3B65843D" w14:textId="77777777" w:rsidR="003C0AF1" w:rsidRPr="008B2AD0" w:rsidRDefault="003C0AF1" w:rsidP="00092681">
      <w:pPr>
        <w:pStyle w:val="CitaviBibliographyEntry"/>
        <w:jc w:val="both"/>
      </w:pPr>
      <w:r w:rsidRPr="008B2AD0">
        <w:t xml:space="preserve">Gulati, R., &amp; Westphal, J. D. 1999. Cooperative or Controlling? The Effects of CEO-Board Relations and the Content of Interlocks on the Formation of Joint Ventures. </w:t>
      </w:r>
      <w:r w:rsidRPr="008B2AD0">
        <w:rPr>
          <w:i/>
        </w:rPr>
        <w:t>Administrative Science Quarterly</w:t>
      </w:r>
      <w:r w:rsidRPr="008B2AD0">
        <w:t>, 44: 473-506.</w:t>
      </w:r>
    </w:p>
    <w:p w14:paraId="408EFEBD" w14:textId="77777777" w:rsidR="003C0AF1" w:rsidRPr="008B2AD0" w:rsidRDefault="003C0AF1" w:rsidP="00092681">
      <w:pPr>
        <w:pStyle w:val="CitaviBibliographyEntry"/>
        <w:jc w:val="both"/>
      </w:pPr>
      <w:bookmarkStart w:id="410" w:name="_CTVL001e4a564310c2e47ecb249fb9040d2deee"/>
      <w:r w:rsidRPr="008B2AD0">
        <w:t>Gupta, A., Wowak, A. J., &amp; Boeker, W. 2022. Corporate directors as heterogeneous network pipes: How director political ideology affects the interorganizational diffusion of governance practices.</w:t>
      </w:r>
      <w:bookmarkEnd w:id="410"/>
      <w:r w:rsidRPr="008B2AD0">
        <w:t xml:space="preserve"> </w:t>
      </w:r>
      <w:r w:rsidRPr="008B2AD0">
        <w:rPr>
          <w:i/>
        </w:rPr>
        <w:t>Strategic Management Journal</w:t>
      </w:r>
      <w:r w:rsidRPr="008B2AD0">
        <w:t>, 43: 1469-1498.</w:t>
      </w:r>
    </w:p>
    <w:p w14:paraId="48CF65B0" w14:textId="77777777" w:rsidR="003C0AF1" w:rsidRPr="008B2AD0" w:rsidRDefault="003C0AF1" w:rsidP="00092681">
      <w:pPr>
        <w:pStyle w:val="CitaviBibliographyEntry"/>
        <w:jc w:val="both"/>
      </w:pPr>
      <w:r w:rsidRPr="008B2AD0">
        <w:t xml:space="preserve">Haynes, K. T., &amp; Hillman, A. J. 2010. The effect of board capital and CEO power on strategic change. </w:t>
      </w:r>
      <w:r w:rsidRPr="008B2AD0">
        <w:rPr>
          <w:i/>
        </w:rPr>
        <w:t>Strategic Management Journal</w:t>
      </w:r>
      <w:r w:rsidRPr="008B2AD0">
        <w:t>, 31: 1145-1163.</w:t>
      </w:r>
    </w:p>
    <w:p w14:paraId="577CE049" w14:textId="77777777" w:rsidR="003C0AF1" w:rsidRPr="008B2AD0" w:rsidRDefault="003C0AF1" w:rsidP="00092681">
      <w:pPr>
        <w:pStyle w:val="CitaviBibliographyEntry"/>
        <w:jc w:val="both"/>
      </w:pPr>
      <w:bookmarkStart w:id="411" w:name="_CTVL001f1d9624edc0c4808b845a1e818294e15"/>
      <w:r w:rsidRPr="008B2AD0">
        <w:t>Jensen, M. 2003. The Role of Network Resources in Market Entry: Commercial Banks</w:t>
      </w:r>
      <w:r>
        <w:t>’</w:t>
      </w:r>
      <w:r w:rsidRPr="008B2AD0">
        <w:t xml:space="preserve"> Entry into Investment Banking, 1991–1997.</w:t>
      </w:r>
      <w:bookmarkEnd w:id="411"/>
      <w:r w:rsidRPr="008B2AD0">
        <w:t xml:space="preserve"> </w:t>
      </w:r>
      <w:r w:rsidRPr="008B2AD0">
        <w:rPr>
          <w:i/>
        </w:rPr>
        <w:t>Administrative Science Quarterly</w:t>
      </w:r>
      <w:r w:rsidRPr="008B2AD0">
        <w:t>, 48: 466-497.</w:t>
      </w:r>
    </w:p>
    <w:p w14:paraId="6CB53811" w14:textId="77777777" w:rsidR="003C0AF1" w:rsidRPr="008B2AD0" w:rsidRDefault="003C0AF1" w:rsidP="00092681">
      <w:pPr>
        <w:pStyle w:val="CitaviBibliographyEntry"/>
        <w:jc w:val="both"/>
      </w:pPr>
      <w:bookmarkStart w:id="412" w:name="_CTVL001f9ba61edd7d0410891cb0ddb11ceef53"/>
      <w:r w:rsidRPr="008B2AD0">
        <w:t>Kale, P., Dyer, J. H., &amp; Singh, H. 2002. Alliance capability, stock market response, and long‐term alliance success: the role of the alliance function.</w:t>
      </w:r>
      <w:bookmarkEnd w:id="412"/>
      <w:r w:rsidRPr="008B2AD0">
        <w:t xml:space="preserve"> </w:t>
      </w:r>
      <w:r w:rsidRPr="008B2AD0">
        <w:rPr>
          <w:i/>
        </w:rPr>
        <w:t>Strategic Management Journal</w:t>
      </w:r>
      <w:r w:rsidRPr="008B2AD0">
        <w:t>, 23: 747-767.</w:t>
      </w:r>
    </w:p>
    <w:p w14:paraId="7F34E56C" w14:textId="77777777" w:rsidR="003C0AF1" w:rsidRPr="008B2AD0" w:rsidRDefault="003C0AF1" w:rsidP="00092681">
      <w:pPr>
        <w:pStyle w:val="CitaviBibliographyEntry"/>
        <w:jc w:val="both"/>
      </w:pPr>
      <w:r w:rsidRPr="008B2AD0">
        <w:t xml:space="preserve">Khanna, T., Gulati, R., &amp; Nohria, N. 1998. The dynamics of learning alliances: competition, cooperation, and relative scope. </w:t>
      </w:r>
      <w:r w:rsidRPr="008B2AD0">
        <w:rPr>
          <w:i/>
        </w:rPr>
        <w:t>Strategic Management Journal</w:t>
      </w:r>
      <w:r w:rsidRPr="008B2AD0">
        <w:t>, 19: 193-210.</w:t>
      </w:r>
    </w:p>
    <w:p w14:paraId="2B526D2D" w14:textId="77777777" w:rsidR="003C0AF1" w:rsidRPr="008B2AD0" w:rsidRDefault="003C0AF1" w:rsidP="00092681">
      <w:pPr>
        <w:pStyle w:val="CitaviBibliographyEntry"/>
        <w:jc w:val="both"/>
      </w:pPr>
      <w:bookmarkStart w:id="413" w:name="_CTVL001abf353e336da4e8a846f75a286591197"/>
      <w:r w:rsidRPr="008B2AD0">
        <w:t>Kiel, G. C., &amp; Nicholson, G. J. 2003. Board Composition and Corporate Performance: how the Australian experience informs contrasting theories of corporate governance.</w:t>
      </w:r>
      <w:bookmarkEnd w:id="413"/>
      <w:r w:rsidRPr="008B2AD0">
        <w:t xml:space="preserve"> </w:t>
      </w:r>
      <w:r w:rsidRPr="008B2AD0">
        <w:rPr>
          <w:i/>
        </w:rPr>
        <w:t>Corporate Governance: An International Review</w:t>
      </w:r>
      <w:r w:rsidRPr="008B2AD0">
        <w:t>, 11: 189-205.</w:t>
      </w:r>
    </w:p>
    <w:p w14:paraId="14332474" w14:textId="77777777" w:rsidR="003C0AF1" w:rsidRPr="008B2AD0" w:rsidRDefault="003C0AF1" w:rsidP="00092681">
      <w:pPr>
        <w:pStyle w:val="CitaviBibliographyEntry"/>
        <w:jc w:val="both"/>
      </w:pPr>
      <w:r w:rsidRPr="008B2AD0">
        <w:lastRenderedPageBreak/>
        <w:t xml:space="preserve">Kumar, M. V. S. 2011. Are joint ventures positive sum games? The relative effects of cooperative and noncooperative behavior. </w:t>
      </w:r>
      <w:r w:rsidRPr="008B2AD0">
        <w:rPr>
          <w:i/>
        </w:rPr>
        <w:t>Strategic Management Journal</w:t>
      </w:r>
      <w:r w:rsidRPr="008B2AD0">
        <w:t>, 32: 32-54.</w:t>
      </w:r>
    </w:p>
    <w:p w14:paraId="090A2619" w14:textId="77777777" w:rsidR="003C0AF1" w:rsidRPr="008B2AD0" w:rsidRDefault="003C0AF1" w:rsidP="00092681">
      <w:pPr>
        <w:pStyle w:val="CitaviBibliographyEntry"/>
        <w:jc w:val="both"/>
      </w:pPr>
      <w:r w:rsidRPr="008B2AD0">
        <w:t xml:space="preserve">Liu, Y., Mantecon, T., Silveri, S. D., &amp; Sun, W. 2020. Inter-Firm Connections, Alliance Formation and the Value Created by Alliances. </w:t>
      </w:r>
      <w:r w:rsidRPr="008B2AD0">
        <w:rPr>
          <w:i/>
        </w:rPr>
        <w:t>Quarterly Journal of Finance</w:t>
      </w:r>
      <w:r w:rsidRPr="008B2AD0">
        <w:t>, 10: 2050019.</w:t>
      </w:r>
    </w:p>
    <w:p w14:paraId="65644A26" w14:textId="77777777" w:rsidR="003C0AF1" w:rsidRPr="008B2AD0" w:rsidRDefault="003C0AF1" w:rsidP="00092681">
      <w:pPr>
        <w:pStyle w:val="CitaviBibliographyEntry"/>
        <w:jc w:val="both"/>
      </w:pPr>
      <w:bookmarkStart w:id="414" w:name="_CTVL00162a4ce064e78448f85ace38e674c24e5"/>
      <w:r w:rsidRPr="008B2AD0">
        <w:t>Luo, Y. 2007a. Are joint venture partners more opportunistic in a more volatile environment?</w:t>
      </w:r>
      <w:bookmarkEnd w:id="414"/>
      <w:r w:rsidRPr="008B2AD0">
        <w:t xml:space="preserve"> </w:t>
      </w:r>
      <w:r w:rsidRPr="008B2AD0">
        <w:rPr>
          <w:i/>
        </w:rPr>
        <w:t>Strategic Management Journal</w:t>
      </w:r>
      <w:r w:rsidRPr="008B2AD0">
        <w:t>, 28: 39-60.</w:t>
      </w:r>
    </w:p>
    <w:p w14:paraId="537D6F11" w14:textId="77777777" w:rsidR="003C0AF1" w:rsidRPr="008B2AD0" w:rsidRDefault="003C0AF1" w:rsidP="00092681">
      <w:pPr>
        <w:pStyle w:val="CitaviBibliographyEntry"/>
        <w:jc w:val="both"/>
      </w:pPr>
      <w:bookmarkStart w:id="415" w:name="_CTVL0014e67e929ff75441c9f5c2f38376855d0"/>
      <w:r w:rsidRPr="008B2AD0">
        <w:t>Luo, Y. 2007b. The Independent and Interactive Roles of Procedural, Distributive, and Interactional Justice in Strategic Alliances.</w:t>
      </w:r>
      <w:bookmarkEnd w:id="415"/>
      <w:r w:rsidRPr="008B2AD0">
        <w:t xml:space="preserve"> </w:t>
      </w:r>
      <w:r w:rsidRPr="008B2AD0">
        <w:rPr>
          <w:i/>
        </w:rPr>
        <w:t>Academy of Management Journal</w:t>
      </w:r>
      <w:r w:rsidRPr="008B2AD0">
        <w:t>, 50: 644-664.</w:t>
      </w:r>
    </w:p>
    <w:p w14:paraId="0E1AC229" w14:textId="77777777" w:rsidR="003C0AF1" w:rsidRPr="008B2AD0" w:rsidRDefault="003C0AF1" w:rsidP="00092681">
      <w:pPr>
        <w:pStyle w:val="CitaviBibliographyEntry"/>
        <w:jc w:val="both"/>
      </w:pPr>
      <w:bookmarkStart w:id="416" w:name="_CTVL001b100f6a3551b4909a3e6b261cb1cdb03"/>
      <w:r w:rsidRPr="008B2AD0">
        <w:t>Mitsuhashi, H., &amp; Greve, H. R. 2009. A Matching Theory of Alliance Formation and Organizational Success: Complementarity and Compatibility.</w:t>
      </w:r>
      <w:bookmarkEnd w:id="416"/>
      <w:r w:rsidRPr="008B2AD0">
        <w:t xml:space="preserve"> </w:t>
      </w:r>
      <w:r w:rsidRPr="008B2AD0">
        <w:rPr>
          <w:i/>
        </w:rPr>
        <w:t>Academy of Management Journal</w:t>
      </w:r>
      <w:r w:rsidRPr="008B2AD0">
        <w:t>, 52: 975-995.</w:t>
      </w:r>
    </w:p>
    <w:p w14:paraId="33975059" w14:textId="77777777" w:rsidR="003C0AF1" w:rsidRPr="008B2AD0" w:rsidRDefault="003C0AF1" w:rsidP="00092681">
      <w:pPr>
        <w:pStyle w:val="CitaviBibliographyEntry"/>
        <w:jc w:val="both"/>
      </w:pPr>
      <w:r w:rsidRPr="008B2AD0">
        <w:t xml:space="preserve">Mowery, D. C., Oxley, J. E., &amp; Silverman, B. S. 1996. Strategic alliances and interfirm knowledge transfer. </w:t>
      </w:r>
      <w:r w:rsidRPr="008B2AD0">
        <w:rPr>
          <w:i/>
        </w:rPr>
        <w:t>Strategic Management Journal</w:t>
      </w:r>
      <w:r w:rsidRPr="008B2AD0">
        <w:t>, 17: 77-91.</w:t>
      </w:r>
    </w:p>
    <w:p w14:paraId="4EF23BAD" w14:textId="77777777" w:rsidR="003C0AF1" w:rsidRPr="008B2AD0" w:rsidRDefault="003C0AF1" w:rsidP="00092681">
      <w:pPr>
        <w:pStyle w:val="CitaviBibliographyEntry"/>
        <w:jc w:val="both"/>
      </w:pPr>
      <w:bookmarkStart w:id="417" w:name="_CTVL0019141c3cd99244e66a721014b8972b487"/>
      <w:r w:rsidRPr="008B2AD0">
        <w:t>Oxley, J. E. 1997. Appropriability Hazards and Governance in Strategic Alliances: A Transaction Cost Approach.</w:t>
      </w:r>
      <w:bookmarkEnd w:id="417"/>
      <w:r w:rsidRPr="008B2AD0">
        <w:t xml:space="preserve"> </w:t>
      </w:r>
      <w:r w:rsidRPr="008B2AD0">
        <w:rPr>
          <w:i/>
        </w:rPr>
        <w:t>Journal of Law, Economics, and Organization</w:t>
      </w:r>
      <w:r w:rsidRPr="008B2AD0">
        <w:t>, 13: 387-409.</w:t>
      </w:r>
    </w:p>
    <w:p w14:paraId="3DE8316B" w14:textId="77777777" w:rsidR="003C0AF1" w:rsidRPr="008B2AD0" w:rsidRDefault="003C0AF1" w:rsidP="00092681">
      <w:pPr>
        <w:pStyle w:val="CitaviBibliographyEntry"/>
        <w:jc w:val="both"/>
      </w:pPr>
      <w:bookmarkStart w:id="418" w:name="_CTVL0016e7aa8a33bec4e80957f530dd7c40f1b"/>
      <w:r w:rsidRPr="008B2AD0">
        <w:t>Oxley, J. E., Sampson, R. C., &amp; Silverman, B. S. 2009. Arms Race or Détente? How Interfirm Alliance Announcements Change the Stock Market Valuation of Rivals.</w:t>
      </w:r>
      <w:bookmarkEnd w:id="418"/>
      <w:r w:rsidRPr="008B2AD0">
        <w:t xml:space="preserve"> </w:t>
      </w:r>
      <w:r w:rsidRPr="008B2AD0">
        <w:rPr>
          <w:i/>
        </w:rPr>
        <w:t>Management Science</w:t>
      </w:r>
      <w:r w:rsidRPr="008B2AD0">
        <w:t>, 55: 1321-1337.</w:t>
      </w:r>
    </w:p>
    <w:p w14:paraId="0FBC99FC" w14:textId="77777777" w:rsidR="003C0AF1" w:rsidRPr="008B2AD0" w:rsidRDefault="003C0AF1" w:rsidP="00092681">
      <w:pPr>
        <w:pStyle w:val="CitaviBibliographyEntry"/>
        <w:jc w:val="both"/>
      </w:pPr>
      <w:bookmarkStart w:id="419" w:name="_CTVL001b248504260034407aa9942034b6bbac3"/>
      <w:r w:rsidRPr="008B2AD0">
        <w:t>Park, S. H., &amp; Russo, M. V. 1996. When Competition Eclipses Cooperation: An Event History Analysis of Joint Venture Failure.</w:t>
      </w:r>
      <w:bookmarkEnd w:id="419"/>
      <w:r w:rsidRPr="008B2AD0">
        <w:t xml:space="preserve"> </w:t>
      </w:r>
      <w:r w:rsidRPr="008B2AD0">
        <w:rPr>
          <w:i/>
        </w:rPr>
        <w:t>Management Science</w:t>
      </w:r>
      <w:r w:rsidRPr="008B2AD0">
        <w:t>, 42: 875-890.</w:t>
      </w:r>
    </w:p>
    <w:p w14:paraId="516C104B" w14:textId="77777777" w:rsidR="003C0AF1" w:rsidRPr="008B2AD0" w:rsidRDefault="003C0AF1" w:rsidP="00092681">
      <w:pPr>
        <w:pStyle w:val="CitaviBibliographyEntry"/>
        <w:jc w:val="both"/>
      </w:pPr>
      <w:r w:rsidRPr="008B2AD0">
        <w:t xml:space="preserve">Podolny, J. M. 1993. A Status-Based Model of Market Competition. </w:t>
      </w:r>
      <w:r w:rsidRPr="008B2AD0">
        <w:rPr>
          <w:i/>
        </w:rPr>
        <w:t>American Journal of Sociology</w:t>
      </w:r>
      <w:r w:rsidRPr="008B2AD0">
        <w:t>, 98: 829-872.</w:t>
      </w:r>
    </w:p>
    <w:p w14:paraId="39B9EC7B" w14:textId="77777777" w:rsidR="003C0AF1" w:rsidRPr="008B2AD0" w:rsidRDefault="003C0AF1" w:rsidP="00092681">
      <w:pPr>
        <w:pStyle w:val="CitaviBibliographyEntry"/>
        <w:jc w:val="both"/>
      </w:pPr>
      <w:r w:rsidRPr="008B2AD0">
        <w:t xml:space="preserve">Polidoro, F., Ahuja, G., &amp; Mitchell, W. 2011. When the Social Structure Overshadows Competitive Incentives: The Effects of Network Embeddedness on Joint Venture Dissolution. </w:t>
      </w:r>
      <w:r w:rsidRPr="008B2AD0">
        <w:rPr>
          <w:i/>
        </w:rPr>
        <w:t>Academy of Management Journal</w:t>
      </w:r>
      <w:r w:rsidRPr="008B2AD0">
        <w:t>, 54: 203-223.</w:t>
      </w:r>
    </w:p>
    <w:p w14:paraId="2CB1FF5B" w14:textId="77777777" w:rsidR="003C0AF1" w:rsidRPr="008B2AD0" w:rsidRDefault="003C0AF1" w:rsidP="00092681">
      <w:pPr>
        <w:pStyle w:val="CitaviBibliographyEntry"/>
        <w:jc w:val="both"/>
      </w:pPr>
      <w:r w:rsidRPr="008B2AD0">
        <w:lastRenderedPageBreak/>
        <w:t xml:space="preserve">Shen, R., Tang, Y., &amp; Chen, G. 2014. When the role fits: How firm status differentials affect corporate takeovers. </w:t>
      </w:r>
      <w:r w:rsidRPr="008B2AD0">
        <w:rPr>
          <w:i/>
        </w:rPr>
        <w:t>Strategic Management Journal</w:t>
      </w:r>
      <w:r w:rsidRPr="008B2AD0">
        <w:t>, 35: 2012-2030.</w:t>
      </w:r>
    </w:p>
    <w:p w14:paraId="439E0346" w14:textId="77777777" w:rsidR="003C0AF1" w:rsidRPr="008B2AD0" w:rsidRDefault="003C0AF1" w:rsidP="00092681">
      <w:pPr>
        <w:pStyle w:val="CitaviBibliographyEntry"/>
        <w:jc w:val="both"/>
      </w:pPr>
      <w:bookmarkStart w:id="420" w:name="_CTVL0015e11db48efbb46bf94e78c673da5a482"/>
      <w:r w:rsidRPr="008B2AD0">
        <w:t>Wang, L. O., &amp; Zajac, E. J. 2007. Alliance or acquisition? a dyadic perspective on interfirm resource combinations.</w:t>
      </w:r>
      <w:bookmarkEnd w:id="420"/>
      <w:r w:rsidRPr="008B2AD0">
        <w:t xml:space="preserve"> </w:t>
      </w:r>
      <w:r w:rsidRPr="008B2AD0">
        <w:rPr>
          <w:i/>
        </w:rPr>
        <w:t>Strategic Management Journal</w:t>
      </w:r>
      <w:r w:rsidRPr="008B2AD0">
        <w:t>, 28: 1291-1317.</w:t>
      </w:r>
    </w:p>
    <w:p w14:paraId="1FF07DA2" w14:textId="77777777" w:rsidR="003C0AF1" w:rsidRPr="008B2AD0" w:rsidRDefault="003C0AF1" w:rsidP="00092681">
      <w:pPr>
        <w:pStyle w:val="CitaviBibliographyEntry"/>
        <w:jc w:val="both"/>
      </w:pPr>
      <w:bookmarkStart w:id="421" w:name="_CTVL001c6d629f591d64bc29019001866523c4f"/>
      <w:r w:rsidRPr="008B2AD0">
        <w:t>Yang, H., Lin, Z., &amp; Lin, Y. 2010. A multilevel framework of firm boundaries: firm characteristics, dyadic differences, and network attributes.</w:t>
      </w:r>
      <w:bookmarkEnd w:id="421"/>
      <w:r w:rsidRPr="008B2AD0">
        <w:t xml:space="preserve"> </w:t>
      </w:r>
      <w:r w:rsidRPr="008B2AD0">
        <w:rPr>
          <w:i/>
        </w:rPr>
        <w:t>Strategic Management Journal</w:t>
      </w:r>
      <w:r w:rsidRPr="008B2AD0">
        <w:t>, 31: 237-261.</w:t>
      </w:r>
    </w:p>
    <w:p w14:paraId="68106439" w14:textId="77777777" w:rsidR="003C0AF1" w:rsidRPr="00F62E5B" w:rsidRDefault="003C0AF1" w:rsidP="00092681">
      <w:pPr>
        <w:pStyle w:val="CitaviBibliographyEntry"/>
        <w:jc w:val="both"/>
      </w:pPr>
      <w:bookmarkStart w:id="422" w:name="_CTVL001d26358bd57574c93b0442c1988921dd7"/>
      <w:r w:rsidRPr="008B2AD0">
        <w:t>Yang, H., Zheng, Y., &amp; Zaheer, A. 2015. Asymmetric Learning Capabilities and Stock Market Returns.</w:t>
      </w:r>
      <w:bookmarkEnd w:id="422"/>
      <w:r w:rsidRPr="008B2AD0">
        <w:t xml:space="preserve"> </w:t>
      </w:r>
      <w:r w:rsidRPr="008B2AD0">
        <w:rPr>
          <w:i/>
        </w:rPr>
        <w:t>Academy of Management Journal</w:t>
      </w:r>
      <w:r w:rsidRPr="008B2AD0">
        <w:t>, 58: 356-374.</w:t>
      </w:r>
    </w:p>
    <w:p w14:paraId="1502EC12" w14:textId="185268A8" w:rsidR="00403DA7" w:rsidRPr="00F62E5B" w:rsidRDefault="00403DA7" w:rsidP="006C77FE">
      <w:pPr>
        <w:pStyle w:val="CitaviBibliographyEntry"/>
        <w:spacing w:after="12"/>
        <w:ind w:left="284" w:hanging="284"/>
        <w:jc w:val="both"/>
      </w:pPr>
    </w:p>
    <w:p w14:paraId="1F77933B" w14:textId="0F50918F" w:rsidR="009B715C" w:rsidRDefault="009B715C" w:rsidP="00921EC5">
      <w:pPr>
        <w:spacing w:after="160" w:line="259" w:lineRule="auto"/>
        <w:rPr>
          <w:lang w:val="en-US"/>
        </w:rPr>
      </w:pPr>
      <w:r>
        <w:br w:type="page"/>
      </w:r>
    </w:p>
    <w:p w14:paraId="20ECC669" w14:textId="77777777" w:rsidR="00694090" w:rsidRDefault="00694090" w:rsidP="00D571DB">
      <w:pPr>
        <w:pStyle w:val="CitaviBibliographyEntry"/>
        <w:sectPr w:rsidR="00694090" w:rsidSect="00794C6C">
          <w:headerReference w:type="even" r:id="rId58"/>
          <w:headerReference w:type="default" r:id="rId59"/>
          <w:footerReference w:type="default" r:id="rId60"/>
          <w:pgSz w:w="11906" w:h="16838"/>
          <w:pgMar w:top="1417" w:right="1417" w:bottom="1134" w:left="1417" w:header="709" w:footer="709" w:gutter="0"/>
          <w:cols w:space="708"/>
          <w:docGrid w:linePitch="360"/>
        </w:sectPr>
      </w:pPr>
    </w:p>
    <w:p w14:paraId="788724EC" w14:textId="57916B3D" w:rsidR="009B715C" w:rsidRPr="009B715C" w:rsidRDefault="009B715C">
      <w:pPr>
        <w:pStyle w:val="berschrift1"/>
        <w:numPr>
          <w:ilvl w:val="0"/>
          <w:numId w:val="19"/>
        </w:numPr>
        <w:jc w:val="both"/>
        <w:rPr>
          <w:lang w:val="en-US"/>
        </w:rPr>
      </w:pPr>
      <w:bookmarkStart w:id="423" w:name="_Toc180963621"/>
      <w:r w:rsidRPr="009B715C">
        <w:rPr>
          <w:lang w:val="en-US"/>
        </w:rPr>
        <w:lastRenderedPageBreak/>
        <w:t>MIND THE GAP:</w:t>
      </w:r>
      <w:r>
        <w:rPr>
          <w:lang w:val="en-US"/>
        </w:rPr>
        <w:t xml:space="preserve"> </w:t>
      </w:r>
      <w:r w:rsidRPr="009B715C">
        <w:rPr>
          <w:lang w:val="en-US"/>
        </w:rPr>
        <w:t>THE EFFECT OF CULTURAL DISTANCE ON MERGERS AND ACQUISITIONS</w:t>
      </w:r>
      <w:r>
        <w:rPr>
          <w:lang w:val="en-US"/>
        </w:rPr>
        <w:t xml:space="preserve"> -</w:t>
      </w:r>
      <w:r w:rsidRPr="009B715C">
        <w:rPr>
          <w:lang w:val="en-US"/>
        </w:rPr>
        <w:t xml:space="preserve"> EVIDENCE FROM GLASSDOOR REVIEWS</w:t>
      </w:r>
      <w:bookmarkEnd w:id="423"/>
    </w:p>
    <w:p w14:paraId="73A0705C" w14:textId="77777777" w:rsidR="009B715C" w:rsidRDefault="009B715C" w:rsidP="009B715C">
      <w:pPr>
        <w:rPr>
          <w:lang w:val="en-US"/>
        </w:rPr>
      </w:pPr>
    </w:p>
    <w:p w14:paraId="6D0378B9" w14:textId="36A33E0F" w:rsidR="009B715C" w:rsidRDefault="009B715C" w:rsidP="009B715C">
      <w:pPr>
        <w:spacing w:line="360" w:lineRule="auto"/>
        <w:rPr>
          <w:lang w:val="en-US"/>
        </w:rPr>
      </w:pPr>
      <w:r>
        <w:rPr>
          <w:lang w:val="en-US"/>
        </w:rPr>
        <w:t>Co-authors: Hannes Gerstel, Arnt Wöhrmann, Andreas Bausch</w:t>
      </w:r>
    </w:p>
    <w:p w14:paraId="393B426D" w14:textId="291DACD6" w:rsidR="009B715C" w:rsidRPr="00A34421" w:rsidRDefault="009B715C" w:rsidP="009B715C">
      <w:pPr>
        <w:spacing w:line="360" w:lineRule="auto"/>
        <w:rPr>
          <w:lang w:val="en-US"/>
        </w:rPr>
      </w:pPr>
      <w:r w:rsidRPr="00A34421">
        <w:rPr>
          <w:lang w:val="en-US"/>
        </w:rPr>
        <w:t>Own share: 40%</w:t>
      </w:r>
    </w:p>
    <w:p w14:paraId="317014C2" w14:textId="77777777" w:rsidR="009B715C" w:rsidRPr="00A34421" w:rsidRDefault="009B715C" w:rsidP="009B715C">
      <w:pPr>
        <w:rPr>
          <w:lang w:val="en-US"/>
        </w:rPr>
      </w:pPr>
    </w:p>
    <w:p w14:paraId="3FDB4138" w14:textId="77777777" w:rsidR="001D31C7" w:rsidRPr="00A34421" w:rsidRDefault="001D31C7" w:rsidP="009B715C">
      <w:pPr>
        <w:spacing w:line="360" w:lineRule="auto"/>
        <w:rPr>
          <w:lang w:val="en-US"/>
        </w:rPr>
      </w:pPr>
      <w:r w:rsidRPr="00A34421">
        <w:rPr>
          <w:lang w:val="en-US"/>
        </w:rPr>
        <w:t>This article has been published as:</w:t>
      </w:r>
    </w:p>
    <w:p w14:paraId="1E321F91" w14:textId="034E72D3" w:rsidR="009565C3" w:rsidRPr="00A34421" w:rsidRDefault="00A34421" w:rsidP="009565C3">
      <w:pPr>
        <w:pStyle w:val="Listenabsatz"/>
        <w:rPr>
          <w:lang w:val="en-US"/>
        </w:rPr>
      </w:pPr>
      <w:r w:rsidRPr="00A34421">
        <w:t xml:space="preserve">Brede, M., Gerstel, H., Wöhrmann, A., &amp; Bausch, A. (2024). </w:t>
      </w:r>
      <w:r w:rsidRPr="00A34421">
        <w:rPr>
          <w:lang w:val="en-US"/>
        </w:rPr>
        <w:t xml:space="preserve">Mind the gap: the effect of cultural distance on mergers and acquisitions—evidence from glassdoor reviews. </w:t>
      </w:r>
      <w:r w:rsidRPr="00A34421">
        <w:rPr>
          <w:i/>
          <w:iCs/>
          <w:lang w:val="en-US"/>
        </w:rPr>
        <w:t>Review of Managerial Science</w:t>
      </w:r>
      <w:r w:rsidRPr="00A34421">
        <w:rPr>
          <w:lang w:val="en-US"/>
        </w:rPr>
        <w:t>. 10.1007/s11846-024-00811-8.</w:t>
      </w:r>
    </w:p>
    <w:p w14:paraId="3F9CAC34" w14:textId="77777777" w:rsidR="009B715C" w:rsidRPr="00A34421" w:rsidRDefault="009B715C">
      <w:pPr>
        <w:spacing w:after="160" w:line="259" w:lineRule="auto"/>
        <w:jc w:val="left"/>
        <w:rPr>
          <w:rFonts w:eastAsiaTheme="majorEastAsia" w:cstheme="majorBidi"/>
          <w:b/>
          <w:caps/>
          <w:szCs w:val="32"/>
          <w:lang w:val="en-US"/>
        </w:rPr>
      </w:pPr>
      <w:r w:rsidRPr="00A34421">
        <w:rPr>
          <w:lang w:val="en-US"/>
        </w:rPr>
        <w:br w:type="page"/>
      </w:r>
    </w:p>
    <w:p w14:paraId="7FFF8F33" w14:textId="77777777" w:rsidR="005F5787" w:rsidRPr="00D03577" w:rsidRDefault="005F5787" w:rsidP="00677B96">
      <w:pPr>
        <w:pStyle w:val="1fake"/>
      </w:pPr>
      <w:r w:rsidRPr="00D03577">
        <w:lastRenderedPageBreak/>
        <w:t xml:space="preserve">Mind the gap: </w:t>
      </w:r>
      <w:r w:rsidRPr="00D03577">
        <w:br/>
        <w:t>The Effect of Cultural Distance on Mergers and Acquisitions: Evidence from Glassdoor Reviews</w:t>
      </w:r>
    </w:p>
    <w:p w14:paraId="0A25A30C" w14:textId="77777777" w:rsidR="005F5787" w:rsidRPr="000F22FC" w:rsidRDefault="005F5787" w:rsidP="005F5787">
      <w:pPr>
        <w:spacing w:line="240" w:lineRule="auto"/>
        <w:jc w:val="center"/>
        <w:rPr>
          <w:bCs/>
          <w:lang w:val="en-US"/>
        </w:rPr>
      </w:pPr>
    </w:p>
    <w:p w14:paraId="60ECBF3A" w14:textId="77777777" w:rsidR="005F5787" w:rsidRPr="00EF4EE3" w:rsidRDefault="005F5787" w:rsidP="005F5787">
      <w:pPr>
        <w:spacing w:line="240" w:lineRule="auto"/>
        <w:jc w:val="center"/>
        <w:rPr>
          <w:b/>
          <w:lang w:val="en-US"/>
        </w:rPr>
      </w:pPr>
      <w:r w:rsidRPr="00EF4EE3">
        <w:rPr>
          <w:b/>
          <w:lang w:val="en-US"/>
        </w:rPr>
        <w:t>Marius Brede</w:t>
      </w:r>
    </w:p>
    <w:p w14:paraId="7570F2ED" w14:textId="77777777" w:rsidR="005F5787" w:rsidRPr="00403DA7" w:rsidRDefault="005F5787" w:rsidP="005F5787">
      <w:pPr>
        <w:spacing w:line="240" w:lineRule="auto"/>
        <w:jc w:val="center"/>
        <w:rPr>
          <w:bCs/>
          <w:lang w:val="en-US"/>
        </w:rPr>
      </w:pPr>
      <w:r w:rsidRPr="00403DA7">
        <w:rPr>
          <w:bCs/>
          <w:lang w:val="en-US"/>
        </w:rPr>
        <w:t>University of Giessen,</w:t>
      </w:r>
    </w:p>
    <w:p w14:paraId="09246CA8" w14:textId="77777777" w:rsidR="005F5787" w:rsidRPr="000F22FC" w:rsidRDefault="005F5787" w:rsidP="005F5787">
      <w:pPr>
        <w:spacing w:line="240" w:lineRule="auto"/>
        <w:jc w:val="center"/>
        <w:rPr>
          <w:bCs/>
        </w:rPr>
      </w:pPr>
      <w:r w:rsidRPr="000F22FC">
        <w:rPr>
          <w:bCs/>
        </w:rPr>
        <w:t>Licher Str. 62,</w:t>
      </w:r>
    </w:p>
    <w:p w14:paraId="55691490" w14:textId="77777777" w:rsidR="005F5787" w:rsidRPr="000F22FC" w:rsidRDefault="005F5787" w:rsidP="005F5787">
      <w:pPr>
        <w:spacing w:line="240" w:lineRule="auto"/>
        <w:jc w:val="center"/>
        <w:rPr>
          <w:bCs/>
        </w:rPr>
      </w:pPr>
      <w:r w:rsidRPr="00352475">
        <w:rPr>
          <w:bCs/>
        </w:rPr>
        <w:t xml:space="preserve">35394 </w:t>
      </w:r>
      <w:r w:rsidRPr="000F22FC">
        <w:rPr>
          <w:bCs/>
        </w:rPr>
        <w:t>Gießen, Germany</w:t>
      </w:r>
    </w:p>
    <w:p w14:paraId="3B46C69C" w14:textId="77777777" w:rsidR="005F5787" w:rsidRPr="009567F5" w:rsidRDefault="005F5787" w:rsidP="005F5787">
      <w:pPr>
        <w:spacing w:line="240" w:lineRule="auto"/>
        <w:jc w:val="center"/>
        <w:rPr>
          <w:rStyle w:val="Hyperlink"/>
          <w:bCs/>
        </w:rPr>
      </w:pPr>
      <w:r w:rsidRPr="009567F5">
        <w:rPr>
          <w:lang w:eastAsia="de-AT"/>
        </w:rPr>
        <w:t>Email</w:t>
      </w:r>
      <w:r w:rsidRPr="009567F5">
        <w:rPr>
          <w:bCs/>
        </w:rPr>
        <w:t>: marius.brede@wirtschaft.uni-giessen.de</w:t>
      </w:r>
    </w:p>
    <w:p w14:paraId="253E1089" w14:textId="77777777" w:rsidR="005F5787" w:rsidRPr="000F22FC" w:rsidRDefault="005F5787" w:rsidP="005F5787">
      <w:pPr>
        <w:spacing w:line="240" w:lineRule="auto"/>
        <w:jc w:val="center"/>
        <w:rPr>
          <w:lang w:eastAsia="de-AT"/>
        </w:rPr>
      </w:pPr>
      <w:r w:rsidRPr="000F22FC">
        <w:rPr>
          <w:lang w:eastAsia="de-AT"/>
        </w:rPr>
        <w:t>Phone: 0049 641 22433</w:t>
      </w:r>
    </w:p>
    <w:p w14:paraId="590D24A5" w14:textId="77777777" w:rsidR="005F5787" w:rsidRDefault="005F5787" w:rsidP="005F5787">
      <w:pPr>
        <w:spacing w:line="240" w:lineRule="auto"/>
        <w:jc w:val="center"/>
        <w:rPr>
          <w:bCs/>
        </w:rPr>
      </w:pPr>
      <w:r w:rsidRPr="005F5787">
        <w:rPr>
          <w:bCs/>
        </w:rPr>
        <w:t>https://orcid.org/0009-0004-6831-6543</w:t>
      </w:r>
    </w:p>
    <w:p w14:paraId="6843B5B7" w14:textId="77777777" w:rsidR="005F5787" w:rsidRDefault="005F5787" w:rsidP="005F5787">
      <w:pPr>
        <w:spacing w:line="240" w:lineRule="auto"/>
        <w:jc w:val="center"/>
        <w:rPr>
          <w:bCs/>
        </w:rPr>
      </w:pPr>
    </w:p>
    <w:p w14:paraId="5B32E091" w14:textId="77777777" w:rsidR="005F5787" w:rsidRPr="00EA1BBD" w:rsidRDefault="005F5787" w:rsidP="005F5787">
      <w:pPr>
        <w:spacing w:line="240" w:lineRule="auto"/>
      </w:pPr>
    </w:p>
    <w:p w14:paraId="49DE0838" w14:textId="77777777" w:rsidR="005F5787" w:rsidRPr="005F5787" w:rsidRDefault="005F5787" w:rsidP="005F5787">
      <w:pPr>
        <w:spacing w:line="240" w:lineRule="auto"/>
        <w:jc w:val="center"/>
        <w:rPr>
          <w:b/>
        </w:rPr>
      </w:pPr>
      <w:r w:rsidRPr="005F5787">
        <w:rPr>
          <w:b/>
        </w:rPr>
        <w:t>Hannes Gerstel</w:t>
      </w:r>
    </w:p>
    <w:p w14:paraId="65EE3B9C" w14:textId="77777777" w:rsidR="005F5787" w:rsidRPr="005F5787" w:rsidRDefault="005F5787" w:rsidP="005F5787">
      <w:pPr>
        <w:spacing w:line="240" w:lineRule="auto"/>
        <w:jc w:val="center"/>
        <w:rPr>
          <w:bCs/>
        </w:rPr>
      </w:pPr>
      <w:r w:rsidRPr="005F5787">
        <w:rPr>
          <w:bCs/>
        </w:rPr>
        <w:t>University of Giessen,</w:t>
      </w:r>
    </w:p>
    <w:p w14:paraId="7F71C5C1" w14:textId="77777777" w:rsidR="005F5787" w:rsidRPr="000F22FC" w:rsidRDefault="005F5787" w:rsidP="005F5787">
      <w:pPr>
        <w:spacing w:line="240" w:lineRule="auto"/>
        <w:jc w:val="center"/>
        <w:rPr>
          <w:bCs/>
        </w:rPr>
      </w:pPr>
      <w:r w:rsidRPr="000F22FC">
        <w:rPr>
          <w:bCs/>
        </w:rPr>
        <w:t>Licher Str. 62,</w:t>
      </w:r>
    </w:p>
    <w:p w14:paraId="4ABC8781" w14:textId="77777777" w:rsidR="005F5787" w:rsidRPr="000F22FC" w:rsidRDefault="005F5787" w:rsidP="005F5787">
      <w:pPr>
        <w:spacing w:line="240" w:lineRule="auto"/>
        <w:jc w:val="center"/>
        <w:rPr>
          <w:bCs/>
        </w:rPr>
      </w:pPr>
      <w:r w:rsidRPr="00352475">
        <w:rPr>
          <w:bCs/>
        </w:rPr>
        <w:t xml:space="preserve">35394 </w:t>
      </w:r>
      <w:r w:rsidRPr="000F22FC">
        <w:rPr>
          <w:bCs/>
        </w:rPr>
        <w:t>Gießen, Germany</w:t>
      </w:r>
    </w:p>
    <w:p w14:paraId="3DA74C96" w14:textId="77777777" w:rsidR="005F5787" w:rsidRPr="00C14475" w:rsidRDefault="005F5787" w:rsidP="005F5787">
      <w:pPr>
        <w:spacing w:line="240" w:lineRule="auto"/>
        <w:jc w:val="center"/>
        <w:rPr>
          <w:bCs/>
          <w:lang w:val="en-US"/>
        </w:rPr>
      </w:pPr>
      <w:r w:rsidRPr="00C14475">
        <w:rPr>
          <w:lang w:val="en-US" w:eastAsia="de-AT"/>
        </w:rPr>
        <w:t>Email</w:t>
      </w:r>
      <w:r w:rsidRPr="00C14475">
        <w:rPr>
          <w:bCs/>
          <w:lang w:val="en-US"/>
        </w:rPr>
        <w:t>: hannes.</w:t>
      </w:r>
      <w:r>
        <w:rPr>
          <w:bCs/>
          <w:lang w:val="en-US"/>
        </w:rPr>
        <w:t>gerstel</w:t>
      </w:r>
      <w:r w:rsidRPr="00C14475">
        <w:rPr>
          <w:bCs/>
          <w:lang w:val="en-US"/>
        </w:rPr>
        <w:t>@wirtschaft.uni-giessen.de</w:t>
      </w:r>
    </w:p>
    <w:p w14:paraId="5631DF79" w14:textId="77777777" w:rsidR="005F5787" w:rsidRPr="00352475" w:rsidRDefault="005F5787" w:rsidP="005F5787">
      <w:pPr>
        <w:spacing w:line="240" w:lineRule="auto"/>
        <w:jc w:val="center"/>
        <w:rPr>
          <w:lang w:val="en-US" w:eastAsia="de-AT"/>
        </w:rPr>
      </w:pPr>
      <w:r w:rsidRPr="00352475">
        <w:rPr>
          <w:lang w:val="en-US" w:eastAsia="de-AT"/>
        </w:rPr>
        <w:t>Phone: 0049 641 22</w:t>
      </w:r>
      <w:r>
        <w:rPr>
          <w:lang w:val="en-US" w:eastAsia="de-AT"/>
        </w:rPr>
        <w:t>269</w:t>
      </w:r>
    </w:p>
    <w:p w14:paraId="5256FBA6" w14:textId="77777777" w:rsidR="005F5787" w:rsidRPr="005F5787" w:rsidRDefault="005F5787" w:rsidP="005F5787">
      <w:pPr>
        <w:spacing w:line="240" w:lineRule="auto"/>
        <w:jc w:val="center"/>
        <w:rPr>
          <w:rStyle w:val="Hyperlink"/>
          <w:bCs/>
          <w:lang w:val="en-US"/>
        </w:rPr>
      </w:pPr>
    </w:p>
    <w:p w14:paraId="6E00EF36" w14:textId="77777777" w:rsidR="005F5787" w:rsidRPr="005F5787" w:rsidRDefault="005F5787" w:rsidP="005F5787">
      <w:pPr>
        <w:spacing w:line="240" w:lineRule="auto"/>
        <w:jc w:val="center"/>
        <w:rPr>
          <w:lang w:val="en-US"/>
        </w:rPr>
      </w:pPr>
    </w:p>
    <w:p w14:paraId="34E5D7A4" w14:textId="77777777" w:rsidR="005F5787" w:rsidRPr="00C14475" w:rsidRDefault="005F5787" w:rsidP="005F5787">
      <w:pPr>
        <w:spacing w:line="240" w:lineRule="auto"/>
        <w:jc w:val="center"/>
        <w:rPr>
          <w:b/>
          <w:lang w:val="en-US"/>
        </w:rPr>
      </w:pPr>
      <w:r>
        <w:rPr>
          <w:b/>
          <w:lang w:val="en-US"/>
        </w:rPr>
        <w:t>Arnt Wöhrmann</w:t>
      </w:r>
    </w:p>
    <w:p w14:paraId="708E6D24" w14:textId="77777777" w:rsidR="005F5787" w:rsidRPr="00C14475" w:rsidRDefault="005F5787" w:rsidP="005F5787">
      <w:pPr>
        <w:spacing w:line="240" w:lineRule="auto"/>
        <w:jc w:val="center"/>
        <w:rPr>
          <w:bCs/>
          <w:lang w:val="en-US"/>
        </w:rPr>
      </w:pPr>
      <w:r w:rsidRPr="00C14475">
        <w:rPr>
          <w:bCs/>
          <w:lang w:val="en-US"/>
        </w:rPr>
        <w:t>University of Giessen,</w:t>
      </w:r>
    </w:p>
    <w:p w14:paraId="22FDF19F" w14:textId="77777777" w:rsidR="005F5787" w:rsidRPr="000F22FC" w:rsidRDefault="005F5787" w:rsidP="005F5787">
      <w:pPr>
        <w:spacing w:line="240" w:lineRule="auto"/>
        <w:jc w:val="center"/>
        <w:rPr>
          <w:bCs/>
        </w:rPr>
      </w:pPr>
      <w:r w:rsidRPr="000F22FC">
        <w:rPr>
          <w:bCs/>
        </w:rPr>
        <w:t>Licher Str. 62,</w:t>
      </w:r>
    </w:p>
    <w:p w14:paraId="032B17D7" w14:textId="77777777" w:rsidR="005F5787" w:rsidRPr="000F22FC" w:rsidRDefault="005F5787" w:rsidP="005F5787">
      <w:pPr>
        <w:spacing w:line="240" w:lineRule="auto"/>
        <w:jc w:val="center"/>
        <w:rPr>
          <w:bCs/>
        </w:rPr>
      </w:pPr>
      <w:r w:rsidRPr="00352475">
        <w:rPr>
          <w:bCs/>
        </w:rPr>
        <w:t xml:space="preserve">35394 </w:t>
      </w:r>
      <w:r w:rsidRPr="000F22FC">
        <w:rPr>
          <w:bCs/>
        </w:rPr>
        <w:t>Gießen, Germany</w:t>
      </w:r>
    </w:p>
    <w:p w14:paraId="273E33A0" w14:textId="77777777" w:rsidR="005F5787" w:rsidRPr="009567F5" w:rsidRDefault="005F5787" w:rsidP="005F5787">
      <w:pPr>
        <w:spacing w:line="240" w:lineRule="auto"/>
        <w:jc w:val="center"/>
        <w:rPr>
          <w:bCs/>
        </w:rPr>
      </w:pPr>
      <w:r w:rsidRPr="009567F5">
        <w:rPr>
          <w:lang w:eastAsia="de-AT"/>
        </w:rPr>
        <w:t>Email</w:t>
      </w:r>
      <w:r w:rsidRPr="009567F5">
        <w:rPr>
          <w:bCs/>
        </w:rPr>
        <w:t>: arnt.woehrmann@wirtschaft.uni-giessen.de</w:t>
      </w:r>
    </w:p>
    <w:p w14:paraId="184F5486" w14:textId="77777777" w:rsidR="005F5787" w:rsidRPr="005F5787" w:rsidRDefault="005F5787" w:rsidP="005F5787">
      <w:pPr>
        <w:spacing w:line="240" w:lineRule="auto"/>
        <w:jc w:val="center"/>
        <w:rPr>
          <w:lang w:val="en-US" w:eastAsia="de-AT"/>
        </w:rPr>
      </w:pPr>
      <w:r w:rsidRPr="00352475">
        <w:rPr>
          <w:lang w:val="en-US" w:eastAsia="de-AT"/>
        </w:rPr>
        <w:t>Phone: 0049 641 22</w:t>
      </w:r>
      <w:r>
        <w:rPr>
          <w:lang w:val="en-US" w:eastAsia="de-AT"/>
        </w:rPr>
        <w:t>261</w:t>
      </w:r>
    </w:p>
    <w:p w14:paraId="366A6987" w14:textId="77777777" w:rsidR="005F5787" w:rsidRPr="005F5787" w:rsidRDefault="005F5787" w:rsidP="005F5787">
      <w:pPr>
        <w:spacing w:line="240" w:lineRule="auto"/>
        <w:jc w:val="center"/>
        <w:rPr>
          <w:lang w:val="en-US"/>
        </w:rPr>
      </w:pPr>
    </w:p>
    <w:p w14:paraId="2B5F3982" w14:textId="77777777" w:rsidR="005F5787" w:rsidRPr="005F5787" w:rsidRDefault="005F5787" w:rsidP="005F5787">
      <w:pPr>
        <w:spacing w:line="240" w:lineRule="auto"/>
        <w:jc w:val="center"/>
        <w:rPr>
          <w:lang w:val="en-US"/>
        </w:rPr>
      </w:pPr>
    </w:p>
    <w:p w14:paraId="7F2E056B" w14:textId="77777777" w:rsidR="005F5787" w:rsidRPr="005F5787" w:rsidRDefault="005F5787" w:rsidP="005F5787">
      <w:pPr>
        <w:spacing w:line="240" w:lineRule="auto"/>
        <w:jc w:val="center"/>
        <w:rPr>
          <w:b/>
          <w:lang w:val="en-US"/>
        </w:rPr>
      </w:pPr>
      <w:r w:rsidRPr="005F5787">
        <w:rPr>
          <w:b/>
          <w:lang w:val="en-US"/>
        </w:rPr>
        <w:t>Andreas Bausch</w:t>
      </w:r>
    </w:p>
    <w:p w14:paraId="2392C7DE" w14:textId="77777777" w:rsidR="005F5787" w:rsidRPr="005F5787" w:rsidRDefault="005F5787" w:rsidP="005F5787">
      <w:pPr>
        <w:spacing w:line="240" w:lineRule="auto"/>
        <w:jc w:val="center"/>
        <w:rPr>
          <w:bCs/>
          <w:lang w:val="en-US"/>
        </w:rPr>
      </w:pPr>
      <w:r w:rsidRPr="005F5787">
        <w:rPr>
          <w:bCs/>
          <w:lang w:val="en-US"/>
        </w:rPr>
        <w:t>University of Giessen,</w:t>
      </w:r>
    </w:p>
    <w:p w14:paraId="510A5C00" w14:textId="77777777" w:rsidR="005F5787" w:rsidRPr="000F22FC" w:rsidRDefault="005F5787" w:rsidP="005F5787">
      <w:pPr>
        <w:spacing w:line="240" w:lineRule="auto"/>
        <w:jc w:val="center"/>
        <w:rPr>
          <w:bCs/>
        </w:rPr>
      </w:pPr>
      <w:r w:rsidRPr="000F22FC">
        <w:rPr>
          <w:bCs/>
        </w:rPr>
        <w:t>Licher Str. 62,</w:t>
      </w:r>
    </w:p>
    <w:p w14:paraId="1578495D" w14:textId="77777777" w:rsidR="005F5787" w:rsidRPr="000F22FC" w:rsidRDefault="005F5787" w:rsidP="005F5787">
      <w:pPr>
        <w:spacing w:line="240" w:lineRule="auto"/>
        <w:jc w:val="center"/>
        <w:rPr>
          <w:bCs/>
        </w:rPr>
      </w:pPr>
      <w:r w:rsidRPr="00352475">
        <w:rPr>
          <w:bCs/>
        </w:rPr>
        <w:t xml:space="preserve">35394 </w:t>
      </w:r>
      <w:r w:rsidRPr="000F22FC">
        <w:rPr>
          <w:bCs/>
        </w:rPr>
        <w:t>Gießen, Germany</w:t>
      </w:r>
    </w:p>
    <w:p w14:paraId="42A334B3" w14:textId="77777777" w:rsidR="005F5787" w:rsidRPr="009567F5" w:rsidRDefault="005F5787" w:rsidP="005F5787">
      <w:pPr>
        <w:spacing w:line="240" w:lineRule="auto"/>
        <w:jc w:val="center"/>
        <w:rPr>
          <w:bCs/>
        </w:rPr>
      </w:pPr>
      <w:r w:rsidRPr="009567F5">
        <w:rPr>
          <w:lang w:eastAsia="de-AT"/>
        </w:rPr>
        <w:t>Email</w:t>
      </w:r>
      <w:r w:rsidRPr="009567F5">
        <w:rPr>
          <w:bCs/>
        </w:rPr>
        <w:t>: andreas.bausch@wirtschaft.uni-giessen.de</w:t>
      </w:r>
    </w:p>
    <w:p w14:paraId="0A298E8C" w14:textId="77777777" w:rsidR="005F5787" w:rsidRPr="00352475" w:rsidRDefault="005F5787" w:rsidP="005F5787">
      <w:pPr>
        <w:spacing w:line="240" w:lineRule="auto"/>
        <w:jc w:val="center"/>
        <w:rPr>
          <w:lang w:val="en-US" w:eastAsia="de-AT"/>
        </w:rPr>
      </w:pPr>
      <w:r w:rsidRPr="00352475">
        <w:rPr>
          <w:lang w:val="en-US" w:eastAsia="de-AT"/>
        </w:rPr>
        <w:t>Phone: 0049 641 22431</w:t>
      </w:r>
    </w:p>
    <w:p w14:paraId="774E4A54" w14:textId="77777777" w:rsidR="005F5787" w:rsidRPr="000F22FC" w:rsidRDefault="005F5787" w:rsidP="005F5787">
      <w:pPr>
        <w:spacing w:line="240" w:lineRule="auto"/>
        <w:rPr>
          <w:bCs/>
          <w:lang w:val="en-US"/>
        </w:rPr>
      </w:pPr>
    </w:p>
    <w:p w14:paraId="3948D45C" w14:textId="77777777" w:rsidR="005F5787" w:rsidRDefault="005F5787" w:rsidP="005F5787">
      <w:pPr>
        <w:rPr>
          <w:lang w:val="en-US"/>
        </w:rPr>
      </w:pPr>
    </w:p>
    <w:p w14:paraId="52C9D918" w14:textId="77777777" w:rsidR="009000FB" w:rsidRDefault="005F5787" w:rsidP="005F5787">
      <w:pPr>
        <w:jc w:val="left"/>
        <w:rPr>
          <w:color w:val="000000" w:themeColor="text1"/>
          <w:lang w:val="en-US"/>
        </w:rPr>
        <w:sectPr w:rsidR="009000FB" w:rsidSect="00794C6C">
          <w:headerReference w:type="default" r:id="rId61"/>
          <w:type w:val="continuous"/>
          <w:pgSz w:w="11906" w:h="16838"/>
          <w:pgMar w:top="1417" w:right="1417" w:bottom="1134" w:left="1417" w:header="709" w:footer="709" w:gutter="0"/>
          <w:cols w:space="708"/>
          <w:titlePg/>
          <w:docGrid w:linePitch="360"/>
        </w:sectPr>
      </w:pPr>
      <w:r>
        <w:rPr>
          <w:color w:val="000000" w:themeColor="text1"/>
          <w:lang w:val="en-US"/>
        </w:rPr>
        <w:br w:type="page"/>
      </w:r>
    </w:p>
    <w:p w14:paraId="77D028A0" w14:textId="68569A63" w:rsidR="005F5787" w:rsidRPr="0011734B" w:rsidRDefault="003156EF" w:rsidP="003156EF">
      <w:pPr>
        <w:pStyle w:val="berschrift2"/>
        <w:rPr>
          <w:rStyle w:val="KeinLeerraumZchn"/>
          <w:lang w:val="en-US"/>
        </w:rPr>
      </w:pPr>
      <w:bookmarkStart w:id="424" w:name="_Toc180963622"/>
      <w:r w:rsidRPr="0011734B">
        <w:rPr>
          <w:rStyle w:val="KeinLeerraumZchn"/>
          <w:lang w:val="en-US"/>
        </w:rPr>
        <w:lastRenderedPageBreak/>
        <w:t>Abstract</w:t>
      </w:r>
      <w:bookmarkEnd w:id="424"/>
    </w:p>
    <w:p w14:paraId="579892CF" w14:textId="454899A7" w:rsidR="00403DA7" w:rsidRPr="0011734B" w:rsidRDefault="00F14DFC" w:rsidP="008411D3">
      <w:pPr>
        <w:ind w:firstLine="283"/>
        <w:rPr>
          <w:lang w:val="en-US" w:eastAsia="de-DE"/>
        </w:rPr>
      </w:pPr>
      <w:r w:rsidRPr="0011734B">
        <w:rPr>
          <w:lang w:val="en-US" w:eastAsia="de-DE"/>
        </w:rPr>
        <w:t>This paper investigates the impact of differences in organizational culture on M&amp;A outcomes during the transaction and post-merger integration phase. Using a state-of-the-art large language model, we construct a novel measure of organizational cultural distance based on employee reviews from Glassdoor.com covering 243 M&amp;A deals from 2008 to 2021. First, we hypothesize and find that organizational cultural distance between acquirer and target firms lead to cultural frictions during the transaction and post-merger integration phases of the deal, which negatively affect short-term capital market reactions and long-term synergy gains. Second, our results suggest that cultural differences are positively related to the acquisition premium paid by the acquirer, supporting the hypothesis that cultural distance reduces the acquirer's ability to accurately assess the true value of the target, leading to an overestimation of the realizable synergy potential. Third, we show that cultural distance is negatively related to the long-term innovativeness of the acquiring firm. Specifically, our results suggest that patent growth and new product development, measured two years after the deal, are significantly lower for firms that acquire a culturally distant target. We then examine the underlying cultural dimensions that drive these effects. Consistent with previous studies, we find that performance effects are driven by differences in market orientation, while innovation effects are driven by differences in hierarchy or adhocracy orientation, depending on whether innovation is measured in terms of tangible or intangible assets. Our findings contribute to the broad M&amp;A literature and have practical relevance for firms engaged in M&amp;A transactions.</w:t>
      </w:r>
    </w:p>
    <w:p w14:paraId="78A640EA" w14:textId="77777777" w:rsidR="00F14DFC" w:rsidRDefault="00F14DFC" w:rsidP="00B92A09">
      <w:pPr>
        <w:pStyle w:val="CitaviBibliographyEntry"/>
      </w:pPr>
    </w:p>
    <w:p w14:paraId="0624CC4C" w14:textId="33CCE237" w:rsidR="005F5787" w:rsidRDefault="005F5787" w:rsidP="00B92A09">
      <w:pPr>
        <w:pStyle w:val="CitaviBibliographyEntry"/>
        <w:rPr>
          <w:color w:val="000000" w:themeColor="text1"/>
        </w:rPr>
      </w:pPr>
      <w:r w:rsidRPr="000C4487">
        <w:rPr>
          <w:b/>
          <w:color w:val="000000" w:themeColor="text1"/>
        </w:rPr>
        <w:t>Keywords</w:t>
      </w:r>
      <w:r w:rsidRPr="000C4487">
        <w:rPr>
          <w:color w:val="000000" w:themeColor="text1"/>
        </w:rPr>
        <w:t xml:space="preserve">: </w:t>
      </w:r>
      <w:bookmarkStart w:id="425" w:name="_Hlk141877167"/>
      <w:r w:rsidRPr="000C4487">
        <w:rPr>
          <w:color w:val="000000" w:themeColor="text1"/>
        </w:rPr>
        <w:t>Organizational Culture; Cultural Distance; Mergers &amp; Acquisitions; M&amp;A</w:t>
      </w:r>
      <w:r>
        <w:rPr>
          <w:color w:val="000000" w:themeColor="text1"/>
        </w:rPr>
        <w:t xml:space="preserve"> </w:t>
      </w:r>
      <w:r w:rsidRPr="000C4487">
        <w:rPr>
          <w:color w:val="000000" w:themeColor="text1"/>
        </w:rPr>
        <w:t>Performance; Innovation; Natural Language Processing</w:t>
      </w:r>
      <w:bookmarkEnd w:id="425"/>
    </w:p>
    <w:p w14:paraId="762B951F" w14:textId="20C73ED4" w:rsidR="008B519D" w:rsidRPr="0028705A" w:rsidRDefault="008B519D" w:rsidP="008B519D">
      <w:pPr>
        <w:jc w:val="left"/>
        <w:rPr>
          <w:bCs/>
          <w:lang w:val="en-US"/>
        </w:rPr>
      </w:pPr>
      <w:r w:rsidRPr="0028705A">
        <w:rPr>
          <w:b/>
          <w:lang w:val="en-US"/>
        </w:rPr>
        <w:t xml:space="preserve">JEL-Codes: </w:t>
      </w:r>
      <w:r w:rsidRPr="0028705A">
        <w:rPr>
          <w:bCs/>
          <w:lang w:val="en-US"/>
        </w:rPr>
        <w:t>M14, G34, C45</w:t>
      </w:r>
    </w:p>
    <w:p w14:paraId="3A7A0556" w14:textId="77777777" w:rsidR="008B519D" w:rsidRPr="0028705A" w:rsidRDefault="008B519D" w:rsidP="00B92A09">
      <w:pPr>
        <w:pStyle w:val="CitaviBibliographyEntry"/>
        <w:rPr>
          <w:color w:val="000000" w:themeColor="text1"/>
        </w:rPr>
      </w:pPr>
    </w:p>
    <w:p w14:paraId="16CADFDE" w14:textId="2EA50B2F" w:rsidR="005F5787" w:rsidRPr="0028705A" w:rsidRDefault="005F5787" w:rsidP="005F5787">
      <w:pPr>
        <w:spacing w:after="160" w:line="259" w:lineRule="auto"/>
        <w:jc w:val="left"/>
        <w:rPr>
          <w:color w:val="000000" w:themeColor="text1"/>
          <w:lang w:val="en-US"/>
        </w:rPr>
      </w:pPr>
      <w:r w:rsidRPr="0028705A">
        <w:rPr>
          <w:color w:val="000000" w:themeColor="text1"/>
          <w:lang w:val="en-US"/>
        </w:rPr>
        <w:br w:type="page"/>
      </w:r>
    </w:p>
    <w:p w14:paraId="19458BF9" w14:textId="08DE6950" w:rsidR="003156EF" w:rsidRPr="003156EF" w:rsidRDefault="003156EF" w:rsidP="003156EF">
      <w:pPr>
        <w:pStyle w:val="berschrift2"/>
        <w:rPr>
          <w:lang w:val="en-US"/>
        </w:rPr>
      </w:pPr>
      <w:bookmarkStart w:id="426" w:name="_Toc180963623"/>
      <w:r>
        <w:rPr>
          <w:lang w:val="en-US"/>
        </w:rPr>
        <w:lastRenderedPageBreak/>
        <w:t>Introduction</w:t>
      </w:r>
      <w:bookmarkEnd w:id="426"/>
    </w:p>
    <w:p w14:paraId="1C1784A9" w14:textId="77777777" w:rsidR="003156EF" w:rsidRPr="000C4487" w:rsidRDefault="003156EF" w:rsidP="008411D3">
      <w:pPr>
        <w:pStyle w:val="Paragraph"/>
        <w:ind w:firstLine="708"/>
        <w:jc w:val="both"/>
        <w:rPr>
          <w:color w:val="000000" w:themeColor="text1"/>
        </w:rPr>
      </w:pPr>
      <w:r w:rsidRPr="000C4487">
        <w:rPr>
          <w:color w:val="000000" w:themeColor="text1"/>
        </w:rPr>
        <w:t xml:space="preserve">Mergers and Acquisitions (M&amp;A) have become one of the most significant strategic initiatives for firms, with global transaction volumes reaching $3.7 trillion in 2017 </w:t>
      </w:r>
      <w:r>
        <w:rPr>
          <w:color w:val="000000" w:themeColor="text1"/>
        </w:rPr>
        <w:t>(Cho &amp; Chung, 2022)</w:t>
      </w:r>
      <w:r w:rsidRPr="000C4487">
        <w:rPr>
          <w:color w:val="000000" w:themeColor="text1"/>
        </w:rPr>
        <w:t>. However, despite their importance, nearly half of all M&amp;A deals fail to meet their objectives</w:t>
      </w:r>
      <w:r>
        <w:rPr>
          <w:color w:val="000000" w:themeColor="text1"/>
        </w:rPr>
        <w:t xml:space="preserve"> (Cartwright &amp; Cooper, 1993)</w:t>
      </w:r>
      <w:r w:rsidRPr="000C4487">
        <w:rPr>
          <w:color w:val="000000" w:themeColor="text1"/>
        </w:rPr>
        <w:t>. A major factor contributing to this high failure rate is the cultural differences between acquiring and target firms</w:t>
      </w:r>
      <w:r>
        <w:rPr>
          <w:color w:val="000000" w:themeColor="text1"/>
        </w:rPr>
        <w:t xml:space="preserve"> (Stahl &amp; Voigt, 2008)</w:t>
      </w:r>
      <w:r w:rsidRPr="000C4487">
        <w:rPr>
          <w:color w:val="000000" w:themeColor="text1"/>
        </w:rPr>
        <w:t xml:space="preserve">. For example, a survey of senior executives found that almost 50% would avoid pursuing an acquisition if the target company's culture did not align with their own. This reluctance to engage with culturally incompatible partners reflects well-documented cases where cultural clashes were cited as reasons for the failure of high-profile deals, such as HP's acquisition of Compaq and Amazon's purchase of Whole Foods </w:t>
      </w:r>
      <w:r>
        <w:rPr>
          <w:color w:val="000000" w:themeColor="text1"/>
        </w:rPr>
        <w:t>(Oberoi, 2020)</w:t>
      </w:r>
      <w:r w:rsidRPr="000C4487">
        <w:rPr>
          <w:color w:val="000000" w:themeColor="text1"/>
        </w:rPr>
        <w:t>. These findings suggest that cultural misalignment significantly reduces M&amp;A success, underscoring the critical role of cultural fit.</w:t>
      </w:r>
    </w:p>
    <w:p w14:paraId="4D48F985" w14:textId="77777777" w:rsidR="003156EF" w:rsidRPr="000C4487" w:rsidRDefault="003156EF" w:rsidP="00A11C55">
      <w:pPr>
        <w:pStyle w:val="Paragraph"/>
        <w:jc w:val="both"/>
        <w:rPr>
          <w:color w:val="000000" w:themeColor="text1"/>
        </w:rPr>
      </w:pPr>
      <w:r w:rsidRPr="000C4487">
        <w:rPr>
          <w:color w:val="000000" w:themeColor="text1"/>
        </w:rPr>
        <w:t xml:space="preserve">Management literature typically distinguishes between national culture and organizational culture </w:t>
      </w:r>
      <w:r>
        <w:rPr>
          <w:color w:val="000000" w:themeColor="text1"/>
        </w:rPr>
        <w:t>(Rottig, 2017)</w:t>
      </w:r>
      <w:r w:rsidRPr="000C4487">
        <w:rPr>
          <w:color w:val="000000" w:themeColor="text1"/>
        </w:rPr>
        <w:t>. Both are considered distinct phenomena, each with unique manifestations and different implications for an organization’s actions</w:t>
      </w:r>
      <w:r>
        <w:rPr>
          <w:color w:val="000000" w:themeColor="text1"/>
        </w:rPr>
        <w:t xml:space="preserve"> (Kirkman, Lowe, &amp; Gibson, 2006)</w:t>
      </w:r>
      <w:r w:rsidRPr="000C4487">
        <w:rPr>
          <w:color w:val="000000" w:themeColor="text1"/>
        </w:rPr>
        <w:t>. While numerous studies have empirically examined the impact of national cultural distance on M&amp;A outcomes</w:t>
      </w:r>
      <w:r>
        <w:rPr>
          <w:color w:val="000000" w:themeColor="text1"/>
        </w:rPr>
        <w:t xml:space="preserve"> (e.g., Ahern, Daminelli, &amp; Fracassi, 2015; Lee, 2018; Lim, Makhija, &amp; Shenkar, 2016)</w:t>
      </w:r>
      <w:r w:rsidRPr="000C4487">
        <w:rPr>
          <w:color w:val="000000" w:themeColor="text1"/>
        </w:rPr>
        <w:t>, research on the impact of organizational culture is scarce and largely inconclusive, primarily due to limitations in measuring organizational culture</w:t>
      </w:r>
      <w:r>
        <w:rPr>
          <w:color w:val="000000" w:themeColor="text1"/>
        </w:rPr>
        <w:t xml:space="preserve"> (Renneboog &amp; Vansteenkiste, 2019; Rottig, 2017)</w:t>
      </w:r>
      <w:r w:rsidRPr="000C4487">
        <w:rPr>
          <w:color w:val="000000" w:themeColor="text1"/>
        </w:rPr>
        <w:t>.</w:t>
      </w:r>
    </w:p>
    <w:p w14:paraId="03995104" w14:textId="77777777" w:rsidR="003156EF" w:rsidRPr="000C4487" w:rsidRDefault="003156EF" w:rsidP="00A11C55">
      <w:pPr>
        <w:pStyle w:val="Paragraph"/>
        <w:jc w:val="both"/>
        <w:rPr>
          <w:color w:val="000000" w:themeColor="text1"/>
        </w:rPr>
      </w:pPr>
      <w:r w:rsidRPr="000C4487">
        <w:rPr>
          <w:color w:val="000000" w:themeColor="text1"/>
        </w:rPr>
        <w:t xml:space="preserve">To fill this gap, we analyze the impact of organizational cultural distance between firms involved in an M&amp;A transaction on economically important outcomes such as M&amp;A success, acquisition premiums, and post-deal innovation of the acquiring firm. We derive our proxy for organizational cultural distance directly from Glassdoor.com, where employees anonymously rate their employers and provide textual feedback about their workplace experiences. This </w:t>
      </w:r>
      <w:r w:rsidRPr="000C4487">
        <w:rPr>
          <w:color w:val="000000" w:themeColor="text1"/>
        </w:rPr>
        <w:lastRenderedPageBreak/>
        <w:t>method allows us to overcome some of the limitations of previous studies that often rely on subjective measures such as self-reported surveys, which reduce the comparability and objectivity of the results.</w:t>
      </w:r>
    </w:p>
    <w:p w14:paraId="2BC5B6EF" w14:textId="77777777" w:rsidR="003156EF" w:rsidRPr="000C4487" w:rsidRDefault="003156EF" w:rsidP="00A11C55">
      <w:pPr>
        <w:pStyle w:val="Paragraph"/>
        <w:jc w:val="both"/>
        <w:rPr>
          <w:color w:val="000000" w:themeColor="text1"/>
        </w:rPr>
      </w:pPr>
      <w:r w:rsidRPr="000C4487">
        <w:rPr>
          <w:color w:val="000000" w:themeColor="text1"/>
        </w:rPr>
        <w:t>Using this novel approach, we hypothesize that the capital market reacts negatively to announcements of M&amp;A transactions between firms with high organizational cultural distance (H1a) and that organizational cultural distance leads to lower post-merger synergy realization (H1b). Previous research has provided mixed evidence on the impact of cultural differences on M&amp;A success</w:t>
      </w:r>
      <w:r>
        <w:rPr>
          <w:color w:val="000000" w:themeColor="text1"/>
        </w:rPr>
        <w:t xml:space="preserve"> (Rottig, 2017; Stahl &amp; Voigt, 2008)</w:t>
      </w:r>
      <w:r w:rsidRPr="000C4487">
        <w:rPr>
          <w:color w:val="000000" w:themeColor="text1"/>
        </w:rPr>
        <w:t xml:space="preserve">. On the one hand, the cultural learning hypothesis suggests that different cultures offer learning potential and opportunities for resource recombination </w:t>
      </w:r>
      <w:r>
        <w:rPr>
          <w:color w:val="000000" w:themeColor="text1"/>
        </w:rPr>
        <w:t>(Pesch &amp; Bouncken, 2017; Sørensen, 2002)</w:t>
      </w:r>
      <w:r w:rsidRPr="000C4487">
        <w:rPr>
          <w:color w:val="000000" w:themeColor="text1"/>
        </w:rPr>
        <w:t>. On the other hand, the cultural friction hypothesis</w:t>
      </w:r>
      <w:r>
        <w:rPr>
          <w:color w:val="000000" w:themeColor="text1"/>
        </w:rPr>
        <w:t xml:space="preserve"> (Hofstede, 1980)</w:t>
      </w:r>
      <w:r w:rsidRPr="000C4487">
        <w:rPr>
          <w:color w:val="000000" w:themeColor="text1"/>
        </w:rPr>
        <w:t xml:space="preserve"> argues that cultural differences between acquirers and targets increase integration and coordination costs, thereby reducing M&amp;A performance </w:t>
      </w:r>
      <w:r>
        <w:rPr>
          <w:color w:val="000000" w:themeColor="text1"/>
        </w:rPr>
        <w:t>(Vaara, 2002; Weber, 1996)</w:t>
      </w:r>
      <w:r w:rsidRPr="000C4487">
        <w:rPr>
          <w:color w:val="000000" w:themeColor="text1"/>
        </w:rPr>
        <w:t>. We expect that the frictions associated with cultural differences will outweigh the potential learning benefits, leading to lower capital market reactions and reduced post-merger synergies.</w:t>
      </w:r>
    </w:p>
    <w:p w14:paraId="5B07B64E" w14:textId="77777777" w:rsidR="003156EF" w:rsidRPr="000C4487" w:rsidRDefault="003156EF" w:rsidP="00A11C55">
      <w:pPr>
        <w:pStyle w:val="Paragraph"/>
        <w:jc w:val="both"/>
        <w:rPr>
          <w:color w:val="000000" w:themeColor="text1"/>
        </w:rPr>
      </w:pPr>
      <w:r w:rsidRPr="000C4487">
        <w:rPr>
          <w:color w:val="000000" w:themeColor="text1"/>
        </w:rPr>
        <w:t xml:space="preserve">Second, we hypothesize that organizational cultural differences lead to higher acquisition premiums (H2). Similar to the relationship between cultural distance and M&amp;A success, the link between organizational cultural distance and acquisition premiums remains underexplored and contradictory </w:t>
      </w:r>
      <w:r>
        <w:rPr>
          <w:color w:val="000000" w:themeColor="text1"/>
        </w:rPr>
        <w:t>(Lim et al., 2016)</w:t>
      </w:r>
      <w:r w:rsidRPr="000C4487">
        <w:rPr>
          <w:color w:val="000000" w:themeColor="text1"/>
        </w:rPr>
        <w:t>. We argue that differences in processes, structures, and strategies resulting from organizational culture differences hinder the acquirer’s ability to accurately assess the target’s value, leading to overpayment and higher premiums.</w:t>
      </w:r>
    </w:p>
    <w:p w14:paraId="51E9B31D" w14:textId="77777777" w:rsidR="003156EF" w:rsidRPr="000C4487" w:rsidRDefault="003156EF" w:rsidP="00A11C55">
      <w:pPr>
        <w:pStyle w:val="Paragraph"/>
        <w:jc w:val="both"/>
        <w:rPr>
          <w:color w:val="000000" w:themeColor="text1"/>
        </w:rPr>
      </w:pPr>
      <w:r w:rsidRPr="000C4487">
        <w:rPr>
          <w:color w:val="000000" w:themeColor="text1"/>
        </w:rPr>
        <w:t xml:space="preserve">Third, as one of the first studies to examine organizational cultural distance and long-term innovation outcomes in M&amp;A, we hypothesize that cultural differences negatively affect the acquirer's long-term innovativeness. Following the cultural friction hypothesis, we propose that organizational cultural differences hinder knowledge sharing, collaboration, and </w:t>
      </w:r>
      <w:r w:rsidRPr="000C4487">
        <w:rPr>
          <w:color w:val="000000" w:themeColor="text1"/>
        </w:rPr>
        <w:lastRenderedPageBreak/>
        <w:t>coordination during the innovation process, ultimately reducing the acquirer's post-acquisition patent growth (H3a) and the rate of new product development (H3b).</w:t>
      </w:r>
    </w:p>
    <w:p w14:paraId="0D894524" w14:textId="77777777" w:rsidR="003156EF" w:rsidRDefault="003156EF" w:rsidP="00A11C55">
      <w:pPr>
        <w:pStyle w:val="Paragraph"/>
        <w:jc w:val="both"/>
        <w:rPr>
          <w:color w:val="000000" w:themeColor="text1"/>
        </w:rPr>
      </w:pPr>
      <w:r w:rsidRPr="000C4487">
        <w:rPr>
          <w:color w:val="000000" w:themeColor="text1"/>
        </w:rPr>
        <w:t xml:space="preserve">Past research, including Rottig's (2017) meta-analysis, has highlighted the complexity of the culture construct and attributed conflicting findings to the methodological weaknesses of previous studies, which often rely on small-scale surveys of high-level employees to assess organizational culture. Other methods, such as analyzing corporate values on company websites, have demonstrated low internal validity </w:t>
      </w:r>
      <w:r>
        <w:rPr>
          <w:color w:val="000000" w:themeColor="text1"/>
        </w:rPr>
        <w:t>(Graham, Grennan, Harvey, &amp; Rajgopal, 2022)</w:t>
      </w:r>
      <w:r w:rsidRPr="000C4487">
        <w:rPr>
          <w:color w:val="000000" w:themeColor="text1"/>
        </w:rPr>
        <w:t xml:space="preserve"> and predictive power </w:t>
      </w:r>
      <w:r>
        <w:rPr>
          <w:color w:val="000000" w:themeColor="text1"/>
        </w:rPr>
        <w:t>(Guiso, Sapienza, &amp; Zingales, 2015)</w:t>
      </w:r>
      <w:r w:rsidRPr="000C4487">
        <w:rPr>
          <w:color w:val="000000" w:themeColor="text1"/>
        </w:rPr>
        <w:t>. To overcome these limitations, we apply deep-learning-based natural language processing to approximately 400,000 employee reviews from 437 firms (243 M&amp;A deals) on Glassdoor, spanning the years 2008 to 2021. This approach leverages individual employee experiences to provide a more granular view of organizational culture</w:t>
      </w:r>
      <w:r>
        <w:rPr>
          <w:color w:val="000000" w:themeColor="text1"/>
        </w:rPr>
        <w:t xml:space="preserve"> (Corritore, Goldberg, &amp; Srivastava, 2020; Ji, Rozenbaum, &amp; Welch, 2022).</w:t>
      </w:r>
    </w:p>
    <w:p w14:paraId="662E353E" w14:textId="77777777" w:rsidR="003156EF" w:rsidRPr="000C4487" w:rsidRDefault="003156EF" w:rsidP="00A11C55">
      <w:pPr>
        <w:pStyle w:val="Paragraph"/>
        <w:jc w:val="both"/>
        <w:rPr>
          <w:color w:val="000000" w:themeColor="text1"/>
        </w:rPr>
      </w:pPr>
      <w:r w:rsidRPr="000C4487">
        <w:rPr>
          <w:color w:val="000000" w:themeColor="text1"/>
        </w:rPr>
        <w:t xml:space="preserve">In the literature, organizational culture is primarily studied using the Competing Values Framework </w:t>
      </w:r>
      <w:r>
        <w:rPr>
          <w:color w:val="000000" w:themeColor="text1"/>
        </w:rPr>
        <w:t>(CVF; Cameron, Quinn, DeGraff, &amp; Thakor, 2006; Quinn &amp; Rohrbaugh, 1983)</w:t>
      </w:r>
      <w:r w:rsidRPr="000C4487">
        <w:rPr>
          <w:color w:val="000000" w:themeColor="text1"/>
        </w:rPr>
        <w:t>, which conceptualizes culture along four dimensions: Adhocracy, Clan, Market, and Hierarchy. These dimensions are arranged along two continuums, reflecting the organization's preference for flexibility or control, and its internal or external focus. Using state-of-the-art language models</w:t>
      </w:r>
      <w:r>
        <w:rPr>
          <w:color w:val="000000" w:themeColor="text1"/>
        </w:rPr>
        <w:t xml:space="preserve"> (Bochkay, Brown, Leone, &amp; Tucker, 2023; Vaswani et al., 2017)</w:t>
      </w:r>
      <w:r w:rsidRPr="000C4487">
        <w:rPr>
          <w:color w:val="000000" w:themeColor="text1"/>
        </w:rPr>
        <w:t>, we apply Culture-BERT</w:t>
      </w:r>
      <w:r>
        <w:rPr>
          <w:color w:val="000000" w:themeColor="text1"/>
        </w:rPr>
        <w:t xml:space="preserve"> (Koch &amp; Pasch, 2022)</w:t>
      </w:r>
      <w:r w:rsidRPr="000C4487">
        <w:rPr>
          <w:color w:val="000000" w:themeColor="text1"/>
        </w:rPr>
        <w:t xml:space="preserve"> to Glassdoor reviews to measure the salience of each cultural dimension. We then adapt Kogut and Singh's (1988) popular measure of cultural distance to compute the organizational cultural distance between acquirers and targets. This measure of organizational cultural distance serves as the key variable for explaining M&amp;A outcomes.</w:t>
      </w:r>
    </w:p>
    <w:p w14:paraId="15BD6A16" w14:textId="77777777" w:rsidR="003156EF" w:rsidRPr="000C4487" w:rsidRDefault="003156EF" w:rsidP="00A11C55">
      <w:pPr>
        <w:pStyle w:val="Paragraph"/>
        <w:jc w:val="both"/>
        <w:rPr>
          <w:color w:val="000000" w:themeColor="text1"/>
        </w:rPr>
      </w:pPr>
      <w:r w:rsidRPr="000C4487">
        <w:rPr>
          <w:color w:val="000000" w:themeColor="text1"/>
        </w:rPr>
        <w:t xml:space="preserve">Our analyses offer several important insights. First, in line with the cultural friction hypothesis, we find that organizational cultural distance is negatively associated with both capital market reactions and long-term synergies. Further analysis shows that differences in </w:t>
      </w:r>
      <w:r w:rsidRPr="000C4487">
        <w:rPr>
          <w:color w:val="000000" w:themeColor="text1"/>
        </w:rPr>
        <w:lastRenderedPageBreak/>
        <w:t>market orientation between acquirers and targets primarily drive this negative performance effect, aligning with previous findings by Deshpandé and Farley (2004) and</w:t>
      </w:r>
      <w:r>
        <w:rPr>
          <w:color w:val="000000" w:themeColor="text1"/>
        </w:rPr>
        <w:t xml:space="preserve"> Eisend, Evanschitzky, and Gilliland (2016)</w:t>
      </w:r>
      <w:r w:rsidRPr="000C4487">
        <w:rPr>
          <w:color w:val="000000" w:themeColor="text1"/>
        </w:rPr>
        <w:t xml:space="preserve"> that emphasize market orientation as a key driver of firm performance. Second, our results suggest that organizational cultural distance leads to higher acquisition premiums by impairing the acquirer’s ability to accurately value the target and assess synergy potential. Third, we find that cultural differences negatively affect the acquirer's post-deal innovativeness, with reduced patent growth and new product development two years after the acquisition. Additional analyses indicate that this effect is mainly driven by differences in adhocracy and hierarchy orientation for patent growth and new product development. These results suggest that target firms that place significantly less emphasis on values such as innovativeness or agility may hinder the acquirer's post-deal inventiveness, whereas target firms that place greater emphasis on values such as efficiency or timeliness (i.e., hierarchy culture) may hinder new product development. Finally, we perform several robustness checks to validate our results.</w:t>
      </w:r>
    </w:p>
    <w:p w14:paraId="1E9B8A50" w14:textId="77777777" w:rsidR="003156EF" w:rsidRPr="000C4487" w:rsidRDefault="003156EF" w:rsidP="00A11C55">
      <w:pPr>
        <w:pStyle w:val="Paragraph"/>
        <w:jc w:val="both"/>
        <w:rPr>
          <w:color w:val="000000" w:themeColor="text1"/>
        </w:rPr>
      </w:pPr>
      <w:bookmarkStart w:id="427" w:name="_Hlk157072959"/>
      <w:r w:rsidRPr="000C4487">
        <w:rPr>
          <w:color w:val="000000" w:themeColor="text1"/>
        </w:rPr>
        <w:t>To our knowledge, our study is the first to use transformer-based natural language processing on a large sample of Glassdoor reviews to infer the impact of organizational cultural distance on M&amp;A outcomes. In doing so, we contribute to the broader M&amp;A literature in several ways: First, we address a notable criticism of the widespread reliance on small-scale surveys that use subjective measures (e.g., self-reported surveys and interviews) to assess organizational culture and its impact on M&amp;A outcomes</w:t>
      </w:r>
      <w:r>
        <w:rPr>
          <w:color w:val="000000" w:themeColor="text1"/>
        </w:rPr>
        <w:t xml:space="preserve"> (Rottig, 2017; Teerikangas &amp; Very, 2006)</w:t>
      </w:r>
      <w:r w:rsidRPr="000C4487">
        <w:rPr>
          <w:color w:val="000000" w:themeColor="text1"/>
        </w:rPr>
        <w:t>. To mitigate the risk of methodological bias, increase objectivity, and improve the comparability of results, we derive our cultural distance proxy from thousands of voluntarily written employee reviews. This approach provides a more representative and nuanced understanding of organizational culture</w:t>
      </w:r>
      <w:r>
        <w:rPr>
          <w:color w:val="000000" w:themeColor="text1"/>
        </w:rPr>
        <w:t xml:space="preserve"> (Campbell &amp; Shang, 2021)</w:t>
      </w:r>
      <w:r w:rsidRPr="000C4487">
        <w:rPr>
          <w:color w:val="000000" w:themeColor="text1"/>
        </w:rPr>
        <w:t>. By doing so, we contribute to the management literature that analyzes organizational culture using rich textual data from sources such as annual reports and employee reviews</w:t>
      </w:r>
      <w:r>
        <w:rPr>
          <w:color w:val="000000" w:themeColor="text1"/>
        </w:rPr>
        <w:t xml:space="preserve"> (e.g., Campbell &amp; Shang, 2021; Corritore, 2018; </w:t>
      </w:r>
      <w:r>
        <w:rPr>
          <w:color w:val="000000" w:themeColor="text1"/>
        </w:rPr>
        <w:lastRenderedPageBreak/>
        <w:t>Li, Mai, Shen, &amp; Yan, 2021)</w:t>
      </w:r>
      <w:r w:rsidRPr="000C4487">
        <w:rPr>
          <w:color w:val="000000" w:themeColor="text1"/>
        </w:rPr>
        <w:t>. Additionally, we utilize a state-of-the-art transformer model that has shown up to 28% higher accuracy in inferring organizational culture compared to previous methods</w:t>
      </w:r>
      <w:r>
        <w:rPr>
          <w:color w:val="000000" w:themeColor="text1"/>
        </w:rPr>
        <w:t xml:space="preserve"> (Koch &amp; Pasch, 2022)</w:t>
      </w:r>
      <w:r w:rsidRPr="000C4487">
        <w:rPr>
          <w:color w:val="000000" w:themeColor="text1"/>
        </w:rPr>
        <w:t>, addressing several limitations of earlier analytical methods.</w:t>
      </w:r>
    </w:p>
    <w:bookmarkEnd w:id="427"/>
    <w:p w14:paraId="5015DB01" w14:textId="77777777" w:rsidR="003156EF" w:rsidRPr="000C4487" w:rsidRDefault="003156EF" w:rsidP="00A11C55">
      <w:pPr>
        <w:pStyle w:val="Paragraph"/>
        <w:jc w:val="both"/>
        <w:rPr>
          <w:color w:val="000000" w:themeColor="text1"/>
        </w:rPr>
      </w:pPr>
      <w:r w:rsidRPr="000C4487">
        <w:rPr>
          <w:color w:val="000000" w:themeColor="text1"/>
        </w:rPr>
        <w:t>Second, we address the previously inconclusive findings on the impact of organizational cultural differences on short- and long-term M&amp;A performance</w:t>
      </w:r>
      <w:r>
        <w:rPr>
          <w:color w:val="000000" w:themeColor="text1"/>
        </w:rPr>
        <w:t xml:space="preserve"> (Rottig, 2017; Stahl &amp; Voigt, 2008)</w:t>
      </w:r>
      <w:r w:rsidRPr="000C4487">
        <w:rPr>
          <w:color w:val="000000" w:themeColor="text1"/>
        </w:rPr>
        <w:t>. Our results indicate that the cultural friction hypothesis outweighs the cultural learning hypothesis, with differences in market orientation between acquirers and targets emerging as the main driver of performance effects. Unlike recent studies examining cultural differences in M&amp;A outcomes</w:t>
      </w:r>
      <w:r>
        <w:rPr>
          <w:color w:val="000000" w:themeColor="text1"/>
        </w:rPr>
        <w:t xml:space="preserve"> (e.g., Alexandridis, Hoepner, Huang, &amp; Oikonomou, 2022; Bereskin, Byun, Officer, &amp; Oh, 2018)</w:t>
      </w:r>
      <w:r w:rsidRPr="000C4487">
        <w:rPr>
          <w:color w:val="000000" w:themeColor="text1"/>
        </w:rPr>
        <w:t>, our study does not focus on specific aspects of organizational culture (e.g., CSR orientation). Instead, we use a widely accepted framework for assessing corporate culture, drawing insights from a diverse and complex set of employee reviews. Additionally, our methodology avoids subjective third-party assessments, resulting in more nuanced and representative findings.</w:t>
      </w:r>
    </w:p>
    <w:p w14:paraId="717F9B30" w14:textId="77777777" w:rsidR="003156EF" w:rsidRPr="000C4487" w:rsidRDefault="003156EF" w:rsidP="00A11C55">
      <w:pPr>
        <w:pStyle w:val="Paragraph"/>
        <w:jc w:val="both"/>
        <w:rPr>
          <w:color w:val="000000" w:themeColor="text1"/>
        </w:rPr>
      </w:pPr>
      <w:r w:rsidRPr="000C4487">
        <w:rPr>
          <w:color w:val="000000" w:themeColor="text1"/>
        </w:rPr>
        <w:t xml:space="preserve">Third, our study contributes to the literature on acquisition premiums and their role in the success or failure of M&amp;As </w:t>
      </w:r>
      <w:r>
        <w:rPr>
          <w:color w:val="000000" w:themeColor="text1"/>
        </w:rPr>
        <w:t>(King, Wang, Samimi, &amp; Cortes, 2021)</w:t>
      </w:r>
      <w:r w:rsidRPr="000C4487">
        <w:rPr>
          <w:color w:val="000000" w:themeColor="text1"/>
        </w:rPr>
        <w:t xml:space="preserve">. To our knowledge, there is limited evidence on the effect of national cultural differences on acquisition premiums </w:t>
      </w:r>
      <w:r>
        <w:rPr>
          <w:color w:val="000000" w:themeColor="text1"/>
        </w:rPr>
        <w:t>(Lim et al., 2016)</w:t>
      </w:r>
      <w:r w:rsidRPr="000C4487">
        <w:rPr>
          <w:color w:val="000000" w:themeColor="text1"/>
        </w:rPr>
        <w:t xml:space="preserve"> and no evidence regarding the effect of organizational cultural distance. Our results suggest that organizational cultural distance may contribute to the misvaluation of target firms, providing a possible explanation for the inconsistent empirical findings on M&amp;A success in the existing literature.</w:t>
      </w:r>
    </w:p>
    <w:p w14:paraId="47717ADF" w14:textId="77777777" w:rsidR="003156EF" w:rsidRPr="000C4487" w:rsidRDefault="003156EF" w:rsidP="00A11C55">
      <w:pPr>
        <w:pStyle w:val="Paragraph"/>
        <w:jc w:val="both"/>
        <w:rPr>
          <w:color w:val="000000" w:themeColor="text1"/>
        </w:rPr>
      </w:pPr>
      <w:r w:rsidRPr="000C4487">
        <w:rPr>
          <w:color w:val="000000" w:themeColor="text1"/>
        </w:rPr>
        <w:t xml:space="preserve">Finally, we are among the first to explore the long-term consequences of organizational cultural distance on the acquirer's post-deal innovativeness. Consistent with previous studies on the effects of national cultural distance </w:t>
      </w:r>
      <w:r>
        <w:rPr>
          <w:color w:val="000000" w:themeColor="text1"/>
        </w:rPr>
        <w:t>(e.g., Bauer, Matzler, &amp; Wolf, 2016)</w:t>
      </w:r>
      <w:r w:rsidRPr="000C4487">
        <w:rPr>
          <w:color w:val="000000" w:themeColor="text1"/>
        </w:rPr>
        <w:t xml:space="preserve">, we find that organizational cultural distance between the acquirer and the target has a detrimental effect on the acquirer's post-deal innovativeness. This effect holds true for both patent growth and new </w:t>
      </w:r>
      <w:r w:rsidRPr="000C4487">
        <w:rPr>
          <w:color w:val="000000" w:themeColor="text1"/>
        </w:rPr>
        <w:lastRenderedPageBreak/>
        <w:t>product development, demonstrating the robustness of our findings across different measures of innovation. However, a more detailed analysis reveals that specific cultural dimensions shape these outcomes: differences in adhocracy culture drive the negative effect on patent growth, while differences in hierarchy culture explain the negative effect on new product development.</w:t>
      </w:r>
    </w:p>
    <w:p w14:paraId="67838F5B" w14:textId="77777777" w:rsidR="003156EF" w:rsidRPr="000C4487" w:rsidRDefault="003156EF" w:rsidP="00A11C55">
      <w:pPr>
        <w:pStyle w:val="Paragraph"/>
        <w:jc w:val="both"/>
        <w:rPr>
          <w:color w:val="000000" w:themeColor="text1"/>
        </w:rPr>
      </w:pPr>
      <w:r w:rsidRPr="000C4487">
        <w:rPr>
          <w:color w:val="000000" w:themeColor="text1"/>
        </w:rPr>
        <w:t>In conclusion, our research extends the managerial literature by deepening the understanding of the impact of organizational cultural distance on M&amp;A success.</w:t>
      </w:r>
    </w:p>
    <w:p w14:paraId="3D1F87CD" w14:textId="7D8585BD" w:rsidR="003156EF" w:rsidRPr="003156EF" w:rsidRDefault="003156EF" w:rsidP="003156EF">
      <w:pPr>
        <w:pStyle w:val="berschrift2"/>
        <w:rPr>
          <w:lang w:val="en-US"/>
        </w:rPr>
      </w:pPr>
      <w:bookmarkStart w:id="428" w:name="_Toc180963624"/>
      <w:r>
        <w:rPr>
          <w:lang w:val="en-US"/>
        </w:rPr>
        <w:t>Hypotheses Development</w:t>
      </w:r>
      <w:bookmarkEnd w:id="428"/>
    </w:p>
    <w:p w14:paraId="7DA992F8" w14:textId="73A3EA6A" w:rsidR="003156EF" w:rsidRPr="003156EF" w:rsidRDefault="003156EF" w:rsidP="003156EF">
      <w:pPr>
        <w:pStyle w:val="berschrift3"/>
      </w:pPr>
      <w:r w:rsidRPr="003156EF">
        <w:t>Organizational cultural distance, capital market reactions, and post-deal synergies</w:t>
      </w:r>
    </w:p>
    <w:p w14:paraId="6D782994" w14:textId="77777777" w:rsidR="003156EF" w:rsidRPr="000C4487" w:rsidRDefault="003156EF" w:rsidP="008411D3">
      <w:pPr>
        <w:pStyle w:val="Paragraph"/>
        <w:ind w:firstLine="708"/>
        <w:jc w:val="both"/>
        <w:rPr>
          <w:color w:val="000000" w:themeColor="text1"/>
        </w:rPr>
      </w:pPr>
      <w:r w:rsidRPr="000C4487">
        <w:rPr>
          <w:color w:val="000000" w:themeColor="text1"/>
        </w:rPr>
        <w:t xml:space="preserve">Culture is generally defined as "the collective programming of the mind which distinguishes the member of one group or category of people from another" </w:t>
      </w:r>
      <w:r>
        <w:rPr>
          <w:color w:val="000000" w:themeColor="text1"/>
        </w:rPr>
        <w:t>(Hofstede, 2001: 9)</w:t>
      </w:r>
      <w:r w:rsidRPr="000C4487">
        <w:rPr>
          <w:color w:val="000000" w:themeColor="text1"/>
        </w:rPr>
        <w:t>. It is often conceptualized as an informal institution that consists primarily of unwritten social rules, values and norms that are shaped by the shared history and experiences of its members</w:t>
      </w:r>
      <w:r>
        <w:rPr>
          <w:color w:val="000000" w:themeColor="text1"/>
        </w:rPr>
        <w:t xml:space="preserve"> (Louis, 1981; Schein, 1985).</w:t>
      </w:r>
      <w:r w:rsidRPr="000C4487">
        <w:rPr>
          <w:color w:val="000000" w:themeColor="text1"/>
        </w:rPr>
        <w:t xml:space="preserve"> As such, culture significantly influences social interactions by shaping expectations and determining acceptable social behavior </w:t>
      </w:r>
      <w:r>
        <w:rPr>
          <w:color w:val="000000" w:themeColor="text1"/>
        </w:rPr>
        <w:t>(Hofstede, 1980)</w:t>
      </w:r>
      <w:r w:rsidRPr="000C4487">
        <w:rPr>
          <w:color w:val="000000" w:themeColor="text1"/>
        </w:rPr>
        <w:t>. Moreover, culture serves as an organizational mechanism for coordinating the activities of a large number of individuals by providing a control system for setting goals, evaluating deviations, and providing feedback to individuals. These social control mechanisms can effectively ensure predictable behavior among organizational members through norms or social expectations</w:t>
      </w:r>
      <w:r>
        <w:rPr>
          <w:color w:val="000000" w:themeColor="text1"/>
        </w:rPr>
        <w:t xml:space="preserve"> (Chatman &amp; O’Reilly, 2016)</w:t>
      </w:r>
      <w:r w:rsidRPr="000C4487">
        <w:rPr>
          <w:color w:val="000000" w:themeColor="text1"/>
        </w:rPr>
        <w:t>. Culture is generally viewed as a multilevel construct that operates at both the national and firm levels, with variations in organizational culture often reflecting differences in national culture</w:t>
      </w:r>
      <w:r>
        <w:rPr>
          <w:color w:val="000000" w:themeColor="text1"/>
        </w:rPr>
        <w:t xml:space="preserve"> </w:t>
      </w:r>
      <w:r w:rsidRPr="00A50B15">
        <w:rPr>
          <w:color w:val="000000" w:themeColor="text1"/>
        </w:rPr>
        <w:t xml:space="preserve">(Chakrabarti, Gupta-Mukherjee, &amp; Jayaraman, 2009; Schneider, 1988). However, Dauber </w:t>
      </w:r>
      <w:r w:rsidRPr="006D3CFC">
        <w:rPr>
          <w:color w:val="000000" w:themeColor="text1"/>
        </w:rPr>
        <w:t>(2012)</w:t>
      </w:r>
      <w:r w:rsidRPr="000C4487">
        <w:rPr>
          <w:color w:val="000000" w:themeColor="text1"/>
        </w:rPr>
        <w:t xml:space="preserve"> suggests that because M&amp;A transactions involve firms rather than countries, differences in organizational culture may be a more accurate predictor of M&amp;A performance than differences in national culture. Research generally supports this idea, showing that organizational culture affects various organizational practices, including behavioral norms, decision making, and strategic initiatives such as outsourcing </w:t>
      </w:r>
      <w:r>
        <w:rPr>
          <w:color w:val="000000" w:themeColor="text1"/>
        </w:rPr>
        <w:t xml:space="preserve">(e.g., Dahlgrün </w:t>
      </w:r>
      <w:r>
        <w:rPr>
          <w:color w:val="000000" w:themeColor="text1"/>
        </w:rPr>
        <w:lastRenderedPageBreak/>
        <w:t>&amp; Bausch, 2019)</w:t>
      </w:r>
      <w:r w:rsidRPr="000C4487">
        <w:rPr>
          <w:color w:val="000000" w:themeColor="text1"/>
        </w:rPr>
        <w:t>, CSR</w:t>
      </w:r>
      <w:r>
        <w:rPr>
          <w:color w:val="000000" w:themeColor="text1"/>
        </w:rPr>
        <w:t xml:space="preserve"> (e.g., Chen &amp; Liu, 2022)</w:t>
      </w:r>
      <w:r w:rsidRPr="000C4487">
        <w:rPr>
          <w:color w:val="000000" w:themeColor="text1"/>
        </w:rPr>
        <w:t xml:space="preserve">, innovation </w:t>
      </w:r>
      <w:r>
        <w:rPr>
          <w:color w:val="000000" w:themeColor="text1"/>
        </w:rPr>
        <w:t>(e.g., Büschgens, Bausch, &amp; Balkin, 2013)</w:t>
      </w:r>
      <w:r w:rsidRPr="000C4487">
        <w:rPr>
          <w:color w:val="000000" w:themeColor="text1"/>
        </w:rPr>
        <w:t xml:space="preserve"> and M&amp;A </w:t>
      </w:r>
      <w:r>
        <w:rPr>
          <w:color w:val="000000" w:themeColor="text1"/>
        </w:rPr>
        <w:t>(e.g., Bhagat &amp; McQuaid, 1982; Kirkman et al., 2006)</w:t>
      </w:r>
      <w:r w:rsidRPr="000C4487">
        <w:rPr>
          <w:color w:val="000000" w:themeColor="text1"/>
        </w:rPr>
        <w:t xml:space="preserve">. </w:t>
      </w:r>
    </w:p>
    <w:p w14:paraId="35E00BC7" w14:textId="77777777" w:rsidR="003156EF" w:rsidRPr="000C4487" w:rsidRDefault="003156EF" w:rsidP="00A11C55">
      <w:pPr>
        <w:pStyle w:val="Paragraph"/>
        <w:ind w:firstLine="708"/>
        <w:jc w:val="both"/>
        <w:rPr>
          <w:color w:val="000000" w:themeColor="text1"/>
        </w:rPr>
      </w:pPr>
      <w:r w:rsidRPr="000C4487">
        <w:rPr>
          <w:color w:val="000000" w:themeColor="text1"/>
        </w:rPr>
        <w:t>Regarding the impact of culture on M&amp;A performance, numerous studies and several meta-analyses conducted over the past decades have failed to reach a consensus on whether cultural differences between the acquirer and target have a positive or negative effect on M&amp;A performance</w:t>
      </w:r>
      <w:r>
        <w:rPr>
          <w:color w:val="000000" w:themeColor="text1"/>
        </w:rPr>
        <w:t xml:space="preserve"> (e.g., King et al., 2021; Rottig, 2017; Stahl &amp; Voigt, 2008)</w:t>
      </w:r>
      <w:r w:rsidRPr="000C4487">
        <w:rPr>
          <w:color w:val="000000" w:themeColor="text1"/>
        </w:rPr>
        <w:t xml:space="preserve">. However, there is general agreement that the cultural fit between acquirer and target influences M&amp;A performance, independent of other strategic considerations </w:t>
      </w:r>
      <w:r>
        <w:rPr>
          <w:color w:val="000000" w:themeColor="text1"/>
        </w:rPr>
        <w:t>(Bauer &amp; Matzler, 2014)</w:t>
      </w:r>
      <w:r w:rsidRPr="000C4487">
        <w:rPr>
          <w:color w:val="000000" w:themeColor="text1"/>
        </w:rPr>
        <w:t>. In an attempt to disentangle the complex dynamics of M&amp;A transactions, the literature often differentiates between short-term performance effects, typically measured by market reactions around deal announcements</w:t>
      </w:r>
      <w:r>
        <w:rPr>
          <w:color w:val="000000" w:themeColor="text1"/>
        </w:rPr>
        <w:t xml:space="preserve"> (Aktas, Bodt, &amp; Cousin, 2011)</w:t>
      </w:r>
      <w:r w:rsidRPr="000C4487">
        <w:rPr>
          <w:color w:val="000000" w:themeColor="text1"/>
        </w:rPr>
        <w:t xml:space="preserve">, and long-term performance effects, usually measured using accounting-based metrics </w:t>
      </w:r>
      <w:r>
        <w:rPr>
          <w:color w:val="000000" w:themeColor="text1"/>
        </w:rPr>
        <w:t>(Zollo &amp; Meier, 2008)</w:t>
      </w:r>
      <w:r w:rsidRPr="000C4487">
        <w:rPr>
          <w:color w:val="000000" w:themeColor="text1"/>
        </w:rPr>
        <w:t>. Following this convention, we separately hypothesize the effects of organizational cultural distance on short-term market reactions (H1a) and long-term synergies (H1b).</w:t>
      </w:r>
    </w:p>
    <w:p w14:paraId="6F309241" w14:textId="77777777" w:rsidR="003156EF" w:rsidRPr="000C4487" w:rsidRDefault="003156EF" w:rsidP="00A11C55">
      <w:pPr>
        <w:pStyle w:val="Paragraph"/>
        <w:ind w:firstLine="708"/>
        <w:jc w:val="both"/>
        <w:rPr>
          <w:color w:val="000000" w:themeColor="text1"/>
        </w:rPr>
      </w:pPr>
      <w:r w:rsidRPr="000C4487">
        <w:rPr>
          <w:color w:val="000000" w:themeColor="text1"/>
        </w:rPr>
        <w:t>Theoretical arguments for the positive impact of cultural differences on M&amp;A performance are primarily based on the theory of interorganizational lear</w:t>
      </w:r>
      <w:r w:rsidRPr="00850C13">
        <w:rPr>
          <w:color w:val="000000" w:themeColor="text1"/>
        </w:rPr>
        <w:t xml:space="preserve">ning </w:t>
      </w:r>
      <w:r>
        <w:rPr>
          <w:color w:val="000000" w:themeColor="text1"/>
        </w:rPr>
        <w:t>(Sørensen, 2002)</w:t>
      </w:r>
      <w:r w:rsidRPr="000C4487">
        <w:rPr>
          <w:color w:val="000000" w:themeColor="text1"/>
        </w:rPr>
        <w:t xml:space="preserve">, according to which M&amp;As involving culturally distant firms provide significant learning opportunities that enable the profitable recombination of resources. Acquiring a firm with a different culture facilitates knowledge transfer and provides access to new practices and techniques </w:t>
      </w:r>
      <w:r>
        <w:rPr>
          <w:color w:val="000000" w:themeColor="text1"/>
        </w:rPr>
        <w:t>(Chakrabarti et al., 2009; Morosini, 1998; Sarala &amp; Vaara, 2010)</w:t>
      </w:r>
      <w:r w:rsidRPr="000C4487">
        <w:rPr>
          <w:color w:val="000000" w:themeColor="text1"/>
        </w:rPr>
        <w:t>, creating a sustainable source of value creation</w:t>
      </w:r>
      <w:r>
        <w:rPr>
          <w:color w:val="000000" w:themeColor="text1"/>
        </w:rPr>
        <w:t xml:space="preserve"> (Bouwman, 2013; Haspeslagh &amp; Jemison, 1991)</w:t>
      </w:r>
      <w:r w:rsidRPr="000C4487">
        <w:rPr>
          <w:color w:val="000000" w:themeColor="text1"/>
        </w:rPr>
        <w:t>. This view is shared by the information processing hypothesis, which argues that both acquiring and target firms can benefit from the multiple perspectives associated with greater cultural distance</w:t>
      </w:r>
      <w:r>
        <w:rPr>
          <w:color w:val="000000" w:themeColor="text1"/>
        </w:rPr>
        <w:t xml:space="preserve"> (Kogut &amp; Singh, 1988; Watson, Kumar, &amp; Michaelsen, 1993)</w:t>
      </w:r>
      <w:r w:rsidRPr="000C4487">
        <w:rPr>
          <w:color w:val="000000" w:themeColor="text1"/>
        </w:rPr>
        <w:t>, leading to enhanced problem solving, creativity, innovation, adaptability, and ultimately improved performance</w:t>
      </w:r>
      <w:r>
        <w:rPr>
          <w:color w:val="000000" w:themeColor="text1"/>
        </w:rPr>
        <w:t xml:space="preserve"> (Chakrabarti et al., 2009; Morosini, 1998)</w:t>
      </w:r>
      <w:r w:rsidRPr="000C4487">
        <w:rPr>
          <w:color w:val="000000" w:themeColor="text1"/>
        </w:rPr>
        <w:t>. For example,</w:t>
      </w:r>
      <w:r>
        <w:rPr>
          <w:color w:val="000000" w:themeColor="text1"/>
        </w:rPr>
        <w:t xml:space="preserve"> Krishnan, Miller, and Judge (1997)</w:t>
      </w:r>
      <w:r w:rsidRPr="000C4487">
        <w:rPr>
          <w:color w:val="000000" w:themeColor="text1"/>
        </w:rPr>
        <w:t xml:space="preserve"> find that differences </w:t>
      </w:r>
      <w:r w:rsidRPr="000C4487">
        <w:rPr>
          <w:color w:val="000000" w:themeColor="text1"/>
        </w:rPr>
        <w:lastRenderedPageBreak/>
        <w:t>in the skills and competencies of the acquiring and target management teams positively affect M&amp;A performance, as the weaknesses of one firm can be offset by the strengths of the other.</w:t>
      </w:r>
    </w:p>
    <w:p w14:paraId="3567B3F6" w14:textId="77777777" w:rsidR="003156EF" w:rsidRPr="00A50B15" w:rsidRDefault="003156EF" w:rsidP="00A11C55">
      <w:pPr>
        <w:pStyle w:val="Paragraph"/>
        <w:jc w:val="both"/>
        <w:rPr>
          <w:color w:val="000000" w:themeColor="text1"/>
        </w:rPr>
      </w:pPr>
      <w:r w:rsidRPr="000C4487">
        <w:rPr>
          <w:color w:val="000000" w:themeColor="text1"/>
        </w:rPr>
        <w:t xml:space="preserve">However, contrary to the cultural learning hypothesis, organizational cultural distance between acquirers and targets may be a source of friction in the post-merger integration phase </w:t>
      </w:r>
      <w:r>
        <w:rPr>
          <w:color w:val="000000" w:themeColor="text1"/>
        </w:rPr>
        <w:t>(Vaara, 2002; Weber, 1996)</w:t>
      </w:r>
      <w:r w:rsidRPr="000C4487">
        <w:rPr>
          <w:color w:val="000000" w:themeColor="text1"/>
        </w:rPr>
        <w:t>. These frictions can arise from personality clashes among senior executives, incompatible organizational structures and processes, or challenges in transferring core competencies and knowledge between firms</w:t>
      </w:r>
      <w:r>
        <w:rPr>
          <w:color w:val="000000" w:themeColor="text1"/>
        </w:rPr>
        <w:t xml:space="preserve"> (Ahammad, Tarba, Liu, &amp; Glaister, 2016; Rottig, 2017)</w:t>
      </w:r>
      <w:r w:rsidRPr="000C4487">
        <w:rPr>
          <w:color w:val="000000" w:themeColor="text1"/>
        </w:rPr>
        <w:t xml:space="preserve">. For example, </w:t>
      </w:r>
      <w:r>
        <w:rPr>
          <w:color w:val="000000" w:themeColor="text1"/>
        </w:rPr>
        <w:t>Datta (1991)</w:t>
      </w:r>
      <w:r w:rsidRPr="000C4487">
        <w:rPr>
          <w:color w:val="000000" w:themeColor="text1"/>
        </w:rPr>
        <w:t xml:space="preserve">, in a study of domestic M&amp;A transactions in the United States, shows that incompatible management styles of acquiring and target firms can lead to reduced market performance and realized synergies. Drawing on social identity theory </w:t>
      </w:r>
      <w:r>
        <w:rPr>
          <w:color w:val="000000" w:themeColor="text1"/>
        </w:rPr>
        <w:t>(Tajfel, 1981; Turner, 1982)</w:t>
      </w:r>
      <w:r w:rsidRPr="000C4487">
        <w:rPr>
          <w:color w:val="000000" w:themeColor="text1"/>
        </w:rPr>
        <w:t xml:space="preserve">, Stahl and Voigt (2008) further suggest that organizational members are biased towards in-group members and tend to evaluate out-group members negatively in order to enhance the relative status of their own group. This negative impact on the internal cohesion of the workforce can reduce intergroup trust </w:t>
      </w:r>
      <w:r>
        <w:rPr>
          <w:color w:val="000000" w:themeColor="text1"/>
        </w:rPr>
        <w:t>(Sitkin &amp; Stickel, 1996)</w:t>
      </w:r>
      <w:r w:rsidRPr="000C4487">
        <w:rPr>
          <w:color w:val="000000" w:themeColor="text1"/>
        </w:rPr>
        <w:t>, thereby increasing the potential for conflict</w:t>
      </w:r>
      <w:r>
        <w:rPr>
          <w:color w:val="000000" w:themeColor="text1"/>
        </w:rPr>
        <w:t xml:space="preserve"> (e.g., Ahern et al., 2015; Jehn, Northcraft, &amp; Neale, 1999; Martin, 1992)</w:t>
      </w:r>
      <w:r w:rsidRPr="000C4487">
        <w:rPr>
          <w:color w:val="000000" w:themeColor="text1"/>
        </w:rPr>
        <w:t>. In addition, internal tensions within the workforce can negatively affect the flow of information between members of the acquirer and the target. As a result, employee and stakeholder resistance can escalate and impede efficient decision-making</w:t>
      </w:r>
      <w:r>
        <w:rPr>
          <w:color w:val="000000" w:themeColor="text1"/>
        </w:rPr>
        <w:t xml:space="preserve"> (Akerlof, 1997; Arrow, 1974; Renneboog &amp; Vansteenkiste, 2019)</w:t>
      </w:r>
      <w:r w:rsidRPr="000C4487">
        <w:rPr>
          <w:color w:val="000000" w:themeColor="text1"/>
        </w:rPr>
        <w:t>, resulting in higher coordination costs and ultimately reduced firm performance</w:t>
      </w:r>
      <w:r>
        <w:rPr>
          <w:color w:val="000000" w:themeColor="text1"/>
        </w:rPr>
        <w:t xml:space="preserve"> </w:t>
      </w:r>
      <w:r w:rsidRPr="00A50B15">
        <w:rPr>
          <w:color w:val="000000" w:themeColor="text1"/>
        </w:rPr>
        <w:t>(Barkema, Bell, &amp; Pennings, 1996; Rahahleh &amp; Wei, 2013; Weber &amp; Camerer, 2003).</w:t>
      </w:r>
    </w:p>
    <w:p w14:paraId="666FB104" w14:textId="77777777" w:rsidR="003156EF" w:rsidRPr="000C4487" w:rsidRDefault="003156EF" w:rsidP="00A11C55">
      <w:pPr>
        <w:pStyle w:val="Paragraph"/>
        <w:jc w:val="both"/>
        <w:rPr>
          <w:color w:val="000000" w:themeColor="text1"/>
        </w:rPr>
      </w:pPr>
      <w:r w:rsidRPr="00A50B15">
        <w:rPr>
          <w:color w:val="000000" w:themeColor="text1"/>
        </w:rPr>
        <w:t xml:space="preserve">For example, </w:t>
      </w:r>
      <w:r>
        <w:rPr>
          <w:color w:val="000000" w:themeColor="text1"/>
        </w:rPr>
        <w:t>Cartwright and Cooper (1993)</w:t>
      </w:r>
      <w:r w:rsidRPr="000C4487">
        <w:rPr>
          <w:color w:val="000000" w:themeColor="text1"/>
        </w:rPr>
        <w:t xml:space="preserve"> show that administrative conflicts can arise from the acquisition of a culturally distant firm. Moreover,</w:t>
      </w:r>
      <w:r>
        <w:rPr>
          <w:color w:val="000000" w:themeColor="text1"/>
        </w:rPr>
        <w:t xml:space="preserve"> Buono, Bowditch, and Lewis (1985)</w:t>
      </w:r>
      <w:r w:rsidRPr="000C4487">
        <w:rPr>
          <w:color w:val="000000" w:themeColor="text1"/>
        </w:rPr>
        <w:t xml:space="preserve"> show that the acquisition of a culturally distant target can lead to hostilities between employees of the acquirer and the target during the post-merger integration phase.</w:t>
      </w:r>
    </w:p>
    <w:p w14:paraId="65E6DFAF" w14:textId="77777777" w:rsidR="003156EF" w:rsidRPr="000C4487" w:rsidRDefault="003156EF" w:rsidP="00A11C55">
      <w:pPr>
        <w:pStyle w:val="Paragraph"/>
        <w:jc w:val="both"/>
        <w:rPr>
          <w:color w:val="000000" w:themeColor="text1"/>
        </w:rPr>
      </w:pPr>
      <w:r w:rsidRPr="000C4487">
        <w:rPr>
          <w:color w:val="000000" w:themeColor="text1"/>
        </w:rPr>
        <w:lastRenderedPageBreak/>
        <w:t>In addition to studies that measure acquisition performance primarily through accounting metrics, there is evidence that culture affects investor expectations and behavior</w:t>
      </w:r>
      <w:r>
        <w:rPr>
          <w:color w:val="000000" w:themeColor="text1"/>
        </w:rPr>
        <w:t xml:space="preserve"> (Fang, Fiordelisi, Hasan, Leung, &amp; Wong, 2023)</w:t>
      </w:r>
      <w:r w:rsidRPr="000C4487">
        <w:rPr>
          <w:color w:val="000000" w:themeColor="text1"/>
        </w:rPr>
        <w:t>. Capital markets have been shown to view M&amp;A transactions between firms with high cultural distance negatively, anticipating frictions from low cultural fit. For example, a meta-analysis by</w:t>
      </w:r>
      <w:r>
        <w:rPr>
          <w:color w:val="000000" w:themeColor="text1"/>
        </w:rPr>
        <w:t xml:space="preserve"> King et al. (2021)</w:t>
      </w:r>
      <w:r w:rsidRPr="000C4487">
        <w:rPr>
          <w:color w:val="000000" w:themeColor="text1"/>
        </w:rPr>
        <w:t xml:space="preserve"> finds a negative effect of national cultural distance on the acquirer's short-term stock performance. Moreover, studies that analyze the combined stock performance of the acquirer and target, such as </w:t>
      </w:r>
      <w:r>
        <w:rPr>
          <w:color w:val="000000" w:themeColor="text1"/>
        </w:rPr>
        <w:t>Ahern et al. (2015)</w:t>
      </w:r>
      <w:r w:rsidRPr="000C4487">
        <w:rPr>
          <w:color w:val="000000" w:themeColor="text1"/>
        </w:rPr>
        <w:t xml:space="preserve"> and </w:t>
      </w:r>
      <w:r>
        <w:rPr>
          <w:color w:val="000000" w:themeColor="text1"/>
        </w:rPr>
        <w:t>Aybar and Ficici (2009)</w:t>
      </w:r>
      <w:r w:rsidRPr="000C4487">
        <w:rPr>
          <w:color w:val="000000" w:themeColor="text1"/>
        </w:rPr>
        <w:t>, also find a negative effect, as do studies that analyze the effect of organizational cultural distance on stock performance</w:t>
      </w:r>
      <w:r>
        <w:rPr>
          <w:color w:val="000000" w:themeColor="text1"/>
        </w:rPr>
        <w:t xml:space="preserve"> (e.g., Chatterjee, Lubatkin, Schweiger, &amp; Weber, 1992)</w:t>
      </w:r>
      <w:r w:rsidRPr="00850C13">
        <w:rPr>
          <w:color w:val="000000" w:themeColor="text1"/>
        </w:rPr>
        <w:t xml:space="preserve">. </w:t>
      </w:r>
      <w:r w:rsidRPr="000C4487">
        <w:rPr>
          <w:color w:val="000000" w:themeColor="text1"/>
        </w:rPr>
        <w:t>These findings are further supported by studies that measure organizational culture using alternative measures of organizational cultural distance. For example,</w:t>
      </w:r>
      <w:r>
        <w:rPr>
          <w:color w:val="000000" w:themeColor="text1"/>
        </w:rPr>
        <w:t xml:space="preserve"> Alexandridis et al. (2022)</w:t>
      </w:r>
      <w:r w:rsidRPr="000C4487">
        <w:rPr>
          <w:color w:val="000000" w:themeColor="text1"/>
        </w:rPr>
        <w:t xml:space="preserve"> and</w:t>
      </w:r>
      <w:r>
        <w:rPr>
          <w:color w:val="000000" w:themeColor="text1"/>
        </w:rPr>
        <w:t xml:space="preserve"> Bereskin et al. (2018)</w:t>
      </w:r>
      <w:r w:rsidRPr="000C4487">
        <w:rPr>
          <w:color w:val="000000" w:themeColor="text1"/>
        </w:rPr>
        <w:t xml:space="preserve"> find that differing CSR orientations of the acquirer and target lead to lower announcement returns and lower long-term operating growth, while culturally similar firms earn higher abnormal returns around the deal announcement date. Taken together, these findings suggest that investors expect the organizational cultural distance between the acquirer and the target to reduce the likelihood of realizing synergies, resulting in negative announcement day returns. </w:t>
      </w:r>
    </w:p>
    <w:p w14:paraId="652038BA" w14:textId="77777777" w:rsidR="003156EF" w:rsidRPr="000C4487" w:rsidRDefault="003156EF" w:rsidP="00A11C55">
      <w:pPr>
        <w:pStyle w:val="Paragraph"/>
        <w:jc w:val="both"/>
        <w:rPr>
          <w:color w:val="000000" w:themeColor="text1"/>
        </w:rPr>
      </w:pPr>
      <w:r w:rsidRPr="000C4487">
        <w:rPr>
          <w:color w:val="000000" w:themeColor="text1"/>
        </w:rPr>
        <w:t>Overall, the empirical evidence on the relationship between cultural distance and M&amp;A performance is mixed. However, cultural differences seem to be a particularly important contributor to social conflict between acquiring and target employees</w:t>
      </w:r>
      <w:r>
        <w:rPr>
          <w:color w:val="000000" w:themeColor="text1"/>
        </w:rPr>
        <w:t xml:space="preserve"> (Vaara, Sarala, Stahl, &amp; Björkman, 2012)</w:t>
      </w:r>
      <w:r w:rsidRPr="000C4487">
        <w:rPr>
          <w:color w:val="000000" w:themeColor="text1"/>
        </w:rPr>
        <w:t>. Moreover, this effect appears to be stronger than the positive impact on knowledge sharing between the two firms, which is crucial for the positive outcomes predicted by the information processing and interorganizational learning hypotheses, suggesting that cultural frictions may outweigh the benefits of knowledge sharing. Consistent with these findings, the results of numerous studies</w:t>
      </w:r>
      <w:r>
        <w:rPr>
          <w:color w:val="000000" w:themeColor="text1"/>
        </w:rPr>
        <w:t xml:space="preserve"> (e.g., Ahern et al., 2015; Alexandridis et al., 2022; Bereskin et al., 2018; Chatterjee et al., 1992)</w:t>
      </w:r>
      <w:r w:rsidRPr="000C4487">
        <w:rPr>
          <w:color w:val="000000" w:themeColor="text1"/>
        </w:rPr>
        <w:t xml:space="preserve"> and meta-analyses examining short- and long-</w:t>
      </w:r>
      <w:r w:rsidRPr="000C4487">
        <w:rPr>
          <w:color w:val="000000" w:themeColor="text1"/>
        </w:rPr>
        <w:lastRenderedPageBreak/>
        <w:t>term M&amp;A performance reflect this relationship</w:t>
      </w:r>
      <w:r>
        <w:rPr>
          <w:color w:val="000000" w:themeColor="text1"/>
        </w:rPr>
        <w:t xml:space="preserve"> (King et al., 2021; Rottig, 2017; Stahl &amp; Voigt, 2008)</w:t>
      </w:r>
      <w:r w:rsidRPr="00850C13">
        <w:rPr>
          <w:color w:val="000000" w:themeColor="text1"/>
        </w:rPr>
        <w:t xml:space="preserve">. </w:t>
      </w:r>
      <w:r w:rsidRPr="000C4487">
        <w:rPr>
          <w:color w:val="000000" w:themeColor="text1"/>
        </w:rPr>
        <w:t>For example, the meta-analysis by</w:t>
      </w:r>
      <w:r>
        <w:rPr>
          <w:color w:val="000000" w:themeColor="text1"/>
        </w:rPr>
        <w:t xml:space="preserve"> Homberg, Rost, and Osterloh (2009)</w:t>
      </w:r>
      <w:r w:rsidRPr="000C4487">
        <w:rPr>
          <w:color w:val="000000" w:themeColor="text1"/>
        </w:rPr>
        <w:t xml:space="preserve"> finds that several measures for cultural distance, are negatively associated with synergy realization in both the short and long term. Consequently, we argue that the friction between culturally distant acquirers and targets during the (post-) merger phase outweighs the potential benefits of learning and resource recombination. As a result, we propose a negative impact of organizational culture differences on both short-term stock market reactions and long-term synergy gains. This leads to the following hypotheses:</w:t>
      </w:r>
    </w:p>
    <w:p w14:paraId="202D36F3" w14:textId="28235F10" w:rsidR="003156EF" w:rsidRPr="00895F66" w:rsidRDefault="00A11C55" w:rsidP="00895F66">
      <w:pPr>
        <w:pStyle w:val="Paragraph"/>
        <w:jc w:val="both"/>
        <w:rPr>
          <w:i/>
          <w:iCs/>
        </w:rPr>
      </w:pPr>
      <w:r w:rsidRPr="00895F66">
        <w:rPr>
          <w:i/>
          <w:iCs/>
        </w:rPr>
        <w:t xml:space="preserve">Hypothesis 1a (H1a): </w:t>
      </w:r>
      <w:r w:rsidR="003156EF" w:rsidRPr="00895F66">
        <w:rPr>
          <w:i/>
          <w:iCs/>
        </w:rPr>
        <w:t>Organizational cultural distance between acquirer and target firms is negatively associated with capital market reactions to M&amp;A announcements.</w:t>
      </w:r>
    </w:p>
    <w:p w14:paraId="01A1DA07" w14:textId="4D1770D6" w:rsidR="003156EF" w:rsidRPr="00895F66" w:rsidRDefault="00A11C55" w:rsidP="00895F66">
      <w:pPr>
        <w:pStyle w:val="Paragraph"/>
        <w:jc w:val="both"/>
        <w:rPr>
          <w:i/>
          <w:iCs/>
        </w:rPr>
      </w:pPr>
      <w:r w:rsidRPr="00895F66">
        <w:rPr>
          <w:i/>
          <w:iCs/>
        </w:rPr>
        <w:t xml:space="preserve">Hypothesis 1b (H1b): </w:t>
      </w:r>
      <w:r w:rsidR="003156EF" w:rsidRPr="00895F66">
        <w:rPr>
          <w:i/>
          <w:iCs/>
        </w:rPr>
        <w:t>Organizational cultural distance between acquirer and target is negatively associated with long-term synergy gains.</w:t>
      </w:r>
    </w:p>
    <w:p w14:paraId="3935F88A" w14:textId="5405ACE1" w:rsidR="003156EF" w:rsidRPr="003156EF" w:rsidRDefault="003156EF" w:rsidP="003156EF">
      <w:pPr>
        <w:pStyle w:val="berschrift3"/>
      </w:pPr>
      <w:r w:rsidRPr="003156EF">
        <w:t>Organizational cultural distance and acquisition premiums</w:t>
      </w:r>
    </w:p>
    <w:p w14:paraId="668C903C" w14:textId="77777777" w:rsidR="003156EF" w:rsidRPr="000C4487" w:rsidRDefault="003156EF" w:rsidP="008411D3">
      <w:pPr>
        <w:pStyle w:val="Paragraph"/>
        <w:ind w:firstLine="708"/>
        <w:jc w:val="both"/>
        <w:rPr>
          <w:color w:val="000000" w:themeColor="text1"/>
        </w:rPr>
      </w:pPr>
      <w:r w:rsidRPr="000C4487">
        <w:rPr>
          <w:color w:val="000000" w:themeColor="text1"/>
        </w:rPr>
        <w:t>Cultural differences not only affect post-merger outcomes, but also have a significant impact during the pre-transaction and transaction phases</w:t>
      </w:r>
      <w:r>
        <w:rPr>
          <w:color w:val="000000" w:themeColor="text1"/>
        </w:rPr>
        <w:t xml:space="preserve"> (Renneboog &amp; Vansteenkiste, 2019)</w:t>
      </w:r>
      <w:r w:rsidRPr="000C4487">
        <w:rPr>
          <w:color w:val="000000" w:themeColor="text1"/>
        </w:rPr>
        <w:t>. Specifically, this is reflected in the acquisition premium that the acquirer is willing to pay for the target. The acquisition premium represents the additional amount paid by the acquirer over and above the pre-transaction value of the target. It is the result of negotiations between the acquirer and the target, with the acquirer seeking to minimize the purchase price and the target seeking to maximize it. The premium therefore plays a key role in the success of the transaction, as it is directly related to the synergies that the acquirer must achieve for the transaction to be considered successful</w:t>
      </w:r>
      <w:r>
        <w:rPr>
          <w:color w:val="000000" w:themeColor="text1"/>
        </w:rPr>
        <w:t xml:space="preserve"> (Schweiger, 2002; Sirower, 1997)</w:t>
      </w:r>
      <w:r w:rsidRPr="000C4487">
        <w:rPr>
          <w:color w:val="000000" w:themeColor="text1"/>
        </w:rPr>
        <w:t>. Therefore, studies suggest that high premiums may negatively affect the post-acquisition performance of acquirers</w:t>
      </w:r>
      <w:r>
        <w:rPr>
          <w:color w:val="000000" w:themeColor="text1"/>
        </w:rPr>
        <w:t xml:space="preserve"> (King et al., 2021)</w:t>
      </w:r>
      <w:r w:rsidRPr="000C4487">
        <w:rPr>
          <w:color w:val="000000" w:themeColor="text1"/>
        </w:rPr>
        <w:t>.</w:t>
      </w:r>
    </w:p>
    <w:p w14:paraId="39864BC1" w14:textId="77777777" w:rsidR="003156EF" w:rsidRPr="000C4487" w:rsidRDefault="003156EF" w:rsidP="00A11C55">
      <w:pPr>
        <w:pStyle w:val="Paragraph"/>
        <w:ind w:firstLine="708"/>
        <w:jc w:val="both"/>
        <w:rPr>
          <w:color w:val="000000" w:themeColor="text1"/>
        </w:rPr>
      </w:pPr>
      <w:r w:rsidRPr="000C4487">
        <w:rPr>
          <w:color w:val="000000" w:themeColor="text1"/>
        </w:rPr>
        <w:t>The acquisition premium is affected not only by tangible valuation factors, but also by various intangible factors</w:t>
      </w:r>
      <w:r>
        <w:rPr>
          <w:color w:val="000000" w:themeColor="text1"/>
        </w:rPr>
        <w:t xml:space="preserve"> (Aktas et al., 2011; Chatterjee &amp; Hambrick, 2011; Jentner &amp; </w:t>
      </w:r>
      <w:r>
        <w:rPr>
          <w:color w:val="000000" w:themeColor="text1"/>
        </w:rPr>
        <w:lastRenderedPageBreak/>
        <w:t>Lewellen, 2015)</w:t>
      </w:r>
      <w:r w:rsidRPr="00CA054A">
        <w:rPr>
          <w:color w:val="000000" w:themeColor="text1"/>
        </w:rPr>
        <w:t xml:space="preserve">. </w:t>
      </w:r>
      <w:r w:rsidRPr="000C4487">
        <w:rPr>
          <w:color w:val="000000" w:themeColor="text1"/>
        </w:rPr>
        <w:t>For example, increased growth pressure can increase the acquirer's reservation price and positively affect the acquisition premium</w:t>
      </w:r>
      <w:r>
        <w:rPr>
          <w:color w:val="000000" w:themeColor="text1"/>
        </w:rPr>
        <w:t xml:space="preserve"> (Kim, Haleblian, &amp; Finkelstein, 2011)</w:t>
      </w:r>
      <w:r w:rsidRPr="000C4487">
        <w:rPr>
          <w:color w:val="000000" w:themeColor="text1"/>
        </w:rPr>
        <w:t>. In addition, an overconfident management of the acquirer positively affects the premium</w:t>
      </w:r>
      <w:r>
        <w:rPr>
          <w:color w:val="000000" w:themeColor="text1"/>
        </w:rPr>
        <w:t xml:space="preserve"> (Hayward &amp; Hambrick, 1997)</w:t>
      </w:r>
      <w:r w:rsidRPr="000C4487">
        <w:rPr>
          <w:color w:val="000000" w:themeColor="text1"/>
        </w:rPr>
        <w:t xml:space="preserve">. Furthermore, positive CSR involvement of target firms increases the deal premium </w:t>
      </w:r>
      <w:r>
        <w:rPr>
          <w:color w:val="000000" w:themeColor="text1"/>
        </w:rPr>
        <w:t>(Ozdemir, Binesh, &amp; Erkmen, 2022)</w:t>
      </w:r>
      <w:r w:rsidRPr="000C4487">
        <w:rPr>
          <w:color w:val="000000" w:themeColor="text1"/>
        </w:rPr>
        <w:t>. Conversely, strategies that increase the bargaining power of the acquirer, such as earnings management, negatively affect the premium</w:t>
      </w:r>
      <w:r>
        <w:rPr>
          <w:color w:val="000000" w:themeColor="text1"/>
        </w:rPr>
        <w:t xml:space="preserve"> (Baik, Cho, Choi, &amp; Kang, 2015)</w:t>
      </w:r>
      <w:r w:rsidRPr="000C4487">
        <w:rPr>
          <w:color w:val="000000" w:themeColor="text1"/>
        </w:rPr>
        <w:t>. Studies also show the influence of the acquirer's network partners in determining the premium</w:t>
      </w:r>
      <w:r>
        <w:rPr>
          <w:color w:val="000000" w:themeColor="text1"/>
        </w:rPr>
        <w:t xml:space="preserve"> (Haunschild, 1994)</w:t>
      </w:r>
      <w:r w:rsidRPr="000C4487">
        <w:rPr>
          <w:color w:val="000000" w:themeColor="text1"/>
        </w:rPr>
        <w:t>. In addition to these acquirer characteristics, various aspects and behaviors of the target also influence the acquisition premium. For example, resistance from target management or the withholding of negative information can lead to an inflated target price</w:t>
      </w:r>
      <w:r>
        <w:rPr>
          <w:color w:val="000000" w:themeColor="text1"/>
        </w:rPr>
        <w:t xml:space="preserve"> (Akerlof, 1970; Bange &amp; Mazzeo, 2004)</w:t>
      </w:r>
      <w:r w:rsidRPr="000C4487">
        <w:rPr>
          <w:color w:val="000000" w:themeColor="text1"/>
        </w:rPr>
        <w:t>. Targets may also use certain observable signals to increase their value, such as an increase in alliance activity, the selection of a high-profile investment bank, and the backing of prominent venture capitalists. These strategies may be particularly useful in situations where the target is acquired by firms from different industries or countries</w:t>
      </w:r>
      <w:r>
        <w:rPr>
          <w:color w:val="000000" w:themeColor="text1"/>
        </w:rPr>
        <w:t xml:space="preserve"> (Reuer, Tong, &amp; Wu, 2012)</w:t>
      </w:r>
      <w:r w:rsidRPr="000C4487">
        <w:rPr>
          <w:color w:val="000000" w:themeColor="text1"/>
        </w:rPr>
        <w:t>. In such cases, acquirers must use all available information to fill the information gap and properly assess target quality and deal synergy potential</w:t>
      </w:r>
      <w:r>
        <w:rPr>
          <w:color w:val="000000" w:themeColor="text1"/>
        </w:rPr>
        <w:t xml:space="preserve"> (Connelly, Certo, Ireland, &amp; Reutzel, 2011)</w:t>
      </w:r>
      <w:r w:rsidRPr="000C4487">
        <w:rPr>
          <w:color w:val="000000" w:themeColor="text1"/>
        </w:rPr>
        <w:t>.</w:t>
      </w:r>
    </w:p>
    <w:p w14:paraId="7014EB8D" w14:textId="77777777" w:rsidR="003156EF" w:rsidRPr="000C4487" w:rsidRDefault="003156EF" w:rsidP="00A11C55">
      <w:pPr>
        <w:pStyle w:val="Paragraph"/>
        <w:jc w:val="both"/>
        <w:rPr>
          <w:color w:val="000000" w:themeColor="text1"/>
        </w:rPr>
      </w:pPr>
      <w:r w:rsidRPr="000C4487">
        <w:rPr>
          <w:color w:val="000000" w:themeColor="text1"/>
        </w:rPr>
        <w:t>Culture has been shown to play an important role in shaping the acquisition premium by exerting normative pressure on firms.</w:t>
      </w:r>
      <w:r>
        <w:rPr>
          <w:color w:val="000000" w:themeColor="text1"/>
        </w:rPr>
        <w:t xml:space="preserve"> Rossi and Volpin (2004)</w:t>
      </w:r>
      <w:r w:rsidRPr="000C4487">
        <w:rPr>
          <w:color w:val="000000" w:themeColor="text1"/>
        </w:rPr>
        <w:t xml:space="preserve"> find systematic differences in the level of acquisition premiums for UK and US targets.</w:t>
      </w:r>
      <w:r>
        <w:rPr>
          <w:color w:val="000000" w:themeColor="text1"/>
        </w:rPr>
        <w:t xml:space="preserve"> Hope, Thomas, and Vyas (2011)</w:t>
      </w:r>
      <w:r w:rsidRPr="000C4487">
        <w:rPr>
          <w:color w:val="000000" w:themeColor="text1"/>
        </w:rPr>
        <w:t xml:space="preserve"> observe that non-US acquirers often bid higher for US targets than US acquirers. </w:t>
      </w:r>
      <w:r>
        <w:rPr>
          <w:color w:val="000000" w:themeColor="text1"/>
        </w:rPr>
        <w:t>Li and Haleblian (2022)</w:t>
      </w:r>
      <w:r w:rsidRPr="000C4487">
        <w:rPr>
          <w:color w:val="000000" w:themeColor="text1"/>
        </w:rPr>
        <w:t xml:space="preserve"> find that acquirers with low uncertainty tolerance tend to pay lower premiums, while acquirers from countries with high future orientation tend to pay higher premiums, as managers take a long-term view on synergy realization. </w:t>
      </w:r>
      <w:r>
        <w:rPr>
          <w:color w:val="000000" w:themeColor="text1"/>
        </w:rPr>
        <w:t>Lim et al. (2016)</w:t>
      </w:r>
      <w:r w:rsidRPr="000C4487">
        <w:rPr>
          <w:color w:val="000000" w:themeColor="text1"/>
        </w:rPr>
        <w:t xml:space="preserve"> find asymmetric effects between national cultural distance and the size of the acquisition premium, attributing these effects to higher information costs and systematic differences in structural uncertainty </w:t>
      </w:r>
      <w:r w:rsidRPr="000C4487">
        <w:rPr>
          <w:color w:val="000000" w:themeColor="text1"/>
        </w:rPr>
        <w:lastRenderedPageBreak/>
        <w:t>across countries.  According to the authors, cultural distance hinders the ability to accurately evaluate target firms and properly assess the challenges of target integration, such as acculturative stress and differences in routines, structures, and strategies</w:t>
      </w:r>
      <w:r>
        <w:rPr>
          <w:color w:val="000000" w:themeColor="text1"/>
        </w:rPr>
        <w:t xml:space="preserve"> (Mukherji, Mukherji, Dibrell, &amp; Francis, 2013; Roth &amp; O'Donnell, 1996)</w:t>
      </w:r>
      <w:r w:rsidRPr="000C4487">
        <w:rPr>
          <w:color w:val="000000" w:themeColor="text1"/>
        </w:rPr>
        <w:t xml:space="preserve">. </w:t>
      </w:r>
      <w:r>
        <w:rPr>
          <w:color w:val="000000" w:themeColor="text1"/>
        </w:rPr>
        <w:t>Angwin (2001)</w:t>
      </w:r>
      <w:r w:rsidRPr="000C4487">
        <w:rPr>
          <w:color w:val="000000" w:themeColor="text1"/>
        </w:rPr>
        <w:t xml:space="preserve"> also argues that national cultural differences influence acquirers' due diligence activities and shape perceptions of the target.</w:t>
      </w:r>
      <w:r>
        <w:rPr>
          <w:color w:val="000000" w:themeColor="text1"/>
        </w:rPr>
        <w:t xml:space="preserve"> Baik et al. (2015)</w:t>
      </w:r>
      <w:r w:rsidRPr="000C4487">
        <w:rPr>
          <w:color w:val="000000" w:themeColor="text1"/>
        </w:rPr>
        <w:t xml:space="preserve"> further note that this effect is due to the relatively higher cost of information gathering, while</w:t>
      </w:r>
      <w:r>
        <w:rPr>
          <w:color w:val="000000" w:themeColor="text1"/>
        </w:rPr>
        <w:t xml:space="preserve"> Giannetti and Yafeh (2012)</w:t>
      </w:r>
      <w:r w:rsidRPr="000C4487">
        <w:rPr>
          <w:color w:val="000000" w:themeColor="text1"/>
        </w:rPr>
        <w:t xml:space="preserve"> argue that cultural differences increase contracting costs.</w:t>
      </w:r>
    </w:p>
    <w:p w14:paraId="6D9D6227" w14:textId="77777777" w:rsidR="003156EF" w:rsidRPr="000C4487" w:rsidRDefault="003156EF" w:rsidP="00A11C55">
      <w:pPr>
        <w:pStyle w:val="Paragraph"/>
        <w:jc w:val="both"/>
        <w:rPr>
          <w:color w:val="000000" w:themeColor="text1"/>
        </w:rPr>
      </w:pPr>
      <w:r w:rsidRPr="000C4487">
        <w:rPr>
          <w:color w:val="000000" w:themeColor="text1"/>
        </w:rPr>
        <w:t>We expect that differences in organizational culture will also affect the acquisition premium. This assumption is based on the idea that organizational cultural distance leads to differences in the strategies, structures, and behaviors of the acquirer and the target</w:t>
      </w:r>
      <w:r>
        <w:rPr>
          <w:color w:val="000000" w:themeColor="text1"/>
        </w:rPr>
        <w:t xml:space="preserve"> (Zheng, Yang, &amp; McLean, 2010)</w:t>
      </w:r>
      <w:r w:rsidRPr="000C4487">
        <w:rPr>
          <w:color w:val="000000" w:themeColor="text1"/>
        </w:rPr>
        <w:t>, which imposes higher information-gathering and contracting costs on the acquirer</w:t>
      </w:r>
      <w:r>
        <w:rPr>
          <w:color w:val="000000" w:themeColor="text1"/>
        </w:rPr>
        <w:t xml:space="preserve"> (Bell, Filatotchev, &amp; Rasheed, 2012; Wang, Hain, Larimo, &amp; Dao, 2020)</w:t>
      </w:r>
      <w:r w:rsidRPr="000C4487">
        <w:rPr>
          <w:color w:val="000000" w:themeColor="text1"/>
        </w:rPr>
        <w:t>, thereby increasing uncertainty in estimating the true value of the target firm. Uncertainty, in turn, is associated with overpayments and higher acquisition premiums</w:t>
      </w:r>
      <w:r>
        <w:rPr>
          <w:color w:val="000000" w:themeColor="text1"/>
        </w:rPr>
        <w:t xml:space="preserve"> (Moeller, Schlingemann, &amp; Stulz, 2007)</w:t>
      </w:r>
      <w:r w:rsidRPr="000C4487">
        <w:rPr>
          <w:color w:val="000000" w:themeColor="text1"/>
        </w:rPr>
        <w:t>. Consistent with our argument, empirical research shows that acquiring firms that operate in related industries or that have more information about the target firm are associated with lower levels of overpayment</w:t>
      </w:r>
      <w:r>
        <w:rPr>
          <w:color w:val="000000" w:themeColor="text1"/>
        </w:rPr>
        <w:t xml:space="preserve"> (Carow, Heron, &amp; Saxton, 2004; Martin &amp; Shalev, 2017)</w:t>
      </w:r>
      <w:r w:rsidRPr="000C4487">
        <w:rPr>
          <w:color w:val="000000" w:themeColor="text1"/>
        </w:rPr>
        <w:t>. For example, premiums are generally significantly lower for acquirers that have reduced existing information asymmetries through a prior relationship with the target</w:t>
      </w:r>
      <w:r>
        <w:rPr>
          <w:color w:val="000000" w:themeColor="text1"/>
        </w:rPr>
        <w:t xml:space="preserve"> (Smeulders, Dekker, &amp; van den Abbeele, 2023)</w:t>
      </w:r>
      <w:r w:rsidRPr="000C4487">
        <w:rPr>
          <w:color w:val="000000" w:themeColor="text1"/>
        </w:rPr>
        <w:t>. This effect is due to the acquirer's better assessment of the target's true value as a result of prior contact. It is also observed in transactions where the acquirer's and target's management share the same political ideology, which is important for organizational culture as it affects factors such as the openness of the firm</w:t>
      </w:r>
      <w:r>
        <w:rPr>
          <w:color w:val="000000" w:themeColor="text1"/>
        </w:rPr>
        <w:t xml:space="preserve"> (Gupta &amp; Briscoe, 2020)</w:t>
      </w:r>
      <w:r w:rsidRPr="000C4487">
        <w:rPr>
          <w:color w:val="000000" w:themeColor="text1"/>
        </w:rPr>
        <w:t>. According to these findings, shared political identity increases trust and commitment, improving information sharing and reducing uncertainty</w:t>
      </w:r>
      <w:r>
        <w:rPr>
          <w:color w:val="000000" w:themeColor="text1"/>
        </w:rPr>
        <w:t xml:space="preserve"> (Alnahedh &amp; Alhashel, 2021)</w:t>
      </w:r>
      <w:r w:rsidRPr="000C4487">
        <w:rPr>
          <w:color w:val="000000" w:themeColor="text1"/>
        </w:rPr>
        <w:t xml:space="preserve">. </w:t>
      </w:r>
      <w:r w:rsidRPr="000C4487">
        <w:rPr>
          <w:color w:val="000000" w:themeColor="text1"/>
        </w:rPr>
        <w:lastRenderedPageBreak/>
        <w:t>Language is another crucial antecedent of organizational culture</w:t>
      </w:r>
      <w:r>
        <w:rPr>
          <w:color w:val="000000" w:themeColor="text1"/>
        </w:rPr>
        <w:t xml:space="preserve"> (Srivastava, Goldberg, Manian, &amp; Potts, 2018)</w:t>
      </w:r>
      <w:r w:rsidRPr="000C4487">
        <w:rPr>
          <w:color w:val="000000" w:themeColor="text1"/>
        </w:rPr>
        <w:t>.</w:t>
      </w:r>
      <w:r>
        <w:rPr>
          <w:color w:val="000000" w:themeColor="text1"/>
        </w:rPr>
        <w:t xml:space="preserve"> Pan and Zhang (2022)</w:t>
      </w:r>
      <w:r w:rsidRPr="000C4487">
        <w:rPr>
          <w:color w:val="000000" w:themeColor="text1"/>
        </w:rPr>
        <w:t>, in their study of M&amp;A transactions between Chinese firms, show that acquirers and targets who speak the same dialect have lower premiums. The authors also attribute this effect to improved information sharing, reduced transaction uncertainty, and greater acceptance by both firms. Based on these observations, we posit that M&amp;A deals characterized by high cultural distance increase uncertainty in target valuation. As a result, we expect acquirers to overestimate the synergy potential of targets with high cultural distance, leading to higher acquisition premiums. We propose the following hypothesis:</w:t>
      </w:r>
    </w:p>
    <w:p w14:paraId="49CB5B98" w14:textId="42530842" w:rsidR="003156EF" w:rsidRPr="00895F66" w:rsidRDefault="00A11C55" w:rsidP="00895F66">
      <w:pPr>
        <w:pStyle w:val="Paragraph"/>
        <w:jc w:val="both"/>
        <w:rPr>
          <w:i/>
          <w:iCs/>
        </w:rPr>
      </w:pPr>
      <w:r w:rsidRPr="00895F66">
        <w:rPr>
          <w:i/>
          <w:iCs/>
        </w:rPr>
        <w:t xml:space="preserve">Hypothesis 2 (H2): </w:t>
      </w:r>
      <w:r w:rsidR="003156EF" w:rsidRPr="00895F66">
        <w:rPr>
          <w:i/>
          <w:iCs/>
        </w:rPr>
        <w:t>Organizational cultural distance between acquirer and target firms is positively associated with acquisition premiums.</w:t>
      </w:r>
    </w:p>
    <w:p w14:paraId="19859F94" w14:textId="66414A08" w:rsidR="003156EF" w:rsidRPr="003156EF" w:rsidRDefault="003156EF" w:rsidP="003156EF">
      <w:pPr>
        <w:pStyle w:val="berschrift3"/>
      </w:pPr>
      <w:r w:rsidRPr="003156EF">
        <w:t>Organizational cultural distance and post-deal innovativeness</w:t>
      </w:r>
    </w:p>
    <w:p w14:paraId="36479D93" w14:textId="77777777" w:rsidR="003156EF" w:rsidRPr="000C4487" w:rsidRDefault="003156EF" w:rsidP="008411D3">
      <w:pPr>
        <w:pStyle w:val="Paragraph"/>
        <w:ind w:firstLine="708"/>
        <w:jc w:val="both"/>
        <w:rPr>
          <w:color w:val="000000" w:themeColor="text1"/>
        </w:rPr>
      </w:pPr>
      <w:r w:rsidRPr="000C4487">
        <w:rPr>
          <w:color w:val="000000" w:themeColor="text1"/>
        </w:rPr>
        <w:t>One of the primary motivations for M&amp;A transactions is to gain access to the target firm's complementary resources</w:t>
      </w:r>
      <w:r>
        <w:rPr>
          <w:color w:val="000000" w:themeColor="text1"/>
        </w:rPr>
        <w:t xml:space="preserve"> (Grimpe, 2007)</w:t>
      </w:r>
      <w:r w:rsidRPr="000C4487">
        <w:rPr>
          <w:color w:val="000000" w:themeColor="text1"/>
        </w:rPr>
        <w:t>, thereby enhancing the acquirer's innovation capability, which refers to the firm's ability to develop, produce, market, and drive customer acceptance of new products</w:t>
      </w:r>
      <w:r>
        <w:rPr>
          <w:color w:val="000000" w:themeColor="text1"/>
        </w:rPr>
        <w:t xml:space="preserve"> (Garcia &amp; Calantone, 2002)</w:t>
      </w:r>
      <w:r w:rsidRPr="000C4487">
        <w:rPr>
          <w:color w:val="000000" w:themeColor="text1"/>
        </w:rPr>
        <w:t>. However, research suggests that certain characteristics of M&amp;A transactions can negatively impact the implementation and performance of the acquiring firm's innovation strategies, such as research and development (R&amp;D) activities</w:t>
      </w:r>
      <w:r>
        <w:rPr>
          <w:color w:val="000000" w:themeColor="text1"/>
        </w:rPr>
        <w:t xml:space="preserve"> (Haucap, Rasch, &amp; Stiebale, 2019; Hitt, Hoskisson, Johnson, &amp; Moesel, 1996; Hitt, Ireland, Harrison, &amp; Hoskisson, 1991)</w:t>
      </w:r>
      <w:r w:rsidRPr="000C4487">
        <w:rPr>
          <w:color w:val="000000" w:themeColor="text1"/>
        </w:rPr>
        <w:t xml:space="preserve"> or new product development </w:t>
      </w:r>
      <w:r>
        <w:rPr>
          <w:color w:val="000000" w:themeColor="text1"/>
        </w:rPr>
        <w:t>(Cheng &amp; Yang, 2017; Hitt et al., 1996)</w:t>
      </w:r>
      <w:r w:rsidRPr="000C4487">
        <w:rPr>
          <w:color w:val="000000" w:themeColor="text1"/>
        </w:rPr>
        <w:t>. First, M&amp;A transactions often consume significant resources, which may otherwise be allocated to R&amp;D</w:t>
      </w:r>
      <w:r>
        <w:rPr>
          <w:color w:val="000000" w:themeColor="text1"/>
        </w:rPr>
        <w:t xml:space="preserve"> (Hitt, Hoskisson, &amp; Ireland, 1990)</w:t>
      </w:r>
      <w:r w:rsidRPr="000C4487">
        <w:rPr>
          <w:color w:val="000000" w:themeColor="text1"/>
        </w:rPr>
        <w:t>. Second, integrating the target firm can disrupt existing structures and processes within the acquiring firm</w:t>
      </w:r>
      <w:r>
        <w:rPr>
          <w:color w:val="000000" w:themeColor="text1"/>
        </w:rPr>
        <w:t xml:space="preserve"> (Pritchett, 1985).</w:t>
      </w:r>
      <w:r w:rsidRPr="000C4487">
        <w:rPr>
          <w:color w:val="000000" w:themeColor="text1"/>
        </w:rPr>
        <w:t xml:space="preserve"> Third, M&amp;A transactions are often executed more quickly and with less uncertainty than internal R&amp;D efforts</w:t>
      </w:r>
      <w:r>
        <w:rPr>
          <w:color w:val="000000" w:themeColor="text1"/>
        </w:rPr>
        <w:t xml:space="preserve"> (Hitt et al., 1991)</w:t>
      </w:r>
      <w:r w:rsidRPr="000C4487">
        <w:rPr>
          <w:color w:val="000000" w:themeColor="text1"/>
        </w:rPr>
        <w:t xml:space="preserve">. Based on these observations, some authors argue that internal R&amp;D activities and M&amp;A transactions can serve as complementary strategies </w:t>
      </w:r>
      <w:r>
        <w:rPr>
          <w:color w:val="000000" w:themeColor="text1"/>
        </w:rPr>
        <w:lastRenderedPageBreak/>
        <w:t>(Burgelman, 1986)</w:t>
      </w:r>
      <w:r w:rsidRPr="000C4487">
        <w:rPr>
          <w:color w:val="000000" w:themeColor="text1"/>
        </w:rPr>
        <w:t>. This view is supported by the findings of</w:t>
      </w:r>
      <w:r>
        <w:rPr>
          <w:color w:val="000000" w:themeColor="text1"/>
        </w:rPr>
        <w:t xml:space="preserve"> (Blonigen &amp; Taylor, 2000)</w:t>
      </w:r>
      <w:r w:rsidRPr="000C4487">
        <w:rPr>
          <w:color w:val="000000" w:themeColor="text1"/>
        </w:rPr>
        <w:t xml:space="preserve">, who found that firms with higher R&amp;D intensities tend to engage in acquisitions less frequently than firms with lower R&amp;D intensities. </w:t>
      </w:r>
    </w:p>
    <w:p w14:paraId="7474DBB4" w14:textId="26F5D2E0" w:rsidR="003156EF" w:rsidRPr="000C4487" w:rsidRDefault="003156EF" w:rsidP="00A11C55">
      <w:pPr>
        <w:pStyle w:val="Paragraph"/>
        <w:ind w:firstLine="708"/>
        <w:jc w:val="both"/>
        <w:rPr>
          <w:color w:val="000000" w:themeColor="text1"/>
        </w:rPr>
      </w:pPr>
      <w:r>
        <w:rPr>
          <w:color w:val="000000" w:themeColor="text1"/>
        </w:rPr>
        <w:t xml:space="preserve">Grimpe (2007) </w:t>
      </w:r>
      <w:r w:rsidRPr="000C4487">
        <w:rPr>
          <w:color w:val="000000" w:themeColor="text1"/>
        </w:rPr>
        <w:t>points out that the need to integrate the people, structures, and processes of the target firms during the post-merger integration period may also partly explain the negative relationship between M&amp;A and firm innovativeness, highlighting that a shared organizational culture may be a critical success factor for sustaining innovativeness during this period. Moreover, these findings suggest that a heterogeneous organizational culture may be a significant barrier to successful integration and sustained innovation on the part of the acquirer. In support of this idea, the literature shows that the negative impact of national cultural distance on M&amp;As is reduced when the target is only partially integrated</w:t>
      </w:r>
      <w:r>
        <w:rPr>
          <w:color w:val="000000" w:themeColor="text1"/>
        </w:rPr>
        <w:t xml:space="preserve"> (Slangen, 2006)</w:t>
      </w:r>
      <w:r w:rsidRPr="000C4487">
        <w:rPr>
          <w:color w:val="000000" w:themeColor="text1"/>
        </w:rPr>
        <w:t>. The acceptance of new ideas and the willingness to change vary from one culture to another, as is well known from the existing scientific literature, and have different effects on the ability to innovate, to generate ideas and to create new products</w:t>
      </w:r>
      <w:r>
        <w:rPr>
          <w:color w:val="000000" w:themeColor="text1"/>
        </w:rPr>
        <w:t xml:space="preserve"> (Buck &amp; Shahrim, 2005; Hofstede, 1980)</w:t>
      </w:r>
      <w:r w:rsidRPr="000C4487">
        <w:rPr>
          <w:color w:val="000000" w:themeColor="text1"/>
        </w:rPr>
        <w:t xml:space="preserve">. The same is true for organizational culture. Using the CVF, </w:t>
      </w:r>
      <w:r>
        <w:rPr>
          <w:color w:val="000000" w:themeColor="text1"/>
        </w:rPr>
        <w:t>Büschgens et al. (2013)</w:t>
      </w:r>
      <w:r w:rsidRPr="000C4487">
        <w:rPr>
          <w:color w:val="000000" w:themeColor="text1"/>
        </w:rPr>
        <w:t xml:space="preserve"> find in their meta-analysis a significant positive relationship between adhocracy culture and innovation capability. At the same time, their results indicate that hierarchy culture has a significant negative relationship with innovation capability, while clan culture and market culture each have a moderately significant positive influence. These results are supported by findings from</w:t>
      </w:r>
      <w:r>
        <w:rPr>
          <w:color w:val="000000" w:themeColor="text1"/>
        </w:rPr>
        <w:t xml:space="preserve"> Corchuelo Martínez-Azúa, Dias, and Sama-Berrocal (2024) (Corchuelo Martínez-Azúa et al., </w:t>
      </w:r>
      <w:r w:rsidR="00017BD2">
        <w:rPr>
          <w:color w:val="000000" w:themeColor="text1"/>
        </w:rPr>
        <w:t>2024)</w:t>
      </w:r>
      <w:r w:rsidR="00017BD2" w:rsidRPr="000C4487">
        <w:rPr>
          <w:color w:val="000000" w:themeColor="text1"/>
        </w:rPr>
        <w:t xml:space="preserve"> which</w:t>
      </w:r>
      <w:r w:rsidRPr="000C4487">
        <w:rPr>
          <w:color w:val="000000" w:themeColor="text1"/>
        </w:rPr>
        <w:t xml:space="preserve"> indicate that market orientation has a significant positive effect on firm innovativeness. Another meta-analysis by</w:t>
      </w:r>
      <w:r>
        <w:rPr>
          <w:color w:val="000000" w:themeColor="text1"/>
        </w:rPr>
        <w:t xml:space="preserve"> Eisend et al. (2016)</w:t>
      </w:r>
      <w:r w:rsidRPr="000C4487">
        <w:rPr>
          <w:color w:val="000000" w:themeColor="text1"/>
        </w:rPr>
        <w:t xml:space="preserve"> on the relationship between organizational culture and NPD shows that different dimensions of CVF affect this relationship differently, with hierarchy having the smallest effect. Based on this evidence, we argue that cultural differences may negatively affect the long-term innovativeness of acquirers by increasing the challenges of successful post-merger integration:</w:t>
      </w:r>
    </w:p>
    <w:p w14:paraId="421D7749" w14:textId="77777777" w:rsidR="003156EF" w:rsidRPr="000C4487" w:rsidRDefault="003156EF" w:rsidP="00A11C55">
      <w:pPr>
        <w:pStyle w:val="Paragraph"/>
        <w:jc w:val="both"/>
        <w:rPr>
          <w:color w:val="000000" w:themeColor="text1"/>
        </w:rPr>
      </w:pPr>
      <w:r w:rsidRPr="000C4487">
        <w:rPr>
          <w:color w:val="000000" w:themeColor="text1"/>
        </w:rPr>
        <w:lastRenderedPageBreak/>
        <w:t>First, cultural distance complicates integration because it increases the required complexity of organizational change. For example, organizations with highly hierarchical cultures tend to be highly formalized, rigidly hierarchical, and standardized</w:t>
      </w:r>
      <w:r>
        <w:rPr>
          <w:color w:val="000000" w:themeColor="text1"/>
        </w:rPr>
        <w:t xml:space="preserve"> (Cameron et al., 2006)</w:t>
      </w:r>
      <w:r w:rsidRPr="000C4487">
        <w:rPr>
          <w:color w:val="000000" w:themeColor="text1"/>
        </w:rPr>
        <w:t xml:space="preserve">. Integrating such a culture into a clan culture with loose structures and open knowledge sharing </w:t>
      </w:r>
      <w:r>
        <w:rPr>
          <w:color w:val="000000" w:themeColor="text1"/>
        </w:rPr>
        <w:t>(Long &amp; Fahey, 2000)</w:t>
      </w:r>
      <w:r w:rsidRPr="000C4487">
        <w:rPr>
          <w:color w:val="000000" w:themeColor="text1"/>
        </w:rPr>
        <w:t xml:space="preserve"> is likely to require a higher degree of structural adaptation than integration into a firm with an identical culture</w:t>
      </w:r>
      <w:r>
        <w:rPr>
          <w:color w:val="000000" w:themeColor="text1"/>
        </w:rPr>
        <w:t xml:space="preserve"> (Cherchem, 2017)</w:t>
      </w:r>
      <w:r w:rsidRPr="000C4487">
        <w:rPr>
          <w:color w:val="000000" w:themeColor="text1"/>
        </w:rPr>
        <w:t>. Moreover, rigid structures and high levels of formalization increase the risk of negative long-term effects on the acquirer's innovativeness, as they are negatively correlated with a firm's ability to innovate</w:t>
      </w:r>
      <w:r>
        <w:rPr>
          <w:color w:val="000000" w:themeColor="text1"/>
        </w:rPr>
        <w:t xml:space="preserve"> (Covin &amp; Slevin, 1988)</w:t>
      </w:r>
      <w:r w:rsidRPr="000C4487">
        <w:rPr>
          <w:color w:val="000000" w:themeColor="text1"/>
        </w:rPr>
        <w:t>.</w:t>
      </w:r>
    </w:p>
    <w:p w14:paraId="7F75FEC3" w14:textId="77777777" w:rsidR="003156EF" w:rsidRPr="000C4487" w:rsidRDefault="003156EF" w:rsidP="00A11C55">
      <w:pPr>
        <w:pStyle w:val="Paragraph"/>
        <w:jc w:val="both"/>
        <w:rPr>
          <w:color w:val="000000" w:themeColor="text1"/>
        </w:rPr>
      </w:pPr>
      <w:r w:rsidRPr="000C4487">
        <w:rPr>
          <w:color w:val="000000" w:themeColor="text1"/>
        </w:rPr>
        <w:t>Second, according to social identity theory</w:t>
      </w:r>
      <w:r>
        <w:rPr>
          <w:color w:val="000000" w:themeColor="text1"/>
        </w:rPr>
        <w:t xml:space="preserve"> (Tajfel, 1981; Turner, 1982)</w:t>
      </w:r>
      <w:r w:rsidRPr="000C4487">
        <w:rPr>
          <w:color w:val="000000" w:themeColor="text1"/>
        </w:rPr>
        <w:t>, high organizational cultural distance is expected to lead to ingroup bias among members of the acquiring firm, which reduces trust, communication, and knowledge sharing with members of the target firm</w:t>
      </w:r>
      <w:r>
        <w:rPr>
          <w:color w:val="000000" w:themeColor="text1"/>
        </w:rPr>
        <w:t xml:space="preserve"> (Christoffersen, Globerman, &amp; Nielsen, 2013)</w:t>
      </w:r>
      <w:r w:rsidRPr="000C4487">
        <w:rPr>
          <w:color w:val="000000" w:themeColor="text1"/>
        </w:rPr>
        <w:t xml:space="preserve"> and negatively affects the discovery of new solutions and innovation</w:t>
      </w:r>
      <w:r>
        <w:rPr>
          <w:color w:val="000000" w:themeColor="text1"/>
        </w:rPr>
        <w:t xml:space="preserve"> (Zaheer, McEvily, &amp; Perrone, 1998)</w:t>
      </w:r>
      <w:r w:rsidRPr="000C4487">
        <w:rPr>
          <w:color w:val="000000" w:themeColor="text1"/>
        </w:rPr>
        <w:t xml:space="preserve">. </w:t>
      </w:r>
    </w:p>
    <w:p w14:paraId="6CBB7779" w14:textId="77777777" w:rsidR="003156EF" w:rsidRPr="000C4487" w:rsidRDefault="003156EF" w:rsidP="00A11C55">
      <w:pPr>
        <w:pStyle w:val="Paragraph"/>
        <w:jc w:val="both"/>
        <w:rPr>
          <w:color w:val="000000" w:themeColor="text1"/>
        </w:rPr>
      </w:pPr>
      <w:r w:rsidRPr="000C4487">
        <w:rPr>
          <w:color w:val="000000" w:themeColor="text1"/>
        </w:rPr>
        <w:t>Third, acquiring a culturally distant target reduces the likelihood of effective coordination of R&amp;D and NPD activities. Organizational practices</w:t>
      </w:r>
      <w:r>
        <w:rPr>
          <w:color w:val="000000" w:themeColor="text1"/>
        </w:rPr>
        <w:t xml:space="preserve"> (Child, Faulkner, &amp; Pitkethly, 2003; Kogut &amp; Singh, 1988)</w:t>
      </w:r>
      <w:r w:rsidRPr="000C4487">
        <w:rPr>
          <w:color w:val="000000" w:themeColor="text1"/>
        </w:rPr>
        <w:t>, decision-making styles</w:t>
      </w:r>
      <w:r>
        <w:rPr>
          <w:color w:val="000000" w:themeColor="text1"/>
        </w:rPr>
        <w:t xml:space="preserve"> (Schneider &amp; Meyer, 1991)</w:t>
      </w:r>
      <w:r w:rsidRPr="000C4487">
        <w:rPr>
          <w:color w:val="000000" w:themeColor="text1"/>
        </w:rPr>
        <w:t>, and codes of ethics</w:t>
      </w:r>
      <w:r>
        <w:rPr>
          <w:color w:val="000000" w:themeColor="text1"/>
        </w:rPr>
        <w:t xml:space="preserve"> (Langlois &amp; Schlegelmilch, 1990)</w:t>
      </w:r>
      <w:r w:rsidRPr="000C4487">
        <w:rPr>
          <w:color w:val="000000" w:themeColor="text1"/>
        </w:rPr>
        <w:t xml:space="preserve"> are highly culturally specific. This increases the likelihood of tensions in collaboration. It also increases the risk of having different and sometimes incompatible ways of working and different points of view. Consequently, M&amp;A transactions between culturally distant firms are associated with increased management costs</w:t>
      </w:r>
      <w:r>
        <w:rPr>
          <w:color w:val="000000" w:themeColor="text1"/>
        </w:rPr>
        <w:t xml:space="preserve"> (Kogut &amp; Singh, 1988)</w:t>
      </w:r>
      <w:r w:rsidRPr="000C4487">
        <w:rPr>
          <w:color w:val="000000" w:themeColor="text1"/>
        </w:rPr>
        <w:t>. Based on the above, we propose the following hypotheses:</w:t>
      </w:r>
    </w:p>
    <w:p w14:paraId="6EE347E1" w14:textId="5F6EF436" w:rsidR="003156EF" w:rsidRPr="00895F66" w:rsidRDefault="00A11C55" w:rsidP="00895F66">
      <w:pPr>
        <w:pStyle w:val="Paragraph"/>
        <w:jc w:val="both"/>
        <w:rPr>
          <w:i/>
          <w:iCs/>
        </w:rPr>
      </w:pPr>
      <w:r w:rsidRPr="00895F66">
        <w:rPr>
          <w:i/>
          <w:iCs/>
        </w:rPr>
        <w:t xml:space="preserve">Hypothesis 3a (H3a): </w:t>
      </w:r>
      <w:r w:rsidR="003156EF" w:rsidRPr="00895F66">
        <w:rPr>
          <w:i/>
          <w:iCs/>
        </w:rPr>
        <w:t>Organizational cultural distance between acquirer and target firms is negatively associated with the acquirer's post-deal innovativeness, as measured by patent growth.</w:t>
      </w:r>
    </w:p>
    <w:p w14:paraId="2049645F" w14:textId="1A2BE604" w:rsidR="003156EF" w:rsidRPr="00895F66" w:rsidRDefault="00A11C55" w:rsidP="00895F66">
      <w:pPr>
        <w:pStyle w:val="Paragraph"/>
        <w:jc w:val="both"/>
        <w:rPr>
          <w:i/>
          <w:iCs/>
        </w:rPr>
      </w:pPr>
      <w:r w:rsidRPr="00895F66">
        <w:rPr>
          <w:i/>
          <w:iCs/>
        </w:rPr>
        <w:lastRenderedPageBreak/>
        <w:t xml:space="preserve">Hypothesis 3b (H3b): </w:t>
      </w:r>
      <w:r w:rsidR="003156EF" w:rsidRPr="00895F66">
        <w:rPr>
          <w:i/>
          <w:iCs/>
        </w:rPr>
        <w:t>Organizational cultural distance between acquirer and target firms is negatively associated with the acquirer's post-deal innovativeness, as measured by NPD.</w:t>
      </w:r>
    </w:p>
    <w:p w14:paraId="755067E2" w14:textId="4F1B0541" w:rsidR="00B95EF7" w:rsidRPr="00DB6539" w:rsidRDefault="00B95EF7" w:rsidP="00B95EF7">
      <w:pPr>
        <w:pStyle w:val="berschrift2"/>
        <w:rPr>
          <w:lang w:val="en-US"/>
        </w:rPr>
      </w:pPr>
      <w:bookmarkStart w:id="429" w:name="_Toc180963625"/>
      <w:r w:rsidRPr="00DB6539">
        <w:rPr>
          <w:lang w:val="en-US"/>
        </w:rPr>
        <w:t>Method</w:t>
      </w:r>
      <w:bookmarkEnd w:id="429"/>
    </w:p>
    <w:p w14:paraId="3A9C5E10" w14:textId="7C376CA8" w:rsidR="003156EF" w:rsidRPr="003156EF" w:rsidRDefault="003156EF" w:rsidP="00B95EF7">
      <w:pPr>
        <w:pStyle w:val="berschrift3"/>
      </w:pPr>
      <w:r>
        <w:t>Sample Selection</w:t>
      </w:r>
    </w:p>
    <w:p w14:paraId="1BD16594" w14:textId="77777777" w:rsidR="003156EF" w:rsidRPr="000C4487" w:rsidRDefault="003156EF" w:rsidP="008411D3">
      <w:pPr>
        <w:pStyle w:val="Text"/>
        <w:ind w:firstLine="708"/>
        <w:rPr>
          <w:color w:val="000000" w:themeColor="text1"/>
          <w:highlight w:val="yellow"/>
          <w:lang w:val="en-US"/>
        </w:rPr>
      </w:pPr>
      <w:r w:rsidRPr="000C4487">
        <w:rPr>
          <w:color w:val="000000" w:themeColor="text1"/>
          <w:lang w:val="en-US"/>
        </w:rPr>
        <w:t xml:space="preserve">We obtain deal-specific data from the Securities Data Company (SDC), firm-specific data from Thomson Reuters Refinitiv, and data for our cultural distance measure is inferred from the text sections of firms' Glassdoor.com reviews. Glassdoor enables employees to anonymously review their employers by providing 5-star ratings for the categories </w:t>
      </w:r>
      <w:r w:rsidRPr="000C4487">
        <w:rPr>
          <w:i/>
          <w:iCs/>
          <w:color w:val="000000" w:themeColor="text1"/>
          <w:lang w:val="en-US"/>
        </w:rPr>
        <w:t>Overall Rating, Career Opportunities, Compensation &amp; Benefits, Work/Life Balance, Diversity &amp; Inclusion, Senior Management, and Culture &amp; Values</w:t>
      </w:r>
      <w:r w:rsidRPr="000C4487">
        <w:rPr>
          <w:color w:val="000000" w:themeColor="text1"/>
          <w:lang w:val="en-US"/>
        </w:rPr>
        <w:t>. In addition, reviewers are required to provide pros and cons about their employer as text input (“Share some of the best reasons [downsides] to work at …”). To ensure high quality reviews, Glassdoor has a “give to get” policy, requiring new users to provide a review or salary information in order to access other users' reviews. In addition, Glassdoor's 5-star ratings are approximately normally distributed, indicating that reviews are not susceptible to response bias</w:t>
      </w:r>
      <w:r>
        <w:rPr>
          <w:color w:val="000000" w:themeColor="text1"/>
          <w:lang w:val="en-US"/>
        </w:rPr>
        <w:t xml:space="preserve"> (Chemmanur, Rajaiya, &amp; Sheng, 2019)</w:t>
      </w:r>
      <w:r w:rsidRPr="000C4487">
        <w:rPr>
          <w:color w:val="000000" w:themeColor="text1"/>
          <w:lang w:val="en-US"/>
        </w:rPr>
        <w:t>.</w:t>
      </w:r>
    </w:p>
    <w:p w14:paraId="4B32A978" w14:textId="77777777" w:rsidR="003156EF" w:rsidRPr="000C4487" w:rsidRDefault="003156EF" w:rsidP="003156EF">
      <w:pPr>
        <w:pStyle w:val="Text"/>
        <w:rPr>
          <w:color w:val="000000" w:themeColor="text1"/>
          <w:lang w:val="en-US"/>
        </w:rPr>
      </w:pPr>
      <w:r w:rsidRPr="000C4487">
        <w:rPr>
          <w:color w:val="000000" w:themeColor="text1"/>
          <w:lang w:val="en-US"/>
        </w:rPr>
        <w:t>To obtain our final deal sample, we first collect an initial sample of 32,330 deals from the SDC. Consistent with recent M&amp;A literature</w:t>
      </w:r>
      <w:r>
        <w:rPr>
          <w:color w:val="000000" w:themeColor="text1"/>
          <w:lang w:val="en-US"/>
        </w:rPr>
        <w:t xml:space="preserve"> (Ahmed, Chen, Duellman, &amp; Sun, 2023; Bena &amp; Li, 2014; Bereskin et al., 2018)</w:t>
      </w:r>
      <w:r w:rsidRPr="000C4487">
        <w:rPr>
          <w:color w:val="000000" w:themeColor="text1"/>
          <w:lang w:val="en-US"/>
        </w:rPr>
        <w:t>, we require that 1) the deal status is closed, 2) the deal value exceeds $1 million, 3) both firms are publicly traded before the deal and the acquirer is publicly traded after the deal, 4) the acquirer owns less than 50% of the target's shares before the deal and more than 90% after the deal, and 5) the acquirer is not in the investment banking and investment services industry. To ensure a sufficient number of English-language reviews on Glassdoor, we also restrict our sample to deals between companies headquartered in the US, Canada, Australia, or the UK. These requirements reduce the initial sample to 4,558 deals.</w:t>
      </w:r>
    </w:p>
    <w:p w14:paraId="719C3E1A" w14:textId="77777777" w:rsidR="003156EF" w:rsidRPr="000C4487" w:rsidRDefault="003156EF" w:rsidP="003156EF">
      <w:pPr>
        <w:pStyle w:val="Text"/>
        <w:rPr>
          <w:color w:val="000000" w:themeColor="text1"/>
          <w:lang w:val="en-US"/>
        </w:rPr>
      </w:pPr>
      <w:r w:rsidRPr="000C4487">
        <w:rPr>
          <w:color w:val="000000" w:themeColor="text1"/>
          <w:lang w:val="en-US"/>
        </w:rPr>
        <w:lastRenderedPageBreak/>
        <w:t>To determine whether a deal has its acquirer and target listed on Glassdoor, we automatically extract potentially matching Glassdoor links from three search engines. We then match the Glassdoor and SDC deal data using fuzzy string matching between company names in the SDC data and the extracted Glassdoor links. For cosine similarity values below .8, we manually verify that the correct Glassdoor link was extracted by comparing information on the company's industry, year founded, location, name changes, and company website. For our final sample, we require at least 10 Glassdoor reviews for both the acquirer and the target in the years prior to the deal announcement (similar to</w:t>
      </w:r>
      <w:r>
        <w:rPr>
          <w:color w:val="000000" w:themeColor="text1"/>
          <w:lang w:val="en-US"/>
        </w:rPr>
        <w:t xml:space="preserve"> Campbell &amp; Shang, 2021</w:t>
      </w:r>
      <w:r w:rsidRPr="00B773BE">
        <w:rPr>
          <w:color w:val="000000" w:themeColor="text1"/>
          <w:lang w:val="en-US"/>
        </w:rPr>
        <w:t xml:space="preserve">). </w:t>
      </w:r>
      <w:r w:rsidRPr="000C4487">
        <w:rPr>
          <w:color w:val="000000" w:themeColor="text1"/>
          <w:lang w:val="en-US"/>
        </w:rPr>
        <w:t>After removing observations with missing values, our final sample contains 243 deals with 347,279 acquirer and 68,069 target reviews from 437 unique firms.</w:t>
      </w:r>
    </w:p>
    <w:p w14:paraId="12075FAA" w14:textId="7FA4BA62" w:rsidR="003156EF" w:rsidRPr="003156EF" w:rsidRDefault="003156EF" w:rsidP="00B95EF7">
      <w:pPr>
        <w:pStyle w:val="berschrift3"/>
      </w:pPr>
      <w:r>
        <w:t>Identification Strategy</w:t>
      </w:r>
    </w:p>
    <w:p w14:paraId="3FEDA5BE" w14:textId="6556DDD8" w:rsidR="003156EF" w:rsidRPr="000C4487" w:rsidRDefault="003156EF" w:rsidP="008411D3">
      <w:pPr>
        <w:spacing w:after="120"/>
        <w:ind w:firstLine="708"/>
        <w:rPr>
          <w:color w:val="000000" w:themeColor="text1"/>
          <w:lang w:val="en-US"/>
        </w:rPr>
      </w:pPr>
      <w:r w:rsidRPr="000C4487">
        <w:rPr>
          <w:color w:val="000000" w:themeColor="text1"/>
          <w:lang w:val="en-US"/>
        </w:rPr>
        <w:t>The following cross-sectional two-way fixed effects regression models test our hypotheses: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0"/>
        <w:gridCol w:w="682"/>
      </w:tblGrid>
      <w:tr w:rsidR="003156EF" w:rsidRPr="000C4487" w14:paraId="0B38B063" w14:textId="77777777" w:rsidTr="00AB066F">
        <w:trPr>
          <w:trHeight w:val="495"/>
        </w:trPr>
        <w:tc>
          <w:tcPr>
            <w:tcW w:w="4624" w:type="pct"/>
          </w:tcPr>
          <w:p w14:paraId="1AFC5194" w14:textId="77777777" w:rsidR="003156EF" w:rsidRPr="000C4487" w:rsidRDefault="00000000" w:rsidP="00AB066F">
            <w:pPr>
              <w:rPr>
                <w:color w:val="000000" w:themeColor="text1"/>
                <w:lang w:val="en-US"/>
              </w:rPr>
            </w:pPr>
            <m:oMath>
              <m:sSub>
                <m:sSubPr>
                  <m:ctrlPr>
                    <w:rPr>
                      <w:rFonts w:ascii="Cambria Math" w:hAnsi="Cambria Math"/>
                      <w:i/>
                      <w:color w:val="000000" w:themeColor="text1"/>
                      <w:sz w:val="22"/>
                      <w:lang w:val="en-US"/>
                    </w:rPr>
                  </m:ctrlPr>
                </m:sSubPr>
                <m:e>
                  <m:r>
                    <w:rPr>
                      <w:rFonts w:ascii="Cambria Math" w:hAnsi="Cambria Math"/>
                      <w:color w:val="000000" w:themeColor="text1"/>
                      <w:sz w:val="22"/>
                      <w:lang w:val="en-US"/>
                    </w:rPr>
                    <m:t>DealOutcome</m:t>
                  </m:r>
                </m:e>
                <m:sub>
                  <m:r>
                    <w:rPr>
                      <w:rFonts w:ascii="Cambria Math" w:hAnsi="Cambria Math"/>
                      <w:color w:val="000000" w:themeColor="text1"/>
                      <w:sz w:val="22"/>
                      <w:lang w:val="en-US"/>
                    </w:rPr>
                    <m:t>m</m:t>
                  </m:r>
                </m:sub>
              </m:sSub>
              <m:r>
                <w:rPr>
                  <w:rFonts w:ascii="Cambria Math" w:hAnsi="Cambria Math"/>
                  <w:color w:val="000000" w:themeColor="text1"/>
                  <w:sz w:val="22"/>
                  <w:lang w:val="en-US"/>
                </w:rPr>
                <m:t>=α+</m:t>
              </m:r>
              <m:sSub>
                <m:sSubPr>
                  <m:ctrlPr>
                    <w:rPr>
                      <w:rFonts w:ascii="Cambria Math" w:hAnsi="Cambria Math"/>
                      <w:i/>
                      <w:color w:val="000000" w:themeColor="text1"/>
                      <w:sz w:val="22"/>
                      <w:lang w:val="en-US"/>
                    </w:rPr>
                  </m:ctrlPr>
                </m:sSubPr>
                <m:e>
                  <m:r>
                    <w:rPr>
                      <w:rFonts w:ascii="Cambria Math" w:hAnsi="Cambria Math"/>
                      <w:color w:val="000000" w:themeColor="text1"/>
                      <w:sz w:val="22"/>
                      <w:lang w:val="en-US"/>
                    </w:rPr>
                    <m:t>β</m:t>
                  </m:r>
                </m:e>
                <m:sub>
                  <m:r>
                    <w:rPr>
                      <w:rFonts w:ascii="Cambria Math" w:hAnsi="Cambria Math"/>
                      <w:color w:val="000000" w:themeColor="text1"/>
                      <w:sz w:val="22"/>
                      <w:lang w:val="en-US"/>
                    </w:rPr>
                    <m:t>1</m:t>
                  </m:r>
                </m:sub>
              </m:sSub>
              <m:sSub>
                <m:sSubPr>
                  <m:ctrlPr>
                    <w:rPr>
                      <w:rFonts w:ascii="Cambria Math" w:hAnsi="Cambria Math"/>
                      <w:i/>
                      <w:color w:val="000000" w:themeColor="text1"/>
                      <w:sz w:val="22"/>
                      <w:lang w:val="en-US"/>
                    </w:rPr>
                  </m:ctrlPr>
                </m:sSubPr>
                <m:e>
                  <m:r>
                    <w:rPr>
                      <w:rFonts w:ascii="Cambria Math" w:hAnsi="Cambria Math"/>
                      <w:color w:val="000000" w:themeColor="text1"/>
                      <w:sz w:val="22"/>
                      <w:lang w:val="en-US"/>
                    </w:rPr>
                    <m:t>OrgCulturalDistance</m:t>
                  </m:r>
                </m:e>
                <m:sub>
                  <m:r>
                    <w:rPr>
                      <w:rFonts w:ascii="Cambria Math" w:hAnsi="Cambria Math"/>
                      <w:color w:val="000000" w:themeColor="text1"/>
                      <w:sz w:val="22"/>
                      <w:lang w:val="en-US"/>
                    </w:rPr>
                    <m:t>i,j</m:t>
                  </m:r>
                </m:sub>
              </m:sSub>
              <m:r>
                <w:rPr>
                  <w:rFonts w:ascii="Cambria Math" w:hAnsi="Cambria Math"/>
                  <w:color w:val="000000" w:themeColor="text1"/>
                  <w:sz w:val="22"/>
                  <w:lang w:val="en-US"/>
                </w:rPr>
                <m:t>+</m:t>
              </m:r>
              <m:nary>
                <m:naryPr>
                  <m:chr m:val="∑"/>
                  <m:limLoc m:val="undOvr"/>
                  <m:subHide m:val="1"/>
                  <m:supHide m:val="1"/>
                  <m:ctrlPr>
                    <w:rPr>
                      <w:rFonts w:ascii="Cambria Math" w:hAnsi="Cambria Math"/>
                      <w:i/>
                      <w:color w:val="000000" w:themeColor="text1"/>
                      <w:sz w:val="22"/>
                      <w:lang w:val="en-US"/>
                    </w:rPr>
                  </m:ctrlPr>
                </m:naryPr>
                <m:sub/>
                <m:sup/>
                <m:e>
                  <m:sSub>
                    <m:sSubPr>
                      <m:ctrlPr>
                        <w:rPr>
                          <w:rFonts w:ascii="Cambria Math" w:hAnsi="Cambria Math"/>
                          <w:i/>
                          <w:color w:val="000000" w:themeColor="text1"/>
                          <w:sz w:val="22"/>
                          <w:lang w:val="en-US"/>
                        </w:rPr>
                      </m:ctrlPr>
                    </m:sSubPr>
                    <m:e>
                      <m:r>
                        <w:rPr>
                          <w:rFonts w:ascii="Cambria Math" w:hAnsi="Cambria Math"/>
                          <w:color w:val="000000" w:themeColor="text1"/>
                          <w:sz w:val="22"/>
                          <w:lang w:val="en-US"/>
                        </w:rPr>
                        <m:t>β</m:t>
                      </m:r>
                    </m:e>
                    <m:sub>
                      <m:r>
                        <w:rPr>
                          <w:rFonts w:ascii="Cambria Math" w:hAnsi="Cambria Math"/>
                          <w:color w:val="000000" w:themeColor="text1"/>
                          <w:sz w:val="22"/>
                          <w:lang w:val="en-US"/>
                        </w:rPr>
                        <m:t>m</m:t>
                      </m:r>
                    </m:sub>
                  </m:sSub>
                  <m:r>
                    <w:rPr>
                      <w:rFonts w:ascii="Cambria Math" w:hAnsi="Cambria Math"/>
                      <w:color w:val="000000" w:themeColor="text1"/>
                      <w:sz w:val="22"/>
                      <w:lang w:val="en-US"/>
                    </w:rPr>
                    <m:t>DealControl</m:t>
                  </m:r>
                  <m:sSub>
                    <m:sSubPr>
                      <m:ctrlPr>
                        <w:rPr>
                          <w:rFonts w:ascii="Cambria Math" w:hAnsi="Cambria Math"/>
                          <w:i/>
                          <w:color w:val="000000" w:themeColor="text1"/>
                          <w:sz w:val="22"/>
                          <w:lang w:val="en-US"/>
                        </w:rPr>
                      </m:ctrlPr>
                    </m:sSubPr>
                    <m:e>
                      <m:r>
                        <w:rPr>
                          <w:rFonts w:ascii="Cambria Math" w:hAnsi="Cambria Math"/>
                          <w:color w:val="000000" w:themeColor="text1"/>
                          <w:sz w:val="22"/>
                          <w:lang w:val="en-US"/>
                        </w:rPr>
                        <m:t>s</m:t>
                      </m:r>
                    </m:e>
                    <m:sub>
                      <m:r>
                        <w:rPr>
                          <w:rFonts w:ascii="Cambria Math" w:hAnsi="Cambria Math"/>
                          <w:color w:val="000000" w:themeColor="text1"/>
                          <w:sz w:val="22"/>
                          <w:lang w:val="en-US"/>
                        </w:rPr>
                        <m:t>m</m:t>
                      </m:r>
                    </m:sub>
                  </m:sSub>
                  <m:r>
                    <w:rPr>
                      <w:rFonts w:ascii="Cambria Math" w:hAnsi="Cambria Math"/>
                      <w:color w:val="000000" w:themeColor="text1"/>
                      <w:sz w:val="22"/>
                      <w:lang w:val="en-US"/>
                    </w:rPr>
                    <m:t>+</m:t>
                  </m:r>
                  <m:nary>
                    <m:naryPr>
                      <m:chr m:val="∑"/>
                      <m:limLoc m:val="undOvr"/>
                      <m:subHide m:val="1"/>
                      <m:supHide m:val="1"/>
                      <m:ctrlPr>
                        <w:rPr>
                          <w:rFonts w:ascii="Cambria Math" w:hAnsi="Cambria Math"/>
                          <w:i/>
                          <w:color w:val="000000" w:themeColor="text1"/>
                          <w:sz w:val="22"/>
                          <w:lang w:val="en-US"/>
                        </w:rPr>
                      </m:ctrlPr>
                    </m:naryPr>
                    <m:sub/>
                    <m:sup/>
                    <m:e>
                      <m:sSub>
                        <m:sSubPr>
                          <m:ctrlPr>
                            <w:rPr>
                              <w:rFonts w:ascii="Cambria Math" w:hAnsi="Cambria Math"/>
                              <w:i/>
                              <w:color w:val="000000" w:themeColor="text1"/>
                              <w:sz w:val="22"/>
                              <w:lang w:val="en-US"/>
                            </w:rPr>
                          </m:ctrlPr>
                        </m:sSubPr>
                        <m:e>
                          <m:r>
                            <w:rPr>
                              <w:rFonts w:ascii="Cambria Math" w:hAnsi="Cambria Math"/>
                              <w:color w:val="000000" w:themeColor="text1"/>
                              <w:sz w:val="22"/>
                              <w:lang w:val="en-US"/>
                            </w:rPr>
                            <m:t>β</m:t>
                          </m:r>
                        </m:e>
                        <m:sub>
                          <m:r>
                            <w:rPr>
                              <w:rFonts w:ascii="Cambria Math" w:hAnsi="Cambria Math"/>
                              <w:color w:val="000000" w:themeColor="text1"/>
                              <w:sz w:val="22"/>
                              <w:lang w:val="en-US"/>
                            </w:rPr>
                            <m:t>i</m:t>
                          </m:r>
                        </m:sub>
                      </m:sSub>
                      <m:r>
                        <w:rPr>
                          <w:rFonts w:ascii="Cambria Math" w:hAnsi="Cambria Math"/>
                          <w:color w:val="000000" w:themeColor="text1"/>
                          <w:sz w:val="22"/>
                          <w:lang w:val="en-US"/>
                        </w:rPr>
                        <m:t>AcquirerControl</m:t>
                      </m:r>
                      <m:sSub>
                        <m:sSubPr>
                          <m:ctrlPr>
                            <w:rPr>
                              <w:rFonts w:ascii="Cambria Math" w:hAnsi="Cambria Math"/>
                              <w:i/>
                              <w:color w:val="000000" w:themeColor="text1"/>
                              <w:sz w:val="22"/>
                              <w:lang w:val="en-US"/>
                            </w:rPr>
                          </m:ctrlPr>
                        </m:sSubPr>
                        <m:e>
                          <m:r>
                            <w:rPr>
                              <w:rFonts w:ascii="Cambria Math" w:hAnsi="Cambria Math"/>
                              <w:color w:val="000000" w:themeColor="text1"/>
                              <w:sz w:val="22"/>
                              <w:lang w:val="en-US"/>
                            </w:rPr>
                            <m:t>s</m:t>
                          </m:r>
                        </m:e>
                        <m:sub>
                          <m:r>
                            <w:rPr>
                              <w:rFonts w:ascii="Cambria Math" w:hAnsi="Cambria Math"/>
                              <w:color w:val="000000" w:themeColor="text1"/>
                              <w:sz w:val="22"/>
                              <w:lang w:val="en-US"/>
                            </w:rPr>
                            <m:t>i</m:t>
                          </m:r>
                        </m:sub>
                      </m:sSub>
                      <m:r>
                        <w:rPr>
                          <w:rFonts w:ascii="Cambria Math" w:hAnsi="Cambria Math"/>
                          <w:color w:val="000000" w:themeColor="text1"/>
                          <w:sz w:val="22"/>
                          <w:lang w:val="en-US"/>
                        </w:rPr>
                        <m:t>+</m:t>
                      </m:r>
                      <m:nary>
                        <m:naryPr>
                          <m:chr m:val="∑"/>
                          <m:limLoc m:val="undOvr"/>
                          <m:subHide m:val="1"/>
                          <m:supHide m:val="1"/>
                          <m:ctrlPr>
                            <w:rPr>
                              <w:rFonts w:ascii="Cambria Math" w:hAnsi="Cambria Math"/>
                              <w:i/>
                              <w:color w:val="000000" w:themeColor="text1"/>
                              <w:sz w:val="22"/>
                              <w:lang w:val="en-US"/>
                            </w:rPr>
                          </m:ctrlPr>
                        </m:naryPr>
                        <m:sub/>
                        <m:sup/>
                        <m:e>
                          <m:sSub>
                            <m:sSubPr>
                              <m:ctrlPr>
                                <w:rPr>
                                  <w:rFonts w:ascii="Cambria Math" w:hAnsi="Cambria Math"/>
                                  <w:i/>
                                  <w:color w:val="000000" w:themeColor="text1"/>
                                  <w:sz w:val="22"/>
                                  <w:lang w:val="en-US"/>
                                </w:rPr>
                              </m:ctrlPr>
                            </m:sSubPr>
                            <m:e>
                              <m:r>
                                <w:rPr>
                                  <w:rFonts w:ascii="Cambria Math" w:hAnsi="Cambria Math"/>
                                  <w:color w:val="000000" w:themeColor="text1"/>
                                  <w:sz w:val="22"/>
                                  <w:lang w:val="en-US"/>
                                </w:rPr>
                                <m:t>β</m:t>
                              </m:r>
                            </m:e>
                            <m:sub>
                              <m:r>
                                <w:rPr>
                                  <w:rFonts w:ascii="Cambria Math" w:hAnsi="Cambria Math"/>
                                  <w:color w:val="000000" w:themeColor="text1"/>
                                  <w:sz w:val="22"/>
                                  <w:lang w:val="en-US"/>
                                </w:rPr>
                                <m:t>j</m:t>
                              </m:r>
                            </m:sub>
                          </m:sSub>
                          <m:r>
                            <w:rPr>
                              <w:rFonts w:ascii="Cambria Math" w:hAnsi="Cambria Math"/>
                              <w:color w:val="000000" w:themeColor="text1"/>
                              <w:sz w:val="22"/>
                              <w:lang w:val="en-US"/>
                            </w:rPr>
                            <m:t>TargetControl</m:t>
                          </m:r>
                          <m:sSub>
                            <m:sSubPr>
                              <m:ctrlPr>
                                <w:rPr>
                                  <w:rFonts w:ascii="Cambria Math" w:hAnsi="Cambria Math"/>
                                  <w:i/>
                                  <w:color w:val="000000" w:themeColor="text1"/>
                                  <w:sz w:val="22"/>
                                  <w:lang w:val="en-US"/>
                                </w:rPr>
                              </m:ctrlPr>
                            </m:sSubPr>
                            <m:e>
                              <m:r>
                                <w:rPr>
                                  <w:rFonts w:ascii="Cambria Math" w:hAnsi="Cambria Math"/>
                                  <w:color w:val="000000" w:themeColor="text1"/>
                                  <w:sz w:val="22"/>
                                  <w:lang w:val="en-US"/>
                                </w:rPr>
                                <m:t>s</m:t>
                              </m:r>
                            </m:e>
                            <m:sub>
                              <m:r>
                                <w:rPr>
                                  <w:rFonts w:ascii="Cambria Math" w:hAnsi="Cambria Math"/>
                                  <w:color w:val="000000" w:themeColor="text1"/>
                                  <w:sz w:val="22"/>
                                  <w:lang w:val="en-US"/>
                                </w:rPr>
                                <m:t>j</m:t>
                              </m:r>
                            </m:sub>
                          </m:sSub>
                          <m:r>
                            <w:rPr>
                              <w:rFonts w:ascii="Cambria Math" w:hAnsi="Cambria Math"/>
                              <w:color w:val="000000" w:themeColor="text1"/>
                              <w:sz w:val="22"/>
                              <w:lang w:val="en-US"/>
                            </w:rPr>
                            <m:t>+</m:t>
                          </m:r>
                          <m:sSub>
                            <m:sSubPr>
                              <m:ctrlPr>
                                <w:rPr>
                                  <w:rFonts w:ascii="Cambria Math" w:hAnsi="Cambria Math"/>
                                  <w:i/>
                                  <w:color w:val="000000" w:themeColor="text1"/>
                                  <w:sz w:val="22"/>
                                  <w:lang w:val="en-US"/>
                                </w:rPr>
                              </m:ctrlPr>
                            </m:sSubPr>
                            <m:e>
                              <m:r>
                                <w:rPr>
                                  <w:rFonts w:ascii="Cambria Math" w:hAnsi="Cambria Math"/>
                                  <w:color w:val="000000" w:themeColor="text1"/>
                                  <w:sz w:val="22"/>
                                  <w:lang w:val="en-US"/>
                                </w:rPr>
                                <m:t>γ</m:t>
                              </m:r>
                            </m:e>
                            <m:sub>
                              <m:r>
                                <w:rPr>
                                  <w:rFonts w:ascii="Cambria Math" w:hAnsi="Cambria Math"/>
                                  <w:color w:val="000000" w:themeColor="text1"/>
                                  <w:sz w:val="22"/>
                                  <w:lang w:val="en-US"/>
                                </w:rPr>
                                <m:t>i</m:t>
                              </m:r>
                            </m:sub>
                          </m:sSub>
                          <m:r>
                            <w:rPr>
                              <w:rFonts w:ascii="Cambria Math" w:hAnsi="Cambria Math"/>
                              <w:color w:val="000000" w:themeColor="text1"/>
                              <w:sz w:val="22"/>
                              <w:lang w:val="en-US"/>
                            </w:rPr>
                            <m:t>+</m:t>
                          </m:r>
                          <m:sSub>
                            <m:sSubPr>
                              <m:ctrlPr>
                                <w:rPr>
                                  <w:rFonts w:ascii="Cambria Math" w:hAnsi="Cambria Math"/>
                                  <w:i/>
                                  <w:color w:val="000000" w:themeColor="text1"/>
                                  <w:sz w:val="22"/>
                                  <w:lang w:val="en-US"/>
                                </w:rPr>
                              </m:ctrlPr>
                            </m:sSubPr>
                            <m:e>
                              <m:r>
                                <w:rPr>
                                  <w:rFonts w:ascii="Cambria Math" w:hAnsi="Cambria Math"/>
                                  <w:color w:val="000000" w:themeColor="text1"/>
                                  <w:sz w:val="22"/>
                                  <w:lang w:val="en-US"/>
                                </w:rPr>
                                <m:t>δ</m:t>
                              </m:r>
                            </m:e>
                            <m:sub>
                              <m:r>
                                <w:rPr>
                                  <w:rFonts w:ascii="Cambria Math" w:hAnsi="Cambria Math"/>
                                  <w:color w:val="000000" w:themeColor="text1"/>
                                  <w:sz w:val="22"/>
                                  <w:lang w:val="en-US"/>
                                </w:rPr>
                                <m:t>t</m:t>
                              </m:r>
                            </m:sub>
                          </m:sSub>
                          <m:r>
                            <w:rPr>
                              <w:rFonts w:ascii="Cambria Math" w:hAnsi="Cambria Math"/>
                              <w:color w:val="000000" w:themeColor="text1"/>
                              <w:sz w:val="22"/>
                              <w:lang w:val="en-US"/>
                            </w:rPr>
                            <m:t>+</m:t>
                          </m:r>
                          <m:sSub>
                            <m:sSubPr>
                              <m:ctrlPr>
                                <w:rPr>
                                  <w:rFonts w:ascii="Cambria Math" w:hAnsi="Cambria Math"/>
                                  <w:i/>
                                  <w:color w:val="000000" w:themeColor="text1"/>
                                  <w:sz w:val="22"/>
                                  <w:lang w:val="en-US"/>
                                </w:rPr>
                              </m:ctrlPr>
                            </m:sSubPr>
                            <m:e>
                              <m:r>
                                <w:rPr>
                                  <w:rFonts w:ascii="Cambria Math" w:hAnsi="Cambria Math"/>
                                  <w:color w:val="000000" w:themeColor="text1"/>
                                  <w:sz w:val="22"/>
                                  <w:lang w:val="en-US"/>
                                </w:rPr>
                                <m:t>ε</m:t>
                              </m:r>
                            </m:e>
                            <m:sub>
                              <m:r>
                                <w:rPr>
                                  <w:rFonts w:ascii="Cambria Math" w:hAnsi="Cambria Math"/>
                                  <w:color w:val="000000" w:themeColor="text1"/>
                                  <w:sz w:val="22"/>
                                  <w:lang w:val="en-US"/>
                                </w:rPr>
                                <m:t>m</m:t>
                              </m:r>
                            </m:sub>
                          </m:sSub>
                        </m:e>
                      </m:nary>
                    </m:e>
                  </m:nary>
                </m:e>
              </m:nary>
            </m:oMath>
            <w:r w:rsidR="003156EF" w:rsidRPr="000C4487">
              <w:rPr>
                <w:color w:val="000000" w:themeColor="text1"/>
                <w:lang w:val="en-US"/>
              </w:rPr>
              <w:t xml:space="preserve"> </w:t>
            </w:r>
          </w:p>
        </w:tc>
        <w:tc>
          <w:tcPr>
            <w:tcW w:w="376" w:type="pct"/>
          </w:tcPr>
          <w:p w14:paraId="5CD24F4A" w14:textId="77777777" w:rsidR="003156EF" w:rsidRPr="000C4487" w:rsidRDefault="003156EF" w:rsidP="00AB066F">
            <w:pPr>
              <w:keepNext/>
              <w:jc w:val="center"/>
              <w:rPr>
                <w:color w:val="000000" w:themeColor="text1"/>
                <w:lang w:val="en-US"/>
              </w:rPr>
            </w:pPr>
            <w:r w:rsidRPr="000C4487">
              <w:rPr>
                <w:color w:val="000000" w:themeColor="text1"/>
                <w:lang w:val="en-US"/>
              </w:rPr>
              <w:t>(1)</w:t>
            </w:r>
          </w:p>
        </w:tc>
      </w:tr>
    </w:tbl>
    <w:p w14:paraId="18D38C07" w14:textId="77777777" w:rsidR="003156EF" w:rsidRPr="000C4487" w:rsidRDefault="003156EF" w:rsidP="00A11C55">
      <w:pPr>
        <w:pStyle w:val="Paragraph"/>
        <w:jc w:val="both"/>
        <w:rPr>
          <w:color w:val="000000" w:themeColor="text1"/>
          <w:szCs w:val="16"/>
        </w:rPr>
      </w:pPr>
      <w:r w:rsidRPr="000C4487">
        <w:rPr>
          <w:color w:val="000000" w:themeColor="text1"/>
        </w:rPr>
        <w:t xml:space="preserve">where </w:t>
      </w:r>
      <w:r w:rsidRPr="000C4487">
        <w:rPr>
          <w:i/>
          <w:iCs/>
          <w:color w:val="000000" w:themeColor="text1"/>
        </w:rPr>
        <w:t>DealOutcome</w:t>
      </w:r>
      <w:r w:rsidRPr="000C4487">
        <w:rPr>
          <w:i/>
          <w:iCs/>
          <w:color w:val="000000" w:themeColor="text1"/>
          <w:vertAlign w:val="subscript"/>
        </w:rPr>
        <w:t>m</w:t>
      </w:r>
      <w:r w:rsidRPr="000C4487">
        <w:rPr>
          <w:color w:val="000000" w:themeColor="text1"/>
          <w:vertAlign w:val="subscript"/>
        </w:rPr>
        <w:t xml:space="preserve"> </w:t>
      </w:r>
      <w:r w:rsidRPr="000C4487">
        <w:rPr>
          <w:color w:val="000000" w:themeColor="text1"/>
        </w:rPr>
        <w:t xml:space="preserve">represents the respective dependent variable of deal </w:t>
      </w:r>
      <w:r w:rsidRPr="000C4487">
        <w:rPr>
          <w:i/>
          <w:iCs/>
          <w:color w:val="000000" w:themeColor="text1"/>
        </w:rPr>
        <w:t>m</w:t>
      </w:r>
      <w:r w:rsidRPr="000C4487">
        <w:rPr>
          <w:color w:val="000000" w:themeColor="text1"/>
        </w:rPr>
        <w:t xml:space="preserve">, </w:t>
      </w:r>
      <w:r w:rsidRPr="000C4487">
        <w:rPr>
          <w:i/>
          <w:iCs/>
          <w:color w:val="000000" w:themeColor="text1"/>
        </w:rPr>
        <w:t xml:space="preserve">OrgCulturalDistance </w:t>
      </w:r>
      <w:r w:rsidRPr="000C4487">
        <w:rPr>
          <w:color w:val="000000" w:themeColor="text1"/>
        </w:rPr>
        <w:t xml:space="preserve">between firm </w:t>
      </w:r>
      <w:r w:rsidRPr="000C4487">
        <w:rPr>
          <w:i/>
          <w:iCs/>
          <w:color w:val="000000" w:themeColor="text1"/>
        </w:rPr>
        <w:t xml:space="preserve">i </w:t>
      </w:r>
      <w:r w:rsidRPr="000C4487">
        <w:rPr>
          <w:color w:val="000000" w:themeColor="text1"/>
        </w:rPr>
        <w:t xml:space="preserve">and </w:t>
      </w:r>
      <w:r w:rsidRPr="000C4487">
        <w:rPr>
          <w:i/>
          <w:iCs/>
          <w:color w:val="000000" w:themeColor="text1"/>
        </w:rPr>
        <w:t xml:space="preserve">j </w:t>
      </w:r>
      <w:r w:rsidRPr="000C4487">
        <w:rPr>
          <w:color w:val="000000" w:themeColor="text1"/>
        </w:rPr>
        <w:t xml:space="preserve">represents our main independent variable, and </w:t>
      </w:r>
      <w:r w:rsidRPr="000C4487">
        <w:rPr>
          <w:i/>
          <w:iCs/>
          <w:color w:val="000000" w:themeColor="text1"/>
        </w:rPr>
        <w:t>Controls</w:t>
      </w:r>
      <w:r w:rsidRPr="000C4487">
        <w:rPr>
          <w:color w:val="000000" w:themeColor="text1"/>
        </w:rPr>
        <w:t xml:space="preserve"> are three vectors containing several control variables of deal </w:t>
      </w:r>
      <w:r w:rsidRPr="000C4487">
        <w:rPr>
          <w:i/>
          <w:iCs/>
          <w:color w:val="000000" w:themeColor="text1"/>
        </w:rPr>
        <w:t>m</w:t>
      </w:r>
      <w:r w:rsidRPr="000C4487">
        <w:rPr>
          <w:color w:val="000000" w:themeColor="text1"/>
        </w:rPr>
        <w:t xml:space="preserve">, acquirer firm </w:t>
      </w:r>
      <w:r w:rsidRPr="000C4487">
        <w:rPr>
          <w:i/>
          <w:iCs/>
          <w:color w:val="000000" w:themeColor="text1"/>
        </w:rPr>
        <w:t>i</w:t>
      </w:r>
      <w:r w:rsidRPr="000C4487">
        <w:rPr>
          <w:color w:val="000000" w:themeColor="text1"/>
        </w:rPr>
        <w:t xml:space="preserve">, and target firm </w:t>
      </w:r>
      <w:r w:rsidRPr="000C4487">
        <w:rPr>
          <w:i/>
          <w:iCs/>
          <w:color w:val="000000" w:themeColor="text1"/>
        </w:rPr>
        <w:t>j</w:t>
      </w:r>
      <w:r w:rsidRPr="000C4487">
        <w:rPr>
          <w:color w:val="000000" w:themeColor="text1"/>
        </w:rPr>
        <w:t>. All variables are described in detail below, and Appendix B provides a summary of the variables. To reduce potential endogeneity concerns, we introduce acquirer industry fixed effects (</w:t>
      </w:r>
      <m:oMath>
        <m:sSub>
          <m:sSubPr>
            <m:ctrlPr>
              <w:rPr>
                <w:rFonts w:ascii="Cambria Math" w:hAnsi="Cambria Math"/>
                <w:i/>
                <w:color w:val="000000" w:themeColor="text1"/>
              </w:rPr>
            </m:ctrlPr>
          </m:sSubPr>
          <m:e>
            <m:r>
              <w:rPr>
                <w:rFonts w:ascii="Cambria Math" w:hAnsi="Cambria Math"/>
                <w:color w:val="000000" w:themeColor="text1"/>
              </w:rPr>
              <m:t>γ</m:t>
            </m:r>
          </m:e>
          <m:sub>
            <m:r>
              <w:rPr>
                <w:rFonts w:ascii="Cambria Math" w:hAnsi="Cambria Math"/>
                <w:color w:val="000000" w:themeColor="text1"/>
              </w:rPr>
              <m:t>i</m:t>
            </m:r>
          </m:sub>
        </m:sSub>
      </m:oMath>
      <w:r w:rsidRPr="000C4487">
        <w:rPr>
          <w:color w:val="000000" w:themeColor="text1"/>
        </w:rPr>
        <w:t>) to control for time-invariant industry characteristics (similar to</w:t>
      </w:r>
      <w:r>
        <w:rPr>
          <w:color w:val="000000" w:themeColor="text1"/>
        </w:rPr>
        <w:t xml:space="preserve"> Bereskin et al., 2018</w:t>
      </w:r>
      <w:r w:rsidRPr="000C4487">
        <w:rPr>
          <w:color w:val="000000" w:themeColor="text1"/>
        </w:rPr>
        <w:t xml:space="preserve">; </w:t>
      </w:r>
      <w:r>
        <w:rPr>
          <w:color w:val="000000" w:themeColor="text1"/>
        </w:rPr>
        <w:t>Suk &amp; Wang, 2021</w:t>
      </w:r>
      <w:r w:rsidRPr="000C4487">
        <w:rPr>
          <w:color w:val="000000" w:themeColor="text1"/>
        </w:rPr>
        <w:t>). We also apply time fixed effects (</w:t>
      </w:r>
      <m:oMath>
        <m:sSub>
          <m:sSubPr>
            <m:ctrlPr>
              <w:rPr>
                <w:rFonts w:ascii="Cambria Math" w:hAnsi="Cambria Math"/>
                <w:i/>
                <w:color w:val="000000" w:themeColor="text1"/>
              </w:rPr>
            </m:ctrlPr>
          </m:sSubPr>
          <m:e>
            <m:r>
              <w:rPr>
                <w:rFonts w:ascii="Cambria Math" w:hAnsi="Cambria Math"/>
                <w:color w:val="000000" w:themeColor="text1"/>
              </w:rPr>
              <m:t>δ</m:t>
            </m:r>
          </m:e>
          <m:sub>
            <m:r>
              <w:rPr>
                <w:rFonts w:ascii="Cambria Math" w:hAnsi="Cambria Math"/>
                <w:color w:val="000000" w:themeColor="text1"/>
              </w:rPr>
              <m:t>t</m:t>
            </m:r>
          </m:sub>
        </m:sSub>
      </m:oMath>
      <w:r w:rsidRPr="000C4487">
        <w:rPr>
          <w:color w:val="000000" w:themeColor="text1"/>
        </w:rPr>
        <w:t xml:space="preserve">) to control for merger waves and </w:t>
      </w:r>
      <w:r w:rsidRPr="000C4487">
        <w:rPr>
          <w:color w:val="000000" w:themeColor="text1"/>
        </w:rPr>
        <w:lastRenderedPageBreak/>
        <w:t>macroeconomic trends.</w:t>
      </w:r>
      <w:r w:rsidRPr="000C4487">
        <w:rPr>
          <w:rStyle w:val="Funotenzeichen"/>
          <w:color w:val="000000" w:themeColor="text1"/>
        </w:rPr>
        <w:footnoteReference w:id="1"/>
      </w:r>
      <w:r w:rsidRPr="000C4487">
        <w:rPr>
          <w:color w:val="000000" w:themeColor="text1"/>
        </w:rPr>
        <w:t xml:space="preserve"> Standard errors are robust to heteroskedasticity and serial correlations within 2-digit SIC industry clusters</w:t>
      </w:r>
      <w:r w:rsidRPr="000C4487">
        <w:rPr>
          <w:color w:val="000000" w:themeColor="text1"/>
          <w:szCs w:val="16"/>
        </w:rPr>
        <w:t>.</w:t>
      </w:r>
    </w:p>
    <w:p w14:paraId="06AF95A7" w14:textId="7B911AB6" w:rsidR="003156EF" w:rsidRPr="003156EF" w:rsidRDefault="003156EF" w:rsidP="00B95EF7">
      <w:pPr>
        <w:pStyle w:val="berschrift3"/>
      </w:pPr>
      <w:r w:rsidRPr="003156EF">
        <w:t>Organizational cultural distance measure</w:t>
      </w:r>
    </w:p>
    <w:p w14:paraId="190CE87C" w14:textId="77777777" w:rsidR="003156EF" w:rsidRPr="000C4487" w:rsidRDefault="003156EF" w:rsidP="004800A4">
      <w:pPr>
        <w:pStyle w:val="Paragraph"/>
        <w:ind w:firstLine="708"/>
        <w:jc w:val="both"/>
        <w:rPr>
          <w:color w:val="000000" w:themeColor="text1"/>
        </w:rPr>
      </w:pPr>
      <w:r w:rsidRPr="000C4487">
        <w:rPr>
          <w:color w:val="000000" w:themeColor="text1"/>
        </w:rPr>
        <w:t>Previous research has mostly relied on small-scale survey designs to examine the organizational cultural distance between the acquirer and the target</w:t>
      </w:r>
      <w:r>
        <w:rPr>
          <w:color w:val="000000" w:themeColor="text1"/>
        </w:rPr>
        <w:t xml:space="preserve"> (Rottig, 2017)</w:t>
      </w:r>
      <w:r w:rsidRPr="000C4487">
        <w:rPr>
          <w:color w:val="000000" w:themeColor="text1"/>
        </w:rPr>
        <w:t>. More recently, scholars have begun to use machine learning techniques to measure corporate culture</w:t>
      </w:r>
      <w:r>
        <w:rPr>
          <w:color w:val="000000" w:themeColor="text1"/>
        </w:rPr>
        <w:t xml:space="preserve"> (e.g., Corritore et al., 2020; Li et al., 2021). </w:t>
      </w:r>
      <w:r w:rsidRPr="000C4487">
        <w:rPr>
          <w:color w:val="000000" w:themeColor="text1"/>
        </w:rPr>
        <w:t>For example, Latent Dirichlet Allocation (LDA) is often used for unsupervised topic modeling</w:t>
      </w:r>
      <w:r>
        <w:rPr>
          <w:color w:val="000000" w:themeColor="text1"/>
        </w:rPr>
        <w:t xml:space="preserve"> (Blei, Ng, &amp; Jordan, 2001)</w:t>
      </w:r>
      <w:r w:rsidRPr="000C4487">
        <w:rPr>
          <w:color w:val="000000" w:themeColor="text1"/>
        </w:rPr>
        <w:t>. LDA assigns topic probability scores to each document based on word co-occurrences. However, due to its unsupervised approach, a caveat of using LDA is that the number of topics to be discovered must be set a priori</w:t>
      </w:r>
      <w:r>
        <w:rPr>
          <w:color w:val="000000" w:themeColor="text1"/>
        </w:rPr>
        <w:t xml:space="preserve"> (Bochkay et al., 2023)</w:t>
      </w:r>
      <w:r w:rsidRPr="000C4487">
        <w:rPr>
          <w:color w:val="000000" w:themeColor="text1"/>
        </w:rPr>
        <w:t>. Thus, topic categories must be determined manually after running the model, leaving leeway for topic overlap and potential misinterpretation. Another (more advanced) approach to measuring organizational culture is based on the word2vec algorithm</w:t>
      </w:r>
      <w:r>
        <w:rPr>
          <w:color w:val="000000" w:themeColor="text1"/>
        </w:rPr>
        <w:t xml:space="preserve"> (Mikolov, Chen, Corrado, &amp; Dean, 2013)</w:t>
      </w:r>
      <w:r w:rsidRPr="000C4487">
        <w:rPr>
          <w:color w:val="000000" w:themeColor="text1"/>
        </w:rPr>
        <w:t>.</w:t>
      </w:r>
      <w:r>
        <w:rPr>
          <w:color w:val="000000" w:themeColor="text1"/>
        </w:rPr>
        <w:t xml:space="preserve"> Li et al. (2021)</w:t>
      </w:r>
      <w:r w:rsidRPr="000C4487">
        <w:rPr>
          <w:color w:val="000000" w:themeColor="text1"/>
        </w:rPr>
        <w:t xml:space="preserve"> use word2vec as a semi-supervised word embedding model to generate a context-specific dictionary to measure corporate culture. Nevertheless, LDA and word2vec underperform in natural language processing tasks compared to state-of-the-art transformer models </w:t>
      </w:r>
      <w:r>
        <w:rPr>
          <w:color w:val="000000" w:themeColor="text1"/>
        </w:rPr>
        <w:t>(Bochkay et al., 2023; Koch &amp; Pasch, 2022; Mosel, Trautsch, &amp; Herbold, 2023)</w:t>
      </w:r>
      <w:r w:rsidRPr="00B773BE">
        <w:rPr>
          <w:color w:val="000000" w:themeColor="text1"/>
        </w:rPr>
        <w:t xml:space="preserve">. </w:t>
      </w:r>
      <w:r w:rsidRPr="000C4487">
        <w:rPr>
          <w:color w:val="000000" w:themeColor="text1"/>
        </w:rPr>
        <w:t>These large language models outperform LDA and word2vec for several reasons. First, transformer models use the principle of attention</w:t>
      </w:r>
      <w:r>
        <w:rPr>
          <w:color w:val="000000" w:themeColor="text1"/>
        </w:rPr>
        <w:t xml:space="preserve"> (Vaswani et al., 2017)</w:t>
      </w:r>
      <w:r w:rsidRPr="000C4487">
        <w:rPr>
          <w:color w:val="000000" w:themeColor="text1"/>
        </w:rPr>
        <w:t xml:space="preserve">, which enables transformer models to learn contextual representations. Thus, they better understand short, nuanced, or colloquial expressions because they recognize </w:t>
      </w:r>
      <w:r w:rsidRPr="000C4487">
        <w:rPr>
          <w:color w:val="000000" w:themeColor="text1"/>
        </w:rPr>
        <w:lastRenderedPageBreak/>
        <w:t>the context of whole sentences or statements. In contrast, LDA's bag-of-words approach ignores the immediate context of words. word2vec is also not able to fully reflect the context of a document. Second, transformers can handle ironic expressions. Third, they can handle statements that have opposite meanings, even in the absence of a negation. Due to these advantages, we use the pre-trained CultureBERT large language model developed by</w:t>
      </w:r>
      <w:r>
        <w:rPr>
          <w:color w:val="000000" w:themeColor="text1"/>
        </w:rPr>
        <w:t xml:space="preserve"> (Koch &amp; Pasch, 2022)</w:t>
      </w:r>
      <w:r w:rsidRPr="000C4487">
        <w:rPr>
          <w:color w:val="000000" w:themeColor="text1"/>
        </w:rPr>
        <w:t xml:space="preserve"> as the basis for our cultural distance scores. CultureBERT builds on the widely used RoBERTa large language model</w:t>
      </w:r>
      <w:r>
        <w:rPr>
          <w:color w:val="000000" w:themeColor="text1"/>
        </w:rPr>
        <w:t xml:space="preserve"> (Liu et al., 2019)</w:t>
      </w:r>
      <w:r w:rsidRPr="000C4487">
        <w:rPr>
          <w:color w:val="000000" w:themeColor="text1"/>
        </w:rPr>
        <w:t xml:space="preserve">. To adequately classify cultural dimensions, CultureBERT was manually fine-tuned for the four culture dimensions of the CVF </w:t>
      </w:r>
      <w:r>
        <w:rPr>
          <w:color w:val="000000" w:themeColor="text1"/>
        </w:rPr>
        <w:t>(Cameron et al., 2006; Quinn &amp; Rohrbaugh, 1983)</w:t>
      </w:r>
      <w:r w:rsidRPr="000C4487">
        <w:rPr>
          <w:color w:val="000000" w:themeColor="text1"/>
        </w:rPr>
        <w:t>. Fine-tuning involved manually labeling 2,000 Glassdoor reviews on the four culture dimensions (clan, adhocracy, market, hierarchy) that best fit the overall tone of the review (see Appendix A for Glassdoor review examples related to each of the four dimensions).</w:t>
      </w:r>
    </w:p>
    <w:p w14:paraId="1F3F9518" w14:textId="77777777" w:rsidR="003156EF" w:rsidRPr="000C4487" w:rsidRDefault="003156EF" w:rsidP="00D15253">
      <w:pPr>
        <w:pStyle w:val="Paragraph"/>
        <w:jc w:val="both"/>
        <w:rPr>
          <w:color w:val="000000" w:themeColor="text1"/>
        </w:rPr>
      </w:pPr>
      <w:r w:rsidRPr="000C4487">
        <w:rPr>
          <w:color w:val="000000" w:themeColor="text1"/>
        </w:rPr>
        <w:t>To determine the organizational culture scores for each CVF dimension for each Glassdoor review, we first merged the pro and con text sections of each review into a single, coherent corpus of text. We then tokenized each corpus. Because RoBERTa's performance declines as token length increases</w:t>
      </w:r>
      <w:r>
        <w:rPr>
          <w:color w:val="000000" w:themeColor="text1"/>
        </w:rPr>
        <w:t xml:space="preserve"> (Koch &amp; Pasch, 2022)</w:t>
      </w:r>
      <w:r w:rsidRPr="000C4487">
        <w:rPr>
          <w:color w:val="000000" w:themeColor="text1"/>
        </w:rPr>
        <w:t>, we limited the number of tokens per review to 300, with the median length of our reviews being 128 tokens. After tokenization, the CultureBERT transformer model was applied to each corpus, resulting in four probability scores corresponding to each CVF cultural dimension. These scores, which range from 0 to 1, indicate the extent to which a particular review is consistent with each cultural dimension. Then, for each firm involved in a particular M&amp;A deal, we calculated the cumulative mean for each of the four organizational culture scores for all reviews published prior to the announcement of the deal (see online supplement for code examples). Finally, we determine the organizational cultural distance between the acquirer and the target by calculating Kogut and Singh's (1988) cultural distance index. We applied the correction proposed by</w:t>
      </w:r>
      <w:r>
        <w:rPr>
          <w:color w:val="000000" w:themeColor="text1"/>
        </w:rPr>
        <w:t xml:space="preserve"> Konara and Mohr (2019)</w:t>
      </w:r>
      <w:r w:rsidRPr="000C4487">
        <w:rPr>
          <w:color w:val="000000" w:themeColor="text1"/>
        </w:rPr>
        <w:t xml:space="preserve"> to address the criticisms of the original measure found in the literature, as follows:</w:t>
      </w:r>
    </w:p>
    <w:tbl>
      <w:tblPr>
        <w:tblStyle w:val="Tabellenraster"/>
        <w:tblW w:w="507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6"/>
        <w:gridCol w:w="692"/>
      </w:tblGrid>
      <w:tr w:rsidR="003156EF" w:rsidRPr="00B773BE" w14:paraId="4AF4DA96" w14:textId="77777777" w:rsidTr="00AB066F">
        <w:trPr>
          <w:trHeight w:val="374"/>
        </w:trPr>
        <w:tc>
          <w:tcPr>
            <w:tcW w:w="4624" w:type="pct"/>
            <w:vAlign w:val="center"/>
          </w:tcPr>
          <w:p w14:paraId="65478E76" w14:textId="77777777" w:rsidR="003156EF" w:rsidRPr="000C4487" w:rsidRDefault="003156EF" w:rsidP="00AB066F">
            <w:pPr>
              <w:jc w:val="center"/>
              <w:rPr>
                <w:color w:val="000000" w:themeColor="text1"/>
                <w:sz w:val="20"/>
                <w:szCs w:val="20"/>
                <w:lang w:val="en-US"/>
              </w:rPr>
            </w:pPr>
            <m:oMathPara>
              <m:oMath>
                <m:r>
                  <w:rPr>
                    <w:rFonts w:ascii="Cambria Math" w:hAnsi="Cambria Math"/>
                    <w:color w:val="000000" w:themeColor="text1"/>
                    <w:sz w:val="20"/>
                    <w:szCs w:val="20"/>
                    <w:lang w:val="en-US"/>
                  </w:rPr>
                  <w:lastRenderedPageBreak/>
                  <m:t>CulturalDistance</m:t>
                </m:r>
                <m:sSub>
                  <m:sSubPr>
                    <m:ctrlPr>
                      <w:rPr>
                        <w:rFonts w:ascii="Cambria Math" w:hAnsi="Cambria Math"/>
                        <w:i/>
                        <w:color w:val="000000" w:themeColor="text1"/>
                        <w:sz w:val="20"/>
                        <w:szCs w:val="20"/>
                        <w:lang w:val="en-US"/>
                      </w:rPr>
                    </m:ctrlPr>
                  </m:sSubPr>
                  <m:e>
                    <m:r>
                      <m:rPr>
                        <m:sty m:val="p"/>
                      </m:rPr>
                      <w:rPr>
                        <w:rFonts w:ascii="Cambria Math" w:hAnsi="Cambria Math"/>
                        <w:color w:val="000000" w:themeColor="text1"/>
                        <w:sz w:val="20"/>
                        <w:szCs w:val="20"/>
                        <w:lang w:val="en-US"/>
                      </w:rPr>
                      <w:softHyphen/>
                    </m:r>
                  </m:e>
                  <m:sub>
                    <m:r>
                      <w:rPr>
                        <w:rFonts w:ascii="Cambria Math" w:hAnsi="Cambria Math"/>
                        <w:color w:val="000000" w:themeColor="text1"/>
                        <w:sz w:val="20"/>
                        <w:szCs w:val="20"/>
                        <w:lang w:val="en-US"/>
                      </w:rPr>
                      <m:t>i,j</m:t>
                    </m:r>
                  </m:sub>
                </m:sSub>
                <m:r>
                  <w:rPr>
                    <w:rFonts w:ascii="Cambria Math" w:hAnsi="Cambria Math"/>
                    <w:color w:val="000000" w:themeColor="text1"/>
                    <w:sz w:val="20"/>
                    <w:szCs w:val="20"/>
                    <w:lang w:val="en-US"/>
                  </w:rPr>
                  <m:t>=</m:t>
                </m:r>
                <m:rad>
                  <m:radPr>
                    <m:degHide m:val="1"/>
                    <m:ctrlPr>
                      <w:rPr>
                        <w:rFonts w:ascii="Cambria Math" w:hAnsi="Cambria Math"/>
                        <w:i/>
                        <w:color w:val="000000" w:themeColor="text1"/>
                        <w:sz w:val="20"/>
                        <w:szCs w:val="20"/>
                        <w:lang w:val="en-US"/>
                      </w:rPr>
                    </m:ctrlPr>
                  </m:radPr>
                  <m:deg/>
                  <m:e>
                    <m:nary>
                      <m:naryPr>
                        <m:chr m:val="∑"/>
                        <m:limLoc m:val="undOvr"/>
                        <m:ctrlPr>
                          <w:rPr>
                            <w:rFonts w:ascii="Cambria Math" w:hAnsi="Cambria Math"/>
                            <w:i/>
                            <w:color w:val="000000" w:themeColor="text1"/>
                            <w:sz w:val="20"/>
                            <w:szCs w:val="20"/>
                            <w:lang w:val="en-US"/>
                          </w:rPr>
                        </m:ctrlPr>
                      </m:naryPr>
                      <m:sub>
                        <m:r>
                          <w:rPr>
                            <w:rFonts w:ascii="Cambria Math" w:hAnsi="Cambria Math"/>
                            <w:color w:val="000000" w:themeColor="text1"/>
                            <w:sz w:val="20"/>
                            <w:szCs w:val="20"/>
                            <w:lang w:val="en-US"/>
                          </w:rPr>
                          <m:t>c=1</m:t>
                        </m:r>
                      </m:sub>
                      <m:sup>
                        <m:r>
                          <w:rPr>
                            <w:rFonts w:ascii="Cambria Math" w:hAnsi="Cambria Math"/>
                            <w:color w:val="000000" w:themeColor="text1"/>
                            <w:sz w:val="20"/>
                            <w:szCs w:val="20"/>
                            <w:lang w:val="en-US"/>
                          </w:rPr>
                          <m:t>4</m:t>
                        </m:r>
                      </m:sup>
                      <m:e>
                        <m:f>
                          <m:fPr>
                            <m:ctrlPr>
                              <w:rPr>
                                <w:rFonts w:ascii="Cambria Math" w:hAnsi="Cambria Math"/>
                                <w:i/>
                                <w:color w:val="000000" w:themeColor="text1"/>
                                <w:sz w:val="20"/>
                                <w:szCs w:val="20"/>
                                <w:lang w:val="en-US"/>
                              </w:rPr>
                            </m:ctrlPr>
                          </m:fPr>
                          <m:num>
                            <m:sSup>
                              <m:sSupPr>
                                <m:ctrlPr>
                                  <w:rPr>
                                    <w:rFonts w:ascii="Cambria Math" w:hAnsi="Cambria Math"/>
                                    <w:i/>
                                    <w:color w:val="000000" w:themeColor="text1"/>
                                    <w:sz w:val="20"/>
                                    <w:szCs w:val="20"/>
                                    <w:lang w:val="en-US"/>
                                  </w:rPr>
                                </m:ctrlPr>
                              </m:sSupPr>
                              <m:e>
                                <m:sSub>
                                  <m:sSubPr>
                                    <m:ctrlPr>
                                      <w:rPr>
                                        <w:rFonts w:ascii="Cambria Math" w:hAnsi="Cambria Math"/>
                                        <w:i/>
                                        <w:color w:val="000000" w:themeColor="text1"/>
                                        <w:sz w:val="20"/>
                                        <w:szCs w:val="20"/>
                                        <w:lang w:val="en-US"/>
                                      </w:rPr>
                                    </m:ctrlPr>
                                  </m:sSubPr>
                                  <m:e>
                                    <m:r>
                                      <w:rPr>
                                        <w:rFonts w:ascii="Cambria Math" w:hAnsi="Cambria Math"/>
                                        <w:color w:val="000000" w:themeColor="text1"/>
                                        <w:sz w:val="20"/>
                                        <w:szCs w:val="20"/>
                                        <w:lang w:val="en-US"/>
                                      </w:rPr>
                                      <m:t>(acq_dimension_culture</m:t>
                                    </m:r>
                                  </m:e>
                                  <m:sub>
                                    <m:r>
                                      <w:rPr>
                                        <w:rFonts w:ascii="Cambria Math" w:hAnsi="Cambria Math"/>
                                        <w:color w:val="000000" w:themeColor="text1"/>
                                        <w:sz w:val="20"/>
                                        <w:szCs w:val="20"/>
                                        <w:lang w:val="en-US"/>
                                      </w:rPr>
                                      <m:t>c</m:t>
                                    </m:r>
                                  </m:sub>
                                </m:sSub>
                                <m:r>
                                  <w:rPr>
                                    <w:rFonts w:ascii="Cambria Math" w:hAnsi="Cambria Math"/>
                                    <w:color w:val="000000" w:themeColor="text1"/>
                                    <w:sz w:val="20"/>
                                    <w:szCs w:val="20"/>
                                    <w:lang w:val="en-US"/>
                                  </w:rPr>
                                  <m:t xml:space="preserve"> -</m:t>
                                </m:r>
                                <m:sSub>
                                  <m:sSubPr>
                                    <m:ctrlPr>
                                      <w:rPr>
                                        <w:rFonts w:ascii="Cambria Math" w:hAnsi="Cambria Math"/>
                                        <w:i/>
                                        <w:color w:val="000000" w:themeColor="text1"/>
                                        <w:sz w:val="20"/>
                                        <w:szCs w:val="20"/>
                                        <w:lang w:val="en-US"/>
                                      </w:rPr>
                                    </m:ctrlPr>
                                  </m:sSubPr>
                                  <m:e>
                                    <m:r>
                                      <w:rPr>
                                        <w:rFonts w:ascii="Cambria Math" w:hAnsi="Cambria Math"/>
                                        <w:color w:val="000000" w:themeColor="text1"/>
                                        <w:sz w:val="20"/>
                                        <w:szCs w:val="20"/>
                                        <w:lang w:val="en-US"/>
                                      </w:rPr>
                                      <m:t>tar_dimension_culture</m:t>
                                    </m:r>
                                  </m:e>
                                  <m:sub>
                                    <m:r>
                                      <w:rPr>
                                        <w:rFonts w:ascii="Cambria Math" w:hAnsi="Cambria Math"/>
                                        <w:color w:val="000000" w:themeColor="text1"/>
                                        <w:sz w:val="20"/>
                                        <w:szCs w:val="20"/>
                                        <w:lang w:val="en-US"/>
                                      </w:rPr>
                                      <m:t>c</m:t>
                                    </m:r>
                                  </m:sub>
                                </m:sSub>
                                <m:r>
                                  <w:rPr>
                                    <w:rFonts w:ascii="Cambria Math" w:hAnsi="Cambria Math"/>
                                    <w:color w:val="000000" w:themeColor="text1"/>
                                    <w:sz w:val="20"/>
                                    <w:szCs w:val="20"/>
                                    <w:lang w:val="en-US"/>
                                  </w:rPr>
                                  <m:t xml:space="preserve"> )</m:t>
                                </m:r>
                              </m:e>
                              <m:sup>
                                <m:r>
                                  <w:rPr>
                                    <w:rFonts w:ascii="Cambria Math" w:hAnsi="Cambria Math"/>
                                    <w:color w:val="000000" w:themeColor="text1"/>
                                    <w:sz w:val="20"/>
                                    <w:szCs w:val="20"/>
                                    <w:lang w:val="en-US"/>
                                  </w:rPr>
                                  <m:t>2</m:t>
                                </m:r>
                              </m:sup>
                            </m:sSup>
                          </m:num>
                          <m:den>
                            <m:sSub>
                              <m:sSubPr>
                                <m:ctrlPr>
                                  <w:rPr>
                                    <w:rFonts w:ascii="Cambria Math" w:hAnsi="Cambria Math"/>
                                    <w:i/>
                                    <w:color w:val="000000" w:themeColor="text1"/>
                                    <w:sz w:val="20"/>
                                    <w:szCs w:val="20"/>
                                    <w:lang w:val="en-US"/>
                                  </w:rPr>
                                </m:ctrlPr>
                              </m:sSubPr>
                              <m:e>
                                <m:r>
                                  <w:rPr>
                                    <w:rFonts w:ascii="Cambria Math" w:hAnsi="Cambria Math"/>
                                    <w:color w:val="000000" w:themeColor="text1"/>
                                    <w:sz w:val="20"/>
                                    <w:szCs w:val="20"/>
                                    <w:lang w:val="en-US"/>
                                  </w:rPr>
                                  <m:t>V</m:t>
                                </m:r>
                              </m:e>
                              <m:sub>
                                <m:r>
                                  <w:rPr>
                                    <w:rFonts w:ascii="Cambria Math" w:hAnsi="Cambria Math"/>
                                    <w:color w:val="000000" w:themeColor="text1"/>
                                    <w:sz w:val="20"/>
                                    <w:szCs w:val="20"/>
                                    <w:lang w:val="en-US"/>
                                  </w:rPr>
                                  <m:t>c</m:t>
                                </m:r>
                              </m:sub>
                            </m:sSub>
                          </m:den>
                        </m:f>
                      </m:e>
                    </m:nary>
                  </m:e>
                </m:rad>
              </m:oMath>
            </m:oMathPara>
          </w:p>
        </w:tc>
        <w:tc>
          <w:tcPr>
            <w:tcW w:w="376" w:type="pct"/>
          </w:tcPr>
          <w:p w14:paraId="05312F6B" w14:textId="77777777" w:rsidR="003156EF" w:rsidRPr="000C4487" w:rsidRDefault="003156EF" w:rsidP="00AB066F">
            <w:pPr>
              <w:keepNext/>
              <w:jc w:val="center"/>
              <w:rPr>
                <w:color w:val="000000" w:themeColor="text1"/>
                <w:lang w:val="en-US"/>
              </w:rPr>
            </w:pPr>
            <w:r w:rsidRPr="000C4487">
              <w:rPr>
                <w:color w:val="000000" w:themeColor="text1"/>
                <w:lang w:val="en-US"/>
              </w:rPr>
              <w:t>(2)</w:t>
            </w:r>
          </w:p>
        </w:tc>
      </w:tr>
    </w:tbl>
    <w:p w14:paraId="2E72879B" w14:textId="77777777" w:rsidR="003156EF" w:rsidRPr="000C4487" w:rsidRDefault="003156EF" w:rsidP="00D15253">
      <w:pPr>
        <w:pStyle w:val="Paragraph"/>
        <w:jc w:val="both"/>
        <w:rPr>
          <w:color w:val="000000" w:themeColor="text1"/>
        </w:rPr>
      </w:pPr>
      <w:r w:rsidRPr="000C4487">
        <w:rPr>
          <w:color w:val="000000" w:themeColor="text1"/>
        </w:rPr>
        <w:t xml:space="preserve">Where </w:t>
      </w:r>
      <w:r w:rsidRPr="000C4487">
        <w:rPr>
          <w:i/>
          <w:iCs/>
          <w:color w:val="000000" w:themeColor="text1"/>
        </w:rPr>
        <w:t xml:space="preserve">i </w:t>
      </w:r>
      <w:r w:rsidRPr="000C4487">
        <w:rPr>
          <w:color w:val="000000" w:themeColor="text1"/>
        </w:rPr>
        <w:t>is the acquirer,</w:t>
      </w:r>
      <w:r w:rsidRPr="000C4487">
        <w:rPr>
          <w:i/>
          <w:iCs/>
          <w:color w:val="000000" w:themeColor="text1"/>
        </w:rPr>
        <w:t xml:space="preserve"> j</w:t>
      </w:r>
      <w:r w:rsidRPr="000C4487">
        <w:rPr>
          <w:color w:val="000000" w:themeColor="text1"/>
        </w:rPr>
        <w:t xml:space="preserve"> is the target, </w:t>
      </w:r>
      <w:r w:rsidRPr="000C4487">
        <w:rPr>
          <w:i/>
          <w:iCs/>
          <w:color w:val="000000" w:themeColor="text1"/>
        </w:rPr>
        <w:t>c</w:t>
      </w:r>
      <w:r w:rsidRPr="000C4487">
        <w:rPr>
          <w:color w:val="000000" w:themeColor="text1"/>
        </w:rPr>
        <w:t xml:space="preserve"> is the cultural dimension of the CVF, and</w:t>
      </w:r>
      <w:r w:rsidRPr="000C4487">
        <w:rPr>
          <w:i/>
          <w:iCs/>
          <w:color w:val="000000" w:themeColor="text1"/>
        </w:rPr>
        <w:t xml:space="preserve"> v</w:t>
      </w:r>
      <w:r w:rsidRPr="000C4487">
        <w:rPr>
          <w:color w:val="000000" w:themeColor="text1"/>
        </w:rPr>
        <w:t xml:space="preserve"> is the variance of the cultural component </w:t>
      </w:r>
      <w:r w:rsidRPr="000C4487">
        <w:rPr>
          <w:i/>
          <w:iCs/>
          <w:color w:val="000000" w:themeColor="text1"/>
        </w:rPr>
        <w:t>c</w:t>
      </w:r>
      <w:r w:rsidRPr="000C4487">
        <w:rPr>
          <w:color w:val="000000" w:themeColor="text1"/>
        </w:rPr>
        <w:t xml:space="preserve">. In addition to using </w:t>
      </w:r>
      <w:r w:rsidRPr="000C4487">
        <w:rPr>
          <w:i/>
          <w:iCs/>
          <w:color w:val="000000" w:themeColor="text1"/>
        </w:rPr>
        <w:t>deal_culturaldistance</w:t>
      </w:r>
      <w:r w:rsidRPr="000C4487">
        <w:rPr>
          <w:color w:val="000000" w:themeColor="text1"/>
        </w:rPr>
        <w:t xml:space="preserve"> as the main independent variable, we also run models with the four absolute differences of the organizational culture dimensions as separate independent variables. This allows us to observe the direct impact of each dimension on the respective M&amp;A outcome.</w:t>
      </w:r>
    </w:p>
    <w:p w14:paraId="7AC91A59" w14:textId="73616A52" w:rsidR="003156EF" w:rsidRPr="003156EF" w:rsidRDefault="003156EF" w:rsidP="00B95EF7">
      <w:pPr>
        <w:pStyle w:val="berschrift3"/>
      </w:pPr>
      <w:r w:rsidRPr="003156EF">
        <w:t>Dependent measures</w:t>
      </w:r>
    </w:p>
    <w:p w14:paraId="237C96DC" w14:textId="2A792D3A" w:rsidR="003156EF" w:rsidRPr="0011734B" w:rsidRDefault="003156EF" w:rsidP="00D15253">
      <w:pPr>
        <w:ind w:firstLine="708"/>
        <w:rPr>
          <w:lang w:val="en-US"/>
        </w:rPr>
      </w:pPr>
      <w:r w:rsidRPr="0011734B">
        <w:rPr>
          <w:b/>
          <w:bCs/>
          <w:lang w:val="en-US"/>
        </w:rPr>
        <w:t>Capital market reactions and post-acquisition synergies</w:t>
      </w:r>
      <w:r w:rsidR="00B95EF7" w:rsidRPr="0011734B">
        <w:rPr>
          <w:b/>
          <w:bCs/>
          <w:lang w:val="en-US"/>
        </w:rPr>
        <w:t>.</w:t>
      </w:r>
      <w:r w:rsidR="00B95EF7" w:rsidRPr="0011734B">
        <w:rPr>
          <w:lang w:val="en-US"/>
        </w:rPr>
        <w:t xml:space="preserve"> </w:t>
      </w:r>
      <w:r w:rsidRPr="0011734B">
        <w:rPr>
          <w:lang w:val="en-US"/>
        </w:rPr>
        <w:t>Short-term event studies are by far the most popular approach to assess M&amp;A success (Renneboog &amp; Vansteenkiste, 2019). Thus, we use acquirer and combined (market value-weighted acquirer and target) announcement cumulative abnormal returns (CARs) to measure capital market reactions to deal announcements. We follow the established event study methodology to estimate daily abnormal returns using the market model (e.g., Brown &amp; Warner, 1985; Suk &amp; Wang, 2021):</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0"/>
        <w:gridCol w:w="682"/>
      </w:tblGrid>
      <w:tr w:rsidR="003156EF" w:rsidRPr="00B773BE" w14:paraId="7B4999A6" w14:textId="77777777" w:rsidTr="00AB066F">
        <w:trPr>
          <w:trHeight w:val="495"/>
        </w:trPr>
        <w:tc>
          <w:tcPr>
            <w:tcW w:w="4624" w:type="pct"/>
          </w:tcPr>
          <w:p w14:paraId="7DB43A1A" w14:textId="77777777" w:rsidR="003156EF" w:rsidRPr="000C4487" w:rsidRDefault="003156EF" w:rsidP="00D15253">
            <w:pPr>
              <w:pStyle w:val="Paragraph"/>
              <w:ind w:firstLine="0"/>
              <w:jc w:val="both"/>
              <w:rPr>
                <w:color w:val="000000" w:themeColor="text1"/>
                <w:sz w:val="20"/>
                <w:szCs w:val="20"/>
              </w:rPr>
            </w:pPr>
            <m:oMathPara>
              <m:oMath>
                <m:r>
                  <w:rPr>
                    <w:rFonts w:ascii="Cambria Math" w:hAnsi="Cambria Math"/>
                    <w:color w:val="000000" w:themeColor="text1"/>
                    <w:sz w:val="22"/>
                    <w:szCs w:val="22"/>
                  </w:rPr>
                  <m:t>A</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R</m:t>
                    </m:r>
                  </m:e>
                  <m:sub>
                    <m:r>
                      <w:rPr>
                        <w:rFonts w:ascii="Cambria Math" w:hAnsi="Cambria Math"/>
                        <w:color w:val="000000" w:themeColor="text1"/>
                        <w:sz w:val="22"/>
                        <w:szCs w:val="22"/>
                      </w:rPr>
                      <m:t>i,t</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R</m:t>
                    </m:r>
                  </m:e>
                  <m:sub>
                    <m:r>
                      <w:rPr>
                        <w:rFonts w:ascii="Cambria Math" w:hAnsi="Cambria Math"/>
                        <w:color w:val="000000" w:themeColor="text1"/>
                        <w:sz w:val="22"/>
                        <w:szCs w:val="22"/>
                      </w:rPr>
                      <m:t>i,t</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α</m:t>
                    </m:r>
                  </m:e>
                  <m:sub>
                    <m:r>
                      <w:rPr>
                        <w:rFonts w:ascii="Cambria Math" w:hAnsi="Cambria Math"/>
                        <w:color w:val="000000" w:themeColor="text1"/>
                        <w:sz w:val="22"/>
                        <w:szCs w:val="22"/>
                      </w:rPr>
                      <m:t>i</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β</m:t>
                    </m:r>
                  </m:e>
                  <m:sub>
                    <m:r>
                      <w:rPr>
                        <w:rFonts w:ascii="Cambria Math" w:hAnsi="Cambria Math"/>
                        <w:color w:val="000000" w:themeColor="text1"/>
                        <w:sz w:val="22"/>
                        <w:szCs w:val="22"/>
                      </w:rPr>
                      <m:t>i</m:t>
                    </m:r>
                  </m:sub>
                </m:sSub>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R</m:t>
                    </m:r>
                  </m:e>
                  <m:sub>
                    <m:r>
                      <w:rPr>
                        <w:rFonts w:ascii="Cambria Math" w:hAnsi="Cambria Math"/>
                        <w:color w:val="000000" w:themeColor="text1"/>
                        <w:sz w:val="22"/>
                        <w:szCs w:val="22"/>
                      </w:rPr>
                      <m:t>M,t</m:t>
                    </m:r>
                  </m:sub>
                </m:sSub>
                <m:r>
                  <w:rPr>
                    <w:rFonts w:ascii="Cambria Math" w:hAnsi="Cambria Math"/>
                    <w:color w:val="000000" w:themeColor="text1"/>
                    <w:sz w:val="22"/>
                    <w:szCs w:val="22"/>
                  </w:rPr>
                  <m:t>)</m:t>
                </m:r>
              </m:oMath>
            </m:oMathPara>
          </w:p>
        </w:tc>
        <w:tc>
          <w:tcPr>
            <w:tcW w:w="376" w:type="pct"/>
          </w:tcPr>
          <w:p w14:paraId="062602E4" w14:textId="77777777" w:rsidR="003156EF" w:rsidRPr="000C4487" w:rsidRDefault="003156EF" w:rsidP="00D15253">
            <w:pPr>
              <w:keepNext/>
              <w:rPr>
                <w:color w:val="000000" w:themeColor="text1"/>
                <w:lang w:val="en-US"/>
              </w:rPr>
            </w:pPr>
            <w:r w:rsidRPr="000C4487">
              <w:rPr>
                <w:color w:val="000000" w:themeColor="text1"/>
                <w:lang w:val="en-US"/>
              </w:rPr>
              <w:t>(3)</w:t>
            </w:r>
          </w:p>
        </w:tc>
      </w:tr>
    </w:tbl>
    <w:p w14:paraId="519877AE" w14:textId="77777777" w:rsidR="003156EF" w:rsidRPr="000C4487" w:rsidRDefault="003156EF" w:rsidP="00D15253">
      <w:pPr>
        <w:pStyle w:val="Paragraph"/>
        <w:jc w:val="both"/>
        <w:rPr>
          <w:color w:val="000000" w:themeColor="text1"/>
        </w:rPr>
      </w:pPr>
      <w:r w:rsidRPr="000C4487">
        <w:rPr>
          <w:color w:val="000000" w:themeColor="text1"/>
        </w:rPr>
        <w:t>Where R</w:t>
      </w:r>
      <w:r w:rsidRPr="000C4487">
        <w:rPr>
          <w:color w:val="000000" w:themeColor="text1"/>
          <w:vertAlign w:val="subscript"/>
        </w:rPr>
        <w:t>i,t</w:t>
      </w:r>
      <w:r w:rsidRPr="000C4487">
        <w:rPr>
          <w:color w:val="000000" w:themeColor="text1"/>
        </w:rPr>
        <w:t xml:space="preserve"> equals the actual stock return of firm </w:t>
      </w:r>
      <w:r w:rsidRPr="000C4487">
        <w:rPr>
          <w:i/>
          <w:iCs/>
          <w:color w:val="000000" w:themeColor="text1"/>
        </w:rPr>
        <w:t>i</w:t>
      </w:r>
      <w:r w:rsidRPr="000C4487">
        <w:rPr>
          <w:color w:val="000000" w:themeColor="text1"/>
        </w:rPr>
        <w:t xml:space="preserve"> on day </w:t>
      </w:r>
      <w:r w:rsidRPr="000C4487">
        <w:rPr>
          <w:i/>
          <w:iCs/>
          <w:color w:val="000000" w:themeColor="text1"/>
        </w:rPr>
        <w:t>t,</w:t>
      </w:r>
      <w:r w:rsidRPr="000C4487">
        <w:rPr>
          <w:color w:val="000000" w:themeColor="text1"/>
        </w:rPr>
        <w:t xml:space="preserve"> and R</w:t>
      </w:r>
      <w:r w:rsidRPr="000C4487">
        <w:rPr>
          <w:color w:val="000000" w:themeColor="text1"/>
          <w:vertAlign w:val="subscript"/>
        </w:rPr>
        <w:t>m</w:t>
      </w:r>
      <w:r w:rsidRPr="000C4487">
        <w:rPr>
          <w:color w:val="000000" w:themeColor="text1"/>
        </w:rPr>
        <w:t xml:space="preserve"> equals the market return on day </w:t>
      </w:r>
      <w:r w:rsidRPr="000C4487">
        <w:rPr>
          <w:i/>
          <w:iCs/>
          <w:color w:val="000000" w:themeColor="text1"/>
        </w:rPr>
        <w:t>t</w:t>
      </w:r>
      <w:r w:rsidRPr="000C4487">
        <w:rPr>
          <w:color w:val="000000" w:themeColor="text1"/>
        </w:rPr>
        <w:t xml:space="preserve">. The firm's alpha and beta are estimated using the market model from -250 to -50 days prior to the deal announcement. Market model returns are estimated using the SP500 index. Next, the firm's expected return on day </w:t>
      </w:r>
      <w:r w:rsidRPr="000C4487">
        <w:rPr>
          <w:i/>
          <w:color w:val="000000" w:themeColor="text1"/>
        </w:rPr>
        <w:t>t</w:t>
      </w:r>
      <w:r w:rsidRPr="000C4487">
        <w:rPr>
          <w:color w:val="000000" w:themeColor="text1"/>
        </w:rPr>
        <w:t xml:space="preserve"> is predicted using the estimated alpha and beta combined with the return on day </w:t>
      </w:r>
      <w:r w:rsidRPr="000C4487">
        <w:rPr>
          <w:i/>
          <w:iCs/>
          <w:color w:val="000000" w:themeColor="text1"/>
        </w:rPr>
        <w:t xml:space="preserve">t, </w:t>
      </w:r>
      <w:r w:rsidRPr="000C4487">
        <w:rPr>
          <w:color w:val="000000" w:themeColor="text1"/>
        </w:rPr>
        <w:t>which is then subtracted from the firm's actual return. Finally, we aggregate acquirers' daily abnormal returns over the [-5, 5] and [-10, 10] days around the announcement date (</w:t>
      </w:r>
      <w:r w:rsidRPr="000C4487">
        <w:rPr>
          <w:i/>
          <w:iCs/>
          <w:color w:val="000000" w:themeColor="text1"/>
        </w:rPr>
        <w:t>acq_car5</w:t>
      </w:r>
      <w:r w:rsidRPr="000C4487">
        <w:rPr>
          <w:color w:val="000000" w:themeColor="text1"/>
        </w:rPr>
        <w:t xml:space="preserve">, </w:t>
      </w:r>
      <w:r w:rsidRPr="000C4487">
        <w:rPr>
          <w:i/>
          <w:iCs/>
          <w:color w:val="000000" w:themeColor="text1"/>
        </w:rPr>
        <w:t>acq_car10</w:t>
      </w:r>
      <w:r w:rsidRPr="000C4487">
        <w:rPr>
          <w:color w:val="000000" w:themeColor="text1"/>
        </w:rPr>
        <w:t xml:space="preserve">). Table 1 shows the statistics for daily abnormal returns for the acquirer. Mean abnormal returns are negative and statistically significant (-.54%; Patell z = -3.032; </w:t>
      </w:r>
      <w:r w:rsidRPr="000C4487">
        <w:rPr>
          <w:i/>
          <w:iCs/>
          <w:color w:val="000000" w:themeColor="text1"/>
        </w:rPr>
        <w:t>p</w:t>
      </w:r>
      <w:r w:rsidRPr="000C4487">
        <w:rPr>
          <w:color w:val="000000" w:themeColor="text1"/>
        </w:rPr>
        <w:t xml:space="preserve"> &lt; .01) over the period of [-5, 5] with the lowest mean return on the days of M&amp;A announcement (-.25%, </w:t>
      </w:r>
      <w:r w:rsidRPr="000C4487">
        <w:rPr>
          <w:i/>
          <w:iCs/>
          <w:color w:val="000000" w:themeColor="text1"/>
        </w:rPr>
        <w:t>p</w:t>
      </w:r>
      <w:r w:rsidRPr="000C4487">
        <w:rPr>
          <w:color w:val="000000" w:themeColor="text1"/>
        </w:rPr>
        <w:t xml:space="preserve"> &lt; .05). The mean cumulative abnormal return for the [-10,10] event window is -.65% (Patell z = -3.458; </w:t>
      </w:r>
      <w:r w:rsidRPr="000C4487">
        <w:rPr>
          <w:i/>
          <w:iCs/>
          <w:color w:val="000000" w:themeColor="text1"/>
        </w:rPr>
        <w:t>p</w:t>
      </w:r>
      <w:r w:rsidRPr="000C4487">
        <w:rPr>
          <w:color w:val="000000" w:themeColor="text1"/>
        </w:rPr>
        <w:t xml:space="preserve"> &lt; .001). To calculate the </w:t>
      </w:r>
      <w:r w:rsidRPr="000C4487">
        <w:rPr>
          <w:color w:val="000000" w:themeColor="text1"/>
        </w:rPr>
        <w:lastRenderedPageBreak/>
        <w:t>combined CAR of the acquirer and target (</w:t>
      </w:r>
      <w:r w:rsidRPr="000C4487">
        <w:rPr>
          <w:i/>
          <w:iCs/>
          <w:color w:val="000000" w:themeColor="text1"/>
        </w:rPr>
        <w:t>deal_car_weighted</w:t>
      </w:r>
      <w:r w:rsidRPr="000C4487">
        <w:rPr>
          <w:color w:val="000000" w:themeColor="text1"/>
        </w:rPr>
        <w:t xml:space="preserve">), we first multiply the CAR of both firms by their relative market capitalization and then sum their weighted abnormal returns. </w:t>
      </w:r>
    </w:p>
    <w:p w14:paraId="61342A25" w14:textId="77777777" w:rsidR="003156EF" w:rsidRPr="000C4487" w:rsidRDefault="003156EF" w:rsidP="00D15253">
      <w:pPr>
        <w:pStyle w:val="Paragraph"/>
        <w:jc w:val="both"/>
        <w:rPr>
          <w:color w:val="000000" w:themeColor="text1"/>
        </w:rPr>
      </w:pPr>
      <w:r w:rsidRPr="000C4487">
        <w:rPr>
          <w:color w:val="000000" w:themeColor="text1"/>
        </w:rPr>
        <w:t>However, as CARs represent the ex-ante expectations of investors and not the ex-post synergies realized, there is no guarantee that they correspond to the actual synergies. Therefore, we use an accounting proxy to measure long-term synergy benefits</w:t>
      </w:r>
      <w:r>
        <w:rPr>
          <w:color w:val="000000" w:themeColor="text1"/>
        </w:rPr>
        <w:t xml:space="preserve"> (Barraclough, Robinson, Smith, &amp; Whaley, 2013; Renneboog &amp; Vansteenkiste, 2019)</w:t>
      </w:r>
      <w:r w:rsidRPr="000C4487">
        <w:rPr>
          <w:color w:val="000000" w:themeColor="text1"/>
        </w:rPr>
        <w:t>. Consistent with previous studies on post-acquisition performance</w:t>
      </w:r>
      <w:r>
        <w:rPr>
          <w:color w:val="000000" w:themeColor="text1"/>
        </w:rPr>
        <w:t xml:space="preserve"> (e.g., Morosini, 1998; Suk &amp; Wang, 2021; Woo, Willard, &amp; Daellenbach, 1992)</w:t>
      </w:r>
      <w:r w:rsidRPr="000C4487">
        <w:rPr>
          <w:color w:val="000000" w:themeColor="text1"/>
        </w:rPr>
        <w:t>, we use sales growth (</w:t>
      </w:r>
      <w:r w:rsidRPr="000C4487">
        <w:rPr>
          <w:rStyle w:val="ParagraphChar"/>
          <w:i/>
          <w:iCs/>
          <w:color w:val="000000" w:themeColor="text1"/>
        </w:rPr>
        <w:t>acq_2yr_sales_growth, acq_4yr_sales_growth</w:t>
      </w:r>
      <w:r w:rsidRPr="000C4487">
        <w:rPr>
          <w:color w:val="000000" w:themeColor="text1"/>
        </w:rPr>
        <w:t>) as a proxy for long-term synergistic gains. We measure long-term performance as the sales growth two and four years after the M&amp;A announcement compared to sales in the year before the announcement. Our choice of two- and four-year intervals is based on the understanding that while most integration efforts are completed within two years</w:t>
      </w:r>
      <w:r>
        <w:rPr>
          <w:color w:val="000000" w:themeColor="text1"/>
        </w:rPr>
        <w:t xml:space="preserve"> (Jemison &amp; Sitkin, 1986)</w:t>
      </w:r>
      <w:r w:rsidRPr="000C4487">
        <w:rPr>
          <w:color w:val="000000" w:themeColor="text1"/>
        </w:rPr>
        <w:t xml:space="preserve">, cultural integration in particular can take considerably longer </w:t>
      </w:r>
      <w:r>
        <w:rPr>
          <w:color w:val="000000" w:themeColor="text1"/>
        </w:rPr>
        <w:t>(Homburg &amp; Bucerius, 2006)</w:t>
      </w:r>
      <w:r w:rsidRPr="000C4487">
        <w:rPr>
          <w:color w:val="000000" w:themeColor="text1"/>
        </w:rPr>
        <w:t>. By including both time frames, we can effectively capture longer-term effects.</w:t>
      </w:r>
    </w:p>
    <w:p w14:paraId="5BC02D05" w14:textId="3967E0EF" w:rsidR="003156EF" w:rsidRPr="0011734B" w:rsidRDefault="003156EF" w:rsidP="00D15253">
      <w:pPr>
        <w:ind w:firstLine="708"/>
        <w:rPr>
          <w:lang w:val="en-US"/>
        </w:rPr>
      </w:pPr>
      <w:r w:rsidRPr="0011734B">
        <w:rPr>
          <w:b/>
          <w:bCs/>
          <w:lang w:val="en-US"/>
        </w:rPr>
        <w:t>Acquisition premiums</w:t>
      </w:r>
      <w:r w:rsidR="00B95EF7" w:rsidRPr="0011734B">
        <w:rPr>
          <w:lang w:val="en-US"/>
        </w:rPr>
        <w:t xml:space="preserve">. </w:t>
      </w:r>
      <w:r w:rsidRPr="0011734B">
        <w:rPr>
          <w:lang w:val="en-US"/>
        </w:rPr>
        <w:t xml:space="preserve">As a proxy for transaction phase outcomes, we use acquisition premiums, which we measure as the difference between the acquirer's payment and the target's market value, divided by the target's market value (deal_premium_1day; Lee, Cho, Arthurs, &amp; Lee, 2019). Prior research uses extended time periods to mitigate the potential impact of information leakage immediately prior to the announcement (Reuer et al., 2012). Therefore, we assess the target's market value at three consecutive points in time (one day, one week, one month) prior to the deal announcement. </w:t>
      </w:r>
    </w:p>
    <w:p w14:paraId="71BDCAA4" w14:textId="2325AD22" w:rsidR="003156EF" w:rsidRPr="0011734B" w:rsidRDefault="003156EF" w:rsidP="00D15253">
      <w:pPr>
        <w:ind w:firstLine="708"/>
        <w:rPr>
          <w:lang w:val="en-US"/>
        </w:rPr>
      </w:pPr>
      <w:r w:rsidRPr="0011734B">
        <w:rPr>
          <w:b/>
          <w:bCs/>
          <w:lang w:val="en-US"/>
        </w:rPr>
        <w:t>Post-acquisition innovation</w:t>
      </w:r>
      <w:r w:rsidR="00B95EF7" w:rsidRPr="0011734B">
        <w:rPr>
          <w:lang w:val="en-US"/>
        </w:rPr>
        <w:t xml:space="preserve">. </w:t>
      </w:r>
      <w:r w:rsidRPr="0011734B">
        <w:rPr>
          <w:lang w:val="en-US"/>
        </w:rPr>
        <w:t xml:space="preserve">To examine the impact of cultural distance on the post-M&amp;A innovativeness of acquiring firms, we employ two widely accepted measures that have been associated with firms' innovation performance: patenting and new product development (Cordero, 1990). Patents serve as a popular indicator of a firm's inventiveness (Gallini, 2002) and have been extensively used to assess the effect of acquisitions on the subsequent innovation </w:t>
      </w:r>
      <w:r w:rsidRPr="0011734B">
        <w:rPr>
          <w:lang w:val="en-US"/>
        </w:rPr>
        <w:lastRenderedPageBreak/>
        <w:t>performance of acquirers (e.g., Ahuja &amp; Katila, 2001; Haucap et al., 2019; Hitt et al., 1991), as they reflect the firms' technical knowledge base (Prabhu, Chandy, &amp; Ellis, 2005). Therefore, our first measure is the patent growth, measured as patents filed two years after an M&amp;A announcement compared to the number of patents filed in the year before the announcement (acq_2yr_patent_growth).</w:t>
      </w:r>
    </w:p>
    <w:p w14:paraId="1913E67F" w14:textId="77777777" w:rsidR="003156EF" w:rsidRPr="000C4487" w:rsidRDefault="003156EF" w:rsidP="00D15253">
      <w:pPr>
        <w:pStyle w:val="Paragraph"/>
        <w:jc w:val="both"/>
        <w:rPr>
          <w:color w:val="000000" w:themeColor="text1"/>
        </w:rPr>
      </w:pPr>
      <w:r w:rsidRPr="000C4487">
        <w:rPr>
          <w:color w:val="000000" w:themeColor="text1"/>
        </w:rPr>
        <w:t>However, we recognize that patents may not capture all forms of innovation, as certain innovations may not be patentable, and firms may choose not to patent ideas for strategic reasons</w:t>
      </w:r>
      <w:r>
        <w:rPr>
          <w:color w:val="000000" w:themeColor="text1"/>
        </w:rPr>
        <w:t xml:space="preserve"> (Hall, Jaffe, &amp; Trajtenberg, 2005)</w:t>
      </w:r>
      <w:r w:rsidRPr="000C4487">
        <w:rPr>
          <w:color w:val="000000" w:themeColor="text1"/>
        </w:rPr>
        <w:t>. Therefore, we consider an alternative measure of firm innovativeness that captures the marketable output of the innovation process and has been used in previous studies examining the effects of M&amp;A on firm innovation</w:t>
      </w:r>
      <w:r>
        <w:rPr>
          <w:color w:val="000000" w:themeColor="text1"/>
        </w:rPr>
        <w:t xml:space="preserve"> (e.g., Grimpe, 2007; Hitt et al., 1996)</w:t>
      </w:r>
      <w:r w:rsidRPr="00B773BE">
        <w:rPr>
          <w:color w:val="000000" w:themeColor="text1"/>
        </w:rPr>
        <w:t xml:space="preserve">. </w:t>
      </w:r>
      <w:r w:rsidRPr="000C4487">
        <w:rPr>
          <w:color w:val="000000" w:themeColor="text1"/>
        </w:rPr>
        <w:t>Our second measure captures product innovation by assessing new product growth by comparing the number of product launches two years after the M&amp;A announcement to the number of product launches in the year before the announcement (</w:t>
      </w:r>
      <w:r w:rsidRPr="000C4487">
        <w:rPr>
          <w:i/>
          <w:iCs/>
          <w:color w:val="000000" w:themeColor="text1"/>
        </w:rPr>
        <w:t>acq_2yr_npd_growth</w:t>
      </w:r>
      <w:r w:rsidRPr="000C4487">
        <w:rPr>
          <w:color w:val="000000" w:themeColor="text1"/>
        </w:rPr>
        <w:t>).</w:t>
      </w:r>
    </w:p>
    <w:p w14:paraId="2B7E65C9" w14:textId="08E05184" w:rsidR="003156EF" w:rsidRPr="003156EF" w:rsidRDefault="003156EF" w:rsidP="00D15253">
      <w:pPr>
        <w:pStyle w:val="berschrift3"/>
        <w:jc w:val="both"/>
      </w:pPr>
      <w:r w:rsidRPr="003156EF">
        <w:t>Control variables</w:t>
      </w:r>
    </w:p>
    <w:p w14:paraId="2B13AD15" w14:textId="77777777" w:rsidR="003156EF" w:rsidRPr="000C4487" w:rsidRDefault="003156EF" w:rsidP="004800A4">
      <w:pPr>
        <w:pStyle w:val="Paragraph"/>
        <w:ind w:firstLine="708"/>
        <w:jc w:val="both"/>
        <w:rPr>
          <w:color w:val="000000" w:themeColor="text1"/>
        </w:rPr>
      </w:pPr>
      <w:r w:rsidRPr="000C4487">
        <w:rPr>
          <w:color w:val="000000" w:themeColor="text1"/>
        </w:rPr>
        <w:t>Similar to</w:t>
      </w:r>
      <w:r>
        <w:rPr>
          <w:color w:val="000000" w:themeColor="text1"/>
        </w:rPr>
        <w:t xml:space="preserve"> Ahmed et al. (2023)</w:t>
      </w:r>
      <w:r w:rsidRPr="000C4487">
        <w:rPr>
          <w:color w:val="000000" w:themeColor="text1"/>
        </w:rPr>
        <w:t xml:space="preserve">, </w:t>
      </w:r>
      <w:r>
        <w:rPr>
          <w:color w:val="000000" w:themeColor="text1"/>
        </w:rPr>
        <w:t>Bereskin et al. (2018)</w:t>
      </w:r>
      <w:r w:rsidRPr="000C4487">
        <w:rPr>
          <w:color w:val="000000" w:themeColor="text1"/>
        </w:rPr>
        <w:t>, and</w:t>
      </w:r>
      <w:r>
        <w:rPr>
          <w:color w:val="000000" w:themeColor="text1"/>
        </w:rPr>
        <w:t xml:space="preserve"> Suk and Wang (2021), </w:t>
      </w:r>
      <w:r w:rsidRPr="000C4487">
        <w:rPr>
          <w:color w:val="000000" w:themeColor="text1"/>
        </w:rPr>
        <w:t>we add a set of control variables to our regression models that capture deal, acquirer, and target characteristics that may affect M&amp;A outcomes (f</w:t>
      </w:r>
      <w:r w:rsidRPr="000C4487">
        <w:rPr>
          <w:color w:val="000000" w:themeColor="text1"/>
          <w:lang w:val="en-GB"/>
        </w:rPr>
        <w:t>or a detailed variable description, see Appendix B).</w:t>
      </w:r>
    </w:p>
    <w:p w14:paraId="39A41FE8" w14:textId="0B9B390E" w:rsidR="003156EF" w:rsidRPr="0011734B" w:rsidRDefault="003156EF" w:rsidP="00D15253">
      <w:pPr>
        <w:ind w:firstLine="708"/>
        <w:rPr>
          <w:color w:val="000000" w:themeColor="text1"/>
          <w:lang w:val="en-US"/>
        </w:rPr>
      </w:pPr>
      <w:r w:rsidRPr="003163CF">
        <w:rPr>
          <w:b/>
          <w:bCs/>
          <w:lang w:val="en-US"/>
        </w:rPr>
        <w:t>Deal controls</w:t>
      </w:r>
      <w:r w:rsidR="003163CF" w:rsidRPr="003163CF">
        <w:rPr>
          <w:b/>
          <w:bCs/>
          <w:lang w:val="en-US"/>
        </w:rPr>
        <w:t xml:space="preserve">. </w:t>
      </w:r>
      <w:r w:rsidRPr="003163CF">
        <w:rPr>
          <w:color w:val="000000" w:themeColor="text1"/>
          <w:lang w:val="en-US"/>
        </w:rPr>
        <w:t xml:space="preserve">Bereskin et al. </w:t>
      </w:r>
      <w:r w:rsidRPr="0011734B">
        <w:rPr>
          <w:color w:val="000000" w:themeColor="text1"/>
          <w:lang w:val="en-US"/>
        </w:rPr>
        <w:t>(2018) find that larger deals are associated with lower acquirer CARs. In addition, larger deal values are associated with higher deal complexity, which increases deal duration (Lawrence, Raithatha, &amp; Rodriguez, 2021). Therefore, we include the natural logarithm (to mitigate skewness) of the deal value (</w:t>
      </w:r>
      <w:r w:rsidRPr="0011734B">
        <w:rPr>
          <w:i/>
          <w:iCs/>
          <w:color w:val="000000" w:themeColor="text1"/>
          <w:lang w:val="en-US"/>
        </w:rPr>
        <w:t>deal_value_ln</w:t>
      </w:r>
      <w:r w:rsidRPr="0011734B">
        <w:rPr>
          <w:color w:val="000000" w:themeColor="text1"/>
          <w:lang w:val="en-US"/>
        </w:rPr>
        <w:t>) as a control. Next, we include two dummy variables indicating whether the deal was all cash (</w:t>
      </w:r>
      <w:r w:rsidRPr="0011734B">
        <w:rPr>
          <w:i/>
          <w:iCs/>
          <w:color w:val="000000" w:themeColor="text1"/>
          <w:lang w:val="en-US"/>
        </w:rPr>
        <w:t>deal_all_cash_dummy</w:t>
      </w:r>
      <w:r w:rsidRPr="0011734B">
        <w:rPr>
          <w:color w:val="000000" w:themeColor="text1"/>
          <w:lang w:val="en-US"/>
        </w:rPr>
        <w:t>) or all equity financed (</w:t>
      </w:r>
      <w:r w:rsidRPr="0011734B">
        <w:rPr>
          <w:i/>
          <w:iCs/>
          <w:color w:val="000000" w:themeColor="text1"/>
          <w:lang w:val="en-US"/>
        </w:rPr>
        <w:t>deal_all_stock_dummy</w:t>
      </w:r>
      <w:r w:rsidRPr="0011734B">
        <w:rPr>
          <w:color w:val="000000" w:themeColor="text1"/>
          <w:lang w:val="en-US"/>
        </w:rPr>
        <w:t xml:space="preserve">), as Loughran and Vijh (1997) find that equity-financed acquisitions generate lower returns than cash-financed ones. In addition, deal financing affects acquisition premiums (Ghosh &amp; Ruland, 1998). As Chen, </w:t>
      </w:r>
      <w:r w:rsidRPr="0011734B">
        <w:rPr>
          <w:color w:val="000000" w:themeColor="text1"/>
          <w:lang w:val="en-US"/>
        </w:rPr>
        <w:lastRenderedPageBreak/>
        <w:t>Collins, Kravet, and Mergenthaler (2018) find that tender offers are positively associated with acquisition synergies, we control for whether the deal involves a tender offer (</w:t>
      </w:r>
      <w:r w:rsidRPr="0011734B">
        <w:rPr>
          <w:i/>
          <w:iCs/>
          <w:color w:val="000000" w:themeColor="text1"/>
          <w:lang w:val="en-US"/>
        </w:rPr>
        <w:t>deal_tenderoffer_dummy</w:t>
      </w:r>
      <w:r w:rsidRPr="0011734B">
        <w:rPr>
          <w:color w:val="000000" w:themeColor="text1"/>
          <w:lang w:val="en-US"/>
        </w:rPr>
        <w:t xml:space="preserve">). However, tender offers may also lead to higher acquisition premiums as the target may initially resist the offer (Raghavendra &amp; Vermaelen, 1998). Moreover, Schwert (2000) finds that acquirers earn lower abnormal returns in hostile deals. Thus, we include the </w:t>
      </w:r>
      <w:r w:rsidRPr="0011734B">
        <w:rPr>
          <w:i/>
          <w:iCs/>
          <w:color w:val="000000" w:themeColor="text1"/>
          <w:lang w:val="en-US"/>
        </w:rPr>
        <w:t>deal_friendly_dummy</w:t>
      </w:r>
      <w:r w:rsidRPr="0011734B">
        <w:rPr>
          <w:color w:val="000000" w:themeColor="text1"/>
          <w:lang w:val="en-US"/>
        </w:rPr>
        <w:t xml:space="preserve">. The </w:t>
      </w:r>
      <w:r w:rsidRPr="0011734B">
        <w:rPr>
          <w:i/>
          <w:iCs/>
          <w:color w:val="000000" w:themeColor="text1"/>
          <w:lang w:val="en-US"/>
        </w:rPr>
        <w:t>deal_relatedness_dummy</w:t>
      </w:r>
      <w:r w:rsidRPr="0011734B">
        <w:rPr>
          <w:color w:val="000000" w:themeColor="text1"/>
          <w:lang w:val="en-US"/>
        </w:rPr>
        <w:t xml:space="preserve"> captures whether the acquirer and the target are active in the same two-digit SIC code. Industry familiarity may reduce deal uncertainty (Morck, Shleifer, &amp; Vishny, 1990). As our sample includes international deals, we control for national cultural differences between the acquirers and the targets (</w:t>
      </w:r>
      <w:r w:rsidRPr="0011734B">
        <w:rPr>
          <w:i/>
          <w:iCs/>
          <w:color w:val="000000" w:themeColor="text1"/>
          <w:lang w:val="en-US"/>
        </w:rPr>
        <w:t>deal_hofstede_distance</w:t>
      </w:r>
      <w:r w:rsidRPr="0011734B">
        <w:rPr>
          <w:color w:val="000000" w:themeColor="text1"/>
          <w:lang w:val="en-US"/>
        </w:rPr>
        <w:t>) using the cultural distance measure developed by Kogut and Singh (1988), which is based on Hofstede’s (2001) six cultural dimensions of individualism, power distance, uncertainty avoidance, femininity, indulgence, and long-term orientation (Lawrence et al., 2021).</w:t>
      </w:r>
    </w:p>
    <w:p w14:paraId="1B3DAC2D" w14:textId="673F9219" w:rsidR="003156EF" w:rsidRPr="0011734B" w:rsidRDefault="003156EF" w:rsidP="00D15253">
      <w:pPr>
        <w:ind w:firstLine="708"/>
        <w:rPr>
          <w:color w:val="000000" w:themeColor="text1"/>
          <w:lang w:val="en-US"/>
        </w:rPr>
      </w:pPr>
      <w:r w:rsidRPr="003163CF">
        <w:rPr>
          <w:b/>
          <w:bCs/>
          <w:lang w:val="en-US"/>
        </w:rPr>
        <w:t>Acquirer and target controls</w:t>
      </w:r>
      <w:r w:rsidR="003163CF" w:rsidRPr="003163CF">
        <w:rPr>
          <w:b/>
          <w:bCs/>
          <w:lang w:val="en-US"/>
        </w:rPr>
        <w:t xml:space="preserve">. </w:t>
      </w:r>
      <w:r w:rsidRPr="003163CF">
        <w:rPr>
          <w:color w:val="000000" w:themeColor="text1"/>
          <w:lang w:val="en-US"/>
        </w:rPr>
        <w:t xml:space="preserve">Moeller, Schlingemann, and Stulz (2004) find that firm size of the acquirer has a negative impact on its announcement returns due to an increased likelihood of engaging in value-destroying mergers induced by managerial entrenchment. </w:t>
      </w:r>
      <w:r w:rsidRPr="0011734B">
        <w:rPr>
          <w:color w:val="000000" w:themeColor="text1"/>
          <w:lang w:val="en-US"/>
        </w:rPr>
        <w:t>Therefore, we control for the natural logarithm of the size of the acquirer (</w:t>
      </w:r>
      <w:r w:rsidRPr="0011734B">
        <w:rPr>
          <w:i/>
          <w:iCs/>
          <w:color w:val="000000" w:themeColor="text1"/>
          <w:lang w:val="en-US"/>
        </w:rPr>
        <w:t>acq_assets_lastyear_ln)</w:t>
      </w:r>
      <w:r w:rsidRPr="0011734B">
        <w:rPr>
          <w:color w:val="000000" w:themeColor="text1"/>
          <w:lang w:val="en-US"/>
        </w:rPr>
        <w:t>. Similarly, we also include the target's size (</w:t>
      </w:r>
      <w:r w:rsidRPr="0011734B">
        <w:rPr>
          <w:i/>
          <w:iCs/>
          <w:color w:val="000000" w:themeColor="text1"/>
          <w:lang w:val="en-US"/>
        </w:rPr>
        <w:t>tar_assets_lastyear_ln)</w:t>
      </w:r>
      <w:r w:rsidRPr="0011734B">
        <w:rPr>
          <w:color w:val="000000" w:themeColor="text1"/>
          <w:lang w:val="en-US"/>
        </w:rPr>
        <w:t>, which directly affects the target’s attractiveness and deal outcomes (Chen et al., 2018; Lee et al., 2019)</w:t>
      </w:r>
      <w:r w:rsidRPr="007969C0">
        <w:rPr>
          <w:color w:val="000000" w:themeColor="text1"/>
          <w:lang w:val="en-US"/>
        </w:rPr>
        <w:t xml:space="preserve">. </w:t>
      </w:r>
      <w:r w:rsidRPr="0011734B">
        <w:rPr>
          <w:color w:val="000000" w:themeColor="text1"/>
          <w:lang w:val="en-US"/>
        </w:rPr>
        <w:t>We also include the operating performance of the acquirer (</w:t>
      </w:r>
      <w:r w:rsidRPr="0011734B">
        <w:rPr>
          <w:i/>
          <w:iCs/>
          <w:color w:val="000000" w:themeColor="text1"/>
          <w:lang w:val="en-US"/>
        </w:rPr>
        <w:t>acq_roa_lastyear</w:t>
      </w:r>
      <w:r w:rsidRPr="0011734B">
        <w:rPr>
          <w:color w:val="000000" w:themeColor="text1"/>
          <w:lang w:val="en-US"/>
        </w:rPr>
        <w:t>) because Morck et al. (1990) find that firms with higher operating performance are more successful acquirers. Similarly, we also control for the operating performance of the target (</w:t>
      </w:r>
      <w:r w:rsidRPr="0011734B">
        <w:rPr>
          <w:i/>
          <w:iCs/>
          <w:color w:val="000000" w:themeColor="text1"/>
          <w:lang w:val="en-US"/>
        </w:rPr>
        <w:t>tar_roa_lastyear</w:t>
      </w:r>
      <w:r w:rsidRPr="0011734B">
        <w:rPr>
          <w:color w:val="000000" w:themeColor="text1"/>
          <w:lang w:val="en-US"/>
        </w:rPr>
        <w:t>) because of its potential positive impact on post-merger synergies. Higher target profitability also increases the attractiveness of the target, potentially increasing acquisition premiums (Hayward &amp; Hambrick, 1997). We also include the acquirer's R&amp;D intensity (</w:t>
      </w:r>
      <w:r w:rsidRPr="0011734B">
        <w:rPr>
          <w:i/>
          <w:iCs/>
          <w:color w:val="000000" w:themeColor="text1"/>
          <w:lang w:val="en-US"/>
        </w:rPr>
        <w:t>acq_rd_intensity</w:t>
      </w:r>
      <w:r w:rsidRPr="0011734B">
        <w:rPr>
          <w:color w:val="000000" w:themeColor="text1"/>
          <w:lang w:val="en-US"/>
        </w:rPr>
        <w:t xml:space="preserve">), which captures the size of the acquirer's knowledge base as well </w:t>
      </w:r>
      <w:r w:rsidRPr="0011734B">
        <w:rPr>
          <w:color w:val="000000" w:themeColor="text1"/>
          <w:lang w:val="en-US"/>
        </w:rPr>
        <w:lastRenderedPageBreak/>
        <w:t>as its innovativeness. The research literature has shown that there is a direct relationship between the acquirer's R&amp;D intensity and its acquisition intensity (Hitt et al., 1996) as well as its innovative performance (Hitt et al., 1991). To control for the acquirer's general industry performance, we add the acquirer's industry growth in the 12 months prior to the deal announcement (</w:t>
      </w:r>
      <w:r w:rsidRPr="0011734B">
        <w:rPr>
          <w:i/>
          <w:iCs/>
          <w:color w:val="000000" w:themeColor="text1"/>
          <w:lang w:val="en-US"/>
        </w:rPr>
        <w:t>acq_industrygrowth</w:t>
      </w:r>
      <w:r w:rsidRPr="0011734B">
        <w:rPr>
          <w:color w:val="000000" w:themeColor="text1"/>
          <w:lang w:val="en-US"/>
        </w:rPr>
        <w:t>) in addition to the industry fixed effects (Ellis, Reus, Lamont, &amp; Ranft, 2011). Additionally, we control for the target's market-to-book ratio (</w:t>
      </w:r>
      <w:r w:rsidRPr="0011734B">
        <w:rPr>
          <w:i/>
          <w:iCs/>
          <w:color w:val="000000" w:themeColor="text1"/>
          <w:lang w:val="en-US"/>
        </w:rPr>
        <w:t>tar_mbratio</w:t>
      </w:r>
      <w:r w:rsidRPr="0011734B">
        <w:rPr>
          <w:color w:val="000000" w:themeColor="text1"/>
          <w:lang w:val="en-US"/>
        </w:rPr>
        <w:t>) because a high market valuation makes it more difficult to realize growth opportunities after deal completion (Laamanen, 2007). Finally, Zollo and Singh (2004) find that the acquirer's prior deal experience has a positive impact on M&amp;A performance. Therefore, we include the acquirer's prior deal experience in the last three years as control (</w:t>
      </w:r>
      <w:r w:rsidRPr="0011734B">
        <w:rPr>
          <w:i/>
          <w:iCs/>
          <w:color w:val="000000" w:themeColor="text1"/>
          <w:lang w:val="en-US"/>
        </w:rPr>
        <w:t>acq_dealexperience</w:t>
      </w:r>
      <w:r w:rsidRPr="0011734B">
        <w:rPr>
          <w:color w:val="000000" w:themeColor="text1"/>
          <w:lang w:val="en-US"/>
        </w:rPr>
        <w:t xml:space="preserve">). Since older firms may have more M&amp;A experience, we also include the age of the acquirer and the target as controls (Naranjo‐Valencia, Jiménez‐Jiménez, &amp; Sanz‐Valle, 2011). </w:t>
      </w:r>
    </w:p>
    <w:p w14:paraId="280302A8" w14:textId="55CE3A25" w:rsidR="003156EF" w:rsidRPr="003156EF" w:rsidRDefault="003156EF" w:rsidP="00677B96">
      <w:pPr>
        <w:pStyle w:val="berschrift2"/>
        <w:rPr>
          <w:lang w:val="en-US"/>
        </w:rPr>
      </w:pPr>
      <w:bookmarkStart w:id="430" w:name="_Toc180963626"/>
      <w:r w:rsidRPr="003156EF">
        <w:rPr>
          <w:lang w:val="en-US"/>
        </w:rPr>
        <w:t>Empirical Results</w:t>
      </w:r>
      <w:bookmarkEnd w:id="430"/>
    </w:p>
    <w:p w14:paraId="1689A560" w14:textId="3E72DD21" w:rsidR="003156EF" w:rsidRPr="003156EF" w:rsidRDefault="003156EF" w:rsidP="00677B96">
      <w:pPr>
        <w:pStyle w:val="berschrift3"/>
      </w:pPr>
      <w:r w:rsidRPr="003156EF">
        <w:t>Descriptive statistics</w:t>
      </w:r>
    </w:p>
    <w:p w14:paraId="399A0C26" w14:textId="77777777" w:rsidR="003156EF" w:rsidRPr="000C4487" w:rsidRDefault="003156EF" w:rsidP="004800A4">
      <w:pPr>
        <w:pStyle w:val="Paragraph"/>
        <w:ind w:firstLine="708"/>
        <w:jc w:val="both"/>
        <w:rPr>
          <w:color w:val="000000" w:themeColor="text1"/>
        </w:rPr>
      </w:pPr>
      <w:r w:rsidRPr="000C4487">
        <w:rPr>
          <w:color w:val="000000" w:themeColor="text1"/>
        </w:rPr>
        <w:t>Table 2 shows the number of deals by year of announcement. Most of the deals in our sample occurred after 2011, as Glassdoor launched in 2008 and firms were slow to receive reviews.</w:t>
      </w:r>
    </w:p>
    <w:p w14:paraId="5F95C120" w14:textId="77777777" w:rsidR="00D15253" w:rsidRPr="00FD5195" w:rsidRDefault="00D15253" w:rsidP="00D15253">
      <w:pPr>
        <w:pStyle w:val="Paragraph"/>
        <w:ind w:firstLine="0"/>
        <w:jc w:val="center"/>
        <w:rPr>
          <w:color w:val="000000" w:themeColor="text1"/>
        </w:rPr>
      </w:pPr>
      <w:r w:rsidRPr="00FD5195">
        <w:rPr>
          <w:color w:val="000000" w:themeColor="text1"/>
        </w:rPr>
        <w:t>----------------------------------</w:t>
      </w:r>
    </w:p>
    <w:p w14:paraId="0F1EE229" w14:textId="77777777" w:rsidR="00D15253" w:rsidRPr="00FD5195" w:rsidRDefault="00D15253" w:rsidP="00D15253">
      <w:pPr>
        <w:pStyle w:val="Paragraph"/>
        <w:ind w:firstLine="0"/>
        <w:jc w:val="center"/>
        <w:rPr>
          <w:color w:val="000000" w:themeColor="text1"/>
        </w:rPr>
      </w:pPr>
      <w:r w:rsidRPr="00FD5195">
        <w:rPr>
          <w:color w:val="000000" w:themeColor="text1"/>
        </w:rPr>
        <w:t xml:space="preserve">Insert Table </w:t>
      </w:r>
      <w:r>
        <w:rPr>
          <w:color w:val="000000" w:themeColor="text1"/>
        </w:rPr>
        <w:t>2</w:t>
      </w:r>
      <w:r w:rsidRPr="00FD5195">
        <w:rPr>
          <w:color w:val="000000" w:themeColor="text1"/>
        </w:rPr>
        <w:t xml:space="preserve"> about here</w:t>
      </w:r>
    </w:p>
    <w:p w14:paraId="2ED70A33" w14:textId="77777777" w:rsidR="00D15253" w:rsidRPr="00743AFB" w:rsidRDefault="00D15253" w:rsidP="00D15253">
      <w:pPr>
        <w:pStyle w:val="Paragraph"/>
        <w:spacing w:after="120"/>
        <w:ind w:firstLine="0"/>
        <w:jc w:val="center"/>
        <w:rPr>
          <w:color w:val="000000" w:themeColor="text1"/>
        </w:rPr>
      </w:pPr>
      <w:r w:rsidRPr="00743AFB">
        <w:rPr>
          <w:color w:val="000000" w:themeColor="text1"/>
        </w:rPr>
        <w:t>-----------------------------------</w:t>
      </w:r>
    </w:p>
    <w:p w14:paraId="16F23D8B" w14:textId="77777777" w:rsidR="003156EF" w:rsidRPr="000C4487" w:rsidRDefault="003156EF" w:rsidP="00D15253">
      <w:pPr>
        <w:pStyle w:val="Paragraph"/>
        <w:jc w:val="both"/>
        <w:rPr>
          <w:color w:val="000000" w:themeColor="text1"/>
        </w:rPr>
      </w:pPr>
      <w:r w:rsidRPr="000C4487">
        <w:rPr>
          <w:color w:val="000000" w:themeColor="text1"/>
        </w:rPr>
        <w:t xml:space="preserve">Table 3 shows the descriptive statistics for all the variables used in our specified models. The four cultural affiliations of the firms (represented by probability scores between 0 and 1) have their minimum (maximum) values for each dimension below the threshold of .08 (above the threshold of .51). The means of each dimension are comparable for acquirers and targets. However, the standard deviation is lower for the acquirer dimensions because there are </w:t>
      </w:r>
      <w:r w:rsidRPr="000C4487">
        <w:rPr>
          <w:color w:val="000000" w:themeColor="text1"/>
        </w:rPr>
        <w:lastRenderedPageBreak/>
        <w:t xml:space="preserve">approximately five times more acquirer Glassdoor reviews available than target reviews. The average absolute difference between the acquirer’s and the target’s cultural dimensions is around .08. In 57% of the deals, the dominant culture (the culture with the highest probability value) differs between the acquirer and target. In 34% (41%) of the deals, the acquirers’ (targets’) most dominant culture is reflected by the market dimension. Our main independent variable </w:t>
      </w:r>
      <w:r w:rsidRPr="000C4487">
        <w:rPr>
          <w:i/>
          <w:iCs/>
          <w:color w:val="000000" w:themeColor="text1"/>
        </w:rPr>
        <w:t>deal_culturaldistance</w:t>
      </w:r>
      <w:r w:rsidRPr="000C4487">
        <w:rPr>
          <w:color w:val="000000" w:themeColor="text1"/>
        </w:rPr>
        <w:t xml:space="preserve">, which represents the Kogut and Singh (1988) adapted organizational cultural index, ranges from </w:t>
      </w:r>
      <w:r w:rsidRPr="000C4487">
        <w:rPr>
          <w:i/>
          <w:iCs/>
          <w:color w:val="000000" w:themeColor="text1"/>
        </w:rPr>
        <w:t>Min</w:t>
      </w:r>
      <w:r w:rsidRPr="000C4487">
        <w:rPr>
          <w:color w:val="000000" w:themeColor="text1"/>
        </w:rPr>
        <w:t xml:space="preserve"> = .029 to </w:t>
      </w:r>
      <w:r w:rsidRPr="000C4487">
        <w:rPr>
          <w:i/>
          <w:iCs/>
          <w:color w:val="000000" w:themeColor="text1"/>
        </w:rPr>
        <w:t>Max</w:t>
      </w:r>
      <w:r w:rsidRPr="000C4487">
        <w:rPr>
          <w:color w:val="000000" w:themeColor="text1"/>
        </w:rPr>
        <w:t xml:space="preserve"> = .58, with a mean of </w:t>
      </w:r>
      <w:r w:rsidRPr="000C4487">
        <w:rPr>
          <w:i/>
          <w:iCs/>
          <w:color w:val="000000" w:themeColor="text1"/>
        </w:rPr>
        <w:t>M</w:t>
      </w:r>
      <w:r w:rsidRPr="000C4487">
        <w:rPr>
          <w:color w:val="000000" w:themeColor="text1"/>
        </w:rPr>
        <w:t xml:space="preserve"> =.201.</w:t>
      </w:r>
    </w:p>
    <w:p w14:paraId="47D1B1DF" w14:textId="77777777" w:rsidR="00D15253" w:rsidRPr="00FD5195" w:rsidRDefault="00D15253" w:rsidP="00D15253">
      <w:pPr>
        <w:pStyle w:val="Paragraph"/>
        <w:ind w:firstLine="0"/>
        <w:jc w:val="center"/>
        <w:rPr>
          <w:color w:val="000000" w:themeColor="text1"/>
        </w:rPr>
      </w:pPr>
      <w:r w:rsidRPr="00FD5195">
        <w:rPr>
          <w:color w:val="000000" w:themeColor="text1"/>
        </w:rPr>
        <w:t>----------------------------------</w:t>
      </w:r>
    </w:p>
    <w:p w14:paraId="52A19A64" w14:textId="4AFD01CA" w:rsidR="00D15253" w:rsidRPr="00FD5195" w:rsidRDefault="00D15253" w:rsidP="00D15253">
      <w:pPr>
        <w:pStyle w:val="Paragraph"/>
        <w:ind w:firstLine="0"/>
        <w:jc w:val="center"/>
        <w:rPr>
          <w:color w:val="000000" w:themeColor="text1"/>
        </w:rPr>
      </w:pPr>
      <w:r w:rsidRPr="00FD5195">
        <w:rPr>
          <w:color w:val="000000" w:themeColor="text1"/>
        </w:rPr>
        <w:t xml:space="preserve">Insert Table </w:t>
      </w:r>
      <w:r>
        <w:rPr>
          <w:color w:val="000000" w:themeColor="text1"/>
        </w:rPr>
        <w:t>3</w:t>
      </w:r>
      <w:r w:rsidRPr="00FD5195">
        <w:rPr>
          <w:color w:val="000000" w:themeColor="text1"/>
        </w:rPr>
        <w:t xml:space="preserve"> about here</w:t>
      </w:r>
    </w:p>
    <w:p w14:paraId="1CACDB20" w14:textId="77777777" w:rsidR="00D15253" w:rsidRPr="00743AFB" w:rsidRDefault="00D15253" w:rsidP="00D15253">
      <w:pPr>
        <w:pStyle w:val="Paragraph"/>
        <w:spacing w:after="120"/>
        <w:ind w:firstLine="0"/>
        <w:jc w:val="center"/>
        <w:rPr>
          <w:color w:val="000000" w:themeColor="text1"/>
        </w:rPr>
      </w:pPr>
      <w:r w:rsidRPr="00743AFB">
        <w:rPr>
          <w:color w:val="000000" w:themeColor="text1"/>
        </w:rPr>
        <w:t>-----------------------------------</w:t>
      </w:r>
    </w:p>
    <w:p w14:paraId="507F5CCA" w14:textId="77777777" w:rsidR="003156EF" w:rsidRPr="000C4487" w:rsidRDefault="003156EF" w:rsidP="00D15253">
      <w:pPr>
        <w:pStyle w:val="Paragraph"/>
        <w:jc w:val="both"/>
        <w:rPr>
          <w:color w:val="000000" w:themeColor="text1"/>
        </w:rPr>
      </w:pPr>
      <w:r w:rsidRPr="000C4487">
        <w:rPr>
          <w:color w:val="000000" w:themeColor="text1"/>
        </w:rPr>
        <w:t>Table 4 shows the Pearson product moment correlation coefficients for all dependent and independent variables in our analysis. Since none of our independent or control variables show very high linear dependence (</w:t>
      </w:r>
      <w:r w:rsidRPr="000C4487">
        <w:rPr>
          <w:i/>
          <w:iCs/>
          <w:color w:val="000000" w:themeColor="text1"/>
        </w:rPr>
        <w:t>r</w:t>
      </w:r>
      <w:r w:rsidRPr="000C4487">
        <w:rPr>
          <w:color w:val="000000" w:themeColor="text1"/>
        </w:rPr>
        <w:t xml:space="preserve"> &gt; .8), we conclude that multicollinearity is unlikely to affect the results of our regression analysis</w:t>
      </w:r>
      <w:r>
        <w:rPr>
          <w:color w:val="000000" w:themeColor="text1"/>
        </w:rPr>
        <w:t xml:space="preserve"> (Sheth, Malhotra, Sheth, &amp; Malhotra, 2011)</w:t>
      </w:r>
      <w:r w:rsidRPr="000C4487">
        <w:rPr>
          <w:color w:val="000000" w:themeColor="text1"/>
        </w:rPr>
        <w:t xml:space="preserve">. </w:t>
      </w:r>
    </w:p>
    <w:p w14:paraId="673A7613" w14:textId="77777777" w:rsidR="00D15253" w:rsidRPr="00FD5195" w:rsidRDefault="00D15253" w:rsidP="00D15253">
      <w:pPr>
        <w:pStyle w:val="Paragraph"/>
        <w:ind w:firstLine="0"/>
        <w:jc w:val="center"/>
        <w:rPr>
          <w:color w:val="000000" w:themeColor="text1"/>
        </w:rPr>
      </w:pPr>
      <w:r w:rsidRPr="00FD5195">
        <w:rPr>
          <w:color w:val="000000" w:themeColor="text1"/>
        </w:rPr>
        <w:t>----------------------------------</w:t>
      </w:r>
    </w:p>
    <w:p w14:paraId="48D0B2FC" w14:textId="65253E9D" w:rsidR="00D15253" w:rsidRPr="00FD5195" w:rsidRDefault="00D15253" w:rsidP="00D15253">
      <w:pPr>
        <w:pStyle w:val="Paragraph"/>
        <w:ind w:firstLine="0"/>
        <w:jc w:val="center"/>
        <w:rPr>
          <w:color w:val="000000" w:themeColor="text1"/>
        </w:rPr>
      </w:pPr>
      <w:r w:rsidRPr="00FD5195">
        <w:rPr>
          <w:color w:val="000000" w:themeColor="text1"/>
        </w:rPr>
        <w:t xml:space="preserve">Insert Table </w:t>
      </w:r>
      <w:r>
        <w:rPr>
          <w:color w:val="000000" w:themeColor="text1"/>
        </w:rPr>
        <w:t>4</w:t>
      </w:r>
      <w:r w:rsidRPr="00FD5195">
        <w:rPr>
          <w:color w:val="000000" w:themeColor="text1"/>
        </w:rPr>
        <w:t xml:space="preserve"> about here</w:t>
      </w:r>
    </w:p>
    <w:p w14:paraId="096F3F99" w14:textId="77777777" w:rsidR="00D15253" w:rsidRPr="00743AFB" w:rsidRDefault="00D15253" w:rsidP="00D15253">
      <w:pPr>
        <w:pStyle w:val="Paragraph"/>
        <w:spacing w:after="120"/>
        <w:ind w:firstLine="0"/>
        <w:jc w:val="center"/>
        <w:rPr>
          <w:color w:val="000000" w:themeColor="text1"/>
        </w:rPr>
      </w:pPr>
      <w:r w:rsidRPr="00743AFB">
        <w:rPr>
          <w:color w:val="000000" w:themeColor="text1"/>
        </w:rPr>
        <w:t>-----------------------------------</w:t>
      </w:r>
    </w:p>
    <w:p w14:paraId="40C8E9EC" w14:textId="3B3E8170" w:rsidR="003156EF" w:rsidRPr="003156EF" w:rsidRDefault="003156EF" w:rsidP="00D15253">
      <w:pPr>
        <w:pStyle w:val="berschrift3"/>
        <w:jc w:val="both"/>
      </w:pPr>
      <w:r w:rsidRPr="003156EF">
        <w:t>Results of H1 – Organizational cultural distance, capital market reactions, and post-deal synergies</w:t>
      </w:r>
    </w:p>
    <w:p w14:paraId="76C2C8DD" w14:textId="77777777" w:rsidR="003156EF" w:rsidRPr="000C4487" w:rsidRDefault="003156EF" w:rsidP="004800A4">
      <w:pPr>
        <w:pStyle w:val="Paragraph"/>
        <w:ind w:firstLine="708"/>
        <w:jc w:val="both"/>
        <w:rPr>
          <w:color w:val="000000" w:themeColor="text1"/>
        </w:rPr>
      </w:pPr>
      <w:r w:rsidRPr="000C4487">
        <w:rPr>
          <w:color w:val="000000" w:themeColor="text1"/>
        </w:rPr>
        <w:t>For H1a, we argue that for acquirers and targets with high organizational cultural distance, the anticipation of cultural frictions leads to negative capital market reactions in the form of lower announcement returns. Models 1-3 of Table 5 use our organizational cultural index adapted from Kogut and Singh (1988) between the acquirer’s and target’s four CVF culture dimensions (clan, adhocracy, market, hierarchy) as our main independent variable (</w:t>
      </w:r>
      <w:r w:rsidRPr="000C4487">
        <w:rPr>
          <w:i/>
          <w:iCs/>
          <w:color w:val="000000" w:themeColor="text1"/>
        </w:rPr>
        <w:t>deal_culturaldistance</w:t>
      </w:r>
      <w:r w:rsidRPr="000C4487">
        <w:rPr>
          <w:color w:val="000000" w:themeColor="text1"/>
        </w:rPr>
        <w:t xml:space="preserve">). In Model 1 (2), we center the acquirer’s CAR [-10, 10] ([-5, 5]) days </w:t>
      </w:r>
      <w:r w:rsidRPr="000C4487">
        <w:rPr>
          <w:color w:val="000000" w:themeColor="text1"/>
        </w:rPr>
        <w:lastRenderedPageBreak/>
        <w:t>around the deal announcement. For both event windows, the results show a significant negative relationship between the cultural distance between the acquirer and the target and the acquirer's respective CAR (</w:t>
      </w:r>
      <w:r w:rsidRPr="000C4487">
        <w:rPr>
          <w:i/>
          <w:color w:val="000000" w:themeColor="text1"/>
        </w:rPr>
        <w:t xml:space="preserve">t </w:t>
      </w:r>
      <w:r w:rsidRPr="000C4487">
        <w:rPr>
          <w:color w:val="000000" w:themeColor="text1"/>
        </w:rPr>
        <w:t xml:space="preserve">= -2.278, </w:t>
      </w:r>
      <w:r w:rsidRPr="000C4487">
        <w:rPr>
          <w:i/>
          <w:color w:val="000000" w:themeColor="text1"/>
        </w:rPr>
        <w:t>p</w:t>
      </w:r>
      <w:r w:rsidRPr="000C4487">
        <w:rPr>
          <w:color w:val="000000" w:themeColor="text1"/>
        </w:rPr>
        <w:t xml:space="preserve"> &lt; .05), indicating that the capital market expects lower synergies for culturally distant firms, lending support to hypothesis H1a. We also use the [-5,5] combined (value-weighted) CAR of the acquirer and target as an additional measure of capital market reactions (Model 3). The coefficient of </w:t>
      </w:r>
      <w:r w:rsidRPr="000C4487">
        <w:rPr>
          <w:i/>
          <w:iCs/>
          <w:color w:val="000000" w:themeColor="text1"/>
        </w:rPr>
        <w:t xml:space="preserve">deal_car_weighted </w:t>
      </w:r>
      <w:r w:rsidRPr="000C4487">
        <w:rPr>
          <w:color w:val="000000" w:themeColor="text1"/>
        </w:rPr>
        <w:t>(</w:t>
      </w:r>
      <w:r w:rsidRPr="000C4487">
        <w:rPr>
          <w:i/>
          <w:color w:val="000000" w:themeColor="text1"/>
        </w:rPr>
        <w:t>t</w:t>
      </w:r>
      <w:r w:rsidRPr="000C4487">
        <w:rPr>
          <w:color w:val="000000" w:themeColor="text1"/>
        </w:rPr>
        <w:t xml:space="preserve"> = -1.718, </w:t>
      </w:r>
      <w:r w:rsidRPr="000C4487">
        <w:rPr>
          <w:i/>
          <w:color w:val="000000" w:themeColor="text1"/>
        </w:rPr>
        <w:t>p</w:t>
      </w:r>
      <w:r w:rsidRPr="000C4487">
        <w:rPr>
          <w:color w:val="000000" w:themeColor="text1"/>
        </w:rPr>
        <w:t xml:space="preserve"> &lt; .1) confirms that the capital market expects greater synergy gains from acquirers and targets that are more similar in organizational culture. The coefficients of the control variables are generally consistent with the expected directions suggested by the literature. For example, </w:t>
      </w:r>
      <w:r w:rsidRPr="000C4487">
        <w:rPr>
          <w:i/>
          <w:iCs/>
          <w:color w:val="000000" w:themeColor="text1"/>
        </w:rPr>
        <w:t>deal_value_ln</w:t>
      </w:r>
      <w:r w:rsidRPr="000C4487">
        <w:rPr>
          <w:color w:val="000000" w:themeColor="text1"/>
        </w:rPr>
        <w:t xml:space="preserve"> has a positive coefficient (Suk and Wang 2021), </w:t>
      </w:r>
      <w:r w:rsidRPr="000C4487">
        <w:rPr>
          <w:i/>
          <w:iCs/>
          <w:color w:val="000000" w:themeColor="text1"/>
        </w:rPr>
        <w:t>deal_all_cash_dummy</w:t>
      </w:r>
      <w:r w:rsidRPr="000C4487">
        <w:rPr>
          <w:color w:val="000000" w:themeColor="text1"/>
        </w:rPr>
        <w:t xml:space="preserve"> has a positive coefficient</w:t>
      </w:r>
      <w:r>
        <w:rPr>
          <w:color w:val="000000" w:themeColor="text1"/>
        </w:rPr>
        <w:t xml:space="preserve"> (Alexandridis et al., 2022; Bereskin et al., 2018; Chakrabarti et al., 2009)</w:t>
      </w:r>
      <w:r w:rsidRPr="000C4487">
        <w:rPr>
          <w:color w:val="000000" w:themeColor="text1"/>
        </w:rPr>
        <w:t xml:space="preserve">, and </w:t>
      </w:r>
      <w:r w:rsidRPr="000C4487">
        <w:rPr>
          <w:i/>
          <w:iCs/>
          <w:color w:val="000000" w:themeColor="text1"/>
        </w:rPr>
        <w:t>deal_relatedness_dummy</w:t>
      </w:r>
      <w:r w:rsidRPr="000C4487">
        <w:rPr>
          <w:color w:val="000000" w:themeColor="text1"/>
        </w:rPr>
        <w:t xml:space="preserve"> has a positive coefficient</w:t>
      </w:r>
      <w:r>
        <w:rPr>
          <w:color w:val="000000" w:themeColor="text1"/>
        </w:rPr>
        <w:t xml:space="preserve"> (Ahmed et al., 2023; Alexandridis et al., 2022; Conn, Cosh, Guest, &amp; Hughes, 2005)</w:t>
      </w:r>
      <w:r w:rsidRPr="000C4487">
        <w:rPr>
          <w:color w:val="000000" w:themeColor="text1"/>
        </w:rPr>
        <w:t>.</w:t>
      </w:r>
    </w:p>
    <w:p w14:paraId="60E00B96" w14:textId="77777777" w:rsidR="00D15253" w:rsidRPr="00FD5195" w:rsidRDefault="00D15253" w:rsidP="00D15253">
      <w:pPr>
        <w:pStyle w:val="Paragraph"/>
        <w:ind w:firstLine="0"/>
        <w:jc w:val="center"/>
        <w:rPr>
          <w:color w:val="000000" w:themeColor="text1"/>
        </w:rPr>
      </w:pPr>
      <w:r w:rsidRPr="00FD5195">
        <w:rPr>
          <w:color w:val="000000" w:themeColor="text1"/>
        </w:rPr>
        <w:t>----------------------------------</w:t>
      </w:r>
    </w:p>
    <w:p w14:paraId="0E2971AE" w14:textId="2B31EE81" w:rsidR="00D15253" w:rsidRPr="00FD5195" w:rsidRDefault="00D15253" w:rsidP="00D15253">
      <w:pPr>
        <w:pStyle w:val="Paragraph"/>
        <w:ind w:firstLine="0"/>
        <w:jc w:val="center"/>
        <w:rPr>
          <w:color w:val="000000" w:themeColor="text1"/>
        </w:rPr>
      </w:pPr>
      <w:r w:rsidRPr="00FD5195">
        <w:rPr>
          <w:color w:val="000000" w:themeColor="text1"/>
        </w:rPr>
        <w:t xml:space="preserve">Insert Table </w:t>
      </w:r>
      <w:r>
        <w:rPr>
          <w:color w:val="000000" w:themeColor="text1"/>
        </w:rPr>
        <w:t>5</w:t>
      </w:r>
      <w:r w:rsidRPr="00FD5195">
        <w:rPr>
          <w:color w:val="000000" w:themeColor="text1"/>
        </w:rPr>
        <w:t xml:space="preserve"> about here</w:t>
      </w:r>
    </w:p>
    <w:p w14:paraId="66FAE12C" w14:textId="77777777" w:rsidR="00D15253" w:rsidRPr="00743AFB" w:rsidRDefault="00D15253" w:rsidP="00D15253">
      <w:pPr>
        <w:pStyle w:val="Paragraph"/>
        <w:spacing w:after="120"/>
        <w:ind w:firstLine="0"/>
        <w:jc w:val="center"/>
        <w:rPr>
          <w:color w:val="000000" w:themeColor="text1"/>
        </w:rPr>
      </w:pPr>
      <w:r w:rsidRPr="00743AFB">
        <w:rPr>
          <w:color w:val="000000" w:themeColor="text1"/>
        </w:rPr>
        <w:t>-----------------------------------</w:t>
      </w:r>
    </w:p>
    <w:p w14:paraId="18027A20" w14:textId="77777777" w:rsidR="003156EF" w:rsidRPr="000C4487" w:rsidRDefault="003156EF" w:rsidP="00D15253">
      <w:pPr>
        <w:pStyle w:val="Paragraph"/>
        <w:jc w:val="both"/>
        <w:rPr>
          <w:color w:val="000000" w:themeColor="text1"/>
        </w:rPr>
      </w:pPr>
      <w:r w:rsidRPr="000C4487">
        <w:rPr>
          <w:color w:val="000000" w:themeColor="text1"/>
        </w:rPr>
        <w:t xml:space="preserve">To explain which dimensions of CVF culture drive the expected capital market synergy gains, we conduct additional analyses by replacing the </w:t>
      </w:r>
      <w:r w:rsidRPr="000C4487">
        <w:rPr>
          <w:i/>
          <w:iCs/>
          <w:color w:val="000000" w:themeColor="text1"/>
        </w:rPr>
        <w:t>deal_culturaldistance</w:t>
      </w:r>
      <w:r w:rsidRPr="000C4487">
        <w:rPr>
          <w:color w:val="000000" w:themeColor="text1"/>
        </w:rPr>
        <w:t xml:space="preserve"> variable with four separate variables (Models 4-6). Each variable captures the absolute difference between the acquirer’s and target’s attitude towards the respective CVF culture dimension. Results of Models 4-6 in Table 5 indicate that the expected synergistic losses are caused by acquirers and targets that have large differences in their market orientations (</w:t>
      </w:r>
      <w:r w:rsidRPr="000C4487">
        <w:rPr>
          <w:i/>
          <w:color w:val="000000" w:themeColor="text1"/>
        </w:rPr>
        <w:t>t &lt;</w:t>
      </w:r>
      <w:r w:rsidRPr="000C4487">
        <w:rPr>
          <w:color w:val="000000" w:themeColor="text1"/>
        </w:rPr>
        <w:t xml:space="preserve"> -4.346, </w:t>
      </w:r>
      <w:r w:rsidRPr="000C4487">
        <w:rPr>
          <w:i/>
          <w:color w:val="000000" w:themeColor="text1"/>
        </w:rPr>
        <w:t>p &lt;</w:t>
      </w:r>
      <w:r w:rsidRPr="000C4487">
        <w:rPr>
          <w:color w:val="000000" w:themeColor="text1"/>
        </w:rPr>
        <w:t xml:space="preserve"> .01). These findings are consistent with previous studies that highlight the relative influence of market culture on firm performance</w:t>
      </w:r>
      <w:r>
        <w:rPr>
          <w:color w:val="000000" w:themeColor="text1"/>
        </w:rPr>
        <w:t xml:space="preserve"> (e.g., Deshpandé &amp; Farley, 2004; Eisend et al., 2016)</w:t>
      </w:r>
      <w:r w:rsidRPr="007969C0">
        <w:rPr>
          <w:color w:val="000000" w:themeColor="text1"/>
        </w:rPr>
        <w:t xml:space="preserve">. </w:t>
      </w:r>
      <w:r w:rsidRPr="000C4487">
        <w:rPr>
          <w:color w:val="000000" w:themeColor="text1"/>
        </w:rPr>
        <w:t xml:space="preserve">We reason that differences in firms' attitudes toward market orientation may be more readily observable to investors, as this dimension is reflected in publicly available information such as market share </w:t>
      </w:r>
      <w:r w:rsidRPr="000C4487">
        <w:rPr>
          <w:color w:val="000000" w:themeColor="text1"/>
        </w:rPr>
        <w:lastRenderedPageBreak/>
        <w:t>and profitability</w:t>
      </w:r>
      <w:r>
        <w:rPr>
          <w:color w:val="000000" w:themeColor="text1"/>
        </w:rPr>
        <w:t xml:space="preserve"> (Cameron et al., 2006)</w:t>
      </w:r>
      <w:r w:rsidRPr="000C4487">
        <w:rPr>
          <w:color w:val="000000" w:themeColor="text1"/>
        </w:rPr>
        <w:t>. In contrast, the other three dimensions are more nuanced and thus more difficult for market participants to observe.</w:t>
      </w:r>
    </w:p>
    <w:p w14:paraId="3213DD04" w14:textId="77777777" w:rsidR="003156EF" w:rsidRPr="000C4487" w:rsidRDefault="003156EF" w:rsidP="00D15253">
      <w:pPr>
        <w:pStyle w:val="Paragraph"/>
        <w:jc w:val="both"/>
        <w:rPr>
          <w:color w:val="000000" w:themeColor="text1"/>
        </w:rPr>
      </w:pPr>
      <w:r w:rsidRPr="000C4487">
        <w:rPr>
          <w:color w:val="000000" w:themeColor="text1"/>
        </w:rPr>
        <w:t xml:space="preserve">For H1b, we analyze whether the synergistic benefits expected by the capital market from culturally similar acquirers and targets are realized by measuring the growth in operating performance following the deal (Table 6). Therefore, we replace the dependent variable CAR with the acquirer's sales growth in the two and four years following the deal. The negative coefficients of </w:t>
      </w:r>
      <w:r w:rsidRPr="000C4487">
        <w:rPr>
          <w:i/>
          <w:iCs/>
          <w:color w:val="000000" w:themeColor="text1"/>
        </w:rPr>
        <w:t xml:space="preserve">acq_sales_2yr_growth </w:t>
      </w:r>
      <w:r w:rsidRPr="000C4487">
        <w:rPr>
          <w:color w:val="000000" w:themeColor="text1"/>
        </w:rPr>
        <w:t>(</w:t>
      </w:r>
      <w:r w:rsidRPr="000C4487">
        <w:rPr>
          <w:i/>
          <w:color w:val="000000" w:themeColor="text1"/>
        </w:rPr>
        <w:t>t =</w:t>
      </w:r>
      <w:r w:rsidRPr="000C4487">
        <w:rPr>
          <w:color w:val="000000" w:themeColor="text1"/>
        </w:rPr>
        <w:t xml:space="preserve"> -1.892, </w:t>
      </w:r>
      <w:r w:rsidRPr="000C4487">
        <w:rPr>
          <w:i/>
          <w:color w:val="000000" w:themeColor="text1"/>
        </w:rPr>
        <w:t>p &lt;</w:t>
      </w:r>
      <w:r w:rsidRPr="000C4487">
        <w:rPr>
          <w:color w:val="000000" w:themeColor="text1"/>
        </w:rPr>
        <w:t xml:space="preserve"> .1) and </w:t>
      </w:r>
      <w:r w:rsidRPr="000C4487">
        <w:rPr>
          <w:i/>
          <w:iCs/>
          <w:color w:val="000000" w:themeColor="text1"/>
        </w:rPr>
        <w:t xml:space="preserve">acq_sales_4yr_growth </w:t>
      </w:r>
      <w:r w:rsidRPr="000C4487">
        <w:rPr>
          <w:color w:val="000000" w:themeColor="text1"/>
        </w:rPr>
        <w:t>(</w:t>
      </w:r>
      <w:r w:rsidRPr="000C4487">
        <w:rPr>
          <w:i/>
          <w:color w:val="000000" w:themeColor="text1"/>
        </w:rPr>
        <w:t>t =</w:t>
      </w:r>
      <w:r w:rsidRPr="000C4487">
        <w:rPr>
          <w:color w:val="000000" w:themeColor="text1"/>
        </w:rPr>
        <w:t xml:space="preserve"> -2.972, </w:t>
      </w:r>
      <w:r w:rsidRPr="000C4487">
        <w:rPr>
          <w:i/>
          <w:color w:val="000000" w:themeColor="text1"/>
        </w:rPr>
        <w:t>p &lt;</w:t>
      </w:r>
      <w:r w:rsidRPr="000C4487">
        <w:rPr>
          <w:color w:val="000000" w:themeColor="text1"/>
        </w:rPr>
        <w:t xml:space="preserve"> .001) indicate that M&amp;As of culturally distant firms lead to significantly lower sales growth in the two and four years following the deal. This result supports H1b and is consistent with the a priori expectations of the capital market tested in H1a. While the results of Model 3 show no significant effect of individual cultural dimensions, Model 4 attributes differences in market orientation (</w:t>
      </w:r>
      <w:r w:rsidRPr="000C4487">
        <w:rPr>
          <w:i/>
          <w:color w:val="000000" w:themeColor="text1"/>
        </w:rPr>
        <w:t>t =</w:t>
      </w:r>
      <w:r w:rsidRPr="000C4487">
        <w:rPr>
          <w:color w:val="000000" w:themeColor="text1"/>
        </w:rPr>
        <w:t xml:space="preserve"> -2.682, </w:t>
      </w:r>
      <w:r w:rsidRPr="000C4487">
        <w:rPr>
          <w:i/>
          <w:color w:val="000000" w:themeColor="text1"/>
        </w:rPr>
        <w:t>p &lt;</w:t>
      </w:r>
      <w:r w:rsidRPr="000C4487">
        <w:rPr>
          <w:color w:val="000000" w:themeColor="text1"/>
        </w:rPr>
        <w:t xml:space="preserve"> .01) or the negative impact on post-merger sales growth four years after the transaction (</w:t>
      </w:r>
      <w:r w:rsidRPr="000C4487">
        <w:rPr>
          <w:i/>
          <w:iCs/>
          <w:color w:val="000000" w:themeColor="text1"/>
        </w:rPr>
        <w:t>acq_sales_4yr_growth</w:t>
      </w:r>
      <w:r w:rsidRPr="000C4487">
        <w:rPr>
          <w:color w:val="000000" w:themeColor="text1"/>
        </w:rPr>
        <w:t>).</w:t>
      </w:r>
    </w:p>
    <w:p w14:paraId="458470D8" w14:textId="77777777" w:rsidR="00D15253" w:rsidRPr="00FD5195" w:rsidRDefault="00D15253" w:rsidP="00D15253">
      <w:pPr>
        <w:pStyle w:val="Paragraph"/>
        <w:ind w:firstLine="0"/>
        <w:jc w:val="center"/>
        <w:rPr>
          <w:color w:val="000000" w:themeColor="text1"/>
        </w:rPr>
      </w:pPr>
      <w:r w:rsidRPr="00FD5195">
        <w:rPr>
          <w:color w:val="000000" w:themeColor="text1"/>
        </w:rPr>
        <w:t>----------------------------------</w:t>
      </w:r>
    </w:p>
    <w:p w14:paraId="04E9E40A" w14:textId="3CA836C6" w:rsidR="00D15253" w:rsidRPr="00FD5195" w:rsidRDefault="00D15253" w:rsidP="00D15253">
      <w:pPr>
        <w:pStyle w:val="Paragraph"/>
        <w:ind w:firstLine="0"/>
        <w:jc w:val="center"/>
        <w:rPr>
          <w:color w:val="000000" w:themeColor="text1"/>
        </w:rPr>
      </w:pPr>
      <w:r w:rsidRPr="00FD5195">
        <w:rPr>
          <w:color w:val="000000" w:themeColor="text1"/>
        </w:rPr>
        <w:t xml:space="preserve">Insert Table </w:t>
      </w:r>
      <w:r>
        <w:rPr>
          <w:color w:val="000000" w:themeColor="text1"/>
        </w:rPr>
        <w:t>6</w:t>
      </w:r>
      <w:r w:rsidRPr="00FD5195">
        <w:rPr>
          <w:color w:val="000000" w:themeColor="text1"/>
        </w:rPr>
        <w:t xml:space="preserve"> about here</w:t>
      </w:r>
    </w:p>
    <w:p w14:paraId="11355181" w14:textId="6F5D6375" w:rsidR="00D15253" w:rsidRPr="000C4487" w:rsidRDefault="00D15253" w:rsidP="00D15253">
      <w:pPr>
        <w:pStyle w:val="Paragraph"/>
        <w:spacing w:after="120"/>
        <w:ind w:firstLine="0"/>
        <w:jc w:val="center"/>
        <w:rPr>
          <w:color w:val="000000" w:themeColor="text1"/>
        </w:rPr>
      </w:pPr>
      <w:r w:rsidRPr="00743AFB">
        <w:rPr>
          <w:color w:val="000000" w:themeColor="text1"/>
        </w:rPr>
        <w:t>-----------------------------------</w:t>
      </w:r>
    </w:p>
    <w:p w14:paraId="4AE5B0E7" w14:textId="492F48F1" w:rsidR="003156EF" w:rsidRPr="00677B96" w:rsidRDefault="003156EF" w:rsidP="00D15253">
      <w:pPr>
        <w:pStyle w:val="berschrift3"/>
        <w:jc w:val="both"/>
      </w:pPr>
      <w:r w:rsidRPr="00677B96">
        <w:t>Results of H2 – Organizational cultural distance and acquisition premiums</w:t>
      </w:r>
    </w:p>
    <w:p w14:paraId="68C07158" w14:textId="77777777" w:rsidR="003156EF" w:rsidRPr="000C4487" w:rsidRDefault="003156EF" w:rsidP="004800A4">
      <w:pPr>
        <w:pStyle w:val="Paragraph"/>
        <w:ind w:firstLine="708"/>
        <w:jc w:val="both"/>
        <w:rPr>
          <w:color w:val="000000" w:themeColor="text1"/>
        </w:rPr>
      </w:pPr>
      <w:r w:rsidRPr="000C4487">
        <w:rPr>
          <w:color w:val="000000" w:themeColor="text1"/>
        </w:rPr>
        <w:t>H2 argues that organizational cultural distance between the acquirer and the target reduces the ability of the acquirer to accurately assess the true value of the target, thereby increasing the likelihood that the acquirer will overpay for the target. Table 7 shows the regression results with acquisition premiums as the dependent variable. Similar to previous research</w:t>
      </w:r>
      <w:r>
        <w:rPr>
          <w:color w:val="000000" w:themeColor="text1"/>
        </w:rPr>
        <w:t xml:space="preserve"> (Lee et al., 2019; Reuer et al., 2012)</w:t>
      </w:r>
      <w:r w:rsidRPr="000C4487">
        <w:rPr>
          <w:color w:val="000000" w:themeColor="text1"/>
        </w:rPr>
        <w:t xml:space="preserve">, we use multiple pre-announcement periods to measure the target's market value. By doing so, we increase robustness by mitigating the potential impact of information leakage immediately prior to the announcement. The average premium paid for these periods ranges from 33% to 38%, which is comparable to the figures reported in the literature </w:t>
      </w:r>
      <w:r>
        <w:rPr>
          <w:color w:val="000000" w:themeColor="text1"/>
        </w:rPr>
        <w:t>(Eckbo, 2009)</w:t>
      </w:r>
      <w:r w:rsidRPr="000C4487">
        <w:rPr>
          <w:color w:val="000000" w:themeColor="text1"/>
        </w:rPr>
        <w:t xml:space="preserve">. Regardless of whether a 1-day, 1-week, or 1-month </w:t>
      </w:r>
      <w:r w:rsidRPr="000C4487">
        <w:rPr>
          <w:color w:val="000000" w:themeColor="text1"/>
        </w:rPr>
        <w:lastRenderedPageBreak/>
        <w:t>pre-announcement period is used, Models 1-3 show a significant positive relationship between organizational cultural distance and acquisition premiums (</w:t>
      </w:r>
      <w:r w:rsidRPr="000C4487">
        <w:rPr>
          <w:i/>
          <w:iCs/>
          <w:color w:val="000000" w:themeColor="text1"/>
        </w:rPr>
        <w:t xml:space="preserve">t </w:t>
      </w:r>
      <w:r w:rsidRPr="000C4487">
        <w:rPr>
          <w:color w:val="000000" w:themeColor="text1"/>
        </w:rPr>
        <w:t xml:space="preserve">= 2.009, </w:t>
      </w:r>
      <w:r w:rsidRPr="000C4487">
        <w:rPr>
          <w:i/>
          <w:iCs/>
          <w:color w:val="000000" w:themeColor="text1"/>
        </w:rPr>
        <w:t xml:space="preserve">p </w:t>
      </w:r>
      <w:r w:rsidRPr="000C4487">
        <w:rPr>
          <w:color w:val="000000" w:themeColor="text1"/>
        </w:rPr>
        <w:t>&lt; .05). Thus, firms that acquire culturally distant targets systematically misjudge the true value of the target and pay higher premiums, supporting hypothesis H2. To determine which cultural dimensions specifically cause these overpayments, we replicate the analysis using the four separate CVF cultural difference variables. Using 1-week and 1-month premiums, Models 4-6 show that acquisition premiums increase significantly for acquirers and targets with different market orientations (</w:t>
      </w:r>
      <w:r w:rsidRPr="000C4487">
        <w:rPr>
          <w:i/>
          <w:color w:val="000000" w:themeColor="text1"/>
        </w:rPr>
        <w:t>t &gt;</w:t>
      </w:r>
      <w:r w:rsidRPr="000C4487">
        <w:rPr>
          <w:color w:val="000000" w:themeColor="text1"/>
        </w:rPr>
        <w:t xml:space="preserve"> 2.94, </w:t>
      </w:r>
      <w:r w:rsidRPr="000C4487">
        <w:rPr>
          <w:i/>
          <w:color w:val="000000" w:themeColor="text1"/>
        </w:rPr>
        <w:t>p &lt;</w:t>
      </w:r>
      <w:r w:rsidRPr="000C4487">
        <w:rPr>
          <w:color w:val="000000" w:themeColor="text1"/>
        </w:rPr>
        <w:t xml:space="preserve"> .01). </w:t>
      </w:r>
    </w:p>
    <w:p w14:paraId="72BC217D" w14:textId="77777777" w:rsidR="00D15253" w:rsidRPr="00FD5195" w:rsidRDefault="00D15253" w:rsidP="00D15253">
      <w:pPr>
        <w:pStyle w:val="Paragraph"/>
        <w:ind w:firstLine="0"/>
        <w:jc w:val="center"/>
        <w:rPr>
          <w:color w:val="000000" w:themeColor="text1"/>
        </w:rPr>
      </w:pPr>
      <w:r w:rsidRPr="00FD5195">
        <w:rPr>
          <w:color w:val="000000" w:themeColor="text1"/>
        </w:rPr>
        <w:t>----------------------------------</w:t>
      </w:r>
    </w:p>
    <w:p w14:paraId="365DA91A" w14:textId="00CD6002" w:rsidR="00D15253" w:rsidRPr="00FD5195" w:rsidRDefault="00D15253" w:rsidP="00D15253">
      <w:pPr>
        <w:pStyle w:val="Paragraph"/>
        <w:ind w:firstLine="0"/>
        <w:jc w:val="center"/>
        <w:rPr>
          <w:color w:val="000000" w:themeColor="text1"/>
        </w:rPr>
      </w:pPr>
      <w:r w:rsidRPr="00FD5195">
        <w:rPr>
          <w:color w:val="000000" w:themeColor="text1"/>
        </w:rPr>
        <w:t xml:space="preserve">Insert Table </w:t>
      </w:r>
      <w:r>
        <w:rPr>
          <w:color w:val="000000" w:themeColor="text1"/>
        </w:rPr>
        <w:t>7</w:t>
      </w:r>
      <w:r w:rsidRPr="00FD5195">
        <w:rPr>
          <w:color w:val="000000" w:themeColor="text1"/>
        </w:rPr>
        <w:t xml:space="preserve"> about here</w:t>
      </w:r>
    </w:p>
    <w:p w14:paraId="64538257" w14:textId="61E8CCCB" w:rsidR="00D15253" w:rsidRPr="000C4487" w:rsidRDefault="00D15253" w:rsidP="00D15253">
      <w:pPr>
        <w:pStyle w:val="Paragraph"/>
        <w:spacing w:after="120"/>
        <w:ind w:firstLine="0"/>
        <w:jc w:val="center"/>
        <w:rPr>
          <w:color w:val="000000" w:themeColor="text1"/>
        </w:rPr>
      </w:pPr>
      <w:r w:rsidRPr="00743AFB">
        <w:rPr>
          <w:color w:val="000000" w:themeColor="text1"/>
        </w:rPr>
        <w:t>-----------------------------------</w:t>
      </w:r>
    </w:p>
    <w:p w14:paraId="78733032" w14:textId="3653F324" w:rsidR="003156EF" w:rsidRPr="003156EF" w:rsidRDefault="003156EF" w:rsidP="00D15253">
      <w:pPr>
        <w:pStyle w:val="berschrift3"/>
        <w:jc w:val="both"/>
      </w:pPr>
      <w:r w:rsidRPr="003156EF">
        <w:t>Results of H3 – Organizational cultural distance and post-deal innovativeness</w:t>
      </w:r>
    </w:p>
    <w:p w14:paraId="760CEC57" w14:textId="77777777" w:rsidR="003156EF" w:rsidRPr="000C4487" w:rsidRDefault="003156EF" w:rsidP="004800A4">
      <w:pPr>
        <w:pStyle w:val="Paragraph"/>
        <w:ind w:firstLine="708"/>
        <w:jc w:val="both"/>
        <w:rPr>
          <w:color w:val="000000" w:themeColor="text1"/>
        </w:rPr>
      </w:pPr>
      <w:r w:rsidRPr="000C4487">
        <w:rPr>
          <w:color w:val="000000" w:themeColor="text1"/>
        </w:rPr>
        <w:t>In H3, we propose that cultural differences between the acquirer and the target may harm the acquirer's long-term innovativeness, measured by patents and new product development (NPD). This is because M&amp;A transactions can disrupt the acquirer's R&amp;D and NPD processes due to the necessity to integrate the target firm. The cultural friction hypothesis</w:t>
      </w:r>
      <w:r>
        <w:rPr>
          <w:color w:val="000000" w:themeColor="text1"/>
        </w:rPr>
        <w:t xml:space="preserve"> (Hofstede, 1980)</w:t>
      </w:r>
      <w:r w:rsidRPr="000C4487">
        <w:rPr>
          <w:color w:val="000000" w:themeColor="text1"/>
        </w:rPr>
        <w:t xml:space="preserve"> also suggests that acquisitions may lead to reduced communication, collaboration, and trust, further hampering the acquirer's innovation processes.</w:t>
      </w:r>
    </w:p>
    <w:p w14:paraId="68D3C14F" w14:textId="77777777" w:rsidR="003156EF" w:rsidRPr="000C4487" w:rsidRDefault="003156EF" w:rsidP="00D15253">
      <w:pPr>
        <w:pStyle w:val="Paragraph"/>
        <w:ind w:firstLine="708"/>
        <w:jc w:val="both"/>
        <w:rPr>
          <w:color w:val="000000" w:themeColor="text1"/>
        </w:rPr>
      </w:pPr>
      <w:r w:rsidRPr="000C4487">
        <w:rPr>
          <w:color w:val="000000" w:themeColor="text1"/>
        </w:rPr>
        <w:t>For Model 1, we find that organizational cultural distance has a significant negative effect on the acquirer's patent activity in the two years following the acquisition, supporting H3a (</w:t>
      </w:r>
      <w:r w:rsidRPr="000C4487">
        <w:rPr>
          <w:i/>
          <w:color w:val="000000" w:themeColor="text1"/>
        </w:rPr>
        <w:t>t =</w:t>
      </w:r>
      <w:r w:rsidRPr="000C4487">
        <w:rPr>
          <w:color w:val="000000" w:themeColor="text1"/>
        </w:rPr>
        <w:t xml:space="preserve"> -2.573, </w:t>
      </w:r>
      <w:r w:rsidRPr="000C4487">
        <w:rPr>
          <w:i/>
          <w:color w:val="000000" w:themeColor="text1"/>
        </w:rPr>
        <w:t>p &lt;</w:t>
      </w:r>
      <w:r w:rsidRPr="000C4487">
        <w:rPr>
          <w:color w:val="000000" w:themeColor="text1"/>
        </w:rPr>
        <w:t xml:space="preserve"> .05). This effect is primarily driven by differences in the adhocracy culture dimension, as indicated by the results of Model 3 (</w:t>
      </w:r>
      <w:r w:rsidRPr="000C4487">
        <w:rPr>
          <w:i/>
          <w:color w:val="000000" w:themeColor="text1"/>
        </w:rPr>
        <w:t>t =</w:t>
      </w:r>
      <w:r w:rsidRPr="000C4487">
        <w:rPr>
          <w:color w:val="000000" w:themeColor="text1"/>
        </w:rPr>
        <w:t xml:space="preserve"> -1.959, </w:t>
      </w:r>
      <w:r w:rsidRPr="000C4487">
        <w:rPr>
          <w:i/>
          <w:color w:val="000000" w:themeColor="text1"/>
        </w:rPr>
        <w:t>p &lt;</w:t>
      </w:r>
      <w:r w:rsidRPr="000C4487">
        <w:rPr>
          <w:color w:val="000000" w:themeColor="text1"/>
        </w:rPr>
        <w:t xml:space="preserve"> .1). This aligns with the CVF's assertion that adhocracy culture is associated with creativity and the generation of new ideas</w:t>
      </w:r>
      <w:r>
        <w:rPr>
          <w:color w:val="000000" w:themeColor="text1"/>
        </w:rPr>
        <w:t xml:space="preserve"> (Cameron et al., 2006)</w:t>
      </w:r>
      <w:r w:rsidRPr="000C4487">
        <w:rPr>
          <w:color w:val="000000" w:themeColor="text1"/>
        </w:rPr>
        <w:t>.</w:t>
      </w:r>
    </w:p>
    <w:p w14:paraId="1EABEFB5" w14:textId="77777777" w:rsidR="003156EF" w:rsidRPr="000C4487" w:rsidRDefault="003156EF" w:rsidP="00D15253">
      <w:pPr>
        <w:pStyle w:val="Paragraph"/>
        <w:ind w:firstLine="708"/>
        <w:jc w:val="both"/>
        <w:rPr>
          <w:color w:val="000000" w:themeColor="text1"/>
        </w:rPr>
      </w:pPr>
      <w:r w:rsidRPr="000C4487">
        <w:rPr>
          <w:color w:val="000000" w:themeColor="text1"/>
        </w:rPr>
        <w:t>For Model 2, we find a significant negative effect of organizational cultural distance on NPD, supporting H3b (</w:t>
      </w:r>
      <w:r w:rsidRPr="000C4487">
        <w:rPr>
          <w:i/>
          <w:iCs/>
          <w:color w:val="000000" w:themeColor="text1"/>
        </w:rPr>
        <w:t>t</w:t>
      </w:r>
      <w:r w:rsidRPr="000C4487">
        <w:rPr>
          <w:color w:val="000000" w:themeColor="text1"/>
        </w:rPr>
        <w:t xml:space="preserve"> = -1.827, </w:t>
      </w:r>
      <w:r w:rsidRPr="000C4487">
        <w:rPr>
          <w:i/>
          <w:iCs/>
          <w:color w:val="000000" w:themeColor="text1"/>
        </w:rPr>
        <w:t>p</w:t>
      </w:r>
      <w:r w:rsidRPr="000C4487">
        <w:rPr>
          <w:color w:val="000000" w:themeColor="text1"/>
        </w:rPr>
        <w:t xml:space="preserve"> &lt; .1). Unlike the effect on patent activity, the negative </w:t>
      </w:r>
      <w:r w:rsidRPr="000C4487">
        <w:rPr>
          <w:color w:val="000000" w:themeColor="text1"/>
        </w:rPr>
        <w:lastRenderedPageBreak/>
        <w:t>impact on NPD is driven by differences in hierarchy culture rather than adhocracy culture (</w:t>
      </w:r>
      <w:r w:rsidRPr="000C4487">
        <w:rPr>
          <w:i/>
          <w:iCs/>
          <w:color w:val="000000" w:themeColor="text1"/>
        </w:rPr>
        <w:t>t</w:t>
      </w:r>
      <w:r w:rsidRPr="000C4487">
        <w:rPr>
          <w:color w:val="000000" w:themeColor="text1"/>
        </w:rPr>
        <w:t xml:space="preserve"> = -3.085, </w:t>
      </w:r>
      <w:r w:rsidRPr="000C4487">
        <w:rPr>
          <w:i/>
          <w:iCs/>
          <w:color w:val="000000" w:themeColor="text1"/>
        </w:rPr>
        <w:t>p</w:t>
      </w:r>
      <w:r w:rsidRPr="000C4487">
        <w:rPr>
          <w:color w:val="000000" w:themeColor="text1"/>
        </w:rPr>
        <w:t xml:space="preserve"> &lt; .001). This may be because product innovation often tends to be more incremental in nature, requiring well-established structures and processes to ensure consistent quality and continuous improvement. </w:t>
      </w:r>
    </w:p>
    <w:p w14:paraId="1540E451" w14:textId="77777777" w:rsidR="00D15253" w:rsidRPr="00FD5195" w:rsidRDefault="00D15253" w:rsidP="00D15253">
      <w:pPr>
        <w:pStyle w:val="Paragraph"/>
        <w:ind w:firstLine="0"/>
        <w:jc w:val="center"/>
        <w:rPr>
          <w:color w:val="000000" w:themeColor="text1"/>
        </w:rPr>
      </w:pPr>
      <w:r w:rsidRPr="00FD5195">
        <w:rPr>
          <w:color w:val="000000" w:themeColor="text1"/>
        </w:rPr>
        <w:t>----------------------------------</w:t>
      </w:r>
    </w:p>
    <w:p w14:paraId="7583A9D9" w14:textId="61CD399E" w:rsidR="00D15253" w:rsidRPr="00FD5195" w:rsidRDefault="00D15253" w:rsidP="00D15253">
      <w:pPr>
        <w:pStyle w:val="Paragraph"/>
        <w:ind w:firstLine="0"/>
        <w:jc w:val="center"/>
        <w:rPr>
          <w:color w:val="000000" w:themeColor="text1"/>
        </w:rPr>
      </w:pPr>
      <w:r w:rsidRPr="00FD5195">
        <w:rPr>
          <w:color w:val="000000" w:themeColor="text1"/>
        </w:rPr>
        <w:t xml:space="preserve">Insert Table </w:t>
      </w:r>
      <w:r>
        <w:rPr>
          <w:color w:val="000000" w:themeColor="text1"/>
        </w:rPr>
        <w:t>8</w:t>
      </w:r>
      <w:r w:rsidRPr="00FD5195">
        <w:rPr>
          <w:color w:val="000000" w:themeColor="text1"/>
        </w:rPr>
        <w:t xml:space="preserve"> about here</w:t>
      </w:r>
    </w:p>
    <w:p w14:paraId="5CC1E37C" w14:textId="19283C04" w:rsidR="00D15253" w:rsidRPr="000C4487" w:rsidRDefault="00D15253" w:rsidP="00D15253">
      <w:pPr>
        <w:pStyle w:val="Paragraph"/>
        <w:spacing w:after="120"/>
        <w:ind w:firstLine="0"/>
        <w:jc w:val="center"/>
        <w:rPr>
          <w:color w:val="000000" w:themeColor="text1"/>
        </w:rPr>
      </w:pPr>
      <w:r w:rsidRPr="00743AFB">
        <w:rPr>
          <w:color w:val="000000" w:themeColor="text1"/>
        </w:rPr>
        <w:t>-----------------------------------</w:t>
      </w:r>
    </w:p>
    <w:p w14:paraId="3ADA6E5E" w14:textId="4F668D08" w:rsidR="003156EF" w:rsidRPr="0011734B" w:rsidRDefault="003156EF" w:rsidP="00677B96">
      <w:pPr>
        <w:pStyle w:val="berschrift2"/>
        <w:rPr>
          <w:lang w:val="en-US"/>
        </w:rPr>
      </w:pPr>
      <w:bookmarkStart w:id="431" w:name="_Toc180963627"/>
      <w:r w:rsidRPr="0011734B">
        <w:rPr>
          <w:lang w:val="en-US"/>
        </w:rPr>
        <w:t xml:space="preserve">Robustness </w:t>
      </w:r>
      <w:r w:rsidR="0070731D" w:rsidRPr="0011734B">
        <w:rPr>
          <w:lang w:val="en-US"/>
        </w:rPr>
        <w:t>Checks</w:t>
      </w:r>
      <w:bookmarkEnd w:id="431"/>
    </w:p>
    <w:p w14:paraId="68C8EBC1" w14:textId="77777777" w:rsidR="003156EF" w:rsidRPr="000C4487" w:rsidRDefault="003156EF" w:rsidP="004800A4">
      <w:pPr>
        <w:pStyle w:val="Paragraph"/>
        <w:ind w:firstLine="708"/>
        <w:jc w:val="both"/>
        <w:rPr>
          <w:color w:val="000000" w:themeColor="text1"/>
        </w:rPr>
      </w:pPr>
      <w:r w:rsidRPr="000C4487">
        <w:rPr>
          <w:color w:val="000000" w:themeColor="text1"/>
        </w:rPr>
        <w:t xml:space="preserve">To validate our primary analyses, we conducted several additional robustness checks (see the online supplement for detailed code results). First, we replaced our main independent variable, </w:t>
      </w:r>
      <w:r w:rsidRPr="000C4487">
        <w:rPr>
          <w:i/>
          <w:iCs/>
          <w:color w:val="000000" w:themeColor="text1"/>
        </w:rPr>
        <w:t>deal_culturaldistance</w:t>
      </w:r>
      <w:r w:rsidRPr="000C4487">
        <w:rPr>
          <w:color w:val="000000" w:themeColor="text1"/>
        </w:rPr>
        <w:t xml:space="preserve">, with the Jensen-Shannon (JS) divergence measure used by </w:t>
      </w:r>
      <w:r>
        <w:rPr>
          <w:color w:val="000000" w:themeColor="text1"/>
        </w:rPr>
        <w:t xml:space="preserve">Corritore et al. (2020) </w:t>
      </w:r>
      <w:r w:rsidRPr="000C4487">
        <w:rPr>
          <w:color w:val="000000" w:themeColor="text1"/>
        </w:rPr>
        <w:t xml:space="preserve">to capture the cultural homogeneity of Glassdoor reviews. JS divergence measures the difference between the probability distributions of the organizational cultural dimensions of the acquirer and the target. The variable </w:t>
      </w:r>
      <w:r w:rsidRPr="000C4487">
        <w:rPr>
          <w:i/>
          <w:iCs/>
          <w:color w:val="000000" w:themeColor="text1"/>
        </w:rPr>
        <w:t>deal_culturaldistance_js</w:t>
      </w:r>
      <w:r w:rsidRPr="000C4487">
        <w:rPr>
          <w:color w:val="000000" w:themeColor="text1"/>
        </w:rPr>
        <w:t xml:space="preserve"> remained statistically significant in all analyses, except for long-term synergies (</w:t>
      </w:r>
      <w:r w:rsidRPr="000C4487">
        <w:rPr>
          <w:i/>
          <w:iCs/>
          <w:color w:val="000000" w:themeColor="text1"/>
        </w:rPr>
        <w:t>acq_sales_4yr_growth</w:t>
      </w:r>
      <w:r w:rsidRPr="000C4487">
        <w:rPr>
          <w:color w:val="000000" w:themeColor="text1"/>
        </w:rPr>
        <w:t>).</w:t>
      </w:r>
    </w:p>
    <w:p w14:paraId="7F09429F" w14:textId="77777777" w:rsidR="003156EF" w:rsidRPr="000C4487" w:rsidRDefault="003156EF" w:rsidP="00D15253">
      <w:pPr>
        <w:pStyle w:val="Paragraph"/>
        <w:jc w:val="both"/>
        <w:rPr>
          <w:color w:val="000000" w:themeColor="text1"/>
        </w:rPr>
      </w:pPr>
      <w:r w:rsidRPr="000C4487">
        <w:rPr>
          <w:color w:val="000000" w:themeColor="text1"/>
        </w:rPr>
        <w:t>Second, our sample includes five observations where the acquirer held between 0% and 50% of the target’s shares prior to the deal announcement. We excluded these toehold deals from our main analyses to ensure that the acquirer had not already influenced the target's culture. With the exception of long-term synergy gains (</w:t>
      </w:r>
      <w:r w:rsidRPr="000C4487">
        <w:rPr>
          <w:i/>
          <w:iCs/>
          <w:color w:val="000000" w:themeColor="text1"/>
        </w:rPr>
        <w:t>acq_sales_4yr_growth</w:t>
      </w:r>
      <w:r w:rsidRPr="000C4487">
        <w:rPr>
          <w:color w:val="000000" w:themeColor="text1"/>
        </w:rPr>
        <w:t>) and combined acquirer-target performance (</w:t>
      </w:r>
      <w:r w:rsidRPr="000C4487">
        <w:rPr>
          <w:i/>
          <w:iCs/>
          <w:color w:val="000000" w:themeColor="text1"/>
        </w:rPr>
        <w:t>deal_car_weighted</w:t>
      </w:r>
      <w:r w:rsidRPr="000C4487">
        <w:rPr>
          <w:color w:val="000000" w:themeColor="text1"/>
        </w:rPr>
        <w:t>), the results remained statistically significant across all analyses.</w:t>
      </w:r>
    </w:p>
    <w:p w14:paraId="214DC31A" w14:textId="77777777" w:rsidR="003156EF" w:rsidRPr="000C4487" w:rsidRDefault="003156EF" w:rsidP="00D15253">
      <w:pPr>
        <w:pStyle w:val="Paragraph"/>
        <w:jc w:val="both"/>
        <w:rPr>
          <w:color w:val="000000" w:themeColor="text1"/>
        </w:rPr>
      </w:pPr>
      <w:r w:rsidRPr="000C4487">
        <w:rPr>
          <w:color w:val="000000" w:themeColor="text1"/>
        </w:rPr>
        <w:t>Third, although we controlled for national cultural distance between acquirer and target countries (</w:t>
      </w:r>
      <w:r w:rsidRPr="000C4487">
        <w:rPr>
          <w:i/>
          <w:iCs/>
          <w:color w:val="000000" w:themeColor="text1"/>
        </w:rPr>
        <w:t>deal_hofstede_distance</w:t>
      </w:r>
      <w:r w:rsidRPr="000C4487">
        <w:rPr>
          <w:color w:val="000000" w:themeColor="text1"/>
        </w:rPr>
        <w:t xml:space="preserve">), we additionally removed 34 cross-border deals from our sample to account for potential international effects, such as regulatory or country-level institutional confounders. The main analyses using </w:t>
      </w:r>
      <w:r w:rsidRPr="000C4487">
        <w:rPr>
          <w:i/>
          <w:iCs/>
          <w:color w:val="000000" w:themeColor="text1"/>
        </w:rPr>
        <w:t>deal_culturaldistance</w:t>
      </w:r>
      <w:r w:rsidRPr="000C4487">
        <w:rPr>
          <w:color w:val="000000" w:themeColor="text1"/>
        </w:rPr>
        <w:t xml:space="preserve"> remained robust, </w:t>
      </w:r>
      <w:r w:rsidRPr="000C4487">
        <w:rPr>
          <w:color w:val="000000" w:themeColor="text1"/>
        </w:rPr>
        <w:lastRenderedPageBreak/>
        <w:t>except again for long-term synergies (</w:t>
      </w:r>
      <w:r w:rsidRPr="000C4487">
        <w:rPr>
          <w:i/>
          <w:iCs/>
          <w:color w:val="000000" w:themeColor="text1"/>
        </w:rPr>
        <w:t>acq_sales_4yr_growth</w:t>
      </w:r>
      <w:r w:rsidRPr="000C4487">
        <w:rPr>
          <w:color w:val="000000" w:themeColor="text1"/>
        </w:rPr>
        <w:t>), even after excluding these cross-border deals.</w:t>
      </w:r>
    </w:p>
    <w:p w14:paraId="3F42814E" w14:textId="77777777" w:rsidR="003156EF" w:rsidRPr="000C4487" w:rsidRDefault="003156EF" w:rsidP="00D15253">
      <w:pPr>
        <w:pStyle w:val="Paragraph"/>
        <w:jc w:val="both"/>
        <w:rPr>
          <w:color w:val="000000" w:themeColor="text1"/>
        </w:rPr>
      </w:pPr>
      <w:r w:rsidRPr="000C4487">
        <w:rPr>
          <w:color w:val="000000" w:themeColor="text1"/>
        </w:rPr>
        <w:t xml:space="preserve">Fourth, we explored the possibility of a nonlinear relationship between </w:t>
      </w:r>
      <w:r w:rsidRPr="000C4487">
        <w:rPr>
          <w:i/>
          <w:iCs/>
          <w:color w:val="000000" w:themeColor="text1"/>
        </w:rPr>
        <w:t>deal_culturaldistance</w:t>
      </w:r>
      <w:r w:rsidRPr="000C4487">
        <w:rPr>
          <w:color w:val="000000" w:themeColor="text1"/>
        </w:rPr>
        <w:t xml:space="preserve"> and our main dependent variables by including a quadratic term (</w:t>
      </w:r>
      <w:r w:rsidRPr="000C4487">
        <w:rPr>
          <w:i/>
          <w:iCs/>
          <w:color w:val="000000" w:themeColor="text1"/>
        </w:rPr>
        <w:t>deal_culturaldistance_quadr</w:t>
      </w:r>
      <w:r w:rsidRPr="000C4487">
        <w:rPr>
          <w:color w:val="000000" w:themeColor="text1"/>
        </w:rPr>
        <w:t>) in all models. After thoroughly examining the results, we found no evidence of a nonlinear relationship, suggesting that the linear model adequately captures the relationship.</w:t>
      </w:r>
    </w:p>
    <w:p w14:paraId="75676466" w14:textId="77777777" w:rsidR="003156EF" w:rsidRPr="000C4487" w:rsidRDefault="003156EF" w:rsidP="00D15253">
      <w:pPr>
        <w:pStyle w:val="Paragraph"/>
        <w:jc w:val="both"/>
        <w:rPr>
          <w:color w:val="000000" w:themeColor="text1"/>
        </w:rPr>
      </w:pPr>
      <w:r w:rsidRPr="000C4487">
        <w:rPr>
          <w:color w:val="000000" w:themeColor="text1"/>
        </w:rPr>
        <w:t>Fifth, we included the acquisition premium (</w:t>
      </w:r>
      <w:r w:rsidRPr="000C4487">
        <w:rPr>
          <w:i/>
          <w:iCs/>
          <w:color w:val="000000" w:themeColor="text1"/>
        </w:rPr>
        <w:t>deal_premium_1week</w:t>
      </w:r>
      <w:r w:rsidRPr="000C4487">
        <w:rPr>
          <w:color w:val="000000" w:themeColor="text1"/>
        </w:rPr>
        <w:t>) as a predictor in all models where it was not already included as a dependent variable. This ensured that the observed effects were not driven by an omitted variable not previously included in our analysis.</w:t>
      </w:r>
    </w:p>
    <w:p w14:paraId="1A839FCF" w14:textId="77777777" w:rsidR="003156EF" w:rsidRPr="000C4487" w:rsidRDefault="003156EF" w:rsidP="00D15253">
      <w:pPr>
        <w:pStyle w:val="Paragraph"/>
        <w:jc w:val="both"/>
        <w:rPr>
          <w:color w:val="000000" w:themeColor="text1"/>
        </w:rPr>
      </w:pPr>
      <w:r w:rsidRPr="000C4487">
        <w:rPr>
          <w:color w:val="000000" w:themeColor="text1"/>
        </w:rPr>
        <w:t>Sixth, we re-examined the hypothesized negative relationship between organizational cultural distance and long-term synergy gains (H1b) using propensity score matching, a method designed to minimize differences between treatment and control groups based on specific covariates, making inferences about treatment effects more robust and unbiased</w:t>
      </w:r>
      <w:r>
        <w:rPr>
          <w:color w:val="000000" w:themeColor="text1"/>
        </w:rPr>
        <w:t xml:space="preserve"> (Rubin, 2006)</w:t>
      </w:r>
      <w:r w:rsidRPr="000C4487">
        <w:rPr>
          <w:color w:val="000000" w:themeColor="text1"/>
        </w:rPr>
        <w:t>. Matching ensures that differences in the dependent variable are due to the treatment variable, not to pre-existing sample differences</w:t>
      </w:r>
      <w:r>
        <w:rPr>
          <w:color w:val="000000" w:themeColor="text1"/>
        </w:rPr>
        <w:t xml:space="preserve"> (Connelly, Sackett, &amp; Waters, 2013)</w:t>
      </w:r>
      <w:r w:rsidRPr="000C4487">
        <w:rPr>
          <w:color w:val="000000" w:themeColor="text1"/>
        </w:rPr>
        <w:t>. Building on previous research on organizational cultural distance and M&amp;A</w:t>
      </w:r>
      <w:r>
        <w:rPr>
          <w:color w:val="000000" w:themeColor="text1"/>
        </w:rPr>
        <w:t xml:space="preserve"> (Bereskin et al., 2018)</w:t>
      </w:r>
      <w:r w:rsidRPr="000C4487">
        <w:rPr>
          <w:color w:val="000000" w:themeColor="text1"/>
        </w:rPr>
        <w:t xml:space="preserve"> and following established guidelines</w:t>
      </w:r>
      <w:r>
        <w:rPr>
          <w:color w:val="000000" w:themeColor="text1"/>
        </w:rPr>
        <w:t xml:space="preserve"> (Narita, Tena, &amp; Detotto, 2023; Stuart, 2010)</w:t>
      </w:r>
      <w:r w:rsidRPr="000C4487">
        <w:rPr>
          <w:color w:val="000000" w:themeColor="text1"/>
        </w:rPr>
        <w:t>, we first operationalized our treatment variable by creating an indicator variable (</w:t>
      </w:r>
      <w:r w:rsidRPr="000C4487">
        <w:rPr>
          <w:i/>
          <w:iCs/>
          <w:color w:val="000000" w:themeColor="text1"/>
        </w:rPr>
        <w:t>deal_high_culturaldistance</w:t>
      </w:r>
      <w:r w:rsidRPr="000C4487">
        <w:rPr>
          <w:color w:val="000000" w:themeColor="text1"/>
        </w:rPr>
        <w:t>), which denotes significant organizational cultural distance between acquirers and targets. M&amp;A pairs with a cultural distance above the 80th percentile were assigned a value of 1, while those below were assigned a value of 0. We then computed relevant covariates for each M&amp;A transaction, drawing on variables known to influence both synergy realization and organizational cultural differences</w:t>
      </w:r>
      <w:r>
        <w:rPr>
          <w:color w:val="000000" w:themeColor="text1"/>
        </w:rPr>
        <w:t xml:space="preserve"> </w:t>
      </w:r>
      <w:r w:rsidRPr="006457A0">
        <w:rPr>
          <w:color w:val="000000" w:themeColor="text1"/>
        </w:rPr>
        <w:t xml:space="preserve">(Andrade, Mitchell, &amp; Stafford, 2001; Arikan &amp; Stulz, 2016; Bauer &amp; Matzler, 2014; Kumar, 1985; Ramaswamy, 1997). </w:t>
      </w:r>
      <w:r w:rsidRPr="000C4487">
        <w:rPr>
          <w:color w:val="000000" w:themeColor="text1"/>
        </w:rPr>
        <w:t xml:space="preserve">These covariates, selected for their stability over time or collected prior to the transaction year </w:t>
      </w:r>
      <w:r>
        <w:rPr>
          <w:color w:val="000000" w:themeColor="text1"/>
        </w:rPr>
        <w:lastRenderedPageBreak/>
        <w:t>(Rosenbaum &amp; Rubin, 1983, 1984)</w:t>
      </w:r>
      <w:r w:rsidRPr="000C4487">
        <w:rPr>
          <w:color w:val="000000" w:themeColor="text1"/>
        </w:rPr>
        <w:t xml:space="preserve">, include </w:t>
      </w:r>
      <w:r w:rsidRPr="000C4487">
        <w:rPr>
          <w:i/>
          <w:iCs/>
          <w:color w:val="000000" w:themeColor="text1"/>
        </w:rPr>
        <w:t>deal_size_difference</w:t>
      </w:r>
      <w:r w:rsidRPr="000C4487">
        <w:rPr>
          <w:color w:val="000000" w:themeColor="text1"/>
        </w:rPr>
        <w:t xml:space="preserve">, </w:t>
      </w:r>
      <w:r w:rsidRPr="000C4487">
        <w:rPr>
          <w:i/>
          <w:iCs/>
          <w:color w:val="000000" w:themeColor="text1"/>
        </w:rPr>
        <w:t>deal_roa_difference</w:t>
      </w:r>
      <w:r w:rsidRPr="000C4487">
        <w:rPr>
          <w:color w:val="000000" w:themeColor="text1"/>
        </w:rPr>
        <w:t xml:space="preserve">, </w:t>
      </w:r>
      <w:r w:rsidRPr="000C4487">
        <w:rPr>
          <w:i/>
          <w:iCs/>
          <w:color w:val="000000" w:themeColor="text1"/>
        </w:rPr>
        <w:t>deal_age_difference</w:t>
      </w:r>
      <w:r w:rsidRPr="000C4487">
        <w:rPr>
          <w:color w:val="000000" w:themeColor="text1"/>
        </w:rPr>
        <w:t xml:space="preserve">, </w:t>
      </w:r>
      <w:r w:rsidRPr="000C4487">
        <w:rPr>
          <w:i/>
          <w:iCs/>
          <w:color w:val="000000" w:themeColor="text1"/>
        </w:rPr>
        <w:t>deal_sic_difference</w:t>
      </w:r>
      <w:r w:rsidRPr="000C4487">
        <w:rPr>
          <w:color w:val="000000" w:themeColor="text1"/>
        </w:rPr>
        <w:t xml:space="preserve">, and </w:t>
      </w:r>
      <w:r w:rsidRPr="000C4487">
        <w:rPr>
          <w:i/>
          <w:iCs/>
          <w:color w:val="000000" w:themeColor="text1"/>
        </w:rPr>
        <w:t>deal_hofstede_distance</w:t>
      </w:r>
      <w:r w:rsidRPr="000C4487">
        <w:rPr>
          <w:color w:val="000000" w:themeColor="text1"/>
        </w:rPr>
        <w:t xml:space="preserve"> (see Appendix B for detailed descriptions). Propensity scores were derived through logistic regression using absolute differences in size, age, performance, industry, and national cultural distance. Given the significantly larger number of non-high cultural distance deals, a three-to-one nearest neighbor matching approach was applied</w:t>
      </w:r>
      <w:r>
        <w:rPr>
          <w:color w:val="000000" w:themeColor="text1"/>
        </w:rPr>
        <w:t xml:space="preserve"> (Stuart, 2010)</w:t>
      </w:r>
      <w:r w:rsidRPr="000C4487">
        <w:rPr>
          <w:color w:val="000000" w:themeColor="text1"/>
        </w:rPr>
        <w:t>. This matched all high cultural distance M&amp;A deals (N = 38) with similar non-high cultural distance deals. Standardized mean differences below 0.1 and variance ratios below two after matching confirmed that the propensity scores of the control group closely resembled those of the treatment group.</w:t>
      </w:r>
    </w:p>
    <w:p w14:paraId="46967A54" w14:textId="77777777" w:rsidR="003156EF" w:rsidRPr="000C4487" w:rsidRDefault="003156EF" w:rsidP="00D15253">
      <w:pPr>
        <w:pStyle w:val="Paragraph"/>
        <w:jc w:val="both"/>
        <w:rPr>
          <w:color w:val="000000" w:themeColor="text1"/>
        </w:rPr>
      </w:pPr>
      <w:r w:rsidRPr="000C4487">
        <w:rPr>
          <w:color w:val="000000" w:themeColor="text1"/>
        </w:rPr>
        <w:t xml:space="preserve">To measure the effect of high organizational cultural distance on long-term synergies, we conducted a linear regression with </w:t>
      </w:r>
      <w:r w:rsidRPr="000C4487">
        <w:rPr>
          <w:i/>
          <w:iCs/>
          <w:color w:val="000000" w:themeColor="text1"/>
        </w:rPr>
        <w:t>acq_2yr_sales_growth</w:t>
      </w:r>
      <w:r w:rsidRPr="000C4487">
        <w:rPr>
          <w:color w:val="000000" w:themeColor="text1"/>
        </w:rPr>
        <w:t xml:space="preserve"> as the outcome and </w:t>
      </w:r>
      <w:r w:rsidRPr="000C4487">
        <w:rPr>
          <w:i/>
          <w:iCs/>
          <w:color w:val="000000" w:themeColor="text1"/>
        </w:rPr>
        <w:t>deal_high_culturaldistance</w:t>
      </w:r>
      <w:r w:rsidRPr="000C4487">
        <w:rPr>
          <w:color w:val="000000" w:themeColor="text1"/>
        </w:rPr>
        <w:t xml:space="preserve"> as the exposure. Using cluster-robust variance to estimate standard errors, our analysis revealed that high cultural distance reduced long-term synergies by -.089 points (95% CI [-.157, -.021], </w:t>
      </w:r>
      <w:r w:rsidRPr="000C4487">
        <w:rPr>
          <w:i/>
          <w:iCs/>
          <w:color w:val="000000" w:themeColor="text1"/>
        </w:rPr>
        <w:t>p</w:t>
      </w:r>
      <w:r w:rsidRPr="000C4487">
        <w:rPr>
          <w:color w:val="000000" w:themeColor="text1"/>
        </w:rPr>
        <w:t xml:space="preserve"> &lt; .05), consistent with the results of our primary analysis. Notably, the inclusion of additional controls in the regression did not significantly reduce bias or increase significance.</w:t>
      </w:r>
    </w:p>
    <w:p w14:paraId="15DFAFDA" w14:textId="77777777" w:rsidR="003156EF" w:rsidRPr="000C4487" w:rsidRDefault="003156EF" w:rsidP="00D15253">
      <w:pPr>
        <w:pStyle w:val="Paragraph"/>
        <w:jc w:val="both"/>
        <w:rPr>
          <w:color w:val="000000" w:themeColor="text1"/>
        </w:rPr>
      </w:pPr>
      <w:r w:rsidRPr="000C4487">
        <w:rPr>
          <w:color w:val="000000" w:themeColor="text1"/>
        </w:rPr>
        <w:t>Finally, we conducted a synthetic counterfactual analysis to further support our hypothesis regarding H1b. Following the approach used by</w:t>
      </w:r>
      <w:r>
        <w:rPr>
          <w:color w:val="000000" w:themeColor="text1"/>
        </w:rPr>
        <w:t xml:space="preserve"> Bereskin et al. (2018)</w:t>
      </w:r>
      <w:r w:rsidRPr="000C4487">
        <w:rPr>
          <w:color w:val="000000" w:themeColor="text1"/>
        </w:rPr>
        <w:t>, we created a synthetic dataset of pseudo-M&amp;A deals by assigning all possible targets to each acquirer for each year. From this, we took a random sample to test our hypothesis on a larger set of unrealized M&amp;A deals, examining whether combined sales growth (</w:t>
      </w:r>
      <w:r w:rsidRPr="000C4487">
        <w:rPr>
          <w:i/>
          <w:iCs/>
          <w:color w:val="000000" w:themeColor="text1"/>
        </w:rPr>
        <w:t>comb_2yr_sales_growth</w:t>
      </w:r>
      <w:r w:rsidRPr="000C4487">
        <w:rPr>
          <w:color w:val="000000" w:themeColor="text1"/>
        </w:rPr>
        <w:t xml:space="preserve">) is lower for M&amp;A deals with high cultural distance. Using propensity score matching with a one-to-one nearest neighbor matching strategy, we achieved a very high balance between the high and low cultural distance groups (N = 600), with all post-match standardized mean differences below .05. Using linear regression with combined long-term synergies as the outcome and high organizational cultural distance as the exposure, we observed a reduction in </w:t>
      </w:r>
      <w:r w:rsidRPr="000C4487">
        <w:rPr>
          <w:color w:val="000000" w:themeColor="text1"/>
        </w:rPr>
        <w:lastRenderedPageBreak/>
        <w:t xml:space="preserve">long-term synergy gains of -.122 points (95% CI [-.3729, -.0209], </w:t>
      </w:r>
      <w:r w:rsidRPr="000C4487">
        <w:rPr>
          <w:i/>
          <w:iCs/>
          <w:color w:val="000000" w:themeColor="text1"/>
        </w:rPr>
        <w:t>p</w:t>
      </w:r>
      <w:r w:rsidRPr="000C4487">
        <w:rPr>
          <w:color w:val="000000" w:themeColor="text1"/>
        </w:rPr>
        <w:t xml:space="preserve"> &lt; .01) associated with </w:t>
      </w:r>
      <w:r w:rsidRPr="000C4487">
        <w:rPr>
          <w:i/>
          <w:iCs/>
          <w:color w:val="000000" w:themeColor="text1"/>
        </w:rPr>
        <w:t>deal_high_culturaldistance</w:t>
      </w:r>
      <w:r w:rsidRPr="000C4487">
        <w:rPr>
          <w:color w:val="000000" w:themeColor="text1"/>
        </w:rPr>
        <w:t>. As in our previous analyses, the inclusion of additional controls did not significantly reduce bias or increase power. Moreover, the results remained consistent across different sample sizes, further reinforcing the robustness of our findings.</w:t>
      </w:r>
    </w:p>
    <w:p w14:paraId="4169EEAD" w14:textId="772AE6C1" w:rsidR="003156EF" w:rsidRPr="003156EF" w:rsidRDefault="003156EF" w:rsidP="00677B96">
      <w:pPr>
        <w:pStyle w:val="berschrift2"/>
        <w:rPr>
          <w:lang w:val="en-US"/>
        </w:rPr>
      </w:pPr>
      <w:bookmarkStart w:id="432" w:name="_Toc180963628"/>
      <w:r w:rsidRPr="003156EF">
        <w:rPr>
          <w:lang w:val="en-US"/>
        </w:rPr>
        <w:t>Conclusion</w:t>
      </w:r>
      <w:bookmarkEnd w:id="432"/>
    </w:p>
    <w:p w14:paraId="17F62A55" w14:textId="77777777" w:rsidR="003156EF" w:rsidRPr="000C4487" w:rsidRDefault="003156EF" w:rsidP="004800A4">
      <w:pPr>
        <w:pStyle w:val="Paragraph"/>
        <w:ind w:firstLine="708"/>
        <w:jc w:val="both"/>
        <w:rPr>
          <w:color w:val="000000" w:themeColor="text1"/>
        </w:rPr>
      </w:pPr>
      <w:r w:rsidRPr="000C4487">
        <w:rPr>
          <w:color w:val="000000" w:themeColor="text1"/>
        </w:rPr>
        <w:t>Using a novel sample of 243 M&amp;As between 2008 and 2021, this study provides evidence on the impact of organizational cultural differences between acquirers and target firms on M&amp;A outcomes. We applied state-of-the-art deep learning techniques, specifically the large language model Culture-BERT</w:t>
      </w:r>
      <w:r>
        <w:rPr>
          <w:color w:val="000000" w:themeColor="text1"/>
        </w:rPr>
        <w:t xml:space="preserve"> (Koch &amp; Pasch, 2022)</w:t>
      </w:r>
      <w:r w:rsidRPr="000C4487">
        <w:rPr>
          <w:color w:val="000000" w:themeColor="text1"/>
        </w:rPr>
        <w:t>, to analyze over 400,000 Glassdoor employee reviews and infer an organizational cultural distance score. This approach addresses the methodological weaknesses of prior studies, which often relied on subjective measures to assess organizational cultural distance and M&amp;A success, thus limiting the comparability and objectivity of results</w:t>
      </w:r>
      <w:r>
        <w:rPr>
          <w:color w:val="000000" w:themeColor="text1"/>
        </w:rPr>
        <w:t xml:space="preserve"> (Rottig, 2017)</w:t>
      </w:r>
      <w:r w:rsidRPr="000C4487">
        <w:rPr>
          <w:color w:val="000000" w:themeColor="text1"/>
        </w:rPr>
        <w:t>.</w:t>
      </w:r>
    </w:p>
    <w:p w14:paraId="59C2BD4B" w14:textId="77777777" w:rsidR="003156EF" w:rsidRPr="002173FB" w:rsidRDefault="003156EF" w:rsidP="00D15253">
      <w:pPr>
        <w:pStyle w:val="Paragraph"/>
        <w:ind w:firstLine="708"/>
        <w:jc w:val="both"/>
        <w:rPr>
          <w:color w:val="000000" w:themeColor="text1"/>
        </w:rPr>
      </w:pPr>
      <w:r w:rsidRPr="000C4487">
        <w:rPr>
          <w:color w:val="000000" w:themeColor="text1"/>
        </w:rPr>
        <w:t>Our study provides several key insights. First, we confirm that organizational cultural distance negatively affects both announcement day market returns (H1a) and post-merger synergy realization (H1b). These findings align with the cultural friction hypothesis</w:t>
      </w:r>
      <w:r>
        <w:rPr>
          <w:color w:val="000000" w:themeColor="text1"/>
        </w:rPr>
        <w:t xml:space="preserve"> (Hofstede, 1980)</w:t>
      </w:r>
      <w:r w:rsidRPr="000C4487">
        <w:rPr>
          <w:color w:val="000000" w:themeColor="text1"/>
        </w:rPr>
        <w:t>, which posits that cultural distance increases coordination and integration costs, thereby hindering M&amp;A performance. The negative relationship between organizational cultural distance and short-term market reactions (H1a) remains robust across various alternative explanations and analytical methods, as demonstrated by numerous robustness tests. Consistent with the cultural friction hypothesis, this negative effect is mainly driven by differences in market cultures, which emphasize autonomy, profitability, and key value drivers such as goal attainment and market share</w:t>
      </w:r>
      <w:r>
        <w:rPr>
          <w:color w:val="000000" w:themeColor="text1"/>
        </w:rPr>
        <w:t xml:space="preserve"> (Cameron et al., 2006)</w:t>
      </w:r>
      <w:r w:rsidRPr="000C4487">
        <w:rPr>
          <w:color w:val="000000" w:themeColor="text1"/>
        </w:rPr>
        <w:t xml:space="preserve">. Shareholders tend to evaluate M&amp;A transactions based on the compatibility of firms' competitive and performance cultures, responding negatively when the target is unlikely to enhance profitability. Further examination of the relationship between organizational cultural distance and long-term synergies at two- and </w:t>
      </w:r>
      <w:r w:rsidRPr="000C4487">
        <w:rPr>
          <w:color w:val="000000" w:themeColor="text1"/>
        </w:rPr>
        <w:lastRenderedPageBreak/>
        <w:t>four-years post-transaction (H1b) supports our initial findings, again showing a negative impact driven by market culture differences. Notably, the results for the four-year period show a slight reduction in robustness, suggesting that cultural differences may diminish after two years, likely due to full cultural integration</w:t>
      </w:r>
      <w:r>
        <w:rPr>
          <w:color w:val="000000" w:themeColor="text1"/>
        </w:rPr>
        <w:t xml:space="preserve"> (Jemison &amp; Sitkin, 1986)</w:t>
      </w:r>
      <w:r w:rsidRPr="000C4487">
        <w:rPr>
          <w:color w:val="000000" w:themeColor="text1"/>
        </w:rPr>
        <w:t>. However, the two-year post-transaction results remain clear, showing a significant negative effect of organizational cultural distance on long-term synergies. Additionally, a quasi-experiment conducted during robustness tests further supports these conclusions. Using propensity score analysis, we find that deals with high organizational cultural distance yield lower long-term synergies compared to those with lower cultural distance, even when deal partners are randomly assigned. Moreover, these high cultural distance deals show significantly lower combined acquirer-target sales growth</w:t>
      </w:r>
      <w:r>
        <w:rPr>
          <w:color w:val="000000" w:themeColor="text1"/>
        </w:rPr>
        <w:t xml:space="preserve"> (e.g., Bereskin et al., 2018)</w:t>
      </w:r>
      <w:r w:rsidRPr="002173FB">
        <w:rPr>
          <w:color w:val="000000" w:themeColor="text1"/>
        </w:rPr>
        <w:t>.</w:t>
      </w:r>
    </w:p>
    <w:p w14:paraId="1EE4CBDA" w14:textId="77777777" w:rsidR="003156EF" w:rsidRPr="002173FB" w:rsidRDefault="003156EF" w:rsidP="00D15253">
      <w:pPr>
        <w:pStyle w:val="Paragraph"/>
        <w:ind w:firstLine="708"/>
        <w:jc w:val="both"/>
        <w:rPr>
          <w:color w:val="000000" w:themeColor="text1"/>
        </w:rPr>
      </w:pPr>
      <w:r w:rsidRPr="000C4487">
        <w:rPr>
          <w:color w:val="000000" w:themeColor="text1"/>
        </w:rPr>
        <w:t>Second, our study offers insight into why organizational cultural distance negatively impacts M&amp;A performance. We show that acquirers dealing with targets exhibiting high cultural distance tend to pay a premium for the target (H2). High premiums, widely recognized in the literature as a potential driver of value-destroying acquisitions</w:t>
      </w:r>
      <w:r>
        <w:rPr>
          <w:color w:val="000000" w:themeColor="text1"/>
        </w:rPr>
        <w:t xml:space="preserve"> (King et al., 2021)</w:t>
      </w:r>
      <w:r w:rsidRPr="000C4487">
        <w:rPr>
          <w:color w:val="000000" w:themeColor="text1"/>
        </w:rPr>
        <w:t xml:space="preserve">, are primarily influenced by differences in market culture. This suggests that acquirers with specific cultural values, such as those discussed earlier, struggle to accurately value targets that do not share these values. In such cases, acquirers incur additional costs for information gathering and contracting, which increases uncertainty and leads to the mispricing of the target’s true value </w:t>
      </w:r>
      <w:r>
        <w:rPr>
          <w:color w:val="000000" w:themeColor="text1"/>
        </w:rPr>
        <w:t>(Giannetti &amp; Yafeh, 2012)</w:t>
      </w:r>
      <w:r w:rsidRPr="000C4487">
        <w:rPr>
          <w:color w:val="000000" w:themeColor="text1"/>
        </w:rPr>
        <w:t>. High organizational cultural distance during the pre-deal phase may also contribute to an information gap caused by poor communication and lack of trust—factors central to our findings in H1a and H1b. This gap further increases uncertainty and ultimately leads to overpayment and inflated acquisition premiums</w:t>
      </w:r>
      <w:r>
        <w:rPr>
          <w:color w:val="000000" w:themeColor="text1"/>
        </w:rPr>
        <w:t xml:space="preserve"> (e.g., Alnahedh &amp; Alhashel, 2021; Smeulders et al., 2023)</w:t>
      </w:r>
      <w:r w:rsidRPr="002173FB">
        <w:rPr>
          <w:color w:val="000000" w:themeColor="text1"/>
        </w:rPr>
        <w:t>.</w:t>
      </w:r>
    </w:p>
    <w:p w14:paraId="4A6D295C" w14:textId="77777777" w:rsidR="003156EF" w:rsidRPr="000C4487" w:rsidRDefault="003156EF" w:rsidP="00D15253">
      <w:pPr>
        <w:pStyle w:val="Paragraph"/>
        <w:ind w:firstLine="708"/>
        <w:jc w:val="both"/>
        <w:rPr>
          <w:color w:val="000000" w:themeColor="text1"/>
        </w:rPr>
      </w:pPr>
      <w:r w:rsidRPr="000C4487">
        <w:rPr>
          <w:color w:val="000000" w:themeColor="text1"/>
        </w:rPr>
        <w:t xml:space="preserve">Third, we examine the relationship between organizational cultural distance and the acquirer's post-deal innovativeness. Our findings reveal a negative impact of organizational </w:t>
      </w:r>
      <w:r w:rsidRPr="000C4487">
        <w:rPr>
          <w:color w:val="000000" w:themeColor="text1"/>
        </w:rPr>
        <w:lastRenderedPageBreak/>
        <w:t>cultural distance on the acquirer's long-term innovativeness, consistent across various measures of innovation. The cultural differences driving these effects vary: differences in adhocracy culture primarily influence patent growth, while differences in hierarchy culture affect new product development. This distinction stems from the differing nature of innovation processes: patenting requires creativity and vision, traits associated with adhocracy culture, whereas new product development demands coordination, timeliness, and consistency, which are aligned with hierarchy culture</w:t>
      </w:r>
      <w:r>
        <w:rPr>
          <w:color w:val="000000" w:themeColor="text1"/>
        </w:rPr>
        <w:t xml:space="preserve"> (Cameron et al., 2006; Child et al., 2003)</w:t>
      </w:r>
      <w:r w:rsidRPr="000C4487">
        <w:rPr>
          <w:color w:val="000000" w:themeColor="text1"/>
        </w:rPr>
        <w:t>.</w:t>
      </w:r>
    </w:p>
    <w:p w14:paraId="58D88CFB" w14:textId="77777777" w:rsidR="003156EF" w:rsidRPr="000C4487" w:rsidRDefault="003156EF" w:rsidP="00D15253">
      <w:pPr>
        <w:pStyle w:val="Paragraph"/>
        <w:ind w:firstLine="708"/>
        <w:jc w:val="both"/>
        <w:rPr>
          <w:color w:val="000000" w:themeColor="text1"/>
        </w:rPr>
      </w:pPr>
      <w:r w:rsidRPr="000C4487">
        <w:rPr>
          <w:color w:val="000000" w:themeColor="text1"/>
        </w:rPr>
        <w:t>Future research could explore whether the effects of organizational cultural distance between acquirers and targets vary depending on the level of target integration. Previous studies on national cultural differences have shown that integration levels can lead to different outcomes</w:t>
      </w:r>
      <w:r>
        <w:rPr>
          <w:color w:val="000000" w:themeColor="text1"/>
        </w:rPr>
        <w:t xml:space="preserve"> (Slangen, 2006)</w:t>
      </w:r>
      <w:r w:rsidRPr="000C4487">
        <w:rPr>
          <w:color w:val="000000" w:themeColor="text1"/>
        </w:rPr>
        <w:t>. However, an examination of this relationship in the context of organizational cultural distance is still missing. Therefore, future research should investigate the conditional factors that influence how organizational cultural differences affect M&amp;A outcomes.</w:t>
      </w:r>
    </w:p>
    <w:p w14:paraId="06A55BDE" w14:textId="77777777" w:rsidR="003156EF" w:rsidRPr="000C4487" w:rsidRDefault="003156EF" w:rsidP="00D15253">
      <w:pPr>
        <w:pStyle w:val="Paragraph"/>
        <w:ind w:firstLine="708"/>
        <w:jc w:val="both"/>
        <w:rPr>
          <w:color w:val="000000" w:themeColor="text1"/>
        </w:rPr>
      </w:pPr>
      <w:r w:rsidRPr="000C4487">
        <w:rPr>
          <w:color w:val="000000" w:themeColor="text1"/>
        </w:rPr>
        <w:t>Our study contributes to the M&amp;A literature by providing evidence on the relationship between organizational cultural distance, M&amp;A success, acquisition premiums, and innovation. However, certain limitations must be acknowledged. First, our analysis of short-term M&amp;A success assumes near-instantaneous, complete, and unbiased market reactions, which rely on the semi-strong form of the efficient market hypothesis</w:t>
      </w:r>
      <w:r>
        <w:rPr>
          <w:color w:val="000000" w:themeColor="text1"/>
        </w:rPr>
        <w:t xml:space="preserve"> (Fama, 1970)</w:t>
      </w:r>
      <w:r w:rsidRPr="000C4487">
        <w:rPr>
          <w:color w:val="000000" w:themeColor="text1"/>
        </w:rPr>
        <w:t>. While there is evidence that markets account for cultural differences when evaluating transactions</w:t>
      </w:r>
      <w:r>
        <w:rPr>
          <w:color w:val="000000" w:themeColor="text1"/>
        </w:rPr>
        <w:t xml:space="preserve"> (Aktas et al., 2011)</w:t>
      </w:r>
      <w:r w:rsidRPr="000C4487">
        <w:rPr>
          <w:color w:val="000000" w:themeColor="text1"/>
        </w:rPr>
        <w:t xml:space="preserve">, it is possible that this information could be misinterpreted or influenced by other confounding factors. Second, our study focuses on M&amp;A transactions between firms in major English-speaking economies, which limits the generalizability of our findings to other contexts. Future research could address this limitation by expanding the geographic scope and incorporating more representative data sources, such as employee reviews from local platforms. Third, our research is confined to completed transactions. Future studies could explore whether acquirers </w:t>
      </w:r>
      <w:r w:rsidRPr="000C4487">
        <w:rPr>
          <w:color w:val="000000" w:themeColor="text1"/>
        </w:rPr>
        <w:lastRenderedPageBreak/>
        <w:t>and targets with high organizational cultural distance are more likely to withdraw from announced deals or examine self-selection issues in the relationship between cultural distance and acquisition outcomes. Lastly, while data from Glassdoor.com provide valuable insights into organizational culture, there are potential shortcomings. Employee reviews are voluntary and may not fully represent the entire workforce, introducing possible biases. Additionally, employees who choose to submit reviews may have particularly strong positive or negative opinions, which could skew the data. Moreover, the textual nature of these reviews may not always capture the full complexity of organizational culture. Future research could consider triangulating these findings with additional data sources to provide a more comprehensive view of organizational culture.</w:t>
      </w:r>
    </w:p>
    <w:p w14:paraId="10C20F98" w14:textId="77777777" w:rsidR="003156EF" w:rsidRPr="000C4487" w:rsidRDefault="003156EF" w:rsidP="00D15253">
      <w:pPr>
        <w:pStyle w:val="Paragraph"/>
        <w:ind w:firstLine="708"/>
        <w:jc w:val="both"/>
        <w:rPr>
          <w:color w:val="000000" w:themeColor="text1"/>
        </w:rPr>
        <w:sectPr w:rsidR="003156EF" w:rsidRPr="000C4487" w:rsidSect="00794C6C">
          <w:headerReference w:type="default" r:id="rId62"/>
          <w:headerReference w:type="first" r:id="rId63"/>
          <w:pgSz w:w="11906" w:h="16838"/>
          <w:pgMar w:top="1417" w:right="1417" w:bottom="1134" w:left="1417" w:header="709" w:footer="709" w:gutter="0"/>
          <w:cols w:space="708"/>
          <w:docGrid w:linePitch="360"/>
        </w:sectPr>
      </w:pPr>
      <w:r w:rsidRPr="000C4487">
        <w:rPr>
          <w:color w:val="000000" w:themeColor="text1"/>
        </w:rPr>
        <w:t xml:space="preserve">Our findings have significant economic implications for practitioners involved in M&amp;A transactions. First, our analysis underscores the importance of considering both national and organizational cultural differences. These differences can negatively impact M&amp;A performance and reduce the acquiring firm's innovativeness. To mitigate these risks, acquiring firms must thoroughly analyze the target firm's organizational culture and compare it to their own. In particular, our research reveals that differences in market culture can have a detrimental effect on the acquiring firm's performance. Second, our results emphasize that cultural differences should align with the goals of the acquiring firm. Not all cultural differences have the same impact: for instance, market culture discrepancies are linked to negative effects on both short- and long-term performance, while differences in adhocracy culture hinder patent growth, and hierarchy culture disparities impede new product development. Third, our analysis highlights the critical need for a comprehensive evaluation of organizational culture, offering insight into why these effects occur. Acquiring firms often overvalue targets with high cultural distance, resulting in an inflated acquisition premium. To address this, practitioners should focus on closing information gaps between the firms involved in the transaction. These efforts can </w:t>
      </w:r>
      <w:r w:rsidRPr="000C4487">
        <w:rPr>
          <w:color w:val="000000" w:themeColor="text1"/>
        </w:rPr>
        <w:lastRenderedPageBreak/>
        <w:t>improve the accuracy of the target firm's valuation and increase the likelihood of realizing positive synergies in the post-acquisition phase.</w:t>
      </w:r>
    </w:p>
    <w:p w14:paraId="2E03539E" w14:textId="77777777" w:rsidR="004F6BD1" w:rsidRPr="004F6BD1" w:rsidRDefault="004F6BD1" w:rsidP="004F6BD1">
      <w:pPr>
        <w:pStyle w:val="berschrift2"/>
        <w:rPr>
          <w:lang w:val="en-US"/>
        </w:rPr>
      </w:pPr>
      <w:bookmarkStart w:id="433" w:name="_Toc180963629"/>
      <w:bookmarkStart w:id="434" w:name="_Hlk141829461"/>
      <w:bookmarkStart w:id="435" w:name="_Hlk141827069"/>
      <w:r w:rsidRPr="004F6BD1">
        <w:rPr>
          <w:lang w:val="en-US"/>
        </w:rPr>
        <w:lastRenderedPageBreak/>
        <w:t>References</w:t>
      </w:r>
      <w:bookmarkEnd w:id="433"/>
    </w:p>
    <w:p w14:paraId="50ABAC24" w14:textId="77777777" w:rsidR="004F6BD1" w:rsidRPr="00F643F6" w:rsidRDefault="004F6BD1" w:rsidP="00010489">
      <w:pPr>
        <w:pStyle w:val="CitaviBibliographyEntry"/>
        <w:spacing w:after="12"/>
        <w:ind w:hanging="284"/>
        <w:jc w:val="both"/>
      </w:pPr>
      <w:bookmarkStart w:id="436" w:name="_CTVL0016ac62e14c8434ba7827d56b3f72db98f"/>
      <w:r w:rsidRPr="00F643F6">
        <w:t>Ahammad, M. F., Tarba, S. Y., Liu, Y., &amp; Glaister, K. W. 2016. Knowledge transfer and cross-border acquisition performance: The impact of cultural distance and employee retention.</w:t>
      </w:r>
      <w:bookmarkEnd w:id="436"/>
      <w:r w:rsidRPr="00F643F6">
        <w:t xml:space="preserve"> </w:t>
      </w:r>
      <w:r w:rsidRPr="00F643F6">
        <w:rPr>
          <w:i/>
        </w:rPr>
        <w:t>International Business Review</w:t>
      </w:r>
      <w:r w:rsidRPr="00F643F6">
        <w:t>, 25: 66-75.</w:t>
      </w:r>
    </w:p>
    <w:p w14:paraId="64F7AF74" w14:textId="77777777" w:rsidR="004F6BD1" w:rsidRPr="00F643F6" w:rsidRDefault="004F6BD1" w:rsidP="00010489">
      <w:pPr>
        <w:pStyle w:val="CitaviBibliographyEntry"/>
        <w:spacing w:after="12"/>
        <w:ind w:hanging="284"/>
        <w:jc w:val="both"/>
      </w:pPr>
      <w:bookmarkStart w:id="437" w:name="_CTVL0015aca2d5a560f40e48f3571bed8282e02"/>
      <w:r w:rsidRPr="00F643F6">
        <w:t>Ahern, K. R., Daminelli, D., &amp; Fracassi, C. 2015. Lost in translation? The effect of cultural values on mergers around the world.</w:t>
      </w:r>
      <w:bookmarkEnd w:id="437"/>
      <w:r w:rsidRPr="00F643F6">
        <w:t xml:space="preserve"> </w:t>
      </w:r>
      <w:r w:rsidRPr="00F643F6">
        <w:rPr>
          <w:i/>
        </w:rPr>
        <w:t>Journal of Financial Economics</w:t>
      </w:r>
      <w:r w:rsidRPr="00F643F6">
        <w:t>, 117: 165-189.</w:t>
      </w:r>
    </w:p>
    <w:p w14:paraId="0D12CED5" w14:textId="77777777" w:rsidR="004F6BD1" w:rsidRPr="00F643F6" w:rsidRDefault="004F6BD1" w:rsidP="00010489">
      <w:pPr>
        <w:pStyle w:val="CitaviBibliographyEntry"/>
        <w:spacing w:after="12"/>
        <w:ind w:hanging="284"/>
        <w:jc w:val="both"/>
      </w:pPr>
      <w:bookmarkStart w:id="438" w:name="_CTVL00149263705a63d494fb65c7e8eef59c839"/>
      <w:r w:rsidRPr="00F643F6">
        <w:t>Ahmed, A. S., Chen, L. H., Duellman, S., &amp; Sun, Y. 2023. Targets</w:t>
      </w:r>
      <w:r>
        <w:t>’</w:t>
      </w:r>
      <w:r w:rsidRPr="00F643F6">
        <w:t xml:space="preserve"> Accounting Conservatism and the Gains from Acquisition.</w:t>
      </w:r>
      <w:bookmarkEnd w:id="438"/>
      <w:r w:rsidRPr="00F643F6">
        <w:t xml:space="preserve"> </w:t>
      </w:r>
      <w:r w:rsidRPr="00F643F6">
        <w:rPr>
          <w:i/>
        </w:rPr>
        <w:t>Contemporary Accounting Research</w:t>
      </w:r>
      <w:r w:rsidRPr="00F643F6">
        <w:t>, 40: 7-40.</w:t>
      </w:r>
    </w:p>
    <w:p w14:paraId="2595851E" w14:textId="77777777" w:rsidR="004F6BD1" w:rsidRPr="00F643F6" w:rsidRDefault="004F6BD1" w:rsidP="00010489">
      <w:pPr>
        <w:pStyle w:val="CitaviBibliographyEntry"/>
        <w:spacing w:after="12"/>
        <w:ind w:hanging="284"/>
        <w:jc w:val="both"/>
      </w:pPr>
      <w:bookmarkStart w:id="439" w:name="_CTVL0012a98bf17cecf443cbe81e7522b3ad2c2"/>
      <w:r w:rsidRPr="00F643F6">
        <w:t>Ahuja, G., &amp; Katila, R. 2001. Technological acquisitions and the innovation performance of acquiring firms: a longitudinal study.</w:t>
      </w:r>
      <w:bookmarkEnd w:id="439"/>
      <w:r w:rsidRPr="00F643F6">
        <w:t xml:space="preserve"> </w:t>
      </w:r>
      <w:r w:rsidRPr="00F643F6">
        <w:rPr>
          <w:i/>
        </w:rPr>
        <w:t>Strategic Management Journal</w:t>
      </w:r>
      <w:r w:rsidRPr="00F643F6">
        <w:t>, 22: 197-220.</w:t>
      </w:r>
    </w:p>
    <w:p w14:paraId="74208B2A" w14:textId="77777777" w:rsidR="004F6BD1" w:rsidRPr="00F643F6" w:rsidRDefault="004F6BD1" w:rsidP="00010489">
      <w:pPr>
        <w:pStyle w:val="CitaviBibliographyEntry"/>
        <w:spacing w:after="12"/>
        <w:ind w:hanging="284"/>
        <w:jc w:val="both"/>
      </w:pPr>
      <w:bookmarkStart w:id="440" w:name="_CTVL001573f54e08b5647acb57cdf6d963b92a1"/>
      <w:r w:rsidRPr="00F643F6">
        <w:t xml:space="preserve">Akerlof, G. A. 1970. The Market for </w:t>
      </w:r>
      <w:r>
        <w:t>“</w:t>
      </w:r>
      <w:r w:rsidRPr="00F643F6">
        <w:t>Lemons</w:t>
      </w:r>
      <w:r>
        <w:t>”</w:t>
      </w:r>
      <w:r w:rsidRPr="00F643F6">
        <w:t>: Quality Uncertainty and the Market Mechanism.</w:t>
      </w:r>
      <w:bookmarkEnd w:id="440"/>
      <w:r w:rsidRPr="00F643F6">
        <w:t xml:space="preserve"> </w:t>
      </w:r>
      <w:r w:rsidRPr="00F643F6">
        <w:rPr>
          <w:i/>
        </w:rPr>
        <w:t>Quarterly Journal of Economics</w:t>
      </w:r>
      <w:r w:rsidRPr="00F643F6">
        <w:t>, 84: 488.</w:t>
      </w:r>
    </w:p>
    <w:p w14:paraId="1F87BE19" w14:textId="77777777" w:rsidR="004F6BD1" w:rsidRPr="00F643F6" w:rsidRDefault="004F6BD1" w:rsidP="00010489">
      <w:pPr>
        <w:pStyle w:val="CitaviBibliographyEntry"/>
        <w:spacing w:after="12"/>
        <w:ind w:hanging="284"/>
        <w:jc w:val="both"/>
      </w:pPr>
      <w:bookmarkStart w:id="441" w:name="_CTVL001b4bb0ee52a31444cbcb5201bc0621e19"/>
      <w:r w:rsidRPr="00F643F6">
        <w:t>Akerlof, G. A. 1997. Social Distance and Social Decisions.</w:t>
      </w:r>
      <w:bookmarkEnd w:id="441"/>
      <w:r w:rsidRPr="00F643F6">
        <w:t xml:space="preserve"> </w:t>
      </w:r>
      <w:r w:rsidRPr="00F643F6">
        <w:rPr>
          <w:i/>
        </w:rPr>
        <w:t>Econometrica</w:t>
      </w:r>
      <w:r w:rsidRPr="00F643F6">
        <w:t>, 65: 1005.</w:t>
      </w:r>
    </w:p>
    <w:p w14:paraId="35949807" w14:textId="77777777" w:rsidR="004F6BD1" w:rsidRPr="00F643F6" w:rsidRDefault="004F6BD1" w:rsidP="00010489">
      <w:pPr>
        <w:pStyle w:val="CitaviBibliographyEntry"/>
        <w:spacing w:after="12"/>
        <w:ind w:hanging="284"/>
        <w:jc w:val="both"/>
      </w:pPr>
      <w:bookmarkStart w:id="442" w:name="_CTVL001aeed7bcc4a8846d299a476357543074d"/>
      <w:r w:rsidRPr="00F643F6">
        <w:t>Aktas, N., Bodt, E. de, &amp; Cousin, J.-G. 2011. Do financial markets care about SRI? Evidence from mergers and acquisitions.</w:t>
      </w:r>
      <w:bookmarkEnd w:id="442"/>
      <w:r w:rsidRPr="00F643F6">
        <w:t xml:space="preserve"> </w:t>
      </w:r>
      <w:r w:rsidRPr="00F643F6">
        <w:rPr>
          <w:i/>
        </w:rPr>
        <w:t>Journal of Banking &amp; Finance</w:t>
      </w:r>
      <w:r w:rsidRPr="00F643F6">
        <w:t>, 35: 1753-1761.</w:t>
      </w:r>
    </w:p>
    <w:p w14:paraId="2099214E" w14:textId="77777777" w:rsidR="004F6BD1" w:rsidRPr="00F643F6" w:rsidRDefault="004F6BD1" w:rsidP="00010489">
      <w:pPr>
        <w:pStyle w:val="CitaviBibliographyEntry"/>
        <w:spacing w:after="12"/>
        <w:ind w:hanging="284"/>
        <w:jc w:val="both"/>
      </w:pPr>
      <w:bookmarkStart w:id="443" w:name="_CTVL001b307d024f581402e888b135457870553"/>
      <w:r w:rsidRPr="00F643F6">
        <w:t>Alexandridis, G., Hoepner, A. G., Huang, Z., &amp; Oikonomou, I. 2022. Corporate social responsibility culture and international M&amp;As.</w:t>
      </w:r>
      <w:bookmarkEnd w:id="443"/>
      <w:r w:rsidRPr="00F643F6">
        <w:t xml:space="preserve"> </w:t>
      </w:r>
      <w:r w:rsidRPr="00F643F6">
        <w:rPr>
          <w:i/>
        </w:rPr>
        <w:t>The British Accounting Review</w:t>
      </w:r>
      <w:r w:rsidRPr="00F643F6">
        <w:t>, 54: 101035.</w:t>
      </w:r>
    </w:p>
    <w:p w14:paraId="2D9F823B" w14:textId="77777777" w:rsidR="004F6BD1" w:rsidRPr="00F643F6" w:rsidRDefault="004F6BD1" w:rsidP="00010489">
      <w:pPr>
        <w:pStyle w:val="CitaviBibliographyEntry"/>
        <w:spacing w:after="12"/>
        <w:ind w:hanging="284"/>
        <w:jc w:val="both"/>
      </w:pPr>
      <w:bookmarkStart w:id="444" w:name="_CTVL0016fd4cf92406d484ea0ae1eafc48c02c8"/>
      <w:r w:rsidRPr="00F643F6">
        <w:t>Alnahedh, S., &amp; Alhashel, B. 2021. Political ideology in M&amp;A.</w:t>
      </w:r>
      <w:bookmarkEnd w:id="444"/>
      <w:r w:rsidRPr="00F643F6">
        <w:t xml:space="preserve"> </w:t>
      </w:r>
      <w:r w:rsidRPr="00F643F6">
        <w:rPr>
          <w:i/>
        </w:rPr>
        <w:t>Journal of Business Finance &lt;html_ent glyph=</w:t>
      </w:r>
      <w:r>
        <w:rPr>
          <w:i/>
        </w:rPr>
        <w:t>”</w:t>
      </w:r>
      <w:r w:rsidRPr="00F643F6">
        <w:rPr>
          <w:i/>
        </w:rPr>
        <w:t>@amp;</w:t>
      </w:r>
      <w:r>
        <w:rPr>
          <w:i/>
        </w:rPr>
        <w:t>”</w:t>
      </w:r>
      <w:r w:rsidRPr="00F643F6">
        <w:rPr>
          <w:i/>
        </w:rPr>
        <w:t xml:space="preserve"> ascii=</w:t>
      </w:r>
      <w:r>
        <w:rPr>
          <w:i/>
        </w:rPr>
        <w:t>”</w:t>
      </w:r>
      <w:r w:rsidRPr="00F643F6">
        <w:rPr>
          <w:i/>
        </w:rPr>
        <w:t>&amp;</w:t>
      </w:r>
      <w:r>
        <w:rPr>
          <w:i/>
        </w:rPr>
        <w:t>”</w:t>
      </w:r>
      <w:r w:rsidRPr="00F643F6">
        <w:rPr>
          <w:i/>
        </w:rPr>
        <w:t>/&gt; Accounting</w:t>
      </w:r>
      <w:r w:rsidRPr="00F643F6">
        <w:t>, 48: 1711-1746.</w:t>
      </w:r>
    </w:p>
    <w:p w14:paraId="5B53E38E" w14:textId="77777777" w:rsidR="004F6BD1" w:rsidRPr="00F643F6" w:rsidRDefault="004F6BD1" w:rsidP="00010489">
      <w:pPr>
        <w:pStyle w:val="CitaviBibliographyEntry"/>
        <w:spacing w:after="12"/>
        <w:ind w:hanging="284"/>
        <w:jc w:val="both"/>
      </w:pPr>
      <w:bookmarkStart w:id="445" w:name="_CTVL001929df64f789b4529b50d50dfe0a784cb"/>
      <w:r w:rsidRPr="00F643F6">
        <w:t>Andrade, G., Mitchell, M., &amp; Stafford, E. 2001. New Evidence and Perspectives on Mergers.</w:t>
      </w:r>
      <w:bookmarkEnd w:id="445"/>
      <w:r w:rsidRPr="00F643F6">
        <w:t xml:space="preserve"> </w:t>
      </w:r>
      <w:r w:rsidRPr="00F643F6">
        <w:rPr>
          <w:i/>
        </w:rPr>
        <w:t>Journal of Economic Perspectives</w:t>
      </w:r>
      <w:r w:rsidRPr="00F643F6">
        <w:t>, 15: 103-120.</w:t>
      </w:r>
    </w:p>
    <w:p w14:paraId="3C4D9B6C" w14:textId="77777777" w:rsidR="004F6BD1" w:rsidRPr="00F643F6" w:rsidRDefault="004F6BD1" w:rsidP="00010489">
      <w:pPr>
        <w:pStyle w:val="CitaviBibliographyEntry"/>
        <w:spacing w:after="12"/>
        <w:ind w:hanging="284"/>
        <w:jc w:val="both"/>
      </w:pPr>
      <w:bookmarkStart w:id="446" w:name="_CTVL00191cd4623f57845b39f7a54696b2e2560"/>
      <w:r w:rsidRPr="00F643F6">
        <w:t>Angwin, D. 2001. Mergers and acquisitions across European borders: National perspectives on preacquisition due diligence and the use of professional advisers.</w:t>
      </w:r>
      <w:bookmarkEnd w:id="446"/>
      <w:r w:rsidRPr="00F643F6">
        <w:t xml:space="preserve"> </w:t>
      </w:r>
      <w:r w:rsidRPr="00F643F6">
        <w:rPr>
          <w:i/>
        </w:rPr>
        <w:t>Journal of World Business</w:t>
      </w:r>
      <w:r w:rsidRPr="00F643F6">
        <w:t>, 36: 32-57.</w:t>
      </w:r>
    </w:p>
    <w:p w14:paraId="08505A1A" w14:textId="77777777" w:rsidR="004F6BD1" w:rsidRPr="00F643F6" w:rsidRDefault="004F6BD1" w:rsidP="00010489">
      <w:pPr>
        <w:pStyle w:val="CitaviBibliographyEntry"/>
        <w:spacing w:after="12"/>
        <w:ind w:hanging="284"/>
        <w:jc w:val="both"/>
      </w:pPr>
      <w:bookmarkStart w:id="447" w:name="_CTVL001fab6582f1a444ab9a2bcaa68ba9f37e4"/>
      <w:r w:rsidRPr="003156EF">
        <w:t xml:space="preserve">Arikan, A. M., &amp; Stulz, R. M. 2016. </w:t>
      </w:r>
      <w:r w:rsidRPr="00F643F6">
        <w:t>Corporate Acquisitions, Diversification, and the Firm</w:t>
      </w:r>
      <w:r>
        <w:t>’</w:t>
      </w:r>
      <w:r w:rsidRPr="00F643F6">
        <w:t>s Life Cycle.</w:t>
      </w:r>
      <w:bookmarkEnd w:id="447"/>
      <w:r w:rsidRPr="00F643F6">
        <w:t xml:space="preserve"> </w:t>
      </w:r>
      <w:r w:rsidRPr="00F643F6">
        <w:rPr>
          <w:i/>
        </w:rPr>
        <w:t>The Journal of Finance</w:t>
      </w:r>
      <w:r w:rsidRPr="00F643F6">
        <w:t>, 71: 139-194.</w:t>
      </w:r>
    </w:p>
    <w:p w14:paraId="0D9D3F16" w14:textId="77777777" w:rsidR="004F6BD1" w:rsidRPr="00F643F6" w:rsidRDefault="004F6BD1" w:rsidP="00010489">
      <w:pPr>
        <w:pStyle w:val="CitaviBibliographyEntry"/>
        <w:spacing w:after="12"/>
        <w:ind w:hanging="284"/>
        <w:jc w:val="both"/>
      </w:pPr>
      <w:bookmarkStart w:id="448" w:name="_CTVL0015392c83769bc44bb9aaf18a88bb163ef"/>
      <w:r w:rsidRPr="00F643F6">
        <w:lastRenderedPageBreak/>
        <w:t>Arrow, K. J. 1974.</w:t>
      </w:r>
      <w:bookmarkEnd w:id="448"/>
      <w:r w:rsidRPr="00F643F6">
        <w:t xml:space="preserve"> </w:t>
      </w:r>
      <w:r w:rsidRPr="00F643F6">
        <w:rPr>
          <w:i/>
        </w:rPr>
        <w:t>The Limits of Organization</w:t>
      </w:r>
      <w:r w:rsidRPr="00F643F6">
        <w:t>. New York: W.W. Norton.</w:t>
      </w:r>
    </w:p>
    <w:p w14:paraId="6489E5D6" w14:textId="77777777" w:rsidR="004F6BD1" w:rsidRPr="00F643F6" w:rsidRDefault="004F6BD1" w:rsidP="00010489">
      <w:pPr>
        <w:pStyle w:val="CitaviBibliographyEntry"/>
        <w:spacing w:after="12"/>
        <w:ind w:hanging="284"/>
        <w:jc w:val="both"/>
      </w:pPr>
      <w:bookmarkStart w:id="449" w:name="_CTVL0012211a814de9a40bd9626db9ab467ff18"/>
      <w:r w:rsidRPr="00F643F6">
        <w:t>Aybar, B., &amp; Ficici, A. 2009. Cross-border acquisitions and firm value: An analysis of emerging-market multinationals.</w:t>
      </w:r>
      <w:bookmarkEnd w:id="449"/>
      <w:r w:rsidRPr="00F643F6">
        <w:t xml:space="preserve"> </w:t>
      </w:r>
      <w:r w:rsidRPr="00F643F6">
        <w:rPr>
          <w:i/>
        </w:rPr>
        <w:t>Journal of International Business Studies</w:t>
      </w:r>
      <w:r w:rsidRPr="00F643F6">
        <w:t>, 40: 1317-1338.</w:t>
      </w:r>
    </w:p>
    <w:p w14:paraId="19434173" w14:textId="77777777" w:rsidR="004F6BD1" w:rsidRPr="00F643F6" w:rsidRDefault="004F6BD1" w:rsidP="00010489">
      <w:pPr>
        <w:pStyle w:val="CitaviBibliographyEntry"/>
        <w:spacing w:after="12"/>
        <w:ind w:hanging="284"/>
        <w:jc w:val="both"/>
      </w:pPr>
      <w:bookmarkStart w:id="450" w:name="_CTVL0019fb167f4a6f14ac7903c468892d1cc6a"/>
      <w:r w:rsidRPr="00F643F6">
        <w:t>Baik, B., Cho, K., Choi, W., &amp; Kang, J. 2015. The Role of Institutional Environments in Cross-Border Mergers: A Perspective from Bidders’ Earnings Management Behavior.</w:t>
      </w:r>
      <w:bookmarkEnd w:id="450"/>
      <w:r w:rsidRPr="00F643F6">
        <w:t xml:space="preserve"> </w:t>
      </w:r>
      <w:r w:rsidRPr="00F643F6">
        <w:rPr>
          <w:i/>
        </w:rPr>
        <w:t>Management International Review</w:t>
      </w:r>
      <w:r w:rsidRPr="00F643F6">
        <w:t>, 55: 615-646.</w:t>
      </w:r>
    </w:p>
    <w:p w14:paraId="4432922C" w14:textId="77777777" w:rsidR="004F6BD1" w:rsidRPr="00F643F6" w:rsidRDefault="004F6BD1" w:rsidP="00010489">
      <w:pPr>
        <w:pStyle w:val="CitaviBibliographyEntry"/>
        <w:spacing w:after="12"/>
        <w:ind w:hanging="284"/>
        <w:jc w:val="both"/>
      </w:pPr>
      <w:bookmarkStart w:id="451" w:name="_CTVL0016ff0c04a0d17469684dc6b6f89a7dd9d"/>
      <w:r w:rsidRPr="00F643F6">
        <w:t>Bange, M. M., &amp; Mazzeo, M. A. 2004. Board Composition, Board Effectiveness, and the Observed Form of Takeover Bids.</w:t>
      </w:r>
      <w:bookmarkEnd w:id="451"/>
      <w:r w:rsidRPr="00F643F6">
        <w:t xml:space="preserve"> </w:t>
      </w:r>
      <w:r w:rsidRPr="00F643F6">
        <w:rPr>
          <w:i/>
        </w:rPr>
        <w:t>The Review of Financial Studies</w:t>
      </w:r>
      <w:r w:rsidRPr="00F643F6">
        <w:t>, 17: 1185-1215.</w:t>
      </w:r>
    </w:p>
    <w:p w14:paraId="631E8111" w14:textId="77777777" w:rsidR="004F6BD1" w:rsidRPr="00F643F6" w:rsidRDefault="004F6BD1" w:rsidP="00010489">
      <w:pPr>
        <w:pStyle w:val="CitaviBibliographyEntry"/>
        <w:spacing w:after="12"/>
        <w:ind w:hanging="284"/>
        <w:jc w:val="both"/>
      </w:pPr>
      <w:bookmarkStart w:id="452" w:name="_CTVL0017bc30f04041343708a2bc2d816a1d3c5"/>
      <w:r w:rsidRPr="00F643F6">
        <w:t>Barkema, H., Bell, J., &amp; Pennings, J. 1996. Foreign Entry, Cultural Barriers, and Learning.</w:t>
      </w:r>
      <w:bookmarkEnd w:id="452"/>
      <w:r w:rsidRPr="00F643F6">
        <w:t xml:space="preserve"> </w:t>
      </w:r>
      <w:r w:rsidRPr="00F643F6">
        <w:rPr>
          <w:i/>
        </w:rPr>
        <w:t>Strategic Management Journal</w:t>
      </w:r>
      <w:r w:rsidRPr="00F643F6">
        <w:t>, 17: 151-166.</w:t>
      </w:r>
    </w:p>
    <w:p w14:paraId="244A5646" w14:textId="77777777" w:rsidR="004F6BD1" w:rsidRPr="00F643F6" w:rsidRDefault="004F6BD1" w:rsidP="00010489">
      <w:pPr>
        <w:pStyle w:val="CitaviBibliographyEntry"/>
        <w:spacing w:after="12"/>
        <w:ind w:hanging="284"/>
        <w:jc w:val="both"/>
      </w:pPr>
      <w:bookmarkStart w:id="453" w:name="_CTVL001e3c95f74afa64fbf92e1e0284010f2c2"/>
      <w:r w:rsidRPr="00F643F6">
        <w:t>Barraclough, K., Robinson, D. T., Smith, T., &amp; Whaley, R. E. 2013. Using Option Prices to Infer Overpayments and Synergies in M\&amp;A Transactions.</w:t>
      </w:r>
      <w:bookmarkEnd w:id="453"/>
      <w:r w:rsidRPr="00F643F6">
        <w:t xml:space="preserve"> </w:t>
      </w:r>
      <w:r w:rsidRPr="00F643F6">
        <w:rPr>
          <w:i/>
        </w:rPr>
        <w:t>The Review of Financial Studies</w:t>
      </w:r>
      <w:r w:rsidRPr="00F643F6">
        <w:t>, 26: 695-722.</w:t>
      </w:r>
    </w:p>
    <w:p w14:paraId="52DC80E3" w14:textId="77777777" w:rsidR="004F6BD1" w:rsidRPr="00F643F6" w:rsidRDefault="004F6BD1" w:rsidP="00010489">
      <w:pPr>
        <w:pStyle w:val="CitaviBibliographyEntry"/>
        <w:spacing w:after="12"/>
        <w:ind w:hanging="284"/>
        <w:jc w:val="both"/>
      </w:pPr>
      <w:bookmarkStart w:id="454" w:name="_CTVL001a5dc82aa82674b099b114252602a1d38"/>
      <w:r w:rsidRPr="00F643F6">
        <w:t>Bauer, F., &amp; Matzler, K. 2014. Antecedents of M&amp;A success: The role of strategic complementarity, cultural fit, and degree and speed of integration.</w:t>
      </w:r>
      <w:bookmarkEnd w:id="454"/>
      <w:r w:rsidRPr="00F643F6">
        <w:t xml:space="preserve"> </w:t>
      </w:r>
      <w:r w:rsidRPr="00F643F6">
        <w:rPr>
          <w:i/>
        </w:rPr>
        <w:t>Strategic Management Journal</w:t>
      </w:r>
      <w:r w:rsidRPr="00F643F6">
        <w:t>, 35: 269-291.</w:t>
      </w:r>
    </w:p>
    <w:p w14:paraId="70496CEA" w14:textId="77777777" w:rsidR="004F6BD1" w:rsidRPr="00F643F6" w:rsidRDefault="004F6BD1" w:rsidP="00010489">
      <w:pPr>
        <w:pStyle w:val="CitaviBibliographyEntry"/>
        <w:spacing w:after="12"/>
        <w:ind w:hanging="284"/>
        <w:jc w:val="both"/>
      </w:pPr>
      <w:bookmarkStart w:id="455" w:name="_CTVL001f3b4fb51d28c4f3fbf091e1041a74ec2"/>
      <w:r w:rsidRPr="004F6BD1">
        <w:t xml:space="preserve">Bauer, F., Matzler, K., &amp; Wolf, S. 2016. </w:t>
      </w:r>
      <w:r w:rsidRPr="00F643F6">
        <w:t>M&amp;A and innovation: The role of integration and cultural differences—A central European targets perspective.</w:t>
      </w:r>
      <w:bookmarkEnd w:id="455"/>
      <w:r w:rsidRPr="00F643F6">
        <w:t xml:space="preserve"> </w:t>
      </w:r>
      <w:r w:rsidRPr="00F643F6">
        <w:rPr>
          <w:i/>
        </w:rPr>
        <w:t>International Business Review</w:t>
      </w:r>
      <w:r w:rsidRPr="00F643F6">
        <w:t>, 25: 76-86.</w:t>
      </w:r>
    </w:p>
    <w:p w14:paraId="4BE42ECA" w14:textId="77777777" w:rsidR="004F6BD1" w:rsidRPr="00F643F6" w:rsidRDefault="004F6BD1" w:rsidP="00010489">
      <w:pPr>
        <w:pStyle w:val="CitaviBibliographyEntry"/>
        <w:spacing w:after="12"/>
        <w:ind w:hanging="284"/>
        <w:jc w:val="both"/>
      </w:pPr>
      <w:bookmarkStart w:id="456" w:name="_CTVL00110c800162a3f497c8c9429967a2af357"/>
      <w:r w:rsidRPr="00F643F6">
        <w:t>Bell, R. G., Filatotchev, I., &amp; Rasheed, A. A. 2012. The liability of foreignness in capital markets: Sources and remedies.</w:t>
      </w:r>
      <w:bookmarkEnd w:id="456"/>
      <w:r w:rsidRPr="00F643F6">
        <w:t xml:space="preserve"> </w:t>
      </w:r>
      <w:r w:rsidRPr="00F643F6">
        <w:rPr>
          <w:i/>
        </w:rPr>
        <w:t>Journal of International Business Studies</w:t>
      </w:r>
      <w:r w:rsidRPr="00F643F6">
        <w:t>, 43: 107-122.</w:t>
      </w:r>
    </w:p>
    <w:p w14:paraId="0BE3D6E0" w14:textId="77777777" w:rsidR="004F6BD1" w:rsidRPr="00F643F6" w:rsidRDefault="004F6BD1" w:rsidP="00010489">
      <w:pPr>
        <w:pStyle w:val="CitaviBibliographyEntry"/>
        <w:spacing w:after="12"/>
        <w:ind w:hanging="284"/>
        <w:jc w:val="both"/>
      </w:pPr>
      <w:bookmarkStart w:id="457" w:name="_CTVL00115fd162e680b4b39b289b3031fe94eb7"/>
      <w:r w:rsidRPr="00F643F6">
        <w:t>Bena, J., &amp; Li, K. 2014. Corporate Innovations and Mergers and Acquisitions.</w:t>
      </w:r>
      <w:bookmarkEnd w:id="457"/>
      <w:r w:rsidRPr="00F643F6">
        <w:t xml:space="preserve"> </w:t>
      </w:r>
      <w:r w:rsidRPr="00F643F6">
        <w:rPr>
          <w:i/>
        </w:rPr>
        <w:t>The Journal of Finance</w:t>
      </w:r>
      <w:r w:rsidRPr="00F643F6">
        <w:t>, 69: 1923-1960.</w:t>
      </w:r>
    </w:p>
    <w:p w14:paraId="3EB6FA89" w14:textId="77777777" w:rsidR="004F6BD1" w:rsidRPr="00F643F6" w:rsidRDefault="004F6BD1" w:rsidP="00010489">
      <w:pPr>
        <w:pStyle w:val="CitaviBibliographyEntry"/>
        <w:spacing w:after="12"/>
        <w:ind w:hanging="284"/>
        <w:jc w:val="both"/>
      </w:pPr>
      <w:bookmarkStart w:id="458" w:name="_CTVL001af701155580d480e9948235deed88bf4"/>
      <w:r w:rsidRPr="00F643F6">
        <w:t>Bereskin, F., Byun, S. K., Officer, M. S., &amp; Oh, J.-M. 2018. The Effect of Cultural Similarity on Mergers and Acquisitions: Evidence from Corporate Social Responsibility.</w:t>
      </w:r>
      <w:bookmarkEnd w:id="458"/>
      <w:r w:rsidRPr="00F643F6">
        <w:t xml:space="preserve"> </w:t>
      </w:r>
      <w:r w:rsidRPr="00F643F6">
        <w:rPr>
          <w:i/>
        </w:rPr>
        <w:t>Journal of Financial and Quantitative Analysis</w:t>
      </w:r>
      <w:r w:rsidRPr="00F643F6">
        <w:t>, 53: 1995-2039.</w:t>
      </w:r>
    </w:p>
    <w:p w14:paraId="0CB6253A" w14:textId="77777777" w:rsidR="004F6BD1" w:rsidRPr="00F643F6" w:rsidRDefault="004F6BD1" w:rsidP="00010489">
      <w:pPr>
        <w:pStyle w:val="CitaviBibliographyEntry"/>
        <w:spacing w:after="12"/>
        <w:ind w:hanging="284"/>
        <w:jc w:val="both"/>
      </w:pPr>
      <w:bookmarkStart w:id="459" w:name="_CTVL001acaccd116dbe42488ecb68d1d45c4274"/>
      <w:r w:rsidRPr="00F643F6">
        <w:lastRenderedPageBreak/>
        <w:t>Bhagat, R. S., &amp; McQuaid, S. J. 1982. Role of subjective culture in organizations: A review and directions for future research.</w:t>
      </w:r>
      <w:bookmarkEnd w:id="459"/>
      <w:r w:rsidRPr="00F643F6">
        <w:t xml:space="preserve"> </w:t>
      </w:r>
      <w:r w:rsidRPr="00F643F6">
        <w:rPr>
          <w:i/>
        </w:rPr>
        <w:t>The Journal of applied psychology</w:t>
      </w:r>
      <w:r w:rsidRPr="00F643F6">
        <w:t>, 67: 653-685.</w:t>
      </w:r>
    </w:p>
    <w:p w14:paraId="42BED22D" w14:textId="77777777" w:rsidR="004F6BD1" w:rsidRPr="00F643F6" w:rsidRDefault="004F6BD1" w:rsidP="00010489">
      <w:pPr>
        <w:pStyle w:val="CitaviBibliographyEntry"/>
        <w:spacing w:after="12"/>
        <w:ind w:hanging="284"/>
        <w:jc w:val="both"/>
      </w:pPr>
      <w:bookmarkStart w:id="460" w:name="_CTVL0011a5890ab71c5469bbcea3050d30b1063"/>
      <w:r w:rsidRPr="00F643F6">
        <w:t>Blei, D. M., Ng, A. Y., &amp; Jordan, M. I. 2001. Latent Dirichlet Allocation.</w:t>
      </w:r>
      <w:bookmarkEnd w:id="460"/>
      <w:r w:rsidRPr="00F643F6">
        <w:t xml:space="preserve"> </w:t>
      </w:r>
      <w:r w:rsidRPr="00F643F6">
        <w:rPr>
          <w:i/>
        </w:rPr>
        <w:t>Advances in Neural Information Processing Systems 14</w:t>
      </w:r>
      <w:r w:rsidRPr="00F643F6">
        <w:t>, 3: 601-608.</w:t>
      </w:r>
    </w:p>
    <w:p w14:paraId="2D91D35A" w14:textId="77777777" w:rsidR="004F6BD1" w:rsidRPr="00F643F6" w:rsidRDefault="004F6BD1" w:rsidP="00010489">
      <w:pPr>
        <w:pStyle w:val="CitaviBibliographyEntry"/>
        <w:spacing w:after="12"/>
        <w:ind w:hanging="284"/>
        <w:jc w:val="both"/>
      </w:pPr>
      <w:bookmarkStart w:id="461" w:name="_CTVL001d3dfd2e5f96e490087a8b1b8615fc044"/>
      <w:r w:rsidRPr="003156EF">
        <w:rPr>
          <w:lang w:val="de-DE"/>
        </w:rPr>
        <w:t xml:space="preserve">Blonigen, B. A., &amp; Taylor, C. T. 2000. </w:t>
      </w:r>
      <w:r w:rsidRPr="00F643F6">
        <w:t>R&amp;D Intensity and Acquisitions in High-Technology Industries: Evidence from the US Electronic and Electrical Equipment Industries.</w:t>
      </w:r>
      <w:bookmarkEnd w:id="461"/>
      <w:r w:rsidRPr="00F643F6">
        <w:t xml:space="preserve"> </w:t>
      </w:r>
      <w:r w:rsidRPr="00F643F6">
        <w:rPr>
          <w:i/>
        </w:rPr>
        <w:t>The Journal of Industrial Economics</w:t>
      </w:r>
      <w:r w:rsidRPr="00F643F6">
        <w:t>, 48: 47-70.</w:t>
      </w:r>
    </w:p>
    <w:p w14:paraId="4E65F6B7" w14:textId="77777777" w:rsidR="004F6BD1" w:rsidRPr="00F643F6" w:rsidRDefault="004F6BD1" w:rsidP="00010489">
      <w:pPr>
        <w:pStyle w:val="CitaviBibliographyEntry"/>
        <w:spacing w:after="12"/>
        <w:ind w:hanging="284"/>
        <w:jc w:val="both"/>
      </w:pPr>
      <w:bookmarkStart w:id="462" w:name="_CTVL001ebccf0ec52e745baa1a8658ab51762b7"/>
      <w:r w:rsidRPr="00F643F6">
        <w:t>Bochkay, K., Brown, S. V., Leone, A. J., &amp; Tucker, J. W. 2023. Textual Analysis in Accounting: What</w:t>
      </w:r>
      <w:r>
        <w:t>’</w:t>
      </w:r>
      <w:r w:rsidRPr="00F643F6">
        <w:t>s Next?</w:t>
      </w:r>
      <w:bookmarkEnd w:id="462"/>
      <w:r w:rsidRPr="00F643F6">
        <w:t xml:space="preserve"> </w:t>
      </w:r>
      <w:r w:rsidRPr="00F643F6">
        <w:rPr>
          <w:i/>
        </w:rPr>
        <w:t>Contemporary Accounting Research</w:t>
      </w:r>
      <w:r w:rsidRPr="00F643F6">
        <w:t>, 40: 765-805.</w:t>
      </w:r>
    </w:p>
    <w:p w14:paraId="38B6AE36" w14:textId="77777777" w:rsidR="004F6BD1" w:rsidRPr="00F643F6" w:rsidRDefault="004F6BD1" w:rsidP="00010489">
      <w:pPr>
        <w:pStyle w:val="CitaviBibliographyEntry"/>
        <w:spacing w:after="12"/>
        <w:ind w:hanging="284"/>
        <w:jc w:val="both"/>
      </w:pPr>
      <w:bookmarkStart w:id="463" w:name="_CTVL001bf785d0d894e4ca2a2982a4f3f9debbd"/>
      <w:r w:rsidRPr="00F643F6">
        <w:t>Bouwman, C. H. S. 2013.</w:t>
      </w:r>
      <w:bookmarkEnd w:id="463"/>
      <w:r w:rsidRPr="00F643F6">
        <w:t xml:space="preserve"> </w:t>
      </w:r>
      <w:r w:rsidRPr="00F643F6">
        <w:rPr>
          <w:i/>
        </w:rPr>
        <w:t>The Role of Corporate Culture in Mergers &amp; Acquisitions</w:t>
      </w:r>
      <w:r w:rsidRPr="00F643F6">
        <w:t>.</w:t>
      </w:r>
    </w:p>
    <w:p w14:paraId="53461E64" w14:textId="77777777" w:rsidR="004F6BD1" w:rsidRPr="00F643F6" w:rsidRDefault="004F6BD1" w:rsidP="00010489">
      <w:pPr>
        <w:pStyle w:val="CitaviBibliographyEntry"/>
        <w:spacing w:after="12"/>
        <w:ind w:hanging="284"/>
        <w:jc w:val="both"/>
      </w:pPr>
      <w:bookmarkStart w:id="464" w:name="_CTVL001c55a14135a3343c9bb5fac7945f016c4"/>
      <w:r w:rsidRPr="00F643F6">
        <w:t>Brown, S. J., &amp; Warner, J. B. 1985. Using daily stock returns: The case of event studies.</w:t>
      </w:r>
      <w:bookmarkEnd w:id="464"/>
      <w:r w:rsidRPr="00F643F6">
        <w:t xml:space="preserve"> </w:t>
      </w:r>
      <w:r w:rsidRPr="00F643F6">
        <w:rPr>
          <w:i/>
        </w:rPr>
        <w:t>Journal of Financial Economics</w:t>
      </w:r>
      <w:r w:rsidRPr="00F643F6">
        <w:t>, 14: 3-31.</w:t>
      </w:r>
    </w:p>
    <w:p w14:paraId="4408B4D3" w14:textId="77777777" w:rsidR="004F6BD1" w:rsidRPr="00F643F6" w:rsidRDefault="004F6BD1" w:rsidP="00010489">
      <w:pPr>
        <w:pStyle w:val="CitaviBibliographyEntry"/>
        <w:spacing w:after="12"/>
        <w:ind w:hanging="284"/>
        <w:jc w:val="both"/>
      </w:pPr>
      <w:bookmarkStart w:id="465" w:name="_CTVL00143a0dfbf2c2c46bcaaa40338a1366506"/>
      <w:r w:rsidRPr="00F643F6">
        <w:t>Buck, T., &amp; Shahrim, A. 2005. The translation of corporate governance changes across national cultures: the case of Germany.</w:t>
      </w:r>
      <w:bookmarkEnd w:id="465"/>
      <w:r w:rsidRPr="00F643F6">
        <w:t xml:space="preserve"> </w:t>
      </w:r>
      <w:r w:rsidRPr="00F643F6">
        <w:rPr>
          <w:i/>
        </w:rPr>
        <w:t>Journal of International Business Studies</w:t>
      </w:r>
      <w:r w:rsidRPr="00F643F6">
        <w:t>, 36: 42-61.</w:t>
      </w:r>
    </w:p>
    <w:p w14:paraId="1D0DDBF8" w14:textId="77777777" w:rsidR="004F6BD1" w:rsidRPr="00F643F6" w:rsidRDefault="004F6BD1" w:rsidP="00010489">
      <w:pPr>
        <w:pStyle w:val="CitaviBibliographyEntry"/>
        <w:spacing w:after="12"/>
        <w:ind w:hanging="284"/>
        <w:jc w:val="both"/>
      </w:pPr>
      <w:bookmarkStart w:id="466" w:name="_CTVL00134e6f03119244b809dfa2ab80302a3f3"/>
      <w:r w:rsidRPr="00F643F6">
        <w:t>Buono, A. F., Bowditch, J. L., &amp; Lewis, J. W. 1985. When Cultures Collide: The Anatomy of a Merger.</w:t>
      </w:r>
      <w:bookmarkEnd w:id="466"/>
      <w:r w:rsidRPr="00F643F6">
        <w:t xml:space="preserve"> </w:t>
      </w:r>
      <w:r w:rsidRPr="00F643F6">
        <w:rPr>
          <w:i/>
        </w:rPr>
        <w:t>Human Relations</w:t>
      </w:r>
      <w:r w:rsidRPr="00F643F6">
        <w:t>, 38: 477-500.</w:t>
      </w:r>
    </w:p>
    <w:p w14:paraId="37BC805A" w14:textId="77777777" w:rsidR="004F6BD1" w:rsidRPr="00F643F6" w:rsidRDefault="004F6BD1" w:rsidP="00010489">
      <w:pPr>
        <w:pStyle w:val="CitaviBibliographyEntry"/>
        <w:spacing w:after="12"/>
        <w:ind w:hanging="284"/>
        <w:jc w:val="both"/>
      </w:pPr>
      <w:bookmarkStart w:id="467" w:name="_CTVL00143e180950bcf455c8c8d1b605a6bfe49"/>
      <w:r w:rsidRPr="00F643F6">
        <w:t>Burgelman, R. A. 1986. Managing Corporate Entrepreneurship. In</w:t>
      </w:r>
      <w:bookmarkEnd w:id="467"/>
      <w:r w:rsidRPr="00F643F6">
        <w:t xml:space="preserve"> </w:t>
      </w:r>
      <w:r w:rsidRPr="00F643F6">
        <w:rPr>
          <w:i/>
        </w:rPr>
        <w:t xml:space="preserve">Technology in the Modern Corporation: </w:t>
      </w:r>
      <w:r w:rsidRPr="00F643F6">
        <w:t>1-13. Elsevier.</w:t>
      </w:r>
    </w:p>
    <w:p w14:paraId="5594CC91" w14:textId="77777777" w:rsidR="004F6BD1" w:rsidRPr="00F643F6" w:rsidRDefault="004F6BD1" w:rsidP="00010489">
      <w:pPr>
        <w:pStyle w:val="CitaviBibliographyEntry"/>
        <w:spacing w:after="12"/>
        <w:ind w:hanging="284"/>
        <w:jc w:val="both"/>
      </w:pPr>
      <w:bookmarkStart w:id="468" w:name="_CTVL001e196d074811841ac9012599f73cdf06a"/>
      <w:r w:rsidRPr="00F643F6">
        <w:t>Büschgens, T., Bausch, A., &amp; Balkin, D. B. 2013. Organizational Culture and Innovation: A Meta-Analytic Review.</w:t>
      </w:r>
      <w:bookmarkEnd w:id="468"/>
      <w:r w:rsidRPr="00F643F6">
        <w:t xml:space="preserve"> </w:t>
      </w:r>
      <w:r w:rsidRPr="00F643F6">
        <w:rPr>
          <w:i/>
        </w:rPr>
        <w:t>Journal of Product Innovation Management</w:t>
      </w:r>
      <w:r w:rsidRPr="00F643F6">
        <w:t>, 30: 763-781.</w:t>
      </w:r>
    </w:p>
    <w:p w14:paraId="4878C8A4" w14:textId="77777777" w:rsidR="004F6BD1" w:rsidRPr="00F643F6" w:rsidRDefault="004F6BD1" w:rsidP="00010489">
      <w:pPr>
        <w:pStyle w:val="CitaviBibliographyEntry"/>
        <w:spacing w:after="12"/>
        <w:ind w:hanging="284"/>
        <w:jc w:val="both"/>
      </w:pPr>
      <w:bookmarkStart w:id="469" w:name="_CTVL00188c6f5670e6d46feb3eecb2a69777ea5"/>
      <w:r w:rsidRPr="00F643F6">
        <w:t>Cameron, K., Quinn, R., DeGraff, J., &amp; Thakor, A. 2006.</w:t>
      </w:r>
      <w:bookmarkEnd w:id="469"/>
      <w:r w:rsidRPr="00F643F6">
        <w:t xml:space="preserve"> </w:t>
      </w:r>
      <w:r w:rsidRPr="00F643F6">
        <w:rPr>
          <w:i/>
        </w:rPr>
        <w:t>Competing values leadership: Creating value in organizations</w:t>
      </w:r>
      <w:r w:rsidRPr="00F643F6">
        <w:t>. Cheltenham, U.K, Northampton, Mass: Edward Elgar.</w:t>
      </w:r>
    </w:p>
    <w:p w14:paraId="5CB61FFB" w14:textId="77777777" w:rsidR="004F6BD1" w:rsidRPr="00F643F6" w:rsidRDefault="004F6BD1" w:rsidP="00010489">
      <w:pPr>
        <w:pStyle w:val="CitaviBibliographyEntry"/>
        <w:spacing w:after="12"/>
        <w:ind w:hanging="284"/>
        <w:jc w:val="both"/>
      </w:pPr>
      <w:bookmarkStart w:id="470" w:name="_CTVL00107c49c2814924758914a59c39ccf51bb"/>
      <w:r w:rsidRPr="00F643F6">
        <w:t>Campbell, D. W., &amp; Shang, R. 2021. Tone at the Bottom: Measuring Corporate Misconduct Risk from the Text of Employee Reviews.</w:t>
      </w:r>
      <w:bookmarkEnd w:id="470"/>
      <w:r w:rsidRPr="00F643F6">
        <w:t xml:space="preserve"> </w:t>
      </w:r>
      <w:r w:rsidRPr="00F643F6">
        <w:rPr>
          <w:i/>
        </w:rPr>
        <w:t xml:space="preserve">Management Science. </w:t>
      </w:r>
      <w:r w:rsidRPr="00F643F6">
        <w:t xml:space="preserve">doi:10.1287/mnsc.2021.4211 </w:t>
      </w:r>
    </w:p>
    <w:p w14:paraId="51F5C94F" w14:textId="77777777" w:rsidR="004F6BD1" w:rsidRPr="00F643F6" w:rsidRDefault="004F6BD1" w:rsidP="00010489">
      <w:pPr>
        <w:pStyle w:val="CitaviBibliographyEntry"/>
        <w:spacing w:after="12"/>
        <w:ind w:hanging="284"/>
        <w:jc w:val="both"/>
      </w:pPr>
      <w:bookmarkStart w:id="471" w:name="_CTVL0016a3f554298ba40d6a4b2332357ddc360"/>
      <w:r w:rsidRPr="00F643F6">
        <w:lastRenderedPageBreak/>
        <w:t>Carow, K., Heron, R., &amp; Saxton, T. 2004. Do early birds get the returns? An empirical investigation of early‐mover advantages in acquisitions.</w:t>
      </w:r>
      <w:bookmarkEnd w:id="471"/>
      <w:r w:rsidRPr="00F643F6">
        <w:t xml:space="preserve"> </w:t>
      </w:r>
      <w:r w:rsidRPr="00F643F6">
        <w:rPr>
          <w:i/>
        </w:rPr>
        <w:t>Strategic Management Journal</w:t>
      </w:r>
      <w:r w:rsidRPr="00F643F6">
        <w:t>, 25: 563-585.</w:t>
      </w:r>
    </w:p>
    <w:p w14:paraId="5D38AF78" w14:textId="77777777" w:rsidR="004F6BD1" w:rsidRPr="00F643F6" w:rsidRDefault="004F6BD1" w:rsidP="00010489">
      <w:pPr>
        <w:pStyle w:val="CitaviBibliographyEntry"/>
        <w:spacing w:after="12"/>
        <w:ind w:hanging="284"/>
        <w:jc w:val="both"/>
      </w:pPr>
      <w:bookmarkStart w:id="472" w:name="_CTVL0017c2dd0eef3bb481bb2e2b9b932a5e224"/>
      <w:r w:rsidRPr="00F643F6">
        <w:t>Cartwright, S., &amp; Cooper, C. L. 1993. The role of culture compatibility in successful organizational marriage.</w:t>
      </w:r>
      <w:bookmarkEnd w:id="472"/>
      <w:r w:rsidRPr="00F643F6">
        <w:t xml:space="preserve"> </w:t>
      </w:r>
      <w:r w:rsidRPr="00F643F6">
        <w:rPr>
          <w:i/>
        </w:rPr>
        <w:t>Academy of Management Perspectives</w:t>
      </w:r>
      <w:r w:rsidRPr="00F643F6">
        <w:t>, 7: 57-70.</w:t>
      </w:r>
    </w:p>
    <w:p w14:paraId="62B06B47" w14:textId="77777777" w:rsidR="004F6BD1" w:rsidRPr="00F643F6" w:rsidRDefault="004F6BD1" w:rsidP="00010489">
      <w:pPr>
        <w:pStyle w:val="CitaviBibliographyEntry"/>
        <w:spacing w:after="12"/>
        <w:ind w:hanging="284"/>
        <w:jc w:val="both"/>
      </w:pPr>
      <w:bookmarkStart w:id="473" w:name="_CTVL00193c510964efc4a6a95c15409b0dbc658"/>
      <w:r w:rsidRPr="00F643F6">
        <w:t>Chakrabarti, R., Gupta-Mukherjee, S., &amp; Jayaraman, N. 2009. Mars–Venus marriages: Culture and cross-border M&amp;A.</w:t>
      </w:r>
      <w:bookmarkEnd w:id="473"/>
      <w:r w:rsidRPr="00F643F6">
        <w:t xml:space="preserve"> </w:t>
      </w:r>
      <w:r w:rsidRPr="00F643F6">
        <w:rPr>
          <w:i/>
        </w:rPr>
        <w:t>Journal of International Business Studies</w:t>
      </w:r>
      <w:r w:rsidRPr="00F643F6">
        <w:t>, 40: 216-236.</w:t>
      </w:r>
    </w:p>
    <w:p w14:paraId="25107715" w14:textId="77777777" w:rsidR="004F6BD1" w:rsidRPr="00F643F6" w:rsidRDefault="004F6BD1" w:rsidP="00010489">
      <w:pPr>
        <w:pStyle w:val="CitaviBibliographyEntry"/>
        <w:spacing w:after="12"/>
        <w:ind w:hanging="284"/>
        <w:jc w:val="both"/>
      </w:pPr>
      <w:bookmarkStart w:id="474" w:name="_CTVL001b91f841a03af425abe88dfdb59c3c6c6"/>
      <w:r w:rsidRPr="003156EF">
        <w:rPr>
          <w:lang w:val="de-DE"/>
        </w:rPr>
        <w:t xml:space="preserve">Chatman, J. A., &amp; O’Reilly, C. A. 2016. </w:t>
      </w:r>
      <w:r w:rsidRPr="00F643F6">
        <w:t>Paradigm lost: Reinvigorating the study of organizational culture.</w:t>
      </w:r>
      <w:bookmarkEnd w:id="474"/>
      <w:r w:rsidRPr="00F643F6">
        <w:t xml:space="preserve"> </w:t>
      </w:r>
      <w:r w:rsidRPr="00F643F6">
        <w:rPr>
          <w:i/>
        </w:rPr>
        <w:t>Research in Organizational Behavior</w:t>
      </w:r>
      <w:r w:rsidRPr="00F643F6">
        <w:t>, 36: 199-224.</w:t>
      </w:r>
    </w:p>
    <w:p w14:paraId="03B536E0" w14:textId="77777777" w:rsidR="004F6BD1" w:rsidRPr="00F643F6" w:rsidRDefault="004F6BD1" w:rsidP="00010489">
      <w:pPr>
        <w:pStyle w:val="CitaviBibliographyEntry"/>
        <w:spacing w:after="12"/>
        <w:ind w:hanging="284"/>
        <w:jc w:val="both"/>
      </w:pPr>
      <w:bookmarkStart w:id="475" w:name="_CTVL001652af5096fdc4d1dac9db49cf8f266eb"/>
      <w:r w:rsidRPr="00F643F6">
        <w:t>Chatterjee, A., &amp; Hambrick, D. C. 2011. Executive Personality, Capability Cues, and Risk Taking.</w:t>
      </w:r>
      <w:bookmarkEnd w:id="475"/>
      <w:r w:rsidRPr="00F643F6">
        <w:t xml:space="preserve"> </w:t>
      </w:r>
      <w:r w:rsidRPr="00F643F6">
        <w:rPr>
          <w:i/>
        </w:rPr>
        <w:t>Administrative Science Quarterly</w:t>
      </w:r>
      <w:r w:rsidRPr="00F643F6">
        <w:t>, 56: 202-237.</w:t>
      </w:r>
    </w:p>
    <w:p w14:paraId="5A06E579" w14:textId="77777777" w:rsidR="004F6BD1" w:rsidRPr="00F643F6" w:rsidRDefault="004F6BD1" w:rsidP="00010489">
      <w:pPr>
        <w:pStyle w:val="CitaviBibliographyEntry"/>
        <w:spacing w:after="12"/>
        <w:ind w:hanging="284"/>
        <w:jc w:val="both"/>
      </w:pPr>
      <w:bookmarkStart w:id="476" w:name="_CTVL00181260b0fabb5422f81432a1fd583c1e2"/>
      <w:r w:rsidRPr="00F643F6">
        <w:t>Chatterjee, S., Lubatkin, M. H., Schweiger, D. M., &amp; Weber, Y. 1992. Cultural differences and shareholder value in related mergers: Linking equity and human capital.</w:t>
      </w:r>
      <w:bookmarkEnd w:id="476"/>
      <w:r w:rsidRPr="00F643F6">
        <w:t xml:space="preserve"> </w:t>
      </w:r>
      <w:r w:rsidRPr="00F643F6">
        <w:rPr>
          <w:i/>
        </w:rPr>
        <w:t>Strategic Management Journal</w:t>
      </w:r>
      <w:r w:rsidRPr="00F643F6">
        <w:t>, 13: 319-334.</w:t>
      </w:r>
    </w:p>
    <w:p w14:paraId="559E3257" w14:textId="77777777" w:rsidR="004F6BD1" w:rsidRPr="00F643F6" w:rsidRDefault="004F6BD1" w:rsidP="00010489">
      <w:pPr>
        <w:pStyle w:val="CitaviBibliographyEntry"/>
        <w:spacing w:after="12"/>
        <w:ind w:hanging="284"/>
        <w:jc w:val="both"/>
      </w:pPr>
      <w:bookmarkStart w:id="477" w:name="_CTVL001b594de20792b4c54a869165ee1c75508"/>
      <w:r w:rsidRPr="00F643F6">
        <w:t>Chemmanur, T. J., Rajaiya, H., &amp; Sheng, J. 2019. How Does Soft Information Affect External Firm Financing? Evidence from Online Employee Ratings.</w:t>
      </w:r>
    </w:p>
    <w:p w14:paraId="30FE1636" w14:textId="77777777" w:rsidR="004F6BD1" w:rsidRPr="00F643F6" w:rsidRDefault="004F6BD1" w:rsidP="00010489">
      <w:pPr>
        <w:pStyle w:val="CitaviBibliographyEntry"/>
        <w:spacing w:after="12"/>
        <w:ind w:hanging="284"/>
        <w:jc w:val="both"/>
      </w:pPr>
      <w:bookmarkStart w:id="478" w:name="_CTVL0012a7cc6692af149a7a3e8cf2553272334"/>
      <w:bookmarkEnd w:id="477"/>
      <w:r w:rsidRPr="004F6BD1">
        <w:t xml:space="preserve">Chen, C.-W., Collins, D. W., Kravet, T. D., &amp; Mergenthaler, R. D. 2018. </w:t>
      </w:r>
      <w:r w:rsidRPr="00F643F6">
        <w:t>Financial Statement Comparability and the Efficiency of Acquisition Decisions.</w:t>
      </w:r>
      <w:bookmarkEnd w:id="478"/>
      <w:r w:rsidRPr="00F643F6">
        <w:t xml:space="preserve"> </w:t>
      </w:r>
      <w:r w:rsidRPr="00F643F6">
        <w:rPr>
          <w:i/>
        </w:rPr>
        <w:t>Contemporary Accounting Research</w:t>
      </w:r>
      <w:r w:rsidRPr="00F643F6">
        <w:t>, 35: 164-202.</w:t>
      </w:r>
    </w:p>
    <w:p w14:paraId="1EA6F0F5" w14:textId="77777777" w:rsidR="004F6BD1" w:rsidRPr="00F643F6" w:rsidRDefault="004F6BD1" w:rsidP="00010489">
      <w:pPr>
        <w:pStyle w:val="CitaviBibliographyEntry"/>
        <w:spacing w:after="12"/>
        <w:ind w:hanging="284"/>
        <w:jc w:val="both"/>
      </w:pPr>
      <w:bookmarkStart w:id="479" w:name="_CTVL0010621814b50f74711bd99742c53259e35"/>
      <w:r w:rsidRPr="00F643F6">
        <w:t>Chen, J., &amp; Liu, L. 2022. Family firms, national culture and corporate social performance: a meta-analysis.</w:t>
      </w:r>
      <w:bookmarkEnd w:id="479"/>
      <w:r w:rsidRPr="00F643F6">
        <w:t xml:space="preserve"> </w:t>
      </w:r>
      <w:r w:rsidRPr="00F643F6">
        <w:rPr>
          <w:i/>
        </w:rPr>
        <w:t>Cross Cultural &amp; Strategic Management</w:t>
      </w:r>
      <w:r w:rsidRPr="00F643F6">
        <w:t>, 29: 379-402.</w:t>
      </w:r>
    </w:p>
    <w:p w14:paraId="0576AA98" w14:textId="77777777" w:rsidR="004F6BD1" w:rsidRPr="00F643F6" w:rsidRDefault="004F6BD1" w:rsidP="00010489">
      <w:pPr>
        <w:pStyle w:val="CitaviBibliographyEntry"/>
        <w:spacing w:after="12"/>
        <w:ind w:hanging="284"/>
        <w:jc w:val="both"/>
      </w:pPr>
      <w:bookmarkStart w:id="480" w:name="_CTVL0015c86079d3d104cb3b7c7ffabc25f5560"/>
      <w:r w:rsidRPr="00F643F6">
        <w:t>Cheng, C., &amp; Yang, M. 2017. Enhancing performance of cross-border mergers and acquisitions in developed markets: The role of business ties and technological innovation capability.</w:t>
      </w:r>
      <w:bookmarkEnd w:id="480"/>
      <w:r w:rsidRPr="00F643F6">
        <w:t xml:space="preserve"> </w:t>
      </w:r>
      <w:r w:rsidRPr="00F643F6">
        <w:rPr>
          <w:i/>
        </w:rPr>
        <w:t>Journal of Business Research</w:t>
      </w:r>
      <w:r w:rsidRPr="00F643F6">
        <w:t>, 81: 107-117.</w:t>
      </w:r>
    </w:p>
    <w:p w14:paraId="347B368D" w14:textId="77777777" w:rsidR="004F6BD1" w:rsidRPr="00F643F6" w:rsidRDefault="004F6BD1" w:rsidP="00010489">
      <w:pPr>
        <w:pStyle w:val="CitaviBibliographyEntry"/>
        <w:spacing w:after="12"/>
        <w:ind w:hanging="284"/>
        <w:jc w:val="both"/>
      </w:pPr>
      <w:bookmarkStart w:id="481" w:name="_CTVL001f7d0db6e5f8b4a12ad026163eb04fa6b"/>
      <w:r w:rsidRPr="00F643F6">
        <w:lastRenderedPageBreak/>
        <w:t>Cherchem, N. 2017. The relationship between organizational culture and entrepreneurial orientation in family firms: Does generational involvement matter?</w:t>
      </w:r>
      <w:bookmarkEnd w:id="481"/>
      <w:r w:rsidRPr="00F643F6">
        <w:t xml:space="preserve"> </w:t>
      </w:r>
      <w:r w:rsidRPr="00F643F6">
        <w:rPr>
          <w:i/>
        </w:rPr>
        <w:t>Journal of Family Business Strategy</w:t>
      </w:r>
      <w:r w:rsidRPr="00F643F6">
        <w:t>, 8: 87-98.</w:t>
      </w:r>
    </w:p>
    <w:p w14:paraId="75E894F0" w14:textId="77777777" w:rsidR="004F6BD1" w:rsidRPr="00A50B15" w:rsidRDefault="004F6BD1" w:rsidP="00010489">
      <w:pPr>
        <w:pStyle w:val="CitaviBibliographyEntry"/>
        <w:spacing w:after="12"/>
        <w:ind w:hanging="284"/>
        <w:jc w:val="both"/>
      </w:pPr>
      <w:bookmarkStart w:id="482" w:name="_CTVL001725de81eb6984468af198cd48cd66bba"/>
      <w:r w:rsidRPr="00F643F6">
        <w:t>Child, J., Faulkner, D., &amp; Pitkethly, R. 2003.</w:t>
      </w:r>
      <w:bookmarkEnd w:id="482"/>
      <w:r w:rsidRPr="00F643F6">
        <w:t xml:space="preserve"> </w:t>
      </w:r>
      <w:r w:rsidRPr="00F643F6">
        <w:rPr>
          <w:i/>
        </w:rPr>
        <w:t>The management of international acquisitions</w:t>
      </w:r>
      <w:r w:rsidRPr="00F643F6">
        <w:t xml:space="preserve">. </w:t>
      </w:r>
      <w:r w:rsidRPr="00A50B15">
        <w:t>Oxford: Oxford Univ. Press.</w:t>
      </w:r>
    </w:p>
    <w:p w14:paraId="76A6B398" w14:textId="77777777" w:rsidR="004F6BD1" w:rsidRPr="00F643F6" w:rsidRDefault="004F6BD1" w:rsidP="00010489">
      <w:pPr>
        <w:pStyle w:val="CitaviBibliographyEntry"/>
        <w:spacing w:after="12"/>
        <w:ind w:hanging="284"/>
        <w:jc w:val="both"/>
      </w:pPr>
      <w:bookmarkStart w:id="483" w:name="_CTVL001e6664f84237a48259cc3b21a26852820"/>
      <w:r w:rsidRPr="00F643F6">
        <w:t>Cho, S., &amp; Chung, C. Y. 2022. Review of the Literature on Merger Waves.</w:t>
      </w:r>
      <w:bookmarkEnd w:id="483"/>
      <w:r w:rsidRPr="00F643F6">
        <w:t xml:space="preserve"> </w:t>
      </w:r>
      <w:r w:rsidRPr="00F643F6">
        <w:rPr>
          <w:i/>
        </w:rPr>
        <w:t>Journal of Risk and Financial Management</w:t>
      </w:r>
      <w:r w:rsidRPr="00F643F6">
        <w:t>, 15: 432.</w:t>
      </w:r>
    </w:p>
    <w:p w14:paraId="7444CA86" w14:textId="77777777" w:rsidR="004F6BD1" w:rsidRPr="00F643F6" w:rsidRDefault="004F6BD1" w:rsidP="00010489">
      <w:pPr>
        <w:pStyle w:val="CitaviBibliographyEntry"/>
        <w:spacing w:after="12"/>
        <w:ind w:hanging="284"/>
        <w:jc w:val="both"/>
      </w:pPr>
      <w:bookmarkStart w:id="484" w:name="_CTVL001184ca7e1fabf41ab9ab0a0a028d2a2ea"/>
      <w:r w:rsidRPr="004F6BD1">
        <w:t xml:space="preserve">Christoffersen, J., Globerman, S., &amp; Nielsen, B. B. 2013. </w:t>
      </w:r>
      <w:r w:rsidRPr="00F643F6">
        <w:t>Cultural distance and the performance of international joint ventures: a critical assessment of model specifications and variable measurement.</w:t>
      </w:r>
      <w:bookmarkEnd w:id="484"/>
      <w:r w:rsidRPr="00F643F6">
        <w:t xml:space="preserve"> </w:t>
      </w:r>
      <w:r w:rsidRPr="00F643F6">
        <w:rPr>
          <w:i/>
        </w:rPr>
        <w:t>International Journal of Strategic Business Alliances</w:t>
      </w:r>
      <w:r w:rsidRPr="00F643F6">
        <w:t>, 3: 93.</w:t>
      </w:r>
    </w:p>
    <w:p w14:paraId="0E1A5DB6" w14:textId="77777777" w:rsidR="004F6BD1" w:rsidRPr="00F643F6" w:rsidRDefault="004F6BD1" w:rsidP="00010489">
      <w:pPr>
        <w:pStyle w:val="CitaviBibliographyEntry"/>
        <w:spacing w:after="12"/>
        <w:ind w:hanging="284"/>
        <w:jc w:val="both"/>
      </w:pPr>
      <w:bookmarkStart w:id="485" w:name="_CTVL0011ffe18e5034a4652be6e57127895dea6"/>
      <w:r w:rsidRPr="00F643F6">
        <w:t>Conn, R. L., Cosh, A., Guest, P. M., &amp; Hughes, A. 2005. The Impact on UK Acquirers of Domestic, Cross-border, Public and Private Acquisitions.</w:t>
      </w:r>
      <w:bookmarkEnd w:id="485"/>
      <w:r w:rsidRPr="00F643F6">
        <w:t xml:space="preserve"> </w:t>
      </w:r>
      <w:r w:rsidRPr="00F643F6">
        <w:rPr>
          <w:i/>
        </w:rPr>
        <w:t>Journal of Business Finance &amp; Accounting</w:t>
      </w:r>
      <w:r w:rsidRPr="00F643F6">
        <w:t>, 32: 815-870.</w:t>
      </w:r>
    </w:p>
    <w:p w14:paraId="2489B94E" w14:textId="77777777" w:rsidR="004F6BD1" w:rsidRPr="00F643F6" w:rsidRDefault="004F6BD1" w:rsidP="00010489">
      <w:pPr>
        <w:pStyle w:val="CitaviBibliographyEntry"/>
        <w:spacing w:after="12"/>
        <w:ind w:hanging="284"/>
        <w:jc w:val="both"/>
      </w:pPr>
      <w:bookmarkStart w:id="486" w:name="_CTVL001d30eaf64ea3b4bde9b8424a9e4110bee"/>
      <w:r w:rsidRPr="00F643F6">
        <w:t>Connelly, B. L., Certo, S. T., Ireland, R. D., &amp; Reutzel, C. R. 2011. Signaling Theory: A Review and Assessment.</w:t>
      </w:r>
      <w:bookmarkEnd w:id="486"/>
      <w:r w:rsidRPr="00F643F6">
        <w:t xml:space="preserve"> </w:t>
      </w:r>
      <w:r w:rsidRPr="00F643F6">
        <w:rPr>
          <w:i/>
        </w:rPr>
        <w:t>Journal of Management</w:t>
      </w:r>
      <w:r w:rsidRPr="00F643F6">
        <w:t>, 37: 39-67.</w:t>
      </w:r>
    </w:p>
    <w:p w14:paraId="5296A2ED" w14:textId="77777777" w:rsidR="004F6BD1" w:rsidRPr="00F643F6" w:rsidRDefault="004F6BD1" w:rsidP="00010489">
      <w:pPr>
        <w:pStyle w:val="CitaviBibliographyEntry"/>
        <w:spacing w:after="12"/>
        <w:ind w:hanging="284"/>
        <w:jc w:val="both"/>
      </w:pPr>
      <w:bookmarkStart w:id="487" w:name="_CTVL0011918e66ce77640779877e0c43ce2202e"/>
      <w:r w:rsidRPr="00F643F6">
        <w:t>Connelly, B. S., Sackett, P. R., &amp; Waters, S. D. 2013. Balancing Treatment and Control Groups in Quasi‐Experiments: An Introduction to Propensity Scoring.</w:t>
      </w:r>
      <w:bookmarkEnd w:id="487"/>
      <w:r w:rsidRPr="00F643F6">
        <w:t xml:space="preserve"> </w:t>
      </w:r>
      <w:r w:rsidRPr="00F643F6">
        <w:rPr>
          <w:i/>
        </w:rPr>
        <w:t>Personnel Psychology</w:t>
      </w:r>
      <w:r w:rsidRPr="00F643F6">
        <w:t>, 66: 407-442.</w:t>
      </w:r>
    </w:p>
    <w:p w14:paraId="77F543C6" w14:textId="77777777" w:rsidR="004F6BD1" w:rsidRPr="00F643F6" w:rsidRDefault="004F6BD1" w:rsidP="00010489">
      <w:pPr>
        <w:pStyle w:val="CitaviBibliographyEntry"/>
        <w:spacing w:after="12"/>
        <w:ind w:hanging="284"/>
        <w:jc w:val="both"/>
      </w:pPr>
      <w:bookmarkStart w:id="488" w:name="_CTVL0014af174f646f2453dae65b1b2eeb21ddc"/>
      <w:r w:rsidRPr="00F643F6">
        <w:t>Corchuelo Martínez-Azúa, B., Dias, Á., &amp; Sama-Berrocal, C. 2024. The key role of market orientation in innovation ambidexterity in agribusiness firms.</w:t>
      </w:r>
      <w:bookmarkEnd w:id="488"/>
      <w:r w:rsidRPr="00F643F6">
        <w:t xml:space="preserve"> </w:t>
      </w:r>
      <w:r w:rsidRPr="00F643F6">
        <w:rPr>
          <w:i/>
        </w:rPr>
        <w:t xml:space="preserve">Review of Managerial Science. </w:t>
      </w:r>
      <w:r w:rsidRPr="00F643F6">
        <w:t xml:space="preserve">doi:10.1007/s11846-024-00732-6 </w:t>
      </w:r>
    </w:p>
    <w:p w14:paraId="1735EF6E" w14:textId="77777777" w:rsidR="004F6BD1" w:rsidRPr="00F643F6" w:rsidRDefault="004F6BD1" w:rsidP="00010489">
      <w:pPr>
        <w:pStyle w:val="CitaviBibliographyEntry"/>
        <w:spacing w:after="12"/>
        <w:ind w:hanging="284"/>
        <w:jc w:val="both"/>
      </w:pPr>
      <w:bookmarkStart w:id="489" w:name="_CTVL001fedaf4146ee245588d63422759a66c5a"/>
      <w:r w:rsidRPr="00F643F6">
        <w:t>Cordero, R. 1990. The measurement of innovation performance in the firm: An overview.</w:t>
      </w:r>
      <w:bookmarkEnd w:id="489"/>
      <w:r w:rsidRPr="00F643F6">
        <w:t xml:space="preserve"> </w:t>
      </w:r>
      <w:r w:rsidRPr="00F643F6">
        <w:rPr>
          <w:i/>
        </w:rPr>
        <w:t>Research Policy</w:t>
      </w:r>
      <w:r w:rsidRPr="00F643F6">
        <w:t>, 19: 185-192.</w:t>
      </w:r>
    </w:p>
    <w:p w14:paraId="0B2F030A" w14:textId="77777777" w:rsidR="004F6BD1" w:rsidRPr="00F643F6" w:rsidRDefault="004F6BD1" w:rsidP="00010489">
      <w:pPr>
        <w:pStyle w:val="CitaviBibliographyEntry"/>
        <w:spacing w:after="12"/>
        <w:ind w:hanging="284"/>
        <w:jc w:val="both"/>
      </w:pPr>
      <w:bookmarkStart w:id="490" w:name="_CTVL001806c6a7b30df4a25ae3b995363b8bcd8"/>
      <w:r w:rsidRPr="00F643F6">
        <w:t>Corritore, M. 2018. Weakening Cultural Strength: Firm Performance Volatility’s Impact on Norm Consensus.</w:t>
      </w:r>
    </w:p>
    <w:p w14:paraId="25945354" w14:textId="77777777" w:rsidR="004F6BD1" w:rsidRPr="00F643F6" w:rsidRDefault="004F6BD1" w:rsidP="00010489">
      <w:pPr>
        <w:pStyle w:val="CitaviBibliographyEntry"/>
        <w:spacing w:after="12"/>
        <w:ind w:hanging="284"/>
        <w:jc w:val="both"/>
      </w:pPr>
      <w:bookmarkStart w:id="491" w:name="_CTVL00136250e15b9ba4938abbe37ae82630f1d"/>
      <w:bookmarkEnd w:id="490"/>
      <w:r w:rsidRPr="00F643F6">
        <w:lastRenderedPageBreak/>
        <w:t>Corritore, M., Goldberg, A., &amp; Srivastava, S. B. 2020. Duality in Diversity: How Intrapersonal and Interpersonal Cultural Heterogeneity Relate to Firm Performance.</w:t>
      </w:r>
      <w:bookmarkEnd w:id="491"/>
      <w:r w:rsidRPr="00F643F6">
        <w:t xml:space="preserve"> </w:t>
      </w:r>
      <w:r w:rsidRPr="00F643F6">
        <w:rPr>
          <w:i/>
        </w:rPr>
        <w:t>Administrative Science Quarterly</w:t>
      </w:r>
      <w:r w:rsidRPr="00F643F6">
        <w:t>, 65: 359-394.</w:t>
      </w:r>
    </w:p>
    <w:p w14:paraId="464D75F0" w14:textId="77777777" w:rsidR="004F6BD1" w:rsidRPr="00F643F6" w:rsidRDefault="004F6BD1" w:rsidP="00010489">
      <w:pPr>
        <w:pStyle w:val="CitaviBibliographyEntry"/>
        <w:spacing w:after="12"/>
        <w:ind w:hanging="284"/>
        <w:jc w:val="both"/>
      </w:pPr>
      <w:bookmarkStart w:id="492" w:name="_CTVL00116c32258a12b4b99a101b59158fb60f1"/>
      <w:r w:rsidRPr="00F643F6">
        <w:t>Covin, J. G., &amp; Slevin, D. P. 1988. The Influence of Organization Structure on the Utility of an Entrepreneurial Top Management Style.</w:t>
      </w:r>
      <w:bookmarkEnd w:id="492"/>
      <w:r w:rsidRPr="00F643F6">
        <w:t xml:space="preserve"> </w:t>
      </w:r>
      <w:r w:rsidRPr="00F643F6">
        <w:rPr>
          <w:i/>
        </w:rPr>
        <w:t>Journal of Management Studies</w:t>
      </w:r>
      <w:r w:rsidRPr="00F643F6">
        <w:t>, 25: 217-234.</w:t>
      </w:r>
    </w:p>
    <w:p w14:paraId="24B24969" w14:textId="77777777" w:rsidR="004F6BD1" w:rsidRPr="00F643F6" w:rsidRDefault="004F6BD1" w:rsidP="00010489">
      <w:pPr>
        <w:pStyle w:val="CitaviBibliographyEntry"/>
        <w:spacing w:after="12"/>
        <w:ind w:hanging="284"/>
        <w:jc w:val="both"/>
      </w:pPr>
      <w:bookmarkStart w:id="493" w:name="_CTVL001fa8a0e3071584aa9aca2efd6619ddfd8"/>
      <w:r w:rsidRPr="00F643F6">
        <w:t>Dahlgrün, P. W., &amp; Bausch, A. 2019. How Opportunistic Culture Affects Financial Performance in Outsourcing Relationships: A Meta-Analysis.</w:t>
      </w:r>
      <w:bookmarkEnd w:id="493"/>
      <w:r w:rsidRPr="00F643F6">
        <w:t xml:space="preserve"> </w:t>
      </w:r>
      <w:r w:rsidRPr="00F643F6">
        <w:rPr>
          <w:i/>
        </w:rPr>
        <w:t>Journal of International Management</w:t>
      </w:r>
      <w:r w:rsidRPr="00F643F6">
        <w:t>, 25: 81-100.</w:t>
      </w:r>
    </w:p>
    <w:p w14:paraId="66B71716" w14:textId="77777777" w:rsidR="004F6BD1" w:rsidRPr="00F643F6" w:rsidRDefault="004F6BD1" w:rsidP="00010489">
      <w:pPr>
        <w:pStyle w:val="CitaviBibliographyEntry"/>
        <w:spacing w:after="12"/>
        <w:ind w:hanging="284"/>
        <w:jc w:val="both"/>
      </w:pPr>
      <w:bookmarkStart w:id="494" w:name="_CTVL001dda29b8af26945fd939527d2e8804760"/>
      <w:r w:rsidRPr="00F643F6">
        <w:t>Datta, D. K. 1991. Organizational fit and acquisition performance: Effects of post-acquisition integration.</w:t>
      </w:r>
      <w:bookmarkEnd w:id="494"/>
      <w:r w:rsidRPr="00F643F6">
        <w:t xml:space="preserve"> </w:t>
      </w:r>
      <w:r w:rsidRPr="00F643F6">
        <w:rPr>
          <w:i/>
        </w:rPr>
        <w:t>Strategic Management Journal</w:t>
      </w:r>
      <w:r w:rsidRPr="00F643F6">
        <w:t>, 12: 281-297.</w:t>
      </w:r>
    </w:p>
    <w:p w14:paraId="18FD8DF2" w14:textId="77777777" w:rsidR="004F6BD1" w:rsidRPr="00F643F6" w:rsidRDefault="004F6BD1" w:rsidP="00010489">
      <w:pPr>
        <w:pStyle w:val="CitaviBibliographyEntry"/>
        <w:spacing w:after="12"/>
        <w:ind w:hanging="284"/>
        <w:jc w:val="both"/>
      </w:pPr>
      <w:bookmarkStart w:id="495" w:name="_CTVL001d303befafec14bdfb1b45aa0a0a8ea7c"/>
      <w:r w:rsidRPr="00F643F6">
        <w:t>Dauber, D. 2012. Opposing positions in M&amp;A research: culture, integration and performance.</w:t>
      </w:r>
      <w:bookmarkEnd w:id="495"/>
      <w:r w:rsidRPr="00F643F6">
        <w:t xml:space="preserve"> </w:t>
      </w:r>
      <w:r w:rsidRPr="00F643F6">
        <w:rPr>
          <w:i/>
        </w:rPr>
        <w:t>Cross Cultural Management: An International Journal</w:t>
      </w:r>
      <w:r w:rsidRPr="00F643F6">
        <w:t>, 19: 375-398.</w:t>
      </w:r>
    </w:p>
    <w:p w14:paraId="523B466B" w14:textId="77777777" w:rsidR="004F6BD1" w:rsidRPr="00F643F6" w:rsidRDefault="004F6BD1" w:rsidP="00010489">
      <w:pPr>
        <w:pStyle w:val="CitaviBibliographyEntry"/>
        <w:spacing w:after="12"/>
        <w:ind w:hanging="284"/>
        <w:jc w:val="both"/>
      </w:pPr>
      <w:bookmarkStart w:id="496" w:name="_CTVL0018e4ac9292d2542aaae49f6752fbe457d"/>
      <w:r w:rsidRPr="00F643F6">
        <w:t>Deshpandé, R., &amp; Farley, J. U. 2004. Organizational culture, market orientation, innovativeness, and firm performance: an international research odyssey.</w:t>
      </w:r>
      <w:bookmarkEnd w:id="496"/>
      <w:r w:rsidRPr="00F643F6">
        <w:t xml:space="preserve"> </w:t>
      </w:r>
      <w:r w:rsidRPr="00F643F6">
        <w:rPr>
          <w:i/>
        </w:rPr>
        <w:t>International Journal of Research in Marketing</w:t>
      </w:r>
      <w:r w:rsidRPr="00F643F6">
        <w:t>, 21: 3-22.</w:t>
      </w:r>
    </w:p>
    <w:p w14:paraId="470957FA" w14:textId="77777777" w:rsidR="004F6BD1" w:rsidRPr="00F643F6" w:rsidRDefault="004F6BD1" w:rsidP="00010489">
      <w:pPr>
        <w:pStyle w:val="CitaviBibliographyEntry"/>
        <w:spacing w:after="12"/>
        <w:ind w:hanging="284"/>
        <w:jc w:val="both"/>
      </w:pPr>
      <w:bookmarkStart w:id="497" w:name="_CTVL001bf47a17c1584447ea2bc7be8de6c3eb8"/>
      <w:r w:rsidRPr="00F643F6">
        <w:t>Eckbo, B. E. 2009. Bidding strategies and takeover premiums: A review.</w:t>
      </w:r>
      <w:bookmarkEnd w:id="497"/>
      <w:r w:rsidRPr="00F643F6">
        <w:t xml:space="preserve"> </w:t>
      </w:r>
      <w:r w:rsidRPr="00F643F6">
        <w:rPr>
          <w:i/>
        </w:rPr>
        <w:t>Journal of Corporate Finance</w:t>
      </w:r>
      <w:r w:rsidRPr="00F643F6">
        <w:t>, 15: 149-178.</w:t>
      </w:r>
    </w:p>
    <w:p w14:paraId="4C80FB3E" w14:textId="77777777" w:rsidR="004F6BD1" w:rsidRPr="00F643F6" w:rsidRDefault="004F6BD1" w:rsidP="00010489">
      <w:pPr>
        <w:pStyle w:val="CitaviBibliographyEntry"/>
        <w:spacing w:after="12"/>
        <w:ind w:hanging="284"/>
        <w:jc w:val="both"/>
      </w:pPr>
      <w:bookmarkStart w:id="498" w:name="_CTVL001d3cb625ade7a4bf19e03593dbf49f567"/>
      <w:r w:rsidRPr="00F643F6">
        <w:t>Eisend, M., Evanschitzky, H., &amp; Gilliland, D. I. 2016. The Influence of Organizational and National Culture on New Product Performance.</w:t>
      </w:r>
      <w:bookmarkEnd w:id="498"/>
      <w:r w:rsidRPr="00F643F6">
        <w:t xml:space="preserve"> </w:t>
      </w:r>
      <w:r w:rsidRPr="00F643F6">
        <w:rPr>
          <w:i/>
        </w:rPr>
        <w:t>Journal of Product Innovation Management</w:t>
      </w:r>
      <w:r w:rsidRPr="00F643F6">
        <w:t>, 33: 260-276.</w:t>
      </w:r>
    </w:p>
    <w:p w14:paraId="0B33692C" w14:textId="77777777" w:rsidR="004F6BD1" w:rsidRPr="00F643F6" w:rsidRDefault="004F6BD1" w:rsidP="00010489">
      <w:pPr>
        <w:pStyle w:val="CitaviBibliographyEntry"/>
        <w:spacing w:after="12"/>
        <w:ind w:hanging="284"/>
        <w:jc w:val="both"/>
      </w:pPr>
      <w:bookmarkStart w:id="499" w:name="_CTVL001f73408e6be3c4626b41e0fa95d52f5ee"/>
      <w:r w:rsidRPr="00F643F6">
        <w:t>Ellis, K. M., Reus, T. H., Lamont, B. T., &amp; Ranft, A. L. 2011. Transfer Effects in Large Acquisitions: How Size-Specific Experience Matters.</w:t>
      </w:r>
      <w:bookmarkEnd w:id="499"/>
      <w:r w:rsidRPr="00F643F6">
        <w:t xml:space="preserve"> </w:t>
      </w:r>
      <w:r w:rsidRPr="00F643F6">
        <w:rPr>
          <w:i/>
        </w:rPr>
        <w:t>Academy of Management Journal</w:t>
      </w:r>
      <w:r w:rsidRPr="00F643F6">
        <w:t>, 54: 1261-1276.</w:t>
      </w:r>
    </w:p>
    <w:p w14:paraId="4E5662D3" w14:textId="77777777" w:rsidR="004F6BD1" w:rsidRPr="00F643F6" w:rsidRDefault="004F6BD1" w:rsidP="00010489">
      <w:pPr>
        <w:pStyle w:val="CitaviBibliographyEntry"/>
        <w:spacing w:after="12"/>
        <w:ind w:hanging="284"/>
        <w:jc w:val="both"/>
      </w:pPr>
      <w:bookmarkStart w:id="500" w:name="_CTVL001d3cbd962a5d24cec96f22c075fdd7ef5"/>
      <w:r w:rsidRPr="00F643F6">
        <w:t>Fama, E. F. 1970. Efficient Capital Markets: A Review of Theory and Empirical Work.</w:t>
      </w:r>
      <w:bookmarkEnd w:id="500"/>
      <w:r w:rsidRPr="00F643F6">
        <w:t xml:space="preserve"> </w:t>
      </w:r>
      <w:r w:rsidRPr="00F643F6">
        <w:rPr>
          <w:i/>
        </w:rPr>
        <w:t>The Journal of Finance</w:t>
      </w:r>
      <w:r w:rsidRPr="00F643F6">
        <w:t>, 25: 383.</w:t>
      </w:r>
    </w:p>
    <w:p w14:paraId="631A0813" w14:textId="77777777" w:rsidR="004F6BD1" w:rsidRPr="00F643F6" w:rsidRDefault="004F6BD1" w:rsidP="00010489">
      <w:pPr>
        <w:pStyle w:val="CitaviBibliographyEntry"/>
        <w:spacing w:after="12"/>
        <w:ind w:hanging="284"/>
        <w:jc w:val="both"/>
      </w:pPr>
      <w:bookmarkStart w:id="501" w:name="_CTVL001c0e65a46c7624df585bba25a8c3d6b3c"/>
      <w:r w:rsidRPr="00F643F6">
        <w:lastRenderedPageBreak/>
        <w:t>Fang, Y., Fiordelisi, F., Hasan, I., Leung, W. S., &amp; Wong, G. 2023. Corporate culture and firm value: Evidence from crisis.</w:t>
      </w:r>
      <w:bookmarkEnd w:id="501"/>
      <w:r w:rsidRPr="00F643F6">
        <w:t xml:space="preserve"> </w:t>
      </w:r>
      <w:r w:rsidRPr="00F643F6">
        <w:rPr>
          <w:i/>
        </w:rPr>
        <w:t>Journal of Banking &amp; Finance</w:t>
      </w:r>
      <w:r w:rsidRPr="00F643F6">
        <w:t>, 146: 106710.</w:t>
      </w:r>
    </w:p>
    <w:p w14:paraId="78B4AF6B" w14:textId="77777777" w:rsidR="004F6BD1" w:rsidRPr="00F643F6" w:rsidRDefault="004F6BD1" w:rsidP="00010489">
      <w:pPr>
        <w:pStyle w:val="CitaviBibliographyEntry"/>
        <w:spacing w:after="12"/>
        <w:ind w:hanging="284"/>
        <w:jc w:val="both"/>
      </w:pPr>
      <w:bookmarkStart w:id="502" w:name="_CTVL001ec2339ce287a4b22b019468a599130d0"/>
      <w:r w:rsidRPr="00F643F6">
        <w:t>Gallini, N. T. 2002. The Economics of Patents: Lessons from Recent U.S. Patent Reform.</w:t>
      </w:r>
      <w:bookmarkEnd w:id="502"/>
      <w:r w:rsidRPr="00F643F6">
        <w:t xml:space="preserve"> </w:t>
      </w:r>
      <w:r w:rsidRPr="00F643F6">
        <w:rPr>
          <w:i/>
        </w:rPr>
        <w:t>Journal of Economic Perspectives</w:t>
      </w:r>
      <w:r w:rsidRPr="00F643F6">
        <w:t>, 16: 131-154.</w:t>
      </w:r>
    </w:p>
    <w:p w14:paraId="46BA9900" w14:textId="77777777" w:rsidR="004F6BD1" w:rsidRPr="00F643F6" w:rsidRDefault="004F6BD1" w:rsidP="00010489">
      <w:pPr>
        <w:pStyle w:val="CitaviBibliographyEntry"/>
        <w:spacing w:after="12"/>
        <w:ind w:hanging="284"/>
        <w:jc w:val="both"/>
      </w:pPr>
      <w:bookmarkStart w:id="503" w:name="_CTVL0016deb280114624125bff1d79bc497cb99"/>
      <w:r w:rsidRPr="00F643F6">
        <w:t>Garcia, R., &amp; Calantone, R. 2002. A critical look at technological innovation typology and innovativeness terminology: a literature review.</w:t>
      </w:r>
      <w:bookmarkEnd w:id="503"/>
      <w:r w:rsidRPr="00F643F6">
        <w:t xml:space="preserve"> </w:t>
      </w:r>
      <w:r w:rsidRPr="00F643F6">
        <w:rPr>
          <w:i/>
        </w:rPr>
        <w:t>Journal of Product Innovation Management</w:t>
      </w:r>
      <w:r w:rsidRPr="00F643F6">
        <w:t>, 19: 110-132.</w:t>
      </w:r>
    </w:p>
    <w:p w14:paraId="7F8C7C06" w14:textId="77777777" w:rsidR="004F6BD1" w:rsidRPr="00F643F6" w:rsidRDefault="004F6BD1" w:rsidP="00010489">
      <w:pPr>
        <w:pStyle w:val="CitaviBibliographyEntry"/>
        <w:spacing w:after="12"/>
        <w:ind w:hanging="284"/>
        <w:jc w:val="both"/>
      </w:pPr>
      <w:bookmarkStart w:id="504" w:name="_CTVL001074f00f023b64533aedb88c1cd02ee07"/>
      <w:r w:rsidRPr="00F643F6">
        <w:t>Ghosh, A., &amp; Ruland, W. 1998. Managerial Ownership, the Method of Payment for Acquisitions, and Executive Job Retention.</w:t>
      </w:r>
      <w:bookmarkEnd w:id="504"/>
      <w:r w:rsidRPr="00F643F6">
        <w:t xml:space="preserve"> </w:t>
      </w:r>
      <w:r w:rsidRPr="00F643F6">
        <w:rPr>
          <w:i/>
        </w:rPr>
        <w:t>The Journal of Finance</w:t>
      </w:r>
      <w:r w:rsidRPr="00F643F6">
        <w:t>, 53: 785-798.</w:t>
      </w:r>
    </w:p>
    <w:p w14:paraId="4B7EE904" w14:textId="77777777" w:rsidR="004F6BD1" w:rsidRPr="00F643F6" w:rsidRDefault="004F6BD1" w:rsidP="00010489">
      <w:pPr>
        <w:pStyle w:val="CitaviBibliographyEntry"/>
        <w:spacing w:after="12"/>
        <w:ind w:hanging="284"/>
        <w:jc w:val="both"/>
      </w:pPr>
      <w:bookmarkStart w:id="505" w:name="_CTVL001e17050ba177745a0b828946aa73ae38f"/>
      <w:r w:rsidRPr="00F643F6">
        <w:t>Giannetti, M., &amp; Yafeh, Y. 2012. Do Cultural Differences Between Contracting Parties Matter? Evidence from Syndicated Bank Loans.</w:t>
      </w:r>
      <w:bookmarkEnd w:id="505"/>
      <w:r w:rsidRPr="00F643F6">
        <w:t xml:space="preserve"> </w:t>
      </w:r>
      <w:r w:rsidRPr="00F643F6">
        <w:rPr>
          <w:i/>
        </w:rPr>
        <w:t>Management Science</w:t>
      </w:r>
      <w:r w:rsidRPr="00F643F6">
        <w:t>, 58: 365-383.</w:t>
      </w:r>
    </w:p>
    <w:p w14:paraId="5EBE1B96" w14:textId="77777777" w:rsidR="004F6BD1" w:rsidRPr="00F643F6" w:rsidRDefault="004F6BD1" w:rsidP="00010489">
      <w:pPr>
        <w:pStyle w:val="CitaviBibliographyEntry"/>
        <w:spacing w:after="12"/>
        <w:ind w:hanging="284"/>
        <w:jc w:val="both"/>
      </w:pPr>
      <w:bookmarkStart w:id="506" w:name="_CTVL001e7d1bdc7a4854b14a07095139d7443ae"/>
      <w:r w:rsidRPr="00F643F6">
        <w:t>Graham, J. R., Grennan, J., Harvey, C. R., &amp; Rajgopal, S. 2022. Corporate culture: Evidence from the field.</w:t>
      </w:r>
      <w:bookmarkEnd w:id="506"/>
      <w:r w:rsidRPr="00F643F6">
        <w:t xml:space="preserve"> </w:t>
      </w:r>
      <w:r w:rsidRPr="00F643F6">
        <w:rPr>
          <w:i/>
        </w:rPr>
        <w:t>Journal of Financial Economics</w:t>
      </w:r>
      <w:r w:rsidRPr="00F643F6">
        <w:t>, 146: 552-593.</w:t>
      </w:r>
    </w:p>
    <w:p w14:paraId="3E35413A" w14:textId="77777777" w:rsidR="004F6BD1" w:rsidRPr="00F643F6" w:rsidRDefault="004F6BD1" w:rsidP="00010489">
      <w:pPr>
        <w:pStyle w:val="CitaviBibliographyEntry"/>
        <w:spacing w:after="12"/>
        <w:ind w:hanging="284"/>
        <w:jc w:val="both"/>
      </w:pPr>
      <w:bookmarkStart w:id="507" w:name="_CTVL001a18e92eac0d646f4a2ed619a957e1b7e"/>
      <w:r w:rsidRPr="00F643F6">
        <w:t>Grimpe, C. 2007. Successful Product Development after Firm Acquisitions: The Role of Research and Development.</w:t>
      </w:r>
      <w:bookmarkEnd w:id="507"/>
      <w:r w:rsidRPr="00F643F6">
        <w:t xml:space="preserve"> </w:t>
      </w:r>
      <w:r w:rsidRPr="00F643F6">
        <w:rPr>
          <w:i/>
        </w:rPr>
        <w:t>Journal of Product Innovation Management</w:t>
      </w:r>
      <w:r w:rsidRPr="00F643F6">
        <w:t>, 24: 614-628.</w:t>
      </w:r>
    </w:p>
    <w:p w14:paraId="1C1431F4" w14:textId="77777777" w:rsidR="004F6BD1" w:rsidRPr="00F643F6" w:rsidRDefault="004F6BD1" w:rsidP="00010489">
      <w:pPr>
        <w:pStyle w:val="CitaviBibliographyEntry"/>
        <w:spacing w:after="12"/>
        <w:ind w:hanging="284"/>
        <w:jc w:val="both"/>
      </w:pPr>
      <w:bookmarkStart w:id="508" w:name="_CTVL001a7b26d68acad4274b7ea7b76d55521c0"/>
      <w:r w:rsidRPr="00F643F6">
        <w:t>Guiso, L., Sapienza, P., &amp; Zingales, L. 2015. The value of corporate culture.</w:t>
      </w:r>
      <w:bookmarkEnd w:id="508"/>
      <w:r w:rsidRPr="00F643F6">
        <w:t xml:space="preserve"> </w:t>
      </w:r>
      <w:r w:rsidRPr="00F643F6">
        <w:rPr>
          <w:i/>
        </w:rPr>
        <w:t>Journal of Financial Economics</w:t>
      </w:r>
      <w:r w:rsidRPr="00F643F6">
        <w:t>, 117: 60-76.</w:t>
      </w:r>
    </w:p>
    <w:p w14:paraId="4DCD15FC" w14:textId="77777777" w:rsidR="004F6BD1" w:rsidRPr="00F643F6" w:rsidRDefault="004F6BD1" w:rsidP="00010489">
      <w:pPr>
        <w:pStyle w:val="CitaviBibliographyEntry"/>
        <w:spacing w:after="12"/>
        <w:ind w:hanging="284"/>
        <w:jc w:val="both"/>
      </w:pPr>
      <w:bookmarkStart w:id="509" w:name="_CTVL001c9938d546d8648d9a3e70499a3409f92"/>
      <w:r w:rsidRPr="00F643F6">
        <w:t>Gupta, A., &amp; Briscoe, F. 2020. Organizational Political Ideology and Corporate Openness to Social Activism.</w:t>
      </w:r>
      <w:bookmarkEnd w:id="509"/>
      <w:r w:rsidRPr="00F643F6">
        <w:t xml:space="preserve"> </w:t>
      </w:r>
      <w:r w:rsidRPr="00F643F6">
        <w:rPr>
          <w:i/>
        </w:rPr>
        <w:t>Administrative Science Quarterly</w:t>
      </w:r>
      <w:r w:rsidRPr="00F643F6">
        <w:t>, 65: 524-563.</w:t>
      </w:r>
    </w:p>
    <w:p w14:paraId="4FD1552A" w14:textId="77777777" w:rsidR="004F6BD1" w:rsidRPr="00F643F6" w:rsidRDefault="004F6BD1" w:rsidP="00010489">
      <w:pPr>
        <w:pStyle w:val="CitaviBibliographyEntry"/>
        <w:spacing w:after="12"/>
        <w:ind w:hanging="284"/>
        <w:jc w:val="both"/>
      </w:pPr>
      <w:bookmarkStart w:id="510" w:name="_CTVL00127e5472ab1184feca203c58d3cf6e2c2"/>
      <w:r w:rsidRPr="00F643F6">
        <w:t>Hall, B. H., Jaffe, A., &amp; Trajtenberg, M. 2005. Market value and patent citations.</w:t>
      </w:r>
      <w:bookmarkEnd w:id="510"/>
      <w:r w:rsidRPr="00F643F6">
        <w:t xml:space="preserve"> </w:t>
      </w:r>
      <w:r w:rsidRPr="00F643F6">
        <w:rPr>
          <w:i/>
        </w:rPr>
        <w:t>RAND Journal of economics</w:t>
      </w:r>
      <w:r w:rsidRPr="00F643F6">
        <w:t>: 16-38.</w:t>
      </w:r>
    </w:p>
    <w:p w14:paraId="2CBD0653" w14:textId="77777777" w:rsidR="004F6BD1" w:rsidRPr="00F643F6" w:rsidRDefault="004F6BD1" w:rsidP="00010489">
      <w:pPr>
        <w:pStyle w:val="CitaviBibliographyEntry"/>
        <w:spacing w:after="12"/>
        <w:ind w:hanging="284"/>
        <w:jc w:val="both"/>
      </w:pPr>
      <w:bookmarkStart w:id="511" w:name="_CTVL001d75494e36b8141fd9ac2d10fbf2b86c2"/>
      <w:r w:rsidRPr="00F643F6">
        <w:t>Haspeslagh, P. C., &amp; Jemison, D. B. 1991. The challenge of renewal through acquisitions.</w:t>
      </w:r>
      <w:bookmarkEnd w:id="511"/>
      <w:r w:rsidRPr="00F643F6">
        <w:t xml:space="preserve"> </w:t>
      </w:r>
      <w:r w:rsidRPr="00F643F6">
        <w:rPr>
          <w:i/>
        </w:rPr>
        <w:t>Planning Review</w:t>
      </w:r>
      <w:r w:rsidRPr="00F643F6">
        <w:t>, 19: 27-30.</w:t>
      </w:r>
    </w:p>
    <w:p w14:paraId="6AA85E5D" w14:textId="77777777" w:rsidR="004F6BD1" w:rsidRPr="00F643F6" w:rsidRDefault="004F6BD1" w:rsidP="00010489">
      <w:pPr>
        <w:pStyle w:val="CitaviBibliographyEntry"/>
        <w:spacing w:after="12"/>
        <w:ind w:hanging="284"/>
        <w:jc w:val="both"/>
      </w:pPr>
      <w:bookmarkStart w:id="512" w:name="_CTVL001f81fbdfa59c54fbb9b9f74c35cc58b78"/>
      <w:r w:rsidRPr="00F643F6">
        <w:t>Haucap, J., Rasch, A., &amp; Stiebale, J. 2019. How mergers affect innovation: Theory and evidence.</w:t>
      </w:r>
      <w:bookmarkEnd w:id="512"/>
      <w:r w:rsidRPr="00F643F6">
        <w:t xml:space="preserve"> </w:t>
      </w:r>
      <w:r w:rsidRPr="00F643F6">
        <w:rPr>
          <w:i/>
        </w:rPr>
        <w:t>International Journal of Industrial Organization</w:t>
      </w:r>
      <w:r w:rsidRPr="00F643F6">
        <w:t>, 63: 283-325.</w:t>
      </w:r>
    </w:p>
    <w:p w14:paraId="5839092C" w14:textId="77777777" w:rsidR="004F6BD1" w:rsidRPr="00F643F6" w:rsidRDefault="004F6BD1" w:rsidP="00010489">
      <w:pPr>
        <w:pStyle w:val="CitaviBibliographyEntry"/>
        <w:spacing w:after="12"/>
        <w:ind w:hanging="284"/>
        <w:jc w:val="both"/>
      </w:pPr>
      <w:bookmarkStart w:id="513" w:name="_CTVL001b1f1932d09cf48f7adf4424da0e51ae6"/>
      <w:r w:rsidRPr="00F643F6">
        <w:lastRenderedPageBreak/>
        <w:t>Haunschild, P. R. 1994. How Much is That Company Worth?: Interorganizational Relationships, Uncertainty, and Acquisition Premiums.</w:t>
      </w:r>
      <w:bookmarkEnd w:id="513"/>
      <w:r w:rsidRPr="00F643F6">
        <w:t xml:space="preserve"> </w:t>
      </w:r>
      <w:r w:rsidRPr="00F643F6">
        <w:rPr>
          <w:i/>
        </w:rPr>
        <w:t>Administrative Science Quarterly</w:t>
      </w:r>
      <w:r w:rsidRPr="00F643F6">
        <w:t>, 39: 391.</w:t>
      </w:r>
    </w:p>
    <w:p w14:paraId="1F21D2B3" w14:textId="77777777" w:rsidR="004F6BD1" w:rsidRPr="00F643F6" w:rsidRDefault="004F6BD1" w:rsidP="00010489">
      <w:pPr>
        <w:pStyle w:val="CitaviBibliographyEntry"/>
        <w:spacing w:after="12"/>
        <w:ind w:hanging="284"/>
        <w:jc w:val="both"/>
      </w:pPr>
      <w:bookmarkStart w:id="514" w:name="_CTVL001c29c6db1cefa4fa0bf664a32e6744b4e"/>
      <w:r w:rsidRPr="00F643F6">
        <w:t>Hayward, M. L. A., &amp; Hambrick, D. C. 1997. Explaining the Premiums Paid for Large Acquisitions: Evidence of CEO Hubris.</w:t>
      </w:r>
      <w:bookmarkEnd w:id="514"/>
      <w:r w:rsidRPr="00F643F6">
        <w:t xml:space="preserve"> </w:t>
      </w:r>
      <w:r w:rsidRPr="00F643F6">
        <w:rPr>
          <w:i/>
        </w:rPr>
        <w:t>Administrative Science Quarterly</w:t>
      </w:r>
      <w:r w:rsidRPr="00F643F6">
        <w:t>, 42: 103.</w:t>
      </w:r>
    </w:p>
    <w:p w14:paraId="6F9CDE36" w14:textId="77777777" w:rsidR="004F6BD1" w:rsidRPr="00F643F6" w:rsidRDefault="004F6BD1" w:rsidP="00010489">
      <w:pPr>
        <w:pStyle w:val="CitaviBibliographyEntry"/>
        <w:spacing w:after="12"/>
        <w:ind w:hanging="284"/>
        <w:jc w:val="both"/>
      </w:pPr>
      <w:bookmarkStart w:id="515" w:name="_CTVL0018316966c4f7c4cf7b92accb13be23e70"/>
      <w:r w:rsidRPr="00F643F6">
        <w:t>Hitt, M. A., Hoskisson, R. E., &amp; Ireland, R. D. 1990. Mergers and acquisitions and managerial commitment to innovation in M-Form firms.</w:t>
      </w:r>
      <w:bookmarkEnd w:id="515"/>
      <w:r w:rsidRPr="00F643F6">
        <w:t xml:space="preserve"> </w:t>
      </w:r>
      <w:r w:rsidRPr="00F643F6">
        <w:rPr>
          <w:i/>
        </w:rPr>
        <w:t>Strategic Management Journal</w:t>
      </w:r>
      <w:r w:rsidRPr="00F643F6">
        <w:t>: 29-47.</w:t>
      </w:r>
    </w:p>
    <w:p w14:paraId="7005BEDE" w14:textId="77777777" w:rsidR="004F6BD1" w:rsidRPr="00F643F6" w:rsidRDefault="004F6BD1" w:rsidP="00010489">
      <w:pPr>
        <w:pStyle w:val="CitaviBibliographyEntry"/>
        <w:spacing w:after="12"/>
        <w:ind w:hanging="284"/>
        <w:jc w:val="both"/>
      </w:pPr>
      <w:bookmarkStart w:id="516" w:name="_CTVL00183bb4aa425d449bc805049f952879ad9"/>
      <w:r w:rsidRPr="00F643F6">
        <w:t>Hitt, M. A., Hoskisson, R. E., Johnson, R. A., &amp; Moesel, D. D. 1996. The Market For Corporate Control and Firm Innovation.</w:t>
      </w:r>
      <w:bookmarkEnd w:id="516"/>
      <w:r w:rsidRPr="00F643F6">
        <w:t xml:space="preserve"> </w:t>
      </w:r>
      <w:r w:rsidRPr="00F643F6">
        <w:rPr>
          <w:i/>
        </w:rPr>
        <w:t>Academy of Management Journal</w:t>
      </w:r>
      <w:r w:rsidRPr="00F643F6">
        <w:t>, 39: 1084-1119.</w:t>
      </w:r>
    </w:p>
    <w:p w14:paraId="2778313A" w14:textId="77777777" w:rsidR="004F6BD1" w:rsidRPr="00F643F6" w:rsidRDefault="004F6BD1" w:rsidP="00010489">
      <w:pPr>
        <w:pStyle w:val="CitaviBibliographyEntry"/>
        <w:spacing w:after="12"/>
        <w:ind w:hanging="284"/>
        <w:jc w:val="both"/>
      </w:pPr>
      <w:bookmarkStart w:id="517" w:name="_CTVL001b7b4609de863403d9f4df8864abe13d3"/>
      <w:r w:rsidRPr="00F643F6">
        <w:t>Hitt, M. A., Ireland, R. D., Harrison, J. S., &amp; Hoskisson, R. E. 1991. Effects of Acquisitions on R&amp;D Inputs and Outputs.</w:t>
      </w:r>
      <w:bookmarkEnd w:id="517"/>
      <w:r w:rsidRPr="00F643F6">
        <w:t xml:space="preserve"> </w:t>
      </w:r>
      <w:r w:rsidRPr="00F643F6">
        <w:rPr>
          <w:i/>
        </w:rPr>
        <w:t>Academy of Management Journal</w:t>
      </w:r>
      <w:r w:rsidRPr="00F643F6">
        <w:t>, 34: 693-706.</w:t>
      </w:r>
    </w:p>
    <w:p w14:paraId="49054B2C" w14:textId="77777777" w:rsidR="004F6BD1" w:rsidRPr="00F643F6" w:rsidRDefault="004F6BD1" w:rsidP="00010489">
      <w:pPr>
        <w:pStyle w:val="CitaviBibliographyEntry"/>
        <w:spacing w:after="12"/>
        <w:ind w:hanging="284"/>
        <w:jc w:val="both"/>
      </w:pPr>
      <w:bookmarkStart w:id="518" w:name="_CTVL0015a1a50eff793477db5c6e5eeb621f968"/>
      <w:r w:rsidRPr="00F643F6">
        <w:t>Hofstede, G. 1980. Culture and Organizations.</w:t>
      </w:r>
      <w:bookmarkEnd w:id="518"/>
      <w:r w:rsidRPr="00F643F6">
        <w:t xml:space="preserve"> </w:t>
      </w:r>
      <w:r w:rsidRPr="00F643F6">
        <w:rPr>
          <w:i/>
        </w:rPr>
        <w:t>International Studies of Management &amp; Organization</w:t>
      </w:r>
      <w:r w:rsidRPr="00F643F6">
        <w:t>, 10: 15-41.</w:t>
      </w:r>
    </w:p>
    <w:p w14:paraId="6B21AD4D" w14:textId="77777777" w:rsidR="004F6BD1" w:rsidRPr="00F643F6" w:rsidRDefault="004F6BD1" w:rsidP="00010489">
      <w:pPr>
        <w:pStyle w:val="CitaviBibliographyEntry"/>
        <w:spacing w:after="12"/>
        <w:ind w:hanging="284"/>
        <w:jc w:val="both"/>
      </w:pPr>
      <w:bookmarkStart w:id="519" w:name="_CTVL001579805ce33bb4f9a87ee53a5f39697fb"/>
      <w:r w:rsidRPr="00F643F6">
        <w:t>Hofstede, G. H. 2001.</w:t>
      </w:r>
      <w:bookmarkEnd w:id="519"/>
      <w:r w:rsidRPr="00F643F6">
        <w:t xml:space="preserve"> </w:t>
      </w:r>
      <w:r w:rsidRPr="00F643F6">
        <w:rPr>
          <w:i/>
        </w:rPr>
        <w:t>Culture</w:t>
      </w:r>
      <w:r>
        <w:rPr>
          <w:i/>
        </w:rPr>
        <w:t>’</w:t>
      </w:r>
      <w:r w:rsidRPr="00F643F6">
        <w:rPr>
          <w:i/>
        </w:rPr>
        <w:t xml:space="preserve">s consequences: Comparing values, behaviors, institutions, and organizations across nations </w:t>
      </w:r>
      <w:r w:rsidRPr="00F643F6">
        <w:t>(2</w:t>
      </w:r>
      <w:r w:rsidRPr="00AD32C6">
        <w:rPr>
          <w:vertAlign w:val="superscript"/>
        </w:rPr>
        <w:t>nd</w:t>
      </w:r>
      <w:r w:rsidRPr="00F643F6">
        <w:t xml:space="preserve"> ed.). Thousand Oaks, Calif., London: SAGE.</w:t>
      </w:r>
    </w:p>
    <w:p w14:paraId="06024668" w14:textId="77777777" w:rsidR="004F6BD1" w:rsidRPr="00F643F6" w:rsidRDefault="004F6BD1" w:rsidP="00010489">
      <w:pPr>
        <w:pStyle w:val="CitaviBibliographyEntry"/>
        <w:spacing w:after="12"/>
        <w:ind w:hanging="284"/>
        <w:jc w:val="both"/>
      </w:pPr>
      <w:bookmarkStart w:id="520" w:name="_CTVL001edb34124334245c4811a9e580d0d3384"/>
      <w:r w:rsidRPr="00F643F6">
        <w:t>Homberg, F., Rost, K., &amp; Osterloh, M. 2009. Do synergies exist in related acquisitions? A meta-analysis of acquisition studies.</w:t>
      </w:r>
      <w:bookmarkEnd w:id="520"/>
      <w:r w:rsidRPr="00F643F6">
        <w:t xml:space="preserve"> </w:t>
      </w:r>
      <w:r w:rsidRPr="00F643F6">
        <w:rPr>
          <w:i/>
        </w:rPr>
        <w:t>Review of Managerial Science</w:t>
      </w:r>
      <w:r w:rsidRPr="00F643F6">
        <w:t>, 3: 75-116.</w:t>
      </w:r>
    </w:p>
    <w:p w14:paraId="2053B8C2" w14:textId="77777777" w:rsidR="004F6BD1" w:rsidRPr="00F643F6" w:rsidRDefault="004F6BD1" w:rsidP="00010489">
      <w:pPr>
        <w:pStyle w:val="CitaviBibliographyEntry"/>
        <w:spacing w:after="12"/>
        <w:ind w:hanging="284"/>
        <w:jc w:val="both"/>
      </w:pPr>
      <w:bookmarkStart w:id="521" w:name="_CTVL001e4c28453266d4975a12335e7c5974047"/>
      <w:r w:rsidRPr="00F643F6">
        <w:t>Homburg, C., &amp; Bucerius, M. 2006. Is speed of integration really a success factor of mergers and acquisitions? An analysis of the role of internal and external relatedness.</w:t>
      </w:r>
      <w:bookmarkEnd w:id="521"/>
      <w:r w:rsidRPr="00F643F6">
        <w:t xml:space="preserve"> </w:t>
      </w:r>
      <w:r w:rsidRPr="00F643F6">
        <w:rPr>
          <w:i/>
        </w:rPr>
        <w:t>Strategic Management Journal</w:t>
      </w:r>
      <w:r w:rsidRPr="00F643F6">
        <w:t>, 27: 347-367.</w:t>
      </w:r>
    </w:p>
    <w:p w14:paraId="46E3AE10" w14:textId="77777777" w:rsidR="004F6BD1" w:rsidRPr="00F643F6" w:rsidRDefault="004F6BD1" w:rsidP="00010489">
      <w:pPr>
        <w:pStyle w:val="CitaviBibliographyEntry"/>
        <w:spacing w:after="12"/>
        <w:ind w:hanging="284"/>
        <w:jc w:val="both"/>
      </w:pPr>
      <w:bookmarkStart w:id="522" w:name="_CTVL001c6c51a9762a1461f80ea56fb75b02ed2"/>
      <w:r w:rsidRPr="00F643F6">
        <w:t>Hope, O.-K., Thomas, W. B., &amp; Vyas, D. 2011. Financial Credibility, Ownership, and Financing Constraints in Private Firms.</w:t>
      </w:r>
      <w:bookmarkEnd w:id="522"/>
      <w:r w:rsidRPr="00F643F6">
        <w:t xml:space="preserve"> </w:t>
      </w:r>
      <w:r w:rsidRPr="00F643F6">
        <w:rPr>
          <w:i/>
        </w:rPr>
        <w:t xml:space="preserve">SSRN Electronic Journal. </w:t>
      </w:r>
      <w:r w:rsidRPr="00F643F6">
        <w:t xml:space="preserve">doi:10.2139/ssrn.1264730 </w:t>
      </w:r>
    </w:p>
    <w:p w14:paraId="27996F82" w14:textId="77777777" w:rsidR="004F6BD1" w:rsidRPr="00F643F6" w:rsidRDefault="004F6BD1" w:rsidP="00010489">
      <w:pPr>
        <w:pStyle w:val="CitaviBibliographyEntry"/>
        <w:spacing w:after="12"/>
        <w:ind w:hanging="284"/>
        <w:jc w:val="both"/>
      </w:pPr>
      <w:bookmarkStart w:id="523" w:name="_CTVL00118697bc1032d48eba94f08ab2a621d10"/>
      <w:r w:rsidRPr="00F643F6">
        <w:t>Jehn, K. A., Northcraft, G. B., &amp; Neale, M. A. 1999. Why Differences Make a Difference: A Field Study of Diversity, Conflict and Performance in Workgroups.</w:t>
      </w:r>
      <w:bookmarkEnd w:id="523"/>
      <w:r w:rsidRPr="00F643F6">
        <w:t xml:space="preserve"> </w:t>
      </w:r>
      <w:r w:rsidRPr="00F643F6">
        <w:rPr>
          <w:i/>
        </w:rPr>
        <w:t>Administrative Science Quarterly</w:t>
      </w:r>
      <w:r w:rsidRPr="00F643F6">
        <w:t>, 44: 741-763.</w:t>
      </w:r>
    </w:p>
    <w:p w14:paraId="4457A3F2" w14:textId="77777777" w:rsidR="004F6BD1" w:rsidRPr="00F643F6" w:rsidRDefault="004F6BD1" w:rsidP="00010489">
      <w:pPr>
        <w:pStyle w:val="CitaviBibliographyEntry"/>
        <w:spacing w:after="12"/>
        <w:ind w:hanging="284"/>
        <w:jc w:val="both"/>
      </w:pPr>
      <w:bookmarkStart w:id="524" w:name="_CTVL001ddd98357e4ff43129090437b5dc4f4b8"/>
      <w:r w:rsidRPr="00F643F6">
        <w:lastRenderedPageBreak/>
        <w:t>Jemison, D. B., &amp; Sitkin, S. B. 1986. Corporate Acquisitions: A Process Perspective.</w:t>
      </w:r>
      <w:bookmarkEnd w:id="524"/>
      <w:r w:rsidRPr="00F643F6">
        <w:t xml:space="preserve"> </w:t>
      </w:r>
      <w:r w:rsidRPr="00F643F6">
        <w:rPr>
          <w:i/>
        </w:rPr>
        <w:t>The Academy of Management Review</w:t>
      </w:r>
      <w:r w:rsidRPr="00F643F6">
        <w:t>, 11: 145.</w:t>
      </w:r>
    </w:p>
    <w:p w14:paraId="71394CF5" w14:textId="77777777" w:rsidR="004F6BD1" w:rsidRPr="00F643F6" w:rsidRDefault="004F6BD1" w:rsidP="00010489">
      <w:pPr>
        <w:pStyle w:val="CitaviBibliographyEntry"/>
        <w:spacing w:after="12"/>
        <w:ind w:hanging="284"/>
        <w:jc w:val="both"/>
      </w:pPr>
      <w:bookmarkStart w:id="525" w:name="_CTVL0016ac89362a1184630a51ca9001c93a756"/>
      <w:r w:rsidRPr="00F643F6">
        <w:t>Jentner, D., &amp; Lewellen, K. 2015. CEO Preferences and Acquisitions.</w:t>
      </w:r>
      <w:bookmarkEnd w:id="525"/>
      <w:r w:rsidRPr="00F643F6">
        <w:t xml:space="preserve"> </w:t>
      </w:r>
      <w:r w:rsidRPr="00F643F6">
        <w:rPr>
          <w:i/>
        </w:rPr>
        <w:t>The Journal of Finance</w:t>
      </w:r>
      <w:r w:rsidRPr="00F643F6">
        <w:t>, 70: 2813-2852.</w:t>
      </w:r>
    </w:p>
    <w:p w14:paraId="3E4A4F3C" w14:textId="77777777" w:rsidR="004F6BD1" w:rsidRPr="00F643F6" w:rsidRDefault="004F6BD1" w:rsidP="00010489">
      <w:pPr>
        <w:pStyle w:val="CitaviBibliographyEntry"/>
        <w:spacing w:after="12"/>
        <w:ind w:hanging="284"/>
        <w:jc w:val="both"/>
      </w:pPr>
      <w:bookmarkStart w:id="526" w:name="_CTVL001c4a43bb2f0da44cabd34edf948f065bb"/>
      <w:r w:rsidRPr="00F643F6">
        <w:t>Ji, Y., Rozenbaum, O., &amp; Welch, K. T. 2022. Corporate Culture and Financial Reporting Risk: Looking Through the Glassdoor.</w:t>
      </w:r>
    </w:p>
    <w:p w14:paraId="43CE90EE" w14:textId="77777777" w:rsidR="004F6BD1" w:rsidRPr="00F643F6" w:rsidRDefault="004F6BD1" w:rsidP="00010489">
      <w:pPr>
        <w:pStyle w:val="CitaviBibliographyEntry"/>
        <w:spacing w:after="12"/>
        <w:ind w:hanging="284"/>
        <w:jc w:val="both"/>
      </w:pPr>
      <w:bookmarkStart w:id="527" w:name="_CTVL0011db840b7f67d4ea7b830315fcbb611a7"/>
      <w:bookmarkEnd w:id="526"/>
      <w:r w:rsidRPr="003156EF">
        <w:rPr>
          <w:lang w:val="de-DE"/>
        </w:rPr>
        <w:t xml:space="preserve">Kim, J.-Y., Haleblian, J., &amp; Finkelstein, S. 2011. </w:t>
      </w:r>
      <w:r w:rsidRPr="00F643F6">
        <w:t>When Firms are Desperate to Grow via Acquisition: The Effect of Growth Patterns and Acquisition Experience on Acquisition Premiums.</w:t>
      </w:r>
      <w:bookmarkEnd w:id="527"/>
      <w:r w:rsidRPr="00F643F6">
        <w:t xml:space="preserve"> </w:t>
      </w:r>
      <w:r w:rsidRPr="00F643F6">
        <w:rPr>
          <w:i/>
        </w:rPr>
        <w:t>Administrative Science Quarterly</w:t>
      </w:r>
      <w:r w:rsidRPr="00F643F6">
        <w:t>, 56: 26-60.</w:t>
      </w:r>
    </w:p>
    <w:p w14:paraId="669AD605" w14:textId="77777777" w:rsidR="004F6BD1" w:rsidRPr="00F643F6" w:rsidRDefault="004F6BD1" w:rsidP="00010489">
      <w:pPr>
        <w:pStyle w:val="CitaviBibliographyEntry"/>
        <w:spacing w:after="12"/>
        <w:ind w:hanging="284"/>
        <w:jc w:val="both"/>
      </w:pPr>
      <w:bookmarkStart w:id="528" w:name="_CTVL001de330467b3304cc2b02666d2ab7f93d3"/>
      <w:r w:rsidRPr="00F643F6">
        <w:t>King, D. R., Wang, G., Samimi, M., &amp; Cortes, A. F. 2021. A Meta‐Analytic Integration of Acquisition Performance Prediction.</w:t>
      </w:r>
      <w:bookmarkEnd w:id="528"/>
      <w:r w:rsidRPr="00F643F6">
        <w:t xml:space="preserve"> </w:t>
      </w:r>
      <w:r w:rsidRPr="00F643F6">
        <w:rPr>
          <w:i/>
        </w:rPr>
        <w:t>Journal of Management Studies</w:t>
      </w:r>
      <w:r w:rsidRPr="00F643F6">
        <w:t>, 58: 1198-1236.</w:t>
      </w:r>
    </w:p>
    <w:p w14:paraId="5D117CAB" w14:textId="77777777" w:rsidR="004F6BD1" w:rsidRPr="00F643F6" w:rsidRDefault="004F6BD1" w:rsidP="00010489">
      <w:pPr>
        <w:pStyle w:val="CitaviBibliographyEntry"/>
        <w:spacing w:after="12"/>
        <w:ind w:hanging="284"/>
        <w:jc w:val="both"/>
      </w:pPr>
      <w:bookmarkStart w:id="529" w:name="_CTVL0019b5574c55cfe47e7b79a53e1611773a7"/>
      <w:r w:rsidRPr="00F643F6">
        <w:t>Kirkman, B. L., Lowe, K. B., &amp; Gibson, C. B. 2006. A quarter century of Culture</w:t>
      </w:r>
      <w:r>
        <w:t>’</w:t>
      </w:r>
      <w:r w:rsidRPr="00F643F6">
        <w:t>s Consequences: a review of empirical research incorporating Hofstede</w:t>
      </w:r>
      <w:r>
        <w:t>’</w:t>
      </w:r>
      <w:r w:rsidRPr="00F643F6">
        <w:t>s cultural values framework.</w:t>
      </w:r>
      <w:bookmarkEnd w:id="529"/>
      <w:r w:rsidRPr="00F643F6">
        <w:t xml:space="preserve"> </w:t>
      </w:r>
      <w:r w:rsidRPr="00F643F6">
        <w:rPr>
          <w:i/>
        </w:rPr>
        <w:t>Journal of International Business Studies</w:t>
      </w:r>
      <w:r w:rsidRPr="00F643F6">
        <w:t>, 37: 285-320.</w:t>
      </w:r>
    </w:p>
    <w:p w14:paraId="02E899D2" w14:textId="77777777" w:rsidR="004F6BD1" w:rsidRPr="00F643F6" w:rsidRDefault="004F6BD1" w:rsidP="00010489">
      <w:pPr>
        <w:pStyle w:val="CitaviBibliographyEntry"/>
        <w:spacing w:after="12"/>
        <w:ind w:hanging="284"/>
        <w:jc w:val="both"/>
      </w:pPr>
      <w:bookmarkStart w:id="530" w:name="_CTVL0012623b54ee3644e3eaf6a80e70a58ee08"/>
      <w:r w:rsidRPr="00F643F6">
        <w:t>Koch, S. &amp; Pasch, S. 2022.</w:t>
      </w:r>
      <w:bookmarkEnd w:id="530"/>
      <w:r w:rsidRPr="00F643F6">
        <w:t xml:space="preserve"> </w:t>
      </w:r>
      <w:r w:rsidRPr="00F643F6">
        <w:rPr>
          <w:i/>
        </w:rPr>
        <w:t>CultureBERT: Fine-Tuning Transformer-Based Language Models for Corporate Culture</w:t>
      </w:r>
      <w:r w:rsidRPr="00F643F6">
        <w:t>: arXiv.</w:t>
      </w:r>
    </w:p>
    <w:p w14:paraId="3061BDC5" w14:textId="77777777" w:rsidR="004F6BD1" w:rsidRPr="00F643F6" w:rsidRDefault="004F6BD1" w:rsidP="00010489">
      <w:pPr>
        <w:pStyle w:val="CitaviBibliographyEntry"/>
        <w:spacing w:after="12"/>
        <w:ind w:hanging="284"/>
        <w:jc w:val="both"/>
      </w:pPr>
      <w:bookmarkStart w:id="531" w:name="_CTVL001fe7fd3e268d94c268dd0490a5fe19ba5"/>
      <w:r w:rsidRPr="00F643F6">
        <w:t>Kogut, B., &amp; Singh, H. 1988. The Effect of National Culture on the Choice of Entry Mode.</w:t>
      </w:r>
      <w:bookmarkEnd w:id="531"/>
      <w:r w:rsidRPr="00F643F6">
        <w:t xml:space="preserve"> </w:t>
      </w:r>
      <w:r w:rsidRPr="00F643F6">
        <w:rPr>
          <w:i/>
        </w:rPr>
        <w:t>Journal of International Business Studies</w:t>
      </w:r>
      <w:r w:rsidRPr="00F643F6">
        <w:t>, 19: 411-432.</w:t>
      </w:r>
    </w:p>
    <w:p w14:paraId="30B9F60D" w14:textId="77777777" w:rsidR="004F6BD1" w:rsidRPr="00F643F6" w:rsidRDefault="004F6BD1" w:rsidP="00010489">
      <w:pPr>
        <w:pStyle w:val="CitaviBibliographyEntry"/>
        <w:spacing w:after="12"/>
        <w:ind w:hanging="284"/>
        <w:jc w:val="both"/>
      </w:pPr>
      <w:bookmarkStart w:id="532" w:name="_CTVL00163cf15a30e38427faa134ad91dda5fb5"/>
      <w:r w:rsidRPr="00F643F6">
        <w:t>Konara, P., &amp; Mohr, A. 2019. Why We Should Stop Using the Kogut and Singh Index.</w:t>
      </w:r>
      <w:bookmarkEnd w:id="532"/>
      <w:r w:rsidRPr="00F643F6">
        <w:t xml:space="preserve"> </w:t>
      </w:r>
      <w:r w:rsidRPr="00F643F6">
        <w:rPr>
          <w:i/>
        </w:rPr>
        <w:t>Management International Review</w:t>
      </w:r>
      <w:r w:rsidRPr="00F643F6">
        <w:t>, 59: 335-354.</w:t>
      </w:r>
    </w:p>
    <w:p w14:paraId="69212624" w14:textId="77777777" w:rsidR="004F6BD1" w:rsidRPr="00F643F6" w:rsidRDefault="004F6BD1" w:rsidP="00010489">
      <w:pPr>
        <w:pStyle w:val="CitaviBibliographyEntry"/>
        <w:spacing w:after="12"/>
        <w:ind w:hanging="284"/>
        <w:jc w:val="both"/>
      </w:pPr>
      <w:bookmarkStart w:id="533" w:name="_CTVL00198a30859f9f64326838ad959935eb6ae"/>
      <w:r w:rsidRPr="00F643F6">
        <w:t>Krishnan, H. A., Miller, A., &amp; Judge, W. Q. 1997. Diversification and top management team complementarity: is performance improved by merging similar or dissimilar teams?</w:t>
      </w:r>
      <w:bookmarkEnd w:id="533"/>
      <w:r w:rsidRPr="00F643F6">
        <w:t xml:space="preserve"> </w:t>
      </w:r>
      <w:r w:rsidRPr="00F643F6">
        <w:rPr>
          <w:i/>
        </w:rPr>
        <w:t>Strategic Management Journal</w:t>
      </w:r>
      <w:r w:rsidRPr="00F643F6">
        <w:t>, 18: 361-374.</w:t>
      </w:r>
    </w:p>
    <w:p w14:paraId="37C10F9E" w14:textId="77777777" w:rsidR="004F6BD1" w:rsidRPr="00F643F6" w:rsidRDefault="004F6BD1" w:rsidP="00010489">
      <w:pPr>
        <w:pStyle w:val="CitaviBibliographyEntry"/>
        <w:spacing w:after="12"/>
        <w:ind w:hanging="284"/>
        <w:jc w:val="both"/>
      </w:pPr>
      <w:bookmarkStart w:id="534" w:name="_CTVL0017b55334b2b434db39688db489f13545e"/>
      <w:r w:rsidRPr="00F643F6">
        <w:t>Kumar, M. S. 1985. Growth, Acquisition Activity and Firm Size: Evidence from the United Kingdom.</w:t>
      </w:r>
      <w:bookmarkEnd w:id="534"/>
      <w:r w:rsidRPr="00F643F6">
        <w:t xml:space="preserve"> </w:t>
      </w:r>
      <w:r w:rsidRPr="00F643F6">
        <w:rPr>
          <w:i/>
        </w:rPr>
        <w:t>The Journal of Industrial Economics</w:t>
      </w:r>
      <w:r w:rsidRPr="00F643F6">
        <w:t>, 33: 327.</w:t>
      </w:r>
    </w:p>
    <w:p w14:paraId="0480E064" w14:textId="77777777" w:rsidR="004F6BD1" w:rsidRPr="00F643F6" w:rsidRDefault="004F6BD1" w:rsidP="00010489">
      <w:pPr>
        <w:pStyle w:val="CitaviBibliographyEntry"/>
        <w:spacing w:after="12"/>
        <w:ind w:hanging="284"/>
        <w:jc w:val="both"/>
      </w:pPr>
      <w:bookmarkStart w:id="535" w:name="_CTVL00123099a16e20c456dbc27c4aa27a368bb"/>
      <w:r w:rsidRPr="00F643F6">
        <w:lastRenderedPageBreak/>
        <w:t>Laamanen, T. 2007. On the role of acquisition premium in acquisition research.</w:t>
      </w:r>
      <w:bookmarkEnd w:id="535"/>
      <w:r w:rsidRPr="00F643F6">
        <w:t xml:space="preserve"> </w:t>
      </w:r>
      <w:r w:rsidRPr="00F643F6">
        <w:rPr>
          <w:i/>
        </w:rPr>
        <w:t>Strategic Management Journal</w:t>
      </w:r>
      <w:r w:rsidRPr="00F643F6">
        <w:t>, 28: 1359-1369.</w:t>
      </w:r>
    </w:p>
    <w:p w14:paraId="5F2D1473" w14:textId="77777777" w:rsidR="004F6BD1" w:rsidRPr="00F643F6" w:rsidRDefault="004F6BD1" w:rsidP="00010489">
      <w:pPr>
        <w:pStyle w:val="CitaviBibliographyEntry"/>
        <w:spacing w:after="12"/>
        <w:ind w:hanging="284"/>
        <w:jc w:val="both"/>
      </w:pPr>
      <w:bookmarkStart w:id="536" w:name="_CTVL001884b9ee2acf74e4abcca9e8345c9203d"/>
      <w:r w:rsidRPr="004F6BD1">
        <w:t xml:space="preserve">Langlois, C. C., &amp; Schlegelmilch, B. B. 1990. </w:t>
      </w:r>
      <w:r w:rsidRPr="00F643F6">
        <w:t>Do Corporate Codes of Ethics Reflect National Character? Evidence from Europe and the United States.</w:t>
      </w:r>
      <w:bookmarkEnd w:id="536"/>
      <w:r w:rsidRPr="00F643F6">
        <w:t xml:space="preserve"> </w:t>
      </w:r>
      <w:r w:rsidRPr="00F643F6">
        <w:rPr>
          <w:i/>
        </w:rPr>
        <w:t>Journal of International Business Studies</w:t>
      </w:r>
      <w:r w:rsidRPr="00F643F6">
        <w:t>, 21: 519-539.</w:t>
      </w:r>
    </w:p>
    <w:p w14:paraId="5F765B7D" w14:textId="77777777" w:rsidR="004F6BD1" w:rsidRPr="00F643F6" w:rsidRDefault="004F6BD1" w:rsidP="00010489">
      <w:pPr>
        <w:pStyle w:val="CitaviBibliographyEntry"/>
        <w:spacing w:after="12"/>
        <w:ind w:hanging="284"/>
        <w:jc w:val="both"/>
      </w:pPr>
      <w:bookmarkStart w:id="537" w:name="_CTVL00100260c685ce2471e8182b2e786a9c1bc"/>
      <w:r w:rsidRPr="00F643F6">
        <w:t>Lawrence, E. R., Raithatha, M., &amp; Rodriguez, I. 2021. The effect of cultural and institutional factors on initiation, completion, and duration of cross-border acquisitions.</w:t>
      </w:r>
      <w:bookmarkEnd w:id="537"/>
      <w:r w:rsidRPr="00F643F6">
        <w:t xml:space="preserve"> </w:t>
      </w:r>
      <w:r w:rsidRPr="00F643F6">
        <w:rPr>
          <w:i/>
        </w:rPr>
        <w:t>Journal of Corporate Finance</w:t>
      </w:r>
      <w:r w:rsidRPr="00F643F6">
        <w:t>, 68: 101950.</w:t>
      </w:r>
    </w:p>
    <w:p w14:paraId="5AA0B0D6" w14:textId="77777777" w:rsidR="004F6BD1" w:rsidRPr="00F643F6" w:rsidRDefault="004F6BD1" w:rsidP="00010489">
      <w:pPr>
        <w:pStyle w:val="CitaviBibliographyEntry"/>
        <w:spacing w:after="12"/>
        <w:ind w:hanging="284"/>
        <w:jc w:val="both"/>
      </w:pPr>
      <w:bookmarkStart w:id="538" w:name="_CTVL001f0171980c9734e5280bce1b477acca78"/>
      <w:r w:rsidRPr="00F643F6">
        <w:t>Lee, G., Cho, S. Y., Arthurs, J., &amp; Lee, E. K. 2019. CEO pay inequity, CEO-TMT pay gap, and acquisition premiums.</w:t>
      </w:r>
      <w:bookmarkEnd w:id="538"/>
      <w:r w:rsidRPr="00F643F6">
        <w:t xml:space="preserve"> </w:t>
      </w:r>
      <w:r w:rsidRPr="00F643F6">
        <w:rPr>
          <w:i/>
        </w:rPr>
        <w:t>Journal of Business Research</w:t>
      </w:r>
      <w:r w:rsidRPr="00F643F6">
        <w:t>, 98: 105-116.</w:t>
      </w:r>
    </w:p>
    <w:p w14:paraId="61ACE732" w14:textId="77777777" w:rsidR="004F6BD1" w:rsidRPr="00F643F6" w:rsidRDefault="004F6BD1" w:rsidP="00010489">
      <w:pPr>
        <w:pStyle w:val="CitaviBibliographyEntry"/>
        <w:spacing w:after="12"/>
        <w:ind w:hanging="284"/>
        <w:jc w:val="both"/>
      </w:pPr>
      <w:bookmarkStart w:id="539" w:name="_CTVL001fc6ed82c61c34834b4abbeeb5b9fbc9b"/>
      <w:r w:rsidRPr="00F643F6">
        <w:t>Lee, K. H. 2018. Cross-border mergers and acquisitions amid political uncertainty: A bargaining perspective.</w:t>
      </w:r>
      <w:bookmarkEnd w:id="539"/>
      <w:r w:rsidRPr="00F643F6">
        <w:t xml:space="preserve"> </w:t>
      </w:r>
      <w:r w:rsidRPr="00F643F6">
        <w:rPr>
          <w:i/>
        </w:rPr>
        <w:t>Strategic Management Journal</w:t>
      </w:r>
      <w:r w:rsidRPr="00F643F6">
        <w:t>, 39: 2992-3005.</w:t>
      </w:r>
    </w:p>
    <w:p w14:paraId="412E40C1" w14:textId="77777777" w:rsidR="004F6BD1" w:rsidRPr="00F643F6" w:rsidRDefault="004F6BD1" w:rsidP="00010489">
      <w:pPr>
        <w:pStyle w:val="CitaviBibliographyEntry"/>
        <w:spacing w:after="12"/>
        <w:ind w:hanging="284"/>
        <w:jc w:val="both"/>
      </w:pPr>
      <w:bookmarkStart w:id="540" w:name="_CTVL0010436f2c4e4f84e0ab6396d251b96aad3"/>
      <w:r w:rsidRPr="00F643F6">
        <w:t>Li, C., &amp; Haleblian, J. 2022. The Influence of Nation-Level Institutions on Acquisition Premiums: A Cross-Country Comparative Study.</w:t>
      </w:r>
      <w:bookmarkEnd w:id="540"/>
      <w:r w:rsidRPr="00F643F6">
        <w:t xml:space="preserve"> </w:t>
      </w:r>
      <w:r w:rsidRPr="00F643F6">
        <w:rPr>
          <w:i/>
        </w:rPr>
        <w:t>Journal of Management</w:t>
      </w:r>
      <w:r w:rsidRPr="00F643F6">
        <w:t>, 48: 878-904.</w:t>
      </w:r>
    </w:p>
    <w:p w14:paraId="267712EB" w14:textId="77777777" w:rsidR="004F6BD1" w:rsidRPr="00F643F6" w:rsidRDefault="004F6BD1" w:rsidP="00010489">
      <w:pPr>
        <w:pStyle w:val="CitaviBibliographyEntry"/>
        <w:spacing w:after="12"/>
        <w:ind w:hanging="284"/>
        <w:jc w:val="both"/>
      </w:pPr>
      <w:bookmarkStart w:id="541" w:name="_CTVL00130953daa6eaf4785a69794c8fd166084"/>
      <w:r w:rsidRPr="00F643F6">
        <w:t>Li, K., Mai, F., Shen, R., &amp; Yan, X. 2021. Measuring Corporate Culture Using Machine Learning.</w:t>
      </w:r>
      <w:bookmarkEnd w:id="541"/>
      <w:r w:rsidRPr="00F643F6">
        <w:t xml:space="preserve"> </w:t>
      </w:r>
      <w:r w:rsidRPr="00F643F6">
        <w:rPr>
          <w:i/>
        </w:rPr>
        <w:t>The Review of Financial Studies</w:t>
      </w:r>
      <w:r w:rsidRPr="00F643F6">
        <w:t>, 34: 3265-3315.</w:t>
      </w:r>
    </w:p>
    <w:p w14:paraId="411D7CF0" w14:textId="77777777" w:rsidR="004F6BD1" w:rsidRPr="00F643F6" w:rsidRDefault="004F6BD1" w:rsidP="00010489">
      <w:pPr>
        <w:pStyle w:val="CitaviBibliographyEntry"/>
        <w:spacing w:after="12"/>
        <w:ind w:hanging="284"/>
        <w:jc w:val="both"/>
      </w:pPr>
      <w:bookmarkStart w:id="542" w:name="_CTVL0010251b8b684394fcd8fdc29187d297581"/>
      <w:r w:rsidRPr="00F643F6">
        <w:t>Lim, J., Makhija, A. K., &amp; Shenkar, O. 2016. The asymmetric relationship between national cultural distance and target premiums in cross-border M&amp;A.</w:t>
      </w:r>
      <w:bookmarkEnd w:id="542"/>
      <w:r w:rsidRPr="00F643F6">
        <w:t xml:space="preserve"> </w:t>
      </w:r>
      <w:r w:rsidRPr="00F643F6">
        <w:rPr>
          <w:i/>
        </w:rPr>
        <w:t>Journal of Corporate Finance</w:t>
      </w:r>
      <w:r w:rsidRPr="00F643F6">
        <w:t>, 41: 542-571.</w:t>
      </w:r>
    </w:p>
    <w:p w14:paraId="234EEC8A" w14:textId="77777777" w:rsidR="004F6BD1" w:rsidRPr="00F643F6" w:rsidRDefault="004F6BD1" w:rsidP="00010489">
      <w:pPr>
        <w:pStyle w:val="CitaviBibliographyEntry"/>
        <w:spacing w:after="12"/>
        <w:ind w:hanging="284"/>
        <w:jc w:val="both"/>
      </w:pPr>
      <w:bookmarkStart w:id="543" w:name="_CTVL001a1c095b827c6439da0ac8408ae5865f6"/>
      <w:r w:rsidRPr="00F643F6">
        <w:t>Liu, Y., Ott, M., Goyal, N., Du Jingfei, Joshi, M., Chen, D., Levy, O., Lewis, M., Zettlemoyer, L., &amp; Stoyanov, V. 2019.</w:t>
      </w:r>
      <w:bookmarkEnd w:id="543"/>
      <w:r w:rsidRPr="00F643F6">
        <w:t xml:space="preserve"> </w:t>
      </w:r>
      <w:r w:rsidRPr="00F643F6">
        <w:rPr>
          <w:i/>
        </w:rPr>
        <w:t>RoBERTa: A Robustly Optimized BERT Pretraining Approach</w:t>
      </w:r>
      <w:r w:rsidRPr="00F643F6">
        <w:t xml:space="preserve">. Retrieved from </w:t>
      </w:r>
      <w:hyperlink r:id="rId64" w:history="1">
        <w:r w:rsidRPr="007A1AEA">
          <w:rPr>
            <w:rStyle w:val="Hyperlink"/>
          </w:rPr>
          <w:t>https://arxiv.org/pdf/1907.11692</w:t>
        </w:r>
      </w:hyperlink>
      <w:r w:rsidRPr="00F643F6">
        <w:t>.</w:t>
      </w:r>
    </w:p>
    <w:p w14:paraId="25D52C72" w14:textId="77777777" w:rsidR="004F6BD1" w:rsidRPr="00F643F6" w:rsidRDefault="004F6BD1" w:rsidP="00010489">
      <w:pPr>
        <w:pStyle w:val="CitaviBibliographyEntry"/>
        <w:spacing w:after="12"/>
        <w:ind w:hanging="284"/>
        <w:jc w:val="both"/>
      </w:pPr>
      <w:bookmarkStart w:id="544" w:name="_CTVL001ffb18dd26eb4426b8d511be66e730938"/>
      <w:r w:rsidRPr="00F643F6">
        <w:t>Long, D. W. de, &amp; Fahey, L. 2000. Diagnosing cultural barriers to knowledge management.</w:t>
      </w:r>
      <w:bookmarkEnd w:id="544"/>
      <w:r w:rsidRPr="00F643F6">
        <w:t xml:space="preserve"> </w:t>
      </w:r>
      <w:r w:rsidRPr="00F643F6">
        <w:rPr>
          <w:i/>
        </w:rPr>
        <w:t>Academy of Management Perspectives</w:t>
      </w:r>
      <w:r w:rsidRPr="00F643F6">
        <w:t>, 14: 113-127.</w:t>
      </w:r>
    </w:p>
    <w:p w14:paraId="7E16E1BC" w14:textId="77777777" w:rsidR="004F6BD1" w:rsidRPr="00F643F6" w:rsidRDefault="004F6BD1" w:rsidP="00010489">
      <w:pPr>
        <w:pStyle w:val="CitaviBibliographyEntry"/>
        <w:spacing w:after="12"/>
        <w:ind w:hanging="284"/>
        <w:jc w:val="both"/>
      </w:pPr>
      <w:bookmarkStart w:id="545" w:name="_CTVL00126dd13aa1d5347249ead46f041e4df60"/>
      <w:r w:rsidRPr="00F643F6">
        <w:t>Loughran, T., &amp; Vijh, A. M. 1997. Do Long-Term Shareholders Benefit From Corporate Acquisitions?</w:t>
      </w:r>
      <w:bookmarkEnd w:id="545"/>
      <w:r w:rsidRPr="00F643F6">
        <w:t xml:space="preserve"> </w:t>
      </w:r>
      <w:r w:rsidRPr="00F643F6">
        <w:rPr>
          <w:i/>
        </w:rPr>
        <w:t>The Journal of Finance</w:t>
      </w:r>
      <w:r w:rsidRPr="00F643F6">
        <w:t>, 52: 1765.</w:t>
      </w:r>
    </w:p>
    <w:p w14:paraId="4EDEDEB5" w14:textId="77777777" w:rsidR="004F6BD1" w:rsidRPr="00F643F6" w:rsidRDefault="004F6BD1" w:rsidP="00010489">
      <w:pPr>
        <w:pStyle w:val="CitaviBibliographyEntry"/>
        <w:spacing w:after="12"/>
        <w:ind w:hanging="284"/>
        <w:jc w:val="both"/>
      </w:pPr>
      <w:bookmarkStart w:id="546" w:name="_CTVL001541a1950c5514de580b4bc1f7394f005"/>
      <w:r w:rsidRPr="00F643F6">
        <w:lastRenderedPageBreak/>
        <w:t>Louis, M. R. 1981. A cultural perspective on organizations: the need for and consequences of viewing organizations as culture-bearing milieux.</w:t>
      </w:r>
      <w:bookmarkEnd w:id="546"/>
      <w:r w:rsidRPr="00F643F6">
        <w:t xml:space="preserve"> </w:t>
      </w:r>
      <w:r w:rsidRPr="00F643F6">
        <w:rPr>
          <w:i/>
        </w:rPr>
        <w:t>Human Systems Management</w:t>
      </w:r>
      <w:r w:rsidRPr="00F643F6">
        <w:t>, 2: 246-258.</w:t>
      </w:r>
    </w:p>
    <w:p w14:paraId="5712B7DE" w14:textId="77777777" w:rsidR="004F6BD1" w:rsidRPr="00F643F6" w:rsidRDefault="004F6BD1" w:rsidP="00010489">
      <w:pPr>
        <w:pStyle w:val="CitaviBibliographyEntry"/>
        <w:spacing w:after="12"/>
        <w:ind w:hanging="284"/>
        <w:jc w:val="both"/>
      </w:pPr>
      <w:bookmarkStart w:id="547" w:name="_CTVL00147df83c3aca041c7bcc62157e889de82"/>
      <w:r w:rsidRPr="00F643F6">
        <w:t>Martin, J. 1992.</w:t>
      </w:r>
      <w:bookmarkEnd w:id="547"/>
      <w:r w:rsidRPr="00F643F6">
        <w:t xml:space="preserve"> </w:t>
      </w:r>
      <w:r w:rsidRPr="00F643F6">
        <w:rPr>
          <w:i/>
        </w:rPr>
        <w:t>Cultures in Organizations–Three Perspectives</w:t>
      </w:r>
      <w:r w:rsidRPr="00F643F6">
        <w:t>: Oxford University Press.</w:t>
      </w:r>
    </w:p>
    <w:p w14:paraId="0424B1FE" w14:textId="77777777" w:rsidR="004F6BD1" w:rsidRPr="00F643F6" w:rsidRDefault="004F6BD1" w:rsidP="00010489">
      <w:pPr>
        <w:pStyle w:val="CitaviBibliographyEntry"/>
        <w:spacing w:after="12"/>
        <w:ind w:hanging="284"/>
        <w:jc w:val="both"/>
      </w:pPr>
      <w:bookmarkStart w:id="548" w:name="_CTVL001b1984910d9cd49668cd6f9979672a4f4"/>
      <w:r w:rsidRPr="00F643F6">
        <w:t>Martin, X., &amp; Shalev, R. 2017. Target Firm-Specific Information and Acquisition Efficiency.</w:t>
      </w:r>
      <w:bookmarkEnd w:id="548"/>
      <w:r w:rsidRPr="00F643F6">
        <w:t xml:space="preserve"> </w:t>
      </w:r>
      <w:r w:rsidRPr="00F643F6">
        <w:rPr>
          <w:i/>
        </w:rPr>
        <w:t>Management Science</w:t>
      </w:r>
      <w:r w:rsidRPr="00F643F6">
        <w:t>, 63: 672-690.</w:t>
      </w:r>
    </w:p>
    <w:p w14:paraId="0ECD17CC" w14:textId="77777777" w:rsidR="004F6BD1" w:rsidRPr="00F643F6" w:rsidRDefault="004F6BD1" w:rsidP="00010489">
      <w:pPr>
        <w:pStyle w:val="CitaviBibliographyEntry"/>
        <w:spacing w:after="12"/>
        <w:ind w:hanging="284"/>
        <w:jc w:val="both"/>
      </w:pPr>
      <w:bookmarkStart w:id="549" w:name="_CTVL001ed8f18accf614172826ef3db4702414d"/>
      <w:r w:rsidRPr="00F643F6">
        <w:t>Mikolov, T., Chen, K., Corrado, G., &amp; Dean, J. 2013.</w:t>
      </w:r>
      <w:bookmarkEnd w:id="549"/>
      <w:r w:rsidRPr="00F643F6">
        <w:t xml:space="preserve"> </w:t>
      </w:r>
      <w:r w:rsidRPr="00F643F6">
        <w:rPr>
          <w:i/>
        </w:rPr>
        <w:t>Efficient Estimation of Word Representations in Vector Space</w:t>
      </w:r>
      <w:r w:rsidRPr="00F643F6">
        <w:t xml:space="preserve">. Retrieved from </w:t>
      </w:r>
      <w:hyperlink r:id="rId65" w:history="1">
        <w:r w:rsidRPr="007A1AEA">
          <w:rPr>
            <w:rStyle w:val="Hyperlink"/>
          </w:rPr>
          <w:t>https://arxiv.org/pdf/1301.3781</w:t>
        </w:r>
      </w:hyperlink>
      <w:r w:rsidRPr="00F643F6">
        <w:t>.</w:t>
      </w:r>
    </w:p>
    <w:p w14:paraId="6D169B43" w14:textId="77777777" w:rsidR="004F6BD1" w:rsidRPr="00F643F6" w:rsidRDefault="004F6BD1" w:rsidP="00010489">
      <w:pPr>
        <w:pStyle w:val="CitaviBibliographyEntry"/>
        <w:spacing w:after="12"/>
        <w:ind w:hanging="284"/>
        <w:jc w:val="both"/>
      </w:pPr>
      <w:bookmarkStart w:id="550" w:name="_CTVL001dc8896396d3f4160b5524a14778be0bb"/>
      <w:r w:rsidRPr="00F643F6">
        <w:t>Moeller, S. B., Schlingemann, F. P., &amp; Stulz, R. M. 2004. Firm size and the gains from acquisitions.</w:t>
      </w:r>
      <w:bookmarkEnd w:id="550"/>
      <w:r w:rsidRPr="00F643F6">
        <w:t xml:space="preserve"> </w:t>
      </w:r>
      <w:r w:rsidRPr="00F643F6">
        <w:rPr>
          <w:i/>
        </w:rPr>
        <w:t>Journal of Financial Economics</w:t>
      </w:r>
      <w:r w:rsidRPr="00F643F6">
        <w:t>, 73: 201-228.</w:t>
      </w:r>
    </w:p>
    <w:p w14:paraId="174F5559" w14:textId="77777777" w:rsidR="004F6BD1" w:rsidRPr="00F643F6" w:rsidRDefault="004F6BD1" w:rsidP="00010489">
      <w:pPr>
        <w:pStyle w:val="CitaviBibliographyEntry"/>
        <w:spacing w:after="12"/>
        <w:ind w:hanging="284"/>
        <w:jc w:val="both"/>
      </w:pPr>
      <w:bookmarkStart w:id="551" w:name="_CTVL0013f5dac9495eb4b4fa491829628c3775b"/>
      <w:r w:rsidRPr="00F643F6">
        <w:t>Moeller, S. B., Schlingemann, F. P., &amp; Stulz, R. M. 2007. How Do Diversity of Opinion and Information Asymmetry Affect Acquirer Returns?</w:t>
      </w:r>
      <w:bookmarkEnd w:id="551"/>
      <w:r w:rsidRPr="00F643F6">
        <w:t xml:space="preserve"> </w:t>
      </w:r>
      <w:r w:rsidRPr="00F643F6">
        <w:rPr>
          <w:i/>
        </w:rPr>
        <w:t>The Review of Financial Studies</w:t>
      </w:r>
      <w:r w:rsidRPr="00F643F6">
        <w:t>, 20: 2047-2078.</w:t>
      </w:r>
    </w:p>
    <w:p w14:paraId="598A027C" w14:textId="77777777" w:rsidR="004F6BD1" w:rsidRPr="00F643F6" w:rsidRDefault="004F6BD1" w:rsidP="00010489">
      <w:pPr>
        <w:pStyle w:val="CitaviBibliographyEntry"/>
        <w:spacing w:after="12"/>
        <w:ind w:hanging="284"/>
        <w:jc w:val="both"/>
      </w:pPr>
      <w:bookmarkStart w:id="552" w:name="_CTVL00179176b4f184d4dd0a709735702851401"/>
      <w:r w:rsidRPr="00F643F6">
        <w:t>Morck, R., Shleifer, A., &amp; Vishny, R. W. 1990. Do Managerial Objectives Drive Bad Acquisitions?</w:t>
      </w:r>
      <w:bookmarkEnd w:id="552"/>
      <w:r w:rsidRPr="00F643F6">
        <w:t xml:space="preserve"> </w:t>
      </w:r>
      <w:r w:rsidRPr="00F643F6">
        <w:rPr>
          <w:i/>
        </w:rPr>
        <w:t>The Journal of Finance</w:t>
      </w:r>
      <w:r w:rsidRPr="00F643F6">
        <w:t>, 45: 31.</w:t>
      </w:r>
    </w:p>
    <w:p w14:paraId="1E8E3002" w14:textId="77777777" w:rsidR="004F6BD1" w:rsidRPr="00F643F6" w:rsidRDefault="004F6BD1" w:rsidP="00010489">
      <w:pPr>
        <w:pStyle w:val="CitaviBibliographyEntry"/>
        <w:spacing w:after="12"/>
        <w:ind w:hanging="284"/>
        <w:jc w:val="both"/>
      </w:pPr>
      <w:bookmarkStart w:id="553" w:name="_CTVL00127b6f10278744f56961daf3573f56516"/>
      <w:r w:rsidRPr="00F643F6">
        <w:t>Morosini, P. 1998. National Cultural Distance and Cross-Border Acquisition Performance.</w:t>
      </w:r>
    </w:p>
    <w:p w14:paraId="4FD471DA" w14:textId="77777777" w:rsidR="004F6BD1" w:rsidRPr="00F643F6" w:rsidRDefault="004F6BD1" w:rsidP="00010489">
      <w:pPr>
        <w:pStyle w:val="CitaviBibliographyEntry"/>
        <w:spacing w:after="12"/>
        <w:ind w:hanging="284"/>
        <w:jc w:val="both"/>
      </w:pPr>
      <w:bookmarkStart w:id="554" w:name="_CTVL0010f086dbbb02349009b1061ef367fcb75"/>
      <w:bookmarkEnd w:id="553"/>
      <w:r w:rsidRPr="003156EF">
        <w:rPr>
          <w:lang w:val="de-DE"/>
        </w:rPr>
        <w:t xml:space="preserve">Mosel, J. von der, Trautsch, A., &amp; Herbold, S. 2023. </w:t>
      </w:r>
      <w:r w:rsidRPr="00F643F6">
        <w:t>On the Validity of Pre-Trained Transformers for Natural Language Processing in the Software Engineering Domain.</w:t>
      </w:r>
      <w:bookmarkEnd w:id="554"/>
      <w:r w:rsidRPr="00F643F6">
        <w:t xml:space="preserve"> </w:t>
      </w:r>
      <w:r w:rsidRPr="00F643F6">
        <w:rPr>
          <w:i/>
        </w:rPr>
        <w:t>IEEE Transactions on Software Engineering</w:t>
      </w:r>
      <w:r w:rsidRPr="00F643F6">
        <w:t>, 49: 1487-1507.</w:t>
      </w:r>
    </w:p>
    <w:p w14:paraId="242089B8" w14:textId="77777777" w:rsidR="004F6BD1" w:rsidRPr="00F643F6" w:rsidRDefault="004F6BD1" w:rsidP="00010489">
      <w:pPr>
        <w:pStyle w:val="CitaviBibliographyEntry"/>
        <w:spacing w:after="12"/>
        <w:ind w:hanging="284"/>
        <w:jc w:val="both"/>
      </w:pPr>
      <w:bookmarkStart w:id="555" w:name="_CTVL001523d2e3517494f21823451de58f7ddf3"/>
      <w:r w:rsidRPr="00F643F6">
        <w:t>Mukherji, A., Mukherji, J., Dibrell, C., &amp; Francis, J. D. 2013. Overbidding in cross-border acquisitions: Misperceptions in assessing and valuing knowledge.</w:t>
      </w:r>
      <w:bookmarkEnd w:id="555"/>
      <w:r w:rsidRPr="00F643F6">
        <w:t xml:space="preserve"> </w:t>
      </w:r>
      <w:r w:rsidRPr="00F643F6">
        <w:rPr>
          <w:i/>
        </w:rPr>
        <w:t>Journal of World Business</w:t>
      </w:r>
      <w:r w:rsidRPr="00F643F6">
        <w:t>, 48: 39-46.</w:t>
      </w:r>
    </w:p>
    <w:p w14:paraId="0F50234D" w14:textId="77777777" w:rsidR="004F6BD1" w:rsidRPr="00F643F6" w:rsidRDefault="004F6BD1" w:rsidP="00010489">
      <w:pPr>
        <w:pStyle w:val="CitaviBibliographyEntry"/>
        <w:spacing w:after="12"/>
        <w:ind w:hanging="284"/>
        <w:jc w:val="both"/>
      </w:pPr>
      <w:bookmarkStart w:id="556" w:name="_CTVL00146622ce8c1934d53aa87138e50ecaac6"/>
      <w:r w:rsidRPr="00F643F6">
        <w:t>Naranjo‐Valencia, J. C., Jiménez‐Jiménez, D., &amp; Sanz‐Valle, R. 2011. Innovation or imitation? The role of organizational culture.</w:t>
      </w:r>
      <w:bookmarkEnd w:id="556"/>
      <w:r w:rsidRPr="00F643F6">
        <w:t xml:space="preserve"> </w:t>
      </w:r>
      <w:r w:rsidRPr="00F643F6">
        <w:rPr>
          <w:i/>
        </w:rPr>
        <w:t>Management Decision</w:t>
      </w:r>
      <w:r w:rsidRPr="00F643F6">
        <w:t>, 49: 55-72.</w:t>
      </w:r>
    </w:p>
    <w:p w14:paraId="1066F114" w14:textId="77777777" w:rsidR="004F6BD1" w:rsidRPr="00F643F6" w:rsidRDefault="004F6BD1" w:rsidP="00010489">
      <w:pPr>
        <w:pStyle w:val="CitaviBibliographyEntry"/>
        <w:spacing w:after="12"/>
        <w:ind w:hanging="284"/>
        <w:jc w:val="both"/>
      </w:pPr>
      <w:bookmarkStart w:id="557" w:name="_CTVL001120ca53bb5fc498ab0ca07c6d9dfb68b"/>
      <w:r w:rsidRPr="00F643F6">
        <w:t>Narita, K., Tena, J. D., &amp; Detotto, C. 2023. Causal inference with observational data: A tutorial on propensity score analysis.</w:t>
      </w:r>
      <w:bookmarkEnd w:id="557"/>
      <w:r w:rsidRPr="00F643F6">
        <w:t xml:space="preserve"> </w:t>
      </w:r>
      <w:r w:rsidRPr="00F643F6">
        <w:rPr>
          <w:i/>
        </w:rPr>
        <w:t>The Leadership Quarterly</w:t>
      </w:r>
      <w:r w:rsidRPr="00F643F6">
        <w:t>, 34: 101678.</w:t>
      </w:r>
    </w:p>
    <w:p w14:paraId="583B5745" w14:textId="77777777" w:rsidR="004F6BD1" w:rsidRPr="00F643F6" w:rsidRDefault="004F6BD1" w:rsidP="00010489">
      <w:pPr>
        <w:pStyle w:val="CitaviBibliographyEntry"/>
        <w:spacing w:after="12"/>
        <w:ind w:hanging="284"/>
        <w:jc w:val="both"/>
      </w:pPr>
      <w:bookmarkStart w:id="558" w:name="_CTVL001137fe0db4cb047ff94e9d2b12176a5e9"/>
      <w:r w:rsidRPr="00F643F6">
        <w:lastRenderedPageBreak/>
        <w:t xml:space="preserve">Oberoi, S. 2020. 6 Examples of Merger Failures Owing to Cultural Incompatibility. 2020. Retrieved from </w:t>
      </w:r>
      <w:hyperlink r:id="rId66" w:history="1">
        <w:r w:rsidRPr="007A1AEA">
          <w:rPr>
            <w:rStyle w:val="Hyperlink"/>
          </w:rPr>
          <w:t>https://www.spiceworks.com/hr/hr-strategy/articles/examples-merger-failure-cultural-incompatibility/</w:t>
        </w:r>
      </w:hyperlink>
      <w:r w:rsidRPr="00F643F6">
        <w:t>.</w:t>
      </w:r>
    </w:p>
    <w:p w14:paraId="778FC515" w14:textId="77777777" w:rsidR="004F6BD1" w:rsidRPr="00F643F6" w:rsidRDefault="004F6BD1" w:rsidP="00010489">
      <w:pPr>
        <w:pStyle w:val="CitaviBibliographyEntry"/>
        <w:spacing w:after="12"/>
        <w:ind w:hanging="284"/>
        <w:jc w:val="both"/>
      </w:pPr>
      <w:bookmarkStart w:id="559" w:name="_CTVL001408183246a744526b08ec53a5ed62b17"/>
      <w:bookmarkEnd w:id="558"/>
      <w:r w:rsidRPr="003156EF">
        <w:rPr>
          <w:lang w:val="de-DE"/>
        </w:rPr>
        <w:t xml:space="preserve">Ozdemir, O., Binesh, F., &amp; Erkmen, E. 2022. </w:t>
      </w:r>
      <w:r w:rsidRPr="00F643F6">
        <w:t>The effect of target’s CSR performance on M&amp;A deal premiums: a case for service firms.</w:t>
      </w:r>
      <w:bookmarkEnd w:id="559"/>
      <w:r w:rsidRPr="00F643F6">
        <w:t xml:space="preserve"> </w:t>
      </w:r>
      <w:r w:rsidRPr="00F643F6">
        <w:rPr>
          <w:i/>
        </w:rPr>
        <w:t>Review of Managerial Science</w:t>
      </w:r>
      <w:r w:rsidRPr="00F643F6">
        <w:t>, 16: 1001-1034.</w:t>
      </w:r>
    </w:p>
    <w:p w14:paraId="6188C0B8" w14:textId="77777777" w:rsidR="004F6BD1" w:rsidRPr="00F643F6" w:rsidRDefault="004F6BD1" w:rsidP="00010489">
      <w:pPr>
        <w:pStyle w:val="CitaviBibliographyEntry"/>
        <w:spacing w:after="12"/>
        <w:ind w:hanging="284"/>
        <w:jc w:val="both"/>
      </w:pPr>
      <w:bookmarkStart w:id="560" w:name="_CTVL0016d5f4ea4bf4b439ba511840db0d56fac"/>
      <w:r w:rsidRPr="00F643F6">
        <w:t>Pan, X., &amp; Zhang, J. 2022. Language Similarity and M&amp;A Transactions.</w:t>
      </w:r>
      <w:bookmarkEnd w:id="560"/>
      <w:r w:rsidRPr="00F643F6">
        <w:t xml:space="preserve"> </w:t>
      </w:r>
      <w:r w:rsidRPr="00F643F6">
        <w:rPr>
          <w:i/>
        </w:rPr>
        <w:t>European Accounting Review</w:t>
      </w:r>
      <w:r w:rsidRPr="00F643F6">
        <w:t>: 1-30.</w:t>
      </w:r>
    </w:p>
    <w:p w14:paraId="56564A0E" w14:textId="77777777" w:rsidR="004F6BD1" w:rsidRPr="00F643F6" w:rsidRDefault="004F6BD1" w:rsidP="00010489">
      <w:pPr>
        <w:pStyle w:val="CitaviBibliographyEntry"/>
        <w:spacing w:after="12"/>
        <w:ind w:hanging="284"/>
        <w:jc w:val="both"/>
      </w:pPr>
      <w:bookmarkStart w:id="561" w:name="_CTVL0015b7d1f521d3a4c31963c0d43779a59ca"/>
      <w:r w:rsidRPr="00F643F6">
        <w:t>Pesch, R., &amp; Bouncken, R. B. 2017. The double-edged sword of cultural distance in international alliances.</w:t>
      </w:r>
      <w:bookmarkEnd w:id="561"/>
      <w:r w:rsidRPr="00F643F6">
        <w:t xml:space="preserve"> </w:t>
      </w:r>
      <w:r w:rsidRPr="00F643F6">
        <w:rPr>
          <w:i/>
        </w:rPr>
        <w:t>Cross Cultural &amp; Strategic Management</w:t>
      </w:r>
      <w:r w:rsidRPr="00F643F6">
        <w:t>, 24: 33-54.</w:t>
      </w:r>
    </w:p>
    <w:p w14:paraId="4763D48D" w14:textId="77777777" w:rsidR="004F6BD1" w:rsidRPr="00F643F6" w:rsidRDefault="004F6BD1" w:rsidP="00010489">
      <w:pPr>
        <w:pStyle w:val="CitaviBibliographyEntry"/>
        <w:spacing w:after="12"/>
        <w:ind w:hanging="284"/>
        <w:jc w:val="both"/>
      </w:pPr>
      <w:bookmarkStart w:id="562" w:name="_CTVL00106739e2b0a0447799ea552b74b229c39"/>
      <w:r w:rsidRPr="00F643F6">
        <w:t>Prabhu, J. C., Chandy, R. K., &amp; Ellis, M. E. 2005. The Impact of Acquisitions on Innovation: Poison Pill, Placebo, or Tonic?</w:t>
      </w:r>
      <w:bookmarkEnd w:id="562"/>
      <w:r w:rsidRPr="00F643F6">
        <w:t xml:space="preserve"> </w:t>
      </w:r>
      <w:r w:rsidRPr="00F643F6">
        <w:rPr>
          <w:i/>
        </w:rPr>
        <w:t>Journal of Marketing</w:t>
      </w:r>
      <w:r w:rsidRPr="00F643F6">
        <w:t>, 69: 114-130.</w:t>
      </w:r>
    </w:p>
    <w:p w14:paraId="5BDDFA6A" w14:textId="77777777" w:rsidR="004F6BD1" w:rsidRPr="00F643F6" w:rsidRDefault="004F6BD1" w:rsidP="00010489">
      <w:pPr>
        <w:pStyle w:val="CitaviBibliographyEntry"/>
        <w:spacing w:after="12"/>
        <w:ind w:hanging="284"/>
        <w:jc w:val="both"/>
      </w:pPr>
      <w:bookmarkStart w:id="563" w:name="_CTVL00183ccdaad17f6458c85e3e161c23f98ad"/>
      <w:r w:rsidRPr="00F643F6">
        <w:t>Pritchett, P. 1985.</w:t>
      </w:r>
      <w:bookmarkEnd w:id="563"/>
      <w:r w:rsidRPr="00F643F6">
        <w:t xml:space="preserve"> </w:t>
      </w:r>
      <w:r w:rsidRPr="00F643F6">
        <w:rPr>
          <w:i/>
        </w:rPr>
        <w:t>After the merger: Managing the shockwaves</w:t>
      </w:r>
      <w:r w:rsidRPr="00F643F6">
        <w:t>. Dallas/Tex.: Dow Jones-Irwin.</w:t>
      </w:r>
    </w:p>
    <w:p w14:paraId="6DDCA280" w14:textId="77777777" w:rsidR="004F6BD1" w:rsidRPr="00F643F6" w:rsidRDefault="004F6BD1" w:rsidP="00010489">
      <w:pPr>
        <w:pStyle w:val="CitaviBibliographyEntry"/>
        <w:spacing w:after="12"/>
        <w:ind w:hanging="284"/>
        <w:jc w:val="both"/>
      </w:pPr>
      <w:bookmarkStart w:id="564" w:name="_CTVL0019e0155c8ac704ba7853ddfcc3b1557ff"/>
      <w:r w:rsidRPr="00F643F6">
        <w:t>Quinn, R. E., &amp; Rohrbaugh, J. 1983. A Spatial Model of Effectiveness Criteria: Towards a Competing Values Approach to Organizational Analysis.</w:t>
      </w:r>
      <w:bookmarkEnd w:id="564"/>
      <w:r w:rsidRPr="00F643F6">
        <w:t xml:space="preserve"> </w:t>
      </w:r>
      <w:r w:rsidRPr="00F643F6">
        <w:rPr>
          <w:i/>
        </w:rPr>
        <w:t>Management Science</w:t>
      </w:r>
      <w:r w:rsidRPr="00F643F6">
        <w:t>, 29: 363-377.</w:t>
      </w:r>
    </w:p>
    <w:p w14:paraId="4452FB37" w14:textId="77777777" w:rsidR="004F6BD1" w:rsidRPr="00F643F6" w:rsidRDefault="004F6BD1" w:rsidP="00010489">
      <w:pPr>
        <w:pStyle w:val="CitaviBibliographyEntry"/>
        <w:spacing w:after="12"/>
        <w:ind w:hanging="284"/>
        <w:jc w:val="both"/>
      </w:pPr>
      <w:bookmarkStart w:id="565" w:name="_CTVL0017c5a39166d18493b9e0e23d20089aaf2"/>
      <w:r w:rsidRPr="00F643F6">
        <w:t>Raghavendra, R., &amp; Vermaelen, T. 1998. Glamour, value and the post-acquisition performance of acquiring firms.</w:t>
      </w:r>
      <w:bookmarkEnd w:id="565"/>
      <w:r w:rsidRPr="00F643F6">
        <w:t xml:space="preserve"> </w:t>
      </w:r>
      <w:r w:rsidRPr="00F643F6">
        <w:rPr>
          <w:i/>
        </w:rPr>
        <w:t>Journal of Financial Economics</w:t>
      </w:r>
      <w:r w:rsidRPr="00F643F6">
        <w:t>, 49: 223-253.</w:t>
      </w:r>
    </w:p>
    <w:p w14:paraId="3E7C4A6B" w14:textId="77777777" w:rsidR="004F6BD1" w:rsidRPr="00F643F6" w:rsidRDefault="004F6BD1" w:rsidP="00010489">
      <w:pPr>
        <w:pStyle w:val="CitaviBibliographyEntry"/>
        <w:spacing w:after="12"/>
        <w:ind w:hanging="284"/>
        <w:jc w:val="both"/>
      </w:pPr>
      <w:bookmarkStart w:id="566" w:name="_CTVL0018b317854b24c4104abe7d2667bc9f7a0"/>
      <w:r w:rsidRPr="00F643F6">
        <w:t>Rahahleh, N. A., &amp; Wei, P. P. 2013. Frequent cross-border acquirers from emerging countries and cultural distance: Does the cultural difference of the initial deal matter?</w:t>
      </w:r>
      <w:bookmarkEnd w:id="566"/>
      <w:r w:rsidRPr="00F643F6">
        <w:t xml:space="preserve"> </w:t>
      </w:r>
      <w:r w:rsidRPr="00F643F6">
        <w:rPr>
          <w:i/>
        </w:rPr>
        <w:t>Journal of Multinational Financial Management</w:t>
      </w:r>
      <w:r w:rsidRPr="00F643F6">
        <w:t>, 23: 356-373.</w:t>
      </w:r>
    </w:p>
    <w:p w14:paraId="413FB1C1" w14:textId="77777777" w:rsidR="004F6BD1" w:rsidRPr="00F643F6" w:rsidRDefault="004F6BD1" w:rsidP="00010489">
      <w:pPr>
        <w:pStyle w:val="CitaviBibliographyEntry"/>
        <w:spacing w:after="12"/>
        <w:ind w:hanging="284"/>
        <w:jc w:val="both"/>
      </w:pPr>
      <w:bookmarkStart w:id="567" w:name="_CTVL00143fc608bba91424786327ccdbbb76028"/>
      <w:r w:rsidRPr="00F643F6">
        <w:t>Ramaswamy, K. 1997. The Performance Impact of Strategic Similarity in Horizontal Mergers: Evidence From the U.S. Banking Industry.</w:t>
      </w:r>
      <w:bookmarkEnd w:id="567"/>
      <w:r w:rsidRPr="00F643F6">
        <w:t xml:space="preserve"> </w:t>
      </w:r>
      <w:r w:rsidRPr="00F643F6">
        <w:rPr>
          <w:i/>
        </w:rPr>
        <w:t>Academy of Management Journal</w:t>
      </w:r>
      <w:r w:rsidRPr="00F643F6">
        <w:t>, 40: 697-715.</w:t>
      </w:r>
    </w:p>
    <w:p w14:paraId="43930C82" w14:textId="77777777" w:rsidR="004F6BD1" w:rsidRPr="00F643F6" w:rsidRDefault="004F6BD1" w:rsidP="00010489">
      <w:pPr>
        <w:pStyle w:val="CitaviBibliographyEntry"/>
        <w:spacing w:after="12"/>
        <w:ind w:hanging="284"/>
        <w:jc w:val="both"/>
      </w:pPr>
      <w:bookmarkStart w:id="568" w:name="_CTVL001384194139428483abd770827ca640190"/>
      <w:r w:rsidRPr="00F643F6">
        <w:t>Renneboog, L., &amp; Vansteenkiste, C. 2019. Failure and success in mergers and acquisitions.</w:t>
      </w:r>
      <w:bookmarkEnd w:id="568"/>
      <w:r w:rsidRPr="00F643F6">
        <w:t xml:space="preserve"> </w:t>
      </w:r>
      <w:r w:rsidRPr="00F643F6">
        <w:rPr>
          <w:i/>
        </w:rPr>
        <w:t>Journal of Corporate Finance</w:t>
      </w:r>
      <w:r w:rsidRPr="00F643F6">
        <w:t>, 58: 650-699.</w:t>
      </w:r>
    </w:p>
    <w:p w14:paraId="7B53B76E" w14:textId="77777777" w:rsidR="004F6BD1" w:rsidRPr="00F643F6" w:rsidRDefault="004F6BD1" w:rsidP="00010489">
      <w:pPr>
        <w:pStyle w:val="CitaviBibliographyEntry"/>
        <w:spacing w:after="12"/>
        <w:ind w:hanging="284"/>
        <w:jc w:val="both"/>
      </w:pPr>
      <w:bookmarkStart w:id="569" w:name="_CTVL0011c72599cd1f34c7c8e385586b66ee503"/>
      <w:r w:rsidRPr="00F643F6">
        <w:t>Reuer, J. J., Tong, T. W., &amp; Wu, C.-W. 2012. A Signaling Theory of Acquisition Premiums: Evidence from IPO Targets.</w:t>
      </w:r>
      <w:bookmarkEnd w:id="569"/>
      <w:r w:rsidRPr="00F643F6">
        <w:t xml:space="preserve"> </w:t>
      </w:r>
      <w:r w:rsidRPr="00F643F6">
        <w:rPr>
          <w:i/>
        </w:rPr>
        <w:t>Academy of Management Journal</w:t>
      </w:r>
      <w:r w:rsidRPr="00F643F6">
        <w:t>, 55: 667-683.</w:t>
      </w:r>
    </w:p>
    <w:p w14:paraId="55B0FFDB" w14:textId="77777777" w:rsidR="004F6BD1" w:rsidRPr="00F643F6" w:rsidRDefault="004F6BD1" w:rsidP="00010489">
      <w:pPr>
        <w:pStyle w:val="CitaviBibliographyEntry"/>
        <w:spacing w:after="12"/>
        <w:ind w:hanging="284"/>
        <w:jc w:val="both"/>
      </w:pPr>
      <w:bookmarkStart w:id="570" w:name="_CTVL001670163c072c9470cb907926b6661e6c1"/>
      <w:r w:rsidRPr="00F643F6">
        <w:lastRenderedPageBreak/>
        <w:t>Rosenbaum, P. R., &amp; Rubin, D. B. 1983. The Central Role of the Propensity Score in Observational Studies for Causal Effects.</w:t>
      </w:r>
      <w:bookmarkEnd w:id="570"/>
      <w:r w:rsidRPr="00F643F6">
        <w:t xml:space="preserve"> </w:t>
      </w:r>
      <w:r w:rsidRPr="00F643F6">
        <w:rPr>
          <w:i/>
        </w:rPr>
        <w:t>Biometrika</w:t>
      </w:r>
      <w:r w:rsidRPr="00F643F6">
        <w:t>, 70: 41.</w:t>
      </w:r>
    </w:p>
    <w:p w14:paraId="02544902" w14:textId="77777777" w:rsidR="004F6BD1" w:rsidRPr="00F643F6" w:rsidRDefault="004F6BD1" w:rsidP="00010489">
      <w:pPr>
        <w:pStyle w:val="CitaviBibliographyEntry"/>
        <w:spacing w:after="12"/>
        <w:ind w:hanging="284"/>
        <w:jc w:val="both"/>
      </w:pPr>
      <w:bookmarkStart w:id="571" w:name="_CTVL001203f3c1dfddd4eb2ab2f4e59d5881288"/>
      <w:r w:rsidRPr="0004147B">
        <w:t xml:space="preserve">Rosenbaum, P. R., &amp; Rubin, D. B. 1984. </w:t>
      </w:r>
      <w:r w:rsidRPr="00F643F6">
        <w:t>Reducing Bias in Observational Studies Using Subclassification on the Propensity Score.</w:t>
      </w:r>
      <w:bookmarkEnd w:id="571"/>
      <w:r w:rsidRPr="00F643F6">
        <w:t xml:space="preserve"> </w:t>
      </w:r>
      <w:r w:rsidRPr="00F643F6">
        <w:rPr>
          <w:i/>
        </w:rPr>
        <w:t>Journal of the American Statistical Association</w:t>
      </w:r>
      <w:r w:rsidRPr="00F643F6">
        <w:t>, 79: 516.</w:t>
      </w:r>
    </w:p>
    <w:p w14:paraId="76817A09" w14:textId="77777777" w:rsidR="004F6BD1" w:rsidRPr="00F643F6" w:rsidRDefault="004F6BD1" w:rsidP="00010489">
      <w:pPr>
        <w:pStyle w:val="CitaviBibliographyEntry"/>
        <w:spacing w:after="12"/>
        <w:ind w:hanging="284"/>
        <w:jc w:val="both"/>
      </w:pPr>
      <w:bookmarkStart w:id="572" w:name="_CTVL00182df5f9df74545f9b01d6df9395c9dab"/>
      <w:r w:rsidRPr="00F643F6">
        <w:t>Rossi, S., &amp; Volpin, P. F. 2004. Cross-country determinants of mergers and acquisitions.</w:t>
      </w:r>
      <w:bookmarkEnd w:id="572"/>
      <w:r w:rsidRPr="00F643F6">
        <w:t xml:space="preserve"> </w:t>
      </w:r>
      <w:r w:rsidRPr="00F643F6">
        <w:rPr>
          <w:i/>
        </w:rPr>
        <w:t>Journal of Financial Economics</w:t>
      </w:r>
      <w:r w:rsidRPr="00F643F6">
        <w:t>, 74: 277-304.</w:t>
      </w:r>
    </w:p>
    <w:p w14:paraId="6033A0D5" w14:textId="77777777" w:rsidR="004F6BD1" w:rsidRPr="00F643F6" w:rsidRDefault="004F6BD1" w:rsidP="00010489">
      <w:pPr>
        <w:pStyle w:val="CitaviBibliographyEntry"/>
        <w:spacing w:after="12"/>
        <w:ind w:hanging="284"/>
        <w:jc w:val="both"/>
      </w:pPr>
      <w:bookmarkStart w:id="573" w:name="_CTVL001abf61030ba47473489dfea5b1b4dcad7"/>
      <w:r w:rsidRPr="00F643F6">
        <w:t>Roth, K., &amp; O</w:t>
      </w:r>
      <w:r>
        <w:t>’</w:t>
      </w:r>
      <w:r w:rsidRPr="00F643F6">
        <w:t>Donnell, S. 1996. Foreign Subsidiary Compensation Strategy: An Agency Theory Perspective.</w:t>
      </w:r>
      <w:bookmarkEnd w:id="573"/>
      <w:r w:rsidRPr="00F643F6">
        <w:t xml:space="preserve"> </w:t>
      </w:r>
      <w:r w:rsidRPr="00F643F6">
        <w:rPr>
          <w:i/>
        </w:rPr>
        <w:t>Academy of Management Journal</w:t>
      </w:r>
      <w:r w:rsidRPr="00F643F6">
        <w:t>, 39: 678-703.</w:t>
      </w:r>
    </w:p>
    <w:p w14:paraId="37ADFBFF" w14:textId="77777777" w:rsidR="004F6BD1" w:rsidRPr="00F643F6" w:rsidRDefault="004F6BD1" w:rsidP="00010489">
      <w:pPr>
        <w:pStyle w:val="CitaviBibliographyEntry"/>
        <w:spacing w:after="12"/>
        <w:ind w:hanging="284"/>
        <w:jc w:val="both"/>
      </w:pPr>
      <w:bookmarkStart w:id="574" w:name="_CTVL00172411eb820b04278a2dae3669a6cf53c"/>
      <w:r w:rsidRPr="00F643F6">
        <w:t>Rottig, D. 2017. Meta-analyses of culture’s consequences for acquisition performance.</w:t>
      </w:r>
      <w:bookmarkEnd w:id="574"/>
      <w:r w:rsidRPr="00F643F6">
        <w:t xml:space="preserve"> </w:t>
      </w:r>
      <w:r w:rsidRPr="00F643F6">
        <w:rPr>
          <w:i/>
        </w:rPr>
        <w:t>International Journal of Emerging Markets</w:t>
      </w:r>
      <w:r w:rsidRPr="00F643F6">
        <w:t>, 12: 8-37.</w:t>
      </w:r>
    </w:p>
    <w:p w14:paraId="28A93FB4" w14:textId="77777777" w:rsidR="004F6BD1" w:rsidRPr="00F643F6" w:rsidRDefault="004F6BD1" w:rsidP="00010489">
      <w:pPr>
        <w:pStyle w:val="CitaviBibliographyEntry"/>
        <w:spacing w:after="12"/>
        <w:ind w:hanging="284"/>
        <w:jc w:val="both"/>
      </w:pPr>
      <w:bookmarkStart w:id="575" w:name="_CTVL001ad23b4f865ee402d8f2ab3052f8b67f3"/>
      <w:r w:rsidRPr="00F643F6">
        <w:t>Rubin, D. B. 2006.</w:t>
      </w:r>
      <w:bookmarkEnd w:id="575"/>
      <w:r w:rsidRPr="00F643F6">
        <w:t xml:space="preserve"> </w:t>
      </w:r>
      <w:r w:rsidRPr="00F643F6">
        <w:rPr>
          <w:i/>
        </w:rPr>
        <w:t>Matched Sampling for Causal Effects</w:t>
      </w:r>
      <w:r w:rsidRPr="00F643F6">
        <w:t>: Cambridge University Press.</w:t>
      </w:r>
    </w:p>
    <w:p w14:paraId="7FFD9C9A" w14:textId="77777777" w:rsidR="004F6BD1" w:rsidRPr="00F643F6" w:rsidRDefault="004F6BD1" w:rsidP="00010489">
      <w:pPr>
        <w:pStyle w:val="CitaviBibliographyEntry"/>
        <w:spacing w:after="12"/>
        <w:ind w:hanging="284"/>
        <w:jc w:val="both"/>
      </w:pPr>
      <w:bookmarkStart w:id="576" w:name="_CTVL001ba704dcbbbcf452b9dbe4e620027dde2"/>
      <w:r w:rsidRPr="00F643F6">
        <w:t>Sarala, R. M., &amp; Vaara, E. 2010. Cultural differences, convergence, and crossvergence as explanations of knowledge transfer in international acquisitions.</w:t>
      </w:r>
      <w:bookmarkEnd w:id="576"/>
      <w:r w:rsidRPr="00F643F6">
        <w:t xml:space="preserve"> </w:t>
      </w:r>
      <w:r w:rsidRPr="00F643F6">
        <w:rPr>
          <w:i/>
        </w:rPr>
        <w:t>Journal of International Business Studies</w:t>
      </w:r>
      <w:r w:rsidRPr="00F643F6">
        <w:t>, 41: 1365-1390.</w:t>
      </w:r>
    </w:p>
    <w:p w14:paraId="3F6DB356" w14:textId="77777777" w:rsidR="004F6BD1" w:rsidRPr="00F643F6" w:rsidRDefault="004F6BD1" w:rsidP="00010489">
      <w:pPr>
        <w:pStyle w:val="CitaviBibliographyEntry"/>
        <w:spacing w:after="12"/>
        <w:ind w:hanging="284"/>
        <w:jc w:val="both"/>
      </w:pPr>
      <w:bookmarkStart w:id="577" w:name="_CTVL00163ebf812ee2d421492f067a960fd8262"/>
      <w:r w:rsidRPr="00F643F6">
        <w:t>Schein, E. H. 1985.</w:t>
      </w:r>
      <w:bookmarkEnd w:id="577"/>
      <w:r w:rsidRPr="00F643F6">
        <w:t xml:space="preserve"> </w:t>
      </w:r>
      <w:r w:rsidRPr="00F643F6">
        <w:rPr>
          <w:i/>
        </w:rPr>
        <w:t>Organizational Culture and Leadership</w:t>
      </w:r>
      <w:r w:rsidRPr="00F643F6">
        <w:t>.</w:t>
      </w:r>
    </w:p>
    <w:p w14:paraId="6E85B997" w14:textId="77777777" w:rsidR="004F6BD1" w:rsidRPr="00F643F6" w:rsidRDefault="004F6BD1" w:rsidP="00010489">
      <w:pPr>
        <w:pStyle w:val="CitaviBibliographyEntry"/>
        <w:spacing w:after="12"/>
        <w:ind w:hanging="284"/>
        <w:jc w:val="both"/>
      </w:pPr>
      <w:bookmarkStart w:id="578" w:name="_CTVL00143ed08152f1f4e758d77dce4600f3896"/>
      <w:r w:rsidRPr="00F643F6">
        <w:t>Schneider, S. C. 1988. National vs. corporate culture: Implications for human resource management.</w:t>
      </w:r>
      <w:bookmarkEnd w:id="578"/>
      <w:r w:rsidRPr="00F643F6">
        <w:t xml:space="preserve"> </w:t>
      </w:r>
      <w:r w:rsidRPr="00F643F6">
        <w:rPr>
          <w:i/>
        </w:rPr>
        <w:t>Human Resource Management</w:t>
      </w:r>
      <w:r w:rsidRPr="00F643F6">
        <w:t>, 27: 231-246.</w:t>
      </w:r>
    </w:p>
    <w:p w14:paraId="1B2DBD69" w14:textId="77777777" w:rsidR="004F6BD1" w:rsidRPr="00F643F6" w:rsidRDefault="004F6BD1" w:rsidP="00010489">
      <w:pPr>
        <w:pStyle w:val="CitaviBibliographyEntry"/>
        <w:spacing w:after="12"/>
        <w:ind w:hanging="284"/>
        <w:jc w:val="both"/>
      </w:pPr>
      <w:bookmarkStart w:id="579" w:name="_CTVL0010be41f54a2ef4e7aa026a7ae16c6a409"/>
      <w:r w:rsidRPr="0004147B">
        <w:t xml:space="preserve">Schneider, S. C., &amp; Meyer, A. de. 1991. </w:t>
      </w:r>
      <w:r w:rsidRPr="00F643F6">
        <w:t>Interpreting and responding to strategic issues: The impact of national culture.</w:t>
      </w:r>
      <w:bookmarkEnd w:id="579"/>
      <w:r w:rsidRPr="00F643F6">
        <w:t xml:space="preserve"> </w:t>
      </w:r>
      <w:r w:rsidRPr="00F643F6">
        <w:rPr>
          <w:i/>
        </w:rPr>
        <w:t>Strategic Management Journal</w:t>
      </w:r>
      <w:r w:rsidRPr="00F643F6">
        <w:t>, 12: 307-320.</w:t>
      </w:r>
    </w:p>
    <w:p w14:paraId="44C819D2" w14:textId="77777777" w:rsidR="004F6BD1" w:rsidRPr="00F643F6" w:rsidRDefault="004F6BD1" w:rsidP="00010489">
      <w:pPr>
        <w:pStyle w:val="CitaviBibliographyEntry"/>
        <w:spacing w:after="12"/>
        <w:ind w:hanging="284"/>
        <w:jc w:val="both"/>
      </w:pPr>
      <w:bookmarkStart w:id="580" w:name="_CTVL001b94cb4b344734c19b9840294508a647c"/>
      <w:r w:rsidRPr="00F643F6">
        <w:t>Schweiger, D. M. 2002.</w:t>
      </w:r>
      <w:bookmarkEnd w:id="580"/>
      <w:r w:rsidRPr="00F643F6">
        <w:t xml:space="preserve"> </w:t>
      </w:r>
      <w:r w:rsidRPr="00F643F6">
        <w:rPr>
          <w:i/>
        </w:rPr>
        <w:t>M&amp;A Integration—A Framework for Executives &amp; Manager</w:t>
      </w:r>
      <w:r w:rsidRPr="00F643F6">
        <w:t>. New York: Mcgraw-Hill Book Co.</w:t>
      </w:r>
    </w:p>
    <w:p w14:paraId="4B935B5D" w14:textId="77777777" w:rsidR="004F6BD1" w:rsidRPr="00F643F6" w:rsidRDefault="004F6BD1" w:rsidP="00010489">
      <w:pPr>
        <w:pStyle w:val="CitaviBibliographyEntry"/>
        <w:spacing w:after="12"/>
        <w:ind w:hanging="284"/>
        <w:jc w:val="both"/>
      </w:pPr>
      <w:bookmarkStart w:id="581" w:name="_CTVL0019f22db45924d4107a22a22d2b8ceab21"/>
      <w:r w:rsidRPr="00F643F6">
        <w:t>Schwert, G. W. 2000. Hostility in Takeovers: In the Eyes of the Beholder?</w:t>
      </w:r>
      <w:bookmarkEnd w:id="581"/>
      <w:r w:rsidRPr="00F643F6">
        <w:t xml:space="preserve"> </w:t>
      </w:r>
      <w:r w:rsidRPr="00F643F6">
        <w:rPr>
          <w:i/>
        </w:rPr>
        <w:t>The Journal of Finance</w:t>
      </w:r>
      <w:r w:rsidRPr="00F643F6">
        <w:t>, 55: 2599-2640.</w:t>
      </w:r>
    </w:p>
    <w:p w14:paraId="6F24E2F6" w14:textId="77777777" w:rsidR="004F6BD1" w:rsidRPr="00F643F6" w:rsidRDefault="004F6BD1" w:rsidP="00010489">
      <w:pPr>
        <w:pStyle w:val="CitaviBibliographyEntry"/>
        <w:spacing w:after="12"/>
        <w:ind w:hanging="284"/>
        <w:jc w:val="both"/>
      </w:pPr>
      <w:bookmarkStart w:id="582" w:name="_CTVL001b5d73eac2aa14f18953a5f8a841b8855"/>
      <w:r w:rsidRPr="00F643F6">
        <w:t xml:space="preserve">Sheth, J., Malhotra, N., Sheth, J. N., &amp; Malhotra, N. K. (Eds.). </w:t>
      </w:r>
      <w:r w:rsidRPr="00A50B15">
        <w:t>2011.</w:t>
      </w:r>
      <w:bookmarkEnd w:id="582"/>
      <w:r w:rsidRPr="00A50B15">
        <w:t xml:space="preserve"> </w:t>
      </w:r>
      <w:r w:rsidRPr="00A50B15">
        <w:rPr>
          <w:i/>
        </w:rPr>
        <w:t>Wiley international encyclopedia of marketing</w:t>
      </w:r>
      <w:r w:rsidRPr="00A50B15">
        <w:t xml:space="preserve">. </w:t>
      </w:r>
      <w:r w:rsidRPr="00F643F6">
        <w:t>Chichester: Wiley-Blackwell.</w:t>
      </w:r>
    </w:p>
    <w:p w14:paraId="7523F1F2" w14:textId="77777777" w:rsidR="004F6BD1" w:rsidRPr="00F643F6" w:rsidRDefault="004F6BD1" w:rsidP="00010489">
      <w:pPr>
        <w:pStyle w:val="CitaviBibliographyEntry"/>
        <w:spacing w:after="12"/>
        <w:ind w:hanging="284"/>
        <w:jc w:val="both"/>
      </w:pPr>
      <w:bookmarkStart w:id="583" w:name="_CTVL001a183068ae62c439a85c078d9c8f36f89"/>
      <w:r w:rsidRPr="00F643F6">
        <w:lastRenderedPageBreak/>
        <w:t>Sirower, M. L. 1997.</w:t>
      </w:r>
      <w:bookmarkEnd w:id="583"/>
      <w:r w:rsidRPr="00F643F6">
        <w:t xml:space="preserve"> </w:t>
      </w:r>
      <w:r w:rsidRPr="00F643F6">
        <w:rPr>
          <w:i/>
        </w:rPr>
        <w:t>The Synergy Trap: How Companies Lose the Acquisition Game</w:t>
      </w:r>
      <w:r w:rsidRPr="00F643F6">
        <w:t>. Mankato: Free Press.</w:t>
      </w:r>
    </w:p>
    <w:p w14:paraId="7F05D768" w14:textId="77777777" w:rsidR="004F6BD1" w:rsidRPr="00F643F6" w:rsidRDefault="004F6BD1" w:rsidP="00010489">
      <w:pPr>
        <w:pStyle w:val="CitaviBibliographyEntry"/>
        <w:spacing w:after="12"/>
        <w:ind w:hanging="284"/>
        <w:jc w:val="both"/>
      </w:pPr>
      <w:bookmarkStart w:id="584" w:name="_CTVL0019767bc71a1b24f3fa7540fa137667b4c"/>
      <w:r w:rsidRPr="00F643F6">
        <w:t>Sitkin, S. B., &amp; Stickel, D. 1996. The Road to Hell: The Dynamics of Distrust in an Era of Quality. In R. Kramer &amp; T. Tyler (Eds.),</w:t>
      </w:r>
      <w:bookmarkEnd w:id="584"/>
      <w:r w:rsidRPr="00F643F6">
        <w:t xml:space="preserve"> </w:t>
      </w:r>
      <w:r w:rsidRPr="00F643F6">
        <w:rPr>
          <w:i/>
        </w:rPr>
        <w:t xml:space="preserve">Trust in Organizations: Frontiers of Theory and Research: </w:t>
      </w:r>
      <w:r w:rsidRPr="00F643F6">
        <w:t>196-215. 2455 Teller Road, Thousand Oaks California 91320 United States: SAGE Publications, Inc.</w:t>
      </w:r>
    </w:p>
    <w:p w14:paraId="1E25B2C9" w14:textId="77777777" w:rsidR="004F6BD1" w:rsidRPr="00F643F6" w:rsidRDefault="004F6BD1" w:rsidP="00010489">
      <w:pPr>
        <w:pStyle w:val="CitaviBibliographyEntry"/>
        <w:spacing w:after="12"/>
        <w:ind w:hanging="284"/>
        <w:jc w:val="both"/>
      </w:pPr>
      <w:bookmarkStart w:id="585" w:name="_CTVL001a15b721a97c141648878bda5cc24aa9a"/>
      <w:r w:rsidRPr="00F643F6">
        <w:t>Slangen, A. H. 2006. National cultural distance and initial foreign acquisition performance: The moderating effect of integration.</w:t>
      </w:r>
      <w:bookmarkEnd w:id="585"/>
      <w:r w:rsidRPr="00F643F6">
        <w:t xml:space="preserve"> </w:t>
      </w:r>
      <w:r w:rsidRPr="00F643F6">
        <w:rPr>
          <w:i/>
        </w:rPr>
        <w:t>Journal of World Business</w:t>
      </w:r>
      <w:r w:rsidRPr="00F643F6">
        <w:t>, 41: 161-170.</w:t>
      </w:r>
    </w:p>
    <w:p w14:paraId="27488231" w14:textId="77777777" w:rsidR="004F6BD1" w:rsidRPr="00F643F6" w:rsidRDefault="004F6BD1" w:rsidP="00010489">
      <w:pPr>
        <w:pStyle w:val="CitaviBibliographyEntry"/>
        <w:spacing w:after="12"/>
        <w:ind w:hanging="284"/>
        <w:jc w:val="both"/>
      </w:pPr>
      <w:bookmarkStart w:id="586" w:name="_CTVL001bb285154044e42e7a22fc9537ff3321f"/>
      <w:r w:rsidRPr="00F643F6">
        <w:t>Smeulders, D., Dekker, H. C., &amp; van den Abbeele, A. 2023. Post-acquisition integration: Managing cultural differences and employee resistance using integration controls.</w:t>
      </w:r>
      <w:bookmarkEnd w:id="586"/>
      <w:r w:rsidRPr="00F643F6">
        <w:t xml:space="preserve"> </w:t>
      </w:r>
      <w:r w:rsidRPr="00F643F6">
        <w:rPr>
          <w:i/>
        </w:rPr>
        <w:t>Accounting, Organizations and Society</w:t>
      </w:r>
      <w:r w:rsidRPr="00F643F6">
        <w:t>: 101427.</w:t>
      </w:r>
    </w:p>
    <w:p w14:paraId="23B75BFB" w14:textId="77777777" w:rsidR="004F6BD1" w:rsidRPr="00F643F6" w:rsidRDefault="004F6BD1" w:rsidP="00010489">
      <w:pPr>
        <w:pStyle w:val="CitaviBibliographyEntry"/>
        <w:spacing w:after="12"/>
        <w:ind w:hanging="284"/>
        <w:jc w:val="both"/>
      </w:pPr>
      <w:bookmarkStart w:id="587" w:name="_CTVL0015702def891314205b503cc926edb360d"/>
      <w:r w:rsidRPr="00F643F6">
        <w:t>Sørensen, J. B. 2002. The Strength of Corporate Culture and the Reliability of Firm Performance.</w:t>
      </w:r>
      <w:bookmarkEnd w:id="587"/>
      <w:r w:rsidRPr="00F643F6">
        <w:t xml:space="preserve"> </w:t>
      </w:r>
      <w:r w:rsidRPr="00F643F6">
        <w:rPr>
          <w:i/>
        </w:rPr>
        <w:t>Administrative Science Quarterly</w:t>
      </w:r>
      <w:r w:rsidRPr="00F643F6">
        <w:t>, 47: 70-91.</w:t>
      </w:r>
    </w:p>
    <w:p w14:paraId="4C507F47" w14:textId="77777777" w:rsidR="004F6BD1" w:rsidRPr="00F643F6" w:rsidRDefault="004F6BD1" w:rsidP="00010489">
      <w:pPr>
        <w:pStyle w:val="CitaviBibliographyEntry"/>
        <w:spacing w:after="12"/>
        <w:ind w:hanging="284"/>
        <w:jc w:val="both"/>
      </w:pPr>
      <w:bookmarkStart w:id="588" w:name="_CTVL00125099cf3e1d0467caa4100c95faec628"/>
      <w:r w:rsidRPr="00F643F6">
        <w:t>Srivastava, S. B., Goldberg, A., Manian, V. G., &amp; Potts, C. 2018. Enculturation Trajectories: Language, Cultural Adaptation, and Individual Outcomes in Organizations.</w:t>
      </w:r>
      <w:bookmarkEnd w:id="588"/>
      <w:r w:rsidRPr="00F643F6">
        <w:t xml:space="preserve"> </w:t>
      </w:r>
      <w:r w:rsidRPr="00F643F6">
        <w:rPr>
          <w:i/>
        </w:rPr>
        <w:t>Management Science</w:t>
      </w:r>
      <w:r w:rsidRPr="00F643F6">
        <w:t>, 64: 1348-1364.</w:t>
      </w:r>
    </w:p>
    <w:p w14:paraId="472FB17E" w14:textId="77777777" w:rsidR="004F6BD1" w:rsidRPr="00F643F6" w:rsidRDefault="004F6BD1" w:rsidP="00010489">
      <w:pPr>
        <w:pStyle w:val="CitaviBibliographyEntry"/>
        <w:spacing w:after="12"/>
        <w:ind w:hanging="284"/>
        <w:jc w:val="both"/>
      </w:pPr>
      <w:bookmarkStart w:id="589" w:name="_CTVL001519abbb9cc044bd382d6f141a7998f99"/>
      <w:r w:rsidRPr="00F643F6">
        <w:t>Stahl, G. K., &amp; Voigt, A. 2008. Do Cultural Differences Matter in Mergers and Acquisitions? A Tentative Model and Examination.</w:t>
      </w:r>
      <w:bookmarkEnd w:id="589"/>
      <w:r w:rsidRPr="00F643F6">
        <w:t xml:space="preserve"> </w:t>
      </w:r>
      <w:r w:rsidRPr="00F643F6">
        <w:rPr>
          <w:i/>
        </w:rPr>
        <w:t>Organization Science</w:t>
      </w:r>
      <w:r w:rsidRPr="00F643F6">
        <w:t>, 19: 160-176.</w:t>
      </w:r>
    </w:p>
    <w:p w14:paraId="0BB8FB6E" w14:textId="77777777" w:rsidR="004F6BD1" w:rsidRPr="00F643F6" w:rsidRDefault="004F6BD1" w:rsidP="00010489">
      <w:pPr>
        <w:pStyle w:val="CitaviBibliographyEntry"/>
        <w:spacing w:after="12"/>
        <w:ind w:hanging="284"/>
        <w:jc w:val="both"/>
      </w:pPr>
      <w:bookmarkStart w:id="590" w:name="_CTVL001da9b8b66edf14049be4d46289c02663a"/>
      <w:r w:rsidRPr="00F643F6">
        <w:t>Stuart, E. A. 2010. Matching methods for causal inference: A review and a look forward.</w:t>
      </w:r>
      <w:bookmarkEnd w:id="590"/>
      <w:r w:rsidRPr="00F643F6">
        <w:t xml:space="preserve"> </w:t>
      </w:r>
      <w:r w:rsidRPr="00F643F6">
        <w:rPr>
          <w:i/>
        </w:rPr>
        <w:t>Statistical science : a review journal of the Institute of Mathematical Statistics</w:t>
      </w:r>
      <w:r w:rsidRPr="00F643F6">
        <w:t>, 25: 1-21.</w:t>
      </w:r>
    </w:p>
    <w:p w14:paraId="52925778" w14:textId="77777777" w:rsidR="004F6BD1" w:rsidRPr="00F643F6" w:rsidRDefault="004F6BD1" w:rsidP="00010489">
      <w:pPr>
        <w:pStyle w:val="CitaviBibliographyEntry"/>
        <w:spacing w:after="12"/>
        <w:ind w:hanging="284"/>
        <w:jc w:val="both"/>
      </w:pPr>
      <w:bookmarkStart w:id="591" w:name="_CTVL0016d231057aea84eafbe50a96c6078f80b"/>
      <w:r w:rsidRPr="00F643F6">
        <w:t>Suk, I., &amp; Wang, M. 2021. Does target firm insider trading signal the target</w:t>
      </w:r>
      <w:r>
        <w:t>’</w:t>
      </w:r>
      <w:r w:rsidRPr="00F643F6">
        <w:t>s synergy potential in mergers and acquisitions?</w:t>
      </w:r>
      <w:bookmarkEnd w:id="591"/>
      <w:r w:rsidRPr="00F643F6">
        <w:t xml:space="preserve"> </w:t>
      </w:r>
      <w:r w:rsidRPr="00F643F6">
        <w:rPr>
          <w:i/>
        </w:rPr>
        <w:t>Journal of Financial Economics</w:t>
      </w:r>
      <w:r w:rsidRPr="00F643F6">
        <w:t>, 142: 1155-1185.</w:t>
      </w:r>
    </w:p>
    <w:p w14:paraId="53326C63" w14:textId="77777777" w:rsidR="004F6BD1" w:rsidRPr="00F643F6" w:rsidRDefault="004F6BD1" w:rsidP="00010489">
      <w:pPr>
        <w:pStyle w:val="CitaviBibliographyEntry"/>
        <w:spacing w:after="12"/>
        <w:ind w:hanging="284"/>
        <w:jc w:val="both"/>
      </w:pPr>
      <w:bookmarkStart w:id="592" w:name="_CTVL001ae55d6e1ba544282b672a735e19d0577"/>
      <w:r w:rsidRPr="00F643F6">
        <w:t>Tajfel, H. 1981.</w:t>
      </w:r>
      <w:bookmarkEnd w:id="592"/>
      <w:r w:rsidRPr="00F643F6">
        <w:t xml:space="preserve"> </w:t>
      </w:r>
      <w:r w:rsidRPr="00F643F6">
        <w:rPr>
          <w:i/>
        </w:rPr>
        <w:t>Human Groups and Social Categories—Studies in Social Psychology</w:t>
      </w:r>
      <w:r w:rsidRPr="00F643F6">
        <w:t>. Cambridge: Cambridge University Press.</w:t>
      </w:r>
    </w:p>
    <w:p w14:paraId="5074EAFB" w14:textId="77777777" w:rsidR="004F6BD1" w:rsidRPr="00F643F6" w:rsidRDefault="004F6BD1" w:rsidP="00010489">
      <w:pPr>
        <w:pStyle w:val="CitaviBibliographyEntry"/>
        <w:spacing w:after="12"/>
        <w:ind w:hanging="284"/>
        <w:jc w:val="both"/>
      </w:pPr>
      <w:bookmarkStart w:id="593" w:name="_CTVL0013c2164ecee7d4d37b71efa0c1a6c3f84"/>
      <w:r w:rsidRPr="00F643F6">
        <w:t>Teerikangas, S., &amp; Very, P. 2006. The Culture-Performance Relationship in M&amp;A: From Yes/No to How.</w:t>
      </w:r>
      <w:bookmarkEnd w:id="593"/>
      <w:r w:rsidRPr="00F643F6">
        <w:t xml:space="preserve"> </w:t>
      </w:r>
      <w:r w:rsidRPr="00F643F6">
        <w:rPr>
          <w:i/>
        </w:rPr>
        <w:t>British Journal of Management</w:t>
      </w:r>
      <w:r w:rsidRPr="00F643F6">
        <w:t>, 17: S31-S48.</w:t>
      </w:r>
    </w:p>
    <w:p w14:paraId="306770EE" w14:textId="77777777" w:rsidR="004F6BD1" w:rsidRPr="00F643F6" w:rsidRDefault="004F6BD1" w:rsidP="00010489">
      <w:pPr>
        <w:pStyle w:val="CitaviBibliographyEntry"/>
        <w:spacing w:after="12"/>
        <w:ind w:hanging="284"/>
        <w:jc w:val="both"/>
      </w:pPr>
      <w:bookmarkStart w:id="594" w:name="_CTVL00143b34863b9b54979918a4ea75bd3b2d3"/>
      <w:r w:rsidRPr="00F643F6">
        <w:lastRenderedPageBreak/>
        <w:t>Turner, J. 1982.</w:t>
      </w:r>
      <w:bookmarkEnd w:id="594"/>
      <w:r w:rsidRPr="00F643F6">
        <w:t xml:space="preserve"> </w:t>
      </w:r>
      <w:r w:rsidRPr="00F643F6">
        <w:rPr>
          <w:i/>
        </w:rPr>
        <w:t>Toward a cognitive definition of the group. In H. Tajfel (Ed.), Social Identity and Intergroup Relations</w:t>
      </w:r>
      <w:r w:rsidRPr="00F643F6">
        <w:t>. Cambridge: Cambridge University Press.</w:t>
      </w:r>
    </w:p>
    <w:p w14:paraId="0B643AD2" w14:textId="77777777" w:rsidR="004F6BD1" w:rsidRPr="00F643F6" w:rsidRDefault="004F6BD1" w:rsidP="00010489">
      <w:pPr>
        <w:pStyle w:val="CitaviBibliographyEntry"/>
        <w:spacing w:after="12"/>
        <w:ind w:hanging="284"/>
        <w:jc w:val="both"/>
      </w:pPr>
      <w:bookmarkStart w:id="595" w:name="_CTVL001f7f8fa5fdae44e87a6ccd0e498f05bf3"/>
      <w:r w:rsidRPr="00F643F6">
        <w:t>Vaara, E. 2002. On the Discursive Construction of Success/Failure in Narratives of Post-Merger Integration.</w:t>
      </w:r>
      <w:bookmarkEnd w:id="595"/>
      <w:r w:rsidRPr="00F643F6">
        <w:t xml:space="preserve"> </w:t>
      </w:r>
      <w:r w:rsidRPr="00F643F6">
        <w:rPr>
          <w:i/>
        </w:rPr>
        <w:t>Organization Studies</w:t>
      </w:r>
      <w:r w:rsidRPr="00F643F6">
        <w:t>, 23: 211-248.</w:t>
      </w:r>
    </w:p>
    <w:p w14:paraId="1F315465" w14:textId="77777777" w:rsidR="004F6BD1" w:rsidRPr="00F643F6" w:rsidRDefault="004F6BD1" w:rsidP="00010489">
      <w:pPr>
        <w:pStyle w:val="CitaviBibliographyEntry"/>
        <w:spacing w:after="12"/>
        <w:ind w:hanging="284"/>
        <w:jc w:val="both"/>
      </w:pPr>
      <w:bookmarkStart w:id="596" w:name="_CTVL0011bd21ce88c8b421fa3b78eeb0a323711"/>
      <w:r w:rsidRPr="00F643F6">
        <w:t>Vaara, E., Sarala, R., Stahl, G. K., &amp; Björkman, I. 2012. The Impact of Organizational and National Cultural Differences on Social Conflict and Knowledge Transfer in International Acquisitions.</w:t>
      </w:r>
      <w:bookmarkEnd w:id="596"/>
      <w:r w:rsidRPr="00F643F6">
        <w:t xml:space="preserve"> </w:t>
      </w:r>
      <w:r w:rsidRPr="00F643F6">
        <w:rPr>
          <w:i/>
        </w:rPr>
        <w:t>Journal of Management Studies</w:t>
      </w:r>
      <w:r w:rsidRPr="00F643F6">
        <w:t>, 49: 1-27.</w:t>
      </w:r>
    </w:p>
    <w:p w14:paraId="427F72D2" w14:textId="77777777" w:rsidR="004F6BD1" w:rsidRPr="00F643F6" w:rsidRDefault="004F6BD1" w:rsidP="00010489">
      <w:pPr>
        <w:pStyle w:val="CitaviBibliographyEntry"/>
        <w:spacing w:after="12"/>
        <w:ind w:hanging="284"/>
        <w:jc w:val="both"/>
      </w:pPr>
      <w:bookmarkStart w:id="597" w:name="_CTVL0019ed63c323a75440fb60b0058ff0512c5"/>
      <w:r w:rsidRPr="00F643F6">
        <w:t>Vaswani, A., Shazeer, N., Parmar, N., Uszkoreit, J., Jones, L., Gomez, A. N., Kaiser, \. u., &amp; Polosukhin, I. 2017. Attention is All you Need. In I. Guyon, U. Von Luxburg, S. Bengio, H. Wallach, R. Fergus, S. Vishwanathan, &amp; R. Garnett (Eds.),</w:t>
      </w:r>
      <w:bookmarkEnd w:id="597"/>
      <w:r w:rsidRPr="00F643F6">
        <w:t xml:space="preserve"> </w:t>
      </w:r>
      <w:r w:rsidRPr="00F643F6">
        <w:rPr>
          <w:i/>
        </w:rPr>
        <w:t>Advances in Neural Information Processing Systems</w:t>
      </w:r>
      <w:r w:rsidRPr="00F643F6">
        <w:t>. Curran Associates, Inc.</w:t>
      </w:r>
    </w:p>
    <w:p w14:paraId="2E64AABF" w14:textId="77777777" w:rsidR="004F6BD1" w:rsidRPr="00F643F6" w:rsidRDefault="004F6BD1" w:rsidP="00010489">
      <w:pPr>
        <w:pStyle w:val="CitaviBibliographyEntry"/>
        <w:spacing w:after="12"/>
        <w:ind w:hanging="284"/>
        <w:jc w:val="both"/>
      </w:pPr>
      <w:bookmarkStart w:id="598" w:name="_CTVL001aab624845d5647c59faa6af4ead0667a"/>
      <w:r w:rsidRPr="00F643F6">
        <w:t>Wang, D., Hain, D. S., Larimo, J., &amp; Dao, L. T. 2020. Cultural differences and synergy realization in cross-border acquisitions.</w:t>
      </w:r>
      <w:bookmarkEnd w:id="598"/>
      <w:r w:rsidRPr="00F643F6">
        <w:t xml:space="preserve"> </w:t>
      </w:r>
      <w:r w:rsidRPr="00F643F6">
        <w:rPr>
          <w:i/>
        </w:rPr>
        <w:t>International Business Review</w:t>
      </w:r>
      <w:r w:rsidRPr="00F643F6">
        <w:t>, 29: 101675.</w:t>
      </w:r>
    </w:p>
    <w:p w14:paraId="66F72DA9" w14:textId="77777777" w:rsidR="004F6BD1" w:rsidRPr="00F643F6" w:rsidRDefault="004F6BD1" w:rsidP="00010489">
      <w:pPr>
        <w:pStyle w:val="CitaviBibliographyEntry"/>
        <w:spacing w:after="12"/>
        <w:ind w:hanging="284"/>
        <w:jc w:val="both"/>
      </w:pPr>
      <w:bookmarkStart w:id="599" w:name="_CTVL0017d9c73318b9a4f84b9254b84113d7099"/>
      <w:r w:rsidRPr="0011734B">
        <w:t xml:space="preserve">Watson, W. E., Kumar, K., &amp; Michaelsen, L. K. 1993. </w:t>
      </w:r>
      <w:r w:rsidRPr="00F643F6">
        <w:t>Cultural Diversity’s Impact on Interaction Process and Performance: Comparing Homogeneous and Diverse Task Groups.</w:t>
      </w:r>
      <w:bookmarkEnd w:id="599"/>
      <w:r w:rsidRPr="00F643F6">
        <w:t xml:space="preserve"> </w:t>
      </w:r>
      <w:r w:rsidRPr="00F643F6">
        <w:rPr>
          <w:i/>
        </w:rPr>
        <w:t>Academy of Management Journal</w:t>
      </w:r>
      <w:r w:rsidRPr="00F643F6">
        <w:t>, 36: 590-602.</w:t>
      </w:r>
    </w:p>
    <w:p w14:paraId="339FA927" w14:textId="77777777" w:rsidR="004F6BD1" w:rsidRPr="00F643F6" w:rsidRDefault="004F6BD1" w:rsidP="00010489">
      <w:pPr>
        <w:pStyle w:val="CitaviBibliographyEntry"/>
        <w:spacing w:after="12"/>
        <w:ind w:hanging="284"/>
        <w:jc w:val="both"/>
      </w:pPr>
      <w:bookmarkStart w:id="600" w:name="_CTVL001d6a69669f96249b8a0a7914e29210273"/>
      <w:r w:rsidRPr="00F643F6">
        <w:t>Weber, R. A., &amp; Camerer, C. F. 2003. Cultural Conflict and Merger Failure: An Experimental Approach.</w:t>
      </w:r>
      <w:bookmarkEnd w:id="600"/>
      <w:r w:rsidRPr="00F643F6">
        <w:t xml:space="preserve"> </w:t>
      </w:r>
      <w:r w:rsidRPr="00F643F6">
        <w:rPr>
          <w:i/>
        </w:rPr>
        <w:t>Management Science</w:t>
      </w:r>
      <w:r w:rsidRPr="00F643F6">
        <w:t>, 49: 400-415.</w:t>
      </w:r>
    </w:p>
    <w:p w14:paraId="0F290135" w14:textId="77777777" w:rsidR="004F6BD1" w:rsidRPr="00F643F6" w:rsidRDefault="004F6BD1" w:rsidP="00010489">
      <w:pPr>
        <w:pStyle w:val="CitaviBibliographyEntry"/>
        <w:spacing w:after="12"/>
        <w:ind w:hanging="284"/>
        <w:jc w:val="both"/>
      </w:pPr>
      <w:bookmarkStart w:id="601" w:name="_CTVL0019972f7a9238e4bf0a14a870d7d496d81"/>
      <w:r w:rsidRPr="00F643F6">
        <w:t>Weber, Y. 1996. Corporate Cultural Fit and Performance in Mergers and Acquisitions.</w:t>
      </w:r>
      <w:bookmarkEnd w:id="601"/>
      <w:r w:rsidRPr="00F643F6">
        <w:t xml:space="preserve"> </w:t>
      </w:r>
      <w:r w:rsidRPr="00F643F6">
        <w:rPr>
          <w:i/>
        </w:rPr>
        <w:t>Human Relations</w:t>
      </w:r>
      <w:r w:rsidRPr="00F643F6">
        <w:t>, 49: 1181-1202.</w:t>
      </w:r>
    </w:p>
    <w:p w14:paraId="331FFF09" w14:textId="77777777" w:rsidR="004F6BD1" w:rsidRPr="00F643F6" w:rsidRDefault="004F6BD1" w:rsidP="00010489">
      <w:pPr>
        <w:pStyle w:val="CitaviBibliographyEntry"/>
        <w:spacing w:after="12"/>
        <w:ind w:hanging="284"/>
        <w:jc w:val="both"/>
      </w:pPr>
      <w:bookmarkStart w:id="602" w:name="_CTVL001081c568a0545413888ce43d6e965e797"/>
      <w:r w:rsidRPr="00F643F6">
        <w:t>Woo, C. Y., Willard, G. E., &amp; Daellenbach, U. S. 1992. Spin‐off performance: A case of overstated expectations?</w:t>
      </w:r>
      <w:bookmarkEnd w:id="602"/>
      <w:r w:rsidRPr="00F643F6">
        <w:t xml:space="preserve"> </w:t>
      </w:r>
      <w:r w:rsidRPr="00F643F6">
        <w:rPr>
          <w:i/>
        </w:rPr>
        <w:t>Strategic Management Journal</w:t>
      </w:r>
      <w:r w:rsidRPr="00F643F6">
        <w:t>, 13: 433-447.</w:t>
      </w:r>
    </w:p>
    <w:p w14:paraId="6D87B942" w14:textId="77777777" w:rsidR="004F6BD1" w:rsidRPr="00F643F6" w:rsidRDefault="004F6BD1" w:rsidP="00010489">
      <w:pPr>
        <w:pStyle w:val="CitaviBibliographyEntry"/>
        <w:spacing w:after="12"/>
        <w:ind w:hanging="284"/>
        <w:jc w:val="both"/>
      </w:pPr>
      <w:bookmarkStart w:id="603" w:name="_CTVL00146316f88d03e4bda9d5ed82a67509e57"/>
      <w:r w:rsidRPr="00F643F6">
        <w:t>Zaheer, A., McEvily, B., &amp; Perrone, V. 1998. Does Trust Matter? Exploring the Effects of Interorganizational and Interpersonal Trust on Performance.</w:t>
      </w:r>
      <w:bookmarkEnd w:id="603"/>
      <w:r w:rsidRPr="00F643F6">
        <w:t xml:space="preserve"> </w:t>
      </w:r>
      <w:r w:rsidRPr="00F643F6">
        <w:rPr>
          <w:i/>
        </w:rPr>
        <w:t>Organization Science</w:t>
      </w:r>
      <w:r w:rsidRPr="00F643F6">
        <w:t>, 9: 141-159.</w:t>
      </w:r>
    </w:p>
    <w:p w14:paraId="0ADB13A3" w14:textId="77777777" w:rsidR="004F6BD1" w:rsidRPr="00F643F6" w:rsidRDefault="004F6BD1" w:rsidP="00010489">
      <w:pPr>
        <w:pStyle w:val="CitaviBibliographyEntry"/>
        <w:spacing w:after="12"/>
        <w:ind w:hanging="284"/>
        <w:jc w:val="both"/>
      </w:pPr>
      <w:bookmarkStart w:id="604" w:name="_CTVL0010aa6ab7af4ae46ac928f25fa699908f1"/>
      <w:r w:rsidRPr="00F643F6">
        <w:lastRenderedPageBreak/>
        <w:t>Zheng, W., Yang, B., &amp; McLean, G. N. 2010. Linking organizational culture, structure, strategy, and organizational effectiveness: Mediating role of knowledge management.</w:t>
      </w:r>
      <w:bookmarkEnd w:id="604"/>
      <w:r w:rsidRPr="00F643F6">
        <w:t xml:space="preserve"> </w:t>
      </w:r>
      <w:r w:rsidRPr="00F643F6">
        <w:rPr>
          <w:i/>
        </w:rPr>
        <w:t>Journal of Business Research</w:t>
      </w:r>
      <w:r w:rsidRPr="00F643F6">
        <w:t>, 63: 763-771.</w:t>
      </w:r>
    </w:p>
    <w:p w14:paraId="118D1508" w14:textId="77777777" w:rsidR="004F6BD1" w:rsidRPr="00F643F6" w:rsidRDefault="004F6BD1" w:rsidP="00010489">
      <w:pPr>
        <w:pStyle w:val="CitaviBibliographyEntry"/>
        <w:spacing w:after="12"/>
        <w:ind w:hanging="284"/>
        <w:jc w:val="both"/>
      </w:pPr>
      <w:bookmarkStart w:id="605" w:name="_CTVL0011953d6d41a0441fa9694f313ec482414"/>
      <w:r w:rsidRPr="00F643F6">
        <w:t>Zollo, M., &amp; Meier, D. 2008. What Is M&amp;A Performance?</w:t>
      </w:r>
      <w:bookmarkEnd w:id="605"/>
      <w:r w:rsidRPr="00F643F6">
        <w:t xml:space="preserve"> </w:t>
      </w:r>
      <w:r w:rsidRPr="00F643F6">
        <w:rPr>
          <w:i/>
        </w:rPr>
        <w:t>Academy of Management Perspectives</w:t>
      </w:r>
      <w:r w:rsidRPr="00F643F6">
        <w:t>, 22: 55-77.</w:t>
      </w:r>
    </w:p>
    <w:p w14:paraId="6C6C8BF3" w14:textId="77777777" w:rsidR="004F6BD1" w:rsidRPr="003B6B55" w:rsidRDefault="004F6BD1" w:rsidP="00010489">
      <w:pPr>
        <w:pStyle w:val="CitaviBibliographyEntry"/>
        <w:spacing w:after="12"/>
        <w:ind w:hanging="284"/>
        <w:jc w:val="both"/>
      </w:pPr>
      <w:bookmarkStart w:id="606" w:name="_CTVL001826dc632cdb349929955cc993b1f614f"/>
      <w:r w:rsidRPr="00F643F6">
        <w:t>Zollo, M., &amp; Singh, H. 2004. Deliberate learning in corporate acquisitions: post-acquisition strategies and integration capability in U.S. bank mergers.</w:t>
      </w:r>
      <w:bookmarkEnd w:id="606"/>
      <w:r w:rsidRPr="00F643F6">
        <w:t xml:space="preserve"> </w:t>
      </w:r>
      <w:r w:rsidRPr="006457A0">
        <w:rPr>
          <w:i/>
        </w:rPr>
        <w:t>Strategic Management Journal</w:t>
      </w:r>
      <w:r w:rsidRPr="006457A0">
        <w:t>, 25: 1233-1256.</w:t>
      </w:r>
    </w:p>
    <w:p w14:paraId="327B11F9" w14:textId="26A91447" w:rsidR="004F6BD1" w:rsidRDefault="004F6BD1" w:rsidP="00D15253">
      <w:pPr>
        <w:spacing w:after="12" w:line="240" w:lineRule="auto"/>
        <w:ind w:hanging="284"/>
        <w:rPr>
          <w:rFonts w:eastAsiaTheme="majorEastAsia" w:cs="Times New Roman"/>
          <w:b/>
          <w:caps/>
          <w:color w:val="000000" w:themeColor="text1"/>
          <w:szCs w:val="32"/>
          <w:lang w:val="en-US"/>
        </w:rPr>
      </w:pPr>
      <w:r>
        <w:rPr>
          <w:lang w:val="en-US"/>
        </w:rPr>
        <w:br w:type="page"/>
      </w:r>
    </w:p>
    <w:p w14:paraId="7FDCF9AE" w14:textId="04A7BFF0" w:rsidR="003156EF" w:rsidRPr="003156EF" w:rsidRDefault="00677B96" w:rsidP="00677B96">
      <w:pPr>
        <w:pStyle w:val="berschrift2"/>
        <w:rPr>
          <w:lang w:val="en-US"/>
        </w:rPr>
      </w:pPr>
      <w:bookmarkStart w:id="607" w:name="_Toc180963630"/>
      <w:r>
        <w:rPr>
          <w:lang w:val="en-US"/>
        </w:rPr>
        <w:lastRenderedPageBreak/>
        <w:t>Appendix</w:t>
      </w:r>
      <w:bookmarkEnd w:id="607"/>
    </w:p>
    <w:p w14:paraId="7C4E7864" w14:textId="77777777" w:rsidR="0011734B" w:rsidRDefault="003156EF" w:rsidP="0011734B">
      <w:pPr>
        <w:pStyle w:val="1fake"/>
      </w:pPr>
      <w:r w:rsidRPr="000C4487">
        <w:t>Table 1</w:t>
      </w:r>
    </w:p>
    <w:p w14:paraId="335F04B4" w14:textId="124F2D36" w:rsidR="00106E8D" w:rsidRPr="0011734B" w:rsidRDefault="00106E8D" w:rsidP="00106E8D">
      <w:pPr>
        <w:pStyle w:val="Beschriftung"/>
      </w:pPr>
      <w:bookmarkStart w:id="608" w:name="_Toc180594837"/>
      <w:r>
        <w:t xml:space="preserve">T - III - </w:t>
      </w:r>
      <w:r>
        <w:fldChar w:fldCharType="begin"/>
      </w:r>
      <w:r>
        <w:instrText xml:space="preserve"> SEQ T_-_III_- \* ARABIC </w:instrText>
      </w:r>
      <w:r>
        <w:fldChar w:fldCharType="separate"/>
      </w:r>
      <w:r w:rsidR="00E91088">
        <w:rPr>
          <w:noProof/>
        </w:rPr>
        <w:t>1</w:t>
      </w:r>
      <w:r>
        <w:fldChar w:fldCharType="end"/>
      </w:r>
      <w:r>
        <w:t xml:space="preserve">: </w:t>
      </w:r>
      <w:r w:rsidRPr="00397C74">
        <w:t>Daily abnormal returns to M&amp;A announcement</w:t>
      </w:r>
      <w:bookmarkEnd w:id="608"/>
    </w:p>
    <w:tbl>
      <w:tblPr>
        <w:tblW w:w="9072" w:type="dxa"/>
        <w:tblLayout w:type="fixed"/>
        <w:tblLook w:val="0000" w:firstRow="0" w:lastRow="0" w:firstColumn="0" w:lastColumn="0" w:noHBand="0" w:noVBand="0"/>
      </w:tblPr>
      <w:tblGrid>
        <w:gridCol w:w="788"/>
        <w:gridCol w:w="1933"/>
        <w:gridCol w:w="2267"/>
        <w:gridCol w:w="1362"/>
        <w:gridCol w:w="1361"/>
        <w:gridCol w:w="1361"/>
      </w:tblGrid>
      <w:tr w:rsidR="003156EF" w:rsidRPr="007115F2" w14:paraId="21A5A869" w14:textId="77777777" w:rsidTr="00C82841">
        <w:trPr>
          <w:trHeight w:val="65"/>
        </w:trPr>
        <w:tc>
          <w:tcPr>
            <w:tcW w:w="852" w:type="dxa"/>
            <w:tcBorders>
              <w:top w:val="single" w:sz="4" w:space="0" w:color="auto"/>
              <w:left w:val="nil"/>
              <w:bottom w:val="single" w:sz="10" w:space="0" w:color="auto"/>
              <w:right w:val="nil"/>
            </w:tcBorders>
            <w:vAlign w:val="center"/>
          </w:tcPr>
          <w:p w14:paraId="1397C64A" w14:textId="77777777" w:rsidR="003156EF" w:rsidRPr="007115F2" w:rsidRDefault="003156EF" w:rsidP="00AB066F">
            <w:pPr>
              <w:widowControl w:val="0"/>
              <w:autoSpaceDE w:val="0"/>
              <w:autoSpaceDN w:val="0"/>
              <w:adjustRightInd w:val="0"/>
              <w:spacing w:line="240" w:lineRule="auto"/>
              <w:jc w:val="left"/>
              <w:rPr>
                <w:b/>
                <w:bCs/>
                <w:color w:val="000000" w:themeColor="text1"/>
                <w:sz w:val="22"/>
                <w:lang w:val="en-US"/>
              </w:rPr>
            </w:pPr>
            <w:r w:rsidRPr="007115F2">
              <w:rPr>
                <w:b/>
                <w:bCs/>
                <w:color w:val="000000" w:themeColor="text1"/>
                <w:sz w:val="22"/>
                <w:lang w:val="en-US"/>
              </w:rPr>
              <w:t>Day</w:t>
            </w:r>
          </w:p>
        </w:tc>
        <w:tc>
          <w:tcPr>
            <w:tcW w:w="2126" w:type="dxa"/>
            <w:tcBorders>
              <w:top w:val="single" w:sz="4" w:space="0" w:color="auto"/>
              <w:left w:val="nil"/>
              <w:bottom w:val="single" w:sz="10" w:space="0" w:color="auto"/>
              <w:right w:val="nil"/>
            </w:tcBorders>
            <w:vAlign w:val="center"/>
          </w:tcPr>
          <w:p w14:paraId="409ED043" w14:textId="77777777" w:rsidR="003156EF" w:rsidRPr="007115F2" w:rsidRDefault="003156EF" w:rsidP="00AB066F">
            <w:pPr>
              <w:widowControl w:val="0"/>
              <w:autoSpaceDE w:val="0"/>
              <w:autoSpaceDN w:val="0"/>
              <w:adjustRightInd w:val="0"/>
              <w:spacing w:line="240" w:lineRule="auto"/>
              <w:jc w:val="center"/>
              <w:rPr>
                <w:b/>
                <w:bCs/>
                <w:color w:val="000000" w:themeColor="text1"/>
                <w:sz w:val="22"/>
                <w:lang w:val="en-US"/>
              </w:rPr>
            </w:pPr>
            <w:r w:rsidRPr="007115F2">
              <w:rPr>
                <w:b/>
                <w:bCs/>
                <w:color w:val="000000" w:themeColor="text1"/>
                <w:sz w:val="22"/>
                <w:lang w:val="en-US"/>
              </w:rPr>
              <w:t>Mean abnormal return</w:t>
            </w:r>
          </w:p>
        </w:tc>
        <w:tc>
          <w:tcPr>
            <w:tcW w:w="2499" w:type="dxa"/>
            <w:tcBorders>
              <w:top w:val="single" w:sz="4" w:space="0" w:color="auto"/>
              <w:left w:val="nil"/>
              <w:bottom w:val="single" w:sz="10" w:space="0" w:color="auto"/>
              <w:right w:val="nil"/>
            </w:tcBorders>
            <w:vAlign w:val="center"/>
          </w:tcPr>
          <w:p w14:paraId="27A869D7" w14:textId="77777777" w:rsidR="003156EF" w:rsidRPr="007115F2" w:rsidRDefault="003156EF" w:rsidP="00AB066F">
            <w:pPr>
              <w:widowControl w:val="0"/>
              <w:autoSpaceDE w:val="0"/>
              <w:autoSpaceDN w:val="0"/>
              <w:adjustRightInd w:val="0"/>
              <w:spacing w:line="240" w:lineRule="auto"/>
              <w:jc w:val="center"/>
              <w:rPr>
                <w:b/>
                <w:bCs/>
                <w:color w:val="000000" w:themeColor="text1"/>
                <w:sz w:val="22"/>
                <w:lang w:val="en-US"/>
              </w:rPr>
            </w:pPr>
            <w:r w:rsidRPr="007115F2">
              <w:rPr>
                <w:b/>
                <w:bCs/>
                <w:color w:val="000000" w:themeColor="text1"/>
                <w:sz w:val="22"/>
                <w:lang w:val="en-US"/>
              </w:rPr>
              <w:t>Standardized t-statistic</w:t>
            </w:r>
          </w:p>
        </w:tc>
        <w:tc>
          <w:tcPr>
            <w:tcW w:w="1490" w:type="dxa"/>
            <w:tcBorders>
              <w:top w:val="single" w:sz="4" w:space="0" w:color="auto"/>
              <w:left w:val="nil"/>
              <w:bottom w:val="single" w:sz="10" w:space="0" w:color="auto"/>
              <w:right w:val="nil"/>
            </w:tcBorders>
            <w:vAlign w:val="center"/>
          </w:tcPr>
          <w:p w14:paraId="02F12C3C" w14:textId="77777777" w:rsidR="003156EF" w:rsidRPr="007115F2" w:rsidRDefault="003156EF" w:rsidP="00AB066F">
            <w:pPr>
              <w:widowControl w:val="0"/>
              <w:autoSpaceDE w:val="0"/>
              <w:autoSpaceDN w:val="0"/>
              <w:adjustRightInd w:val="0"/>
              <w:spacing w:line="240" w:lineRule="auto"/>
              <w:jc w:val="center"/>
              <w:rPr>
                <w:b/>
                <w:bCs/>
                <w:color w:val="000000" w:themeColor="text1"/>
                <w:sz w:val="22"/>
                <w:lang w:val="en-US"/>
              </w:rPr>
            </w:pPr>
            <w:r w:rsidRPr="007115F2">
              <w:rPr>
                <w:b/>
                <w:bCs/>
                <w:color w:val="000000" w:themeColor="text1"/>
                <w:sz w:val="22"/>
                <w:lang w:val="en-US"/>
              </w:rPr>
              <w:t>p-value</w:t>
            </w:r>
          </w:p>
        </w:tc>
        <w:tc>
          <w:tcPr>
            <w:tcW w:w="1489" w:type="dxa"/>
            <w:tcBorders>
              <w:top w:val="single" w:sz="4" w:space="0" w:color="auto"/>
              <w:left w:val="nil"/>
              <w:bottom w:val="single" w:sz="10" w:space="0" w:color="auto"/>
              <w:right w:val="nil"/>
            </w:tcBorders>
            <w:vAlign w:val="center"/>
          </w:tcPr>
          <w:p w14:paraId="793AA614" w14:textId="77777777" w:rsidR="003156EF" w:rsidRPr="007115F2" w:rsidRDefault="003156EF" w:rsidP="00AB066F">
            <w:pPr>
              <w:widowControl w:val="0"/>
              <w:autoSpaceDE w:val="0"/>
              <w:autoSpaceDN w:val="0"/>
              <w:adjustRightInd w:val="0"/>
              <w:spacing w:line="240" w:lineRule="auto"/>
              <w:jc w:val="center"/>
              <w:rPr>
                <w:b/>
                <w:bCs/>
                <w:color w:val="000000" w:themeColor="text1"/>
                <w:sz w:val="22"/>
                <w:lang w:val="en-US"/>
              </w:rPr>
            </w:pPr>
            <w:r w:rsidRPr="007115F2">
              <w:rPr>
                <w:b/>
                <w:bCs/>
                <w:color w:val="000000" w:themeColor="text1"/>
                <w:sz w:val="22"/>
                <w:lang w:val="en-US"/>
              </w:rPr>
              <w:t>Patell Z</w:t>
            </w:r>
          </w:p>
        </w:tc>
        <w:tc>
          <w:tcPr>
            <w:tcW w:w="1489" w:type="dxa"/>
            <w:tcBorders>
              <w:top w:val="single" w:sz="4" w:space="0" w:color="auto"/>
              <w:left w:val="nil"/>
              <w:bottom w:val="single" w:sz="10" w:space="0" w:color="auto"/>
              <w:right w:val="nil"/>
            </w:tcBorders>
            <w:vAlign w:val="center"/>
          </w:tcPr>
          <w:p w14:paraId="5A023485" w14:textId="77777777" w:rsidR="003156EF" w:rsidRPr="007115F2" w:rsidRDefault="003156EF" w:rsidP="00AB066F">
            <w:pPr>
              <w:widowControl w:val="0"/>
              <w:autoSpaceDE w:val="0"/>
              <w:autoSpaceDN w:val="0"/>
              <w:adjustRightInd w:val="0"/>
              <w:spacing w:line="240" w:lineRule="auto"/>
              <w:jc w:val="center"/>
              <w:rPr>
                <w:b/>
                <w:bCs/>
                <w:color w:val="000000" w:themeColor="text1"/>
                <w:sz w:val="22"/>
                <w:lang w:val="en-US"/>
              </w:rPr>
            </w:pPr>
            <w:r w:rsidRPr="007115F2">
              <w:rPr>
                <w:b/>
                <w:bCs/>
                <w:color w:val="000000" w:themeColor="text1"/>
                <w:sz w:val="22"/>
                <w:lang w:val="en-US"/>
              </w:rPr>
              <w:t>p-value</w:t>
            </w:r>
          </w:p>
        </w:tc>
      </w:tr>
      <w:tr w:rsidR="003156EF" w:rsidRPr="007115F2" w14:paraId="1638B5E7" w14:textId="77777777" w:rsidTr="00C82841">
        <w:trPr>
          <w:trHeight w:val="249"/>
        </w:trPr>
        <w:tc>
          <w:tcPr>
            <w:tcW w:w="852" w:type="dxa"/>
            <w:tcBorders>
              <w:top w:val="nil"/>
              <w:left w:val="nil"/>
              <w:bottom w:val="nil"/>
              <w:right w:val="nil"/>
            </w:tcBorders>
            <w:vAlign w:val="center"/>
          </w:tcPr>
          <w:p w14:paraId="6B3A92AB" w14:textId="77777777" w:rsidR="003156EF" w:rsidRPr="007115F2" w:rsidRDefault="003156EF" w:rsidP="00AB066F">
            <w:pPr>
              <w:widowControl w:val="0"/>
              <w:autoSpaceDE w:val="0"/>
              <w:autoSpaceDN w:val="0"/>
              <w:adjustRightInd w:val="0"/>
              <w:spacing w:line="240" w:lineRule="auto"/>
              <w:jc w:val="left"/>
              <w:rPr>
                <w:color w:val="000000" w:themeColor="text1"/>
                <w:sz w:val="22"/>
                <w:lang w:val="en-US"/>
              </w:rPr>
            </w:pPr>
            <w:r w:rsidRPr="007115F2">
              <w:rPr>
                <w:color w:val="000000" w:themeColor="text1"/>
                <w:sz w:val="22"/>
                <w:lang w:val="en-US"/>
              </w:rPr>
              <w:t>-10</w:t>
            </w:r>
          </w:p>
        </w:tc>
        <w:tc>
          <w:tcPr>
            <w:tcW w:w="2126" w:type="dxa"/>
            <w:tcBorders>
              <w:top w:val="nil"/>
              <w:left w:val="nil"/>
              <w:bottom w:val="nil"/>
              <w:right w:val="nil"/>
            </w:tcBorders>
            <w:shd w:val="clear" w:color="auto" w:fill="auto"/>
            <w:vAlign w:val="center"/>
          </w:tcPr>
          <w:p w14:paraId="411991BF"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.20%</w:t>
            </w:r>
          </w:p>
        </w:tc>
        <w:tc>
          <w:tcPr>
            <w:tcW w:w="2499" w:type="dxa"/>
            <w:tcBorders>
              <w:top w:val="nil"/>
              <w:left w:val="nil"/>
              <w:bottom w:val="nil"/>
              <w:right w:val="nil"/>
            </w:tcBorders>
            <w:shd w:val="clear" w:color="auto" w:fill="auto"/>
            <w:vAlign w:val="center"/>
          </w:tcPr>
          <w:p w14:paraId="0CF92E52"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1.605</w:t>
            </w:r>
          </w:p>
        </w:tc>
        <w:tc>
          <w:tcPr>
            <w:tcW w:w="1490" w:type="dxa"/>
            <w:tcBorders>
              <w:top w:val="nil"/>
              <w:left w:val="nil"/>
              <w:bottom w:val="nil"/>
              <w:right w:val="nil"/>
            </w:tcBorders>
            <w:shd w:val="clear" w:color="auto" w:fill="auto"/>
            <w:vAlign w:val="center"/>
          </w:tcPr>
          <w:p w14:paraId="4E72C2C6"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.110</w:t>
            </w:r>
          </w:p>
        </w:tc>
        <w:tc>
          <w:tcPr>
            <w:tcW w:w="1489" w:type="dxa"/>
            <w:tcBorders>
              <w:top w:val="nil"/>
              <w:left w:val="nil"/>
              <w:bottom w:val="nil"/>
              <w:right w:val="nil"/>
            </w:tcBorders>
            <w:vAlign w:val="center"/>
          </w:tcPr>
          <w:p w14:paraId="23A70E9B"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.816</w:t>
            </w:r>
          </w:p>
        </w:tc>
        <w:tc>
          <w:tcPr>
            <w:tcW w:w="1489" w:type="dxa"/>
            <w:tcBorders>
              <w:top w:val="nil"/>
              <w:left w:val="nil"/>
              <w:bottom w:val="nil"/>
              <w:right w:val="nil"/>
            </w:tcBorders>
            <w:vAlign w:val="center"/>
          </w:tcPr>
          <w:p w14:paraId="5AE820A1"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.414</w:t>
            </w:r>
          </w:p>
        </w:tc>
      </w:tr>
      <w:tr w:rsidR="003156EF" w:rsidRPr="007115F2" w14:paraId="28BD5600" w14:textId="77777777" w:rsidTr="00C82841">
        <w:trPr>
          <w:trHeight w:val="264"/>
        </w:trPr>
        <w:tc>
          <w:tcPr>
            <w:tcW w:w="852" w:type="dxa"/>
            <w:tcBorders>
              <w:top w:val="nil"/>
              <w:left w:val="nil"/>
              <w:bottom w:val="nil"/>
              <w:right w:val="nil"/>
            </w:tcBorders>
            <w:vAlign w:val="center"/>
          </w:tcPr>
          <w:p w14:paraId="18A72A99" w14:textId="77777777" w:rsidR="003156EF" w:rsidRPr="007115F2" w:rsidRDefault="003156EF" w:rsidP="00AB066F">
            <w:pPr>
              <w:widowControl w:val="0"/>
              <w:autoSpaceDE w:val="0"/>
              <w:autoSpaceDN w:val="0"/>
              <w:adjustRightInd w:val="0"/>
              <w:spacing w:line="240" w:lineRule="auto"/>
              <w:jc w:val="left"/>
              <w:rPr>
                <w:color w:val="000000" w:themeColor="text1"/>
                <w:sz w:val="22"/>
                <w:lang w:val="en-US"/>
              </w:rPr>
            </w:pPr>
            <w:r w:rsidRPr="007115F2">
              <w:rPr>
                <w:color w:val="000000" w:themeColor="text1"/>
                <w:sz w:val="22"/>
              </w:rPr>
              <w:t>-9</w:t>
            </w:r>
          </w:p>
        </w:tc>
        <w:tc>
          <w:tcPr>
            <w:tcW w:w="2126" w:type="dxa"/>
            <w:tcBorders>
              <w:top w:val="nil"/>
              <w:left w:val="nil"/>
              <w:bottom w:val="nil"/>
              <w:right w:val="nil"/>
            </w:tcBorders>
            <w:shd w:val="clear" w:color="auto" w:fill="auto"/>
            <w:vAlign w:val="center"/>
          </w:tcPr>
          <w:p w14:paraId="6019F497"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.12%</w:t>
            </w:r>
          </w:p>
        </w:tc>
        <w:tc>
          <w:tcPr>
            <w:tcW w:w="2499" w:type="dxa"/>
            <w:tcBorders>
              <w:top w:val="nil"/>
              <w:left w:val="nil"/>
              <w:bottom w:val="nil"/>
              <w:right w:val="nil"/>
            </w:tcBorders>
            <w:shd w:val="clear" w:color="auto" w:fill="auto"/>
            <w:vAlign w:val="center"/>
          </w:tcPr>
          <w:p w14:paraId="5EC929DB"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.972</w:t>
            </w:r>
          </w:p>
        </w:tc>
        <w:tc>
          <w:tcPr>
            <w:tcW w:w="1490" w:type="dxa"/>
            <w:tcBorders>
              <w:top w:val="nil"/>
              <w:left w:val="nil"/>
              <w:bottom w:val="nil"/>
              <w:right w:val="nil"/>
            </w:tcBorders>
            <w:shd w:val="clear" w:color="auto" w:fill="auto"/>
            <w:vAlign w:val="center"/>
          </w:tcPr>
          <w:p w14:paraId="6657B110"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.332</w:t>
            </w:r>
          </w:p>
        </w:tc>
        <w:tc>
          <w:tcPr>
            <w:tcW w:w="1489" w:type="dxa"/>
            <w:tcBorders>
              <w:top w:val="nil"/>
              <w:left w:val="nil"/>
              <w:bottom w:val="nil"/>
              <w:right w:val="nil"/>
            </w:tcBorders>
            <w:vAlign w:val="center"/>
          </w:tcPr>
          <w:p w14:paraId="4D30B257"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.014</w:t>
            </w:r>
          </w:p>
        </w:tc>
        <w:tc>
          <w:tcPr>
            <w:tcW w:w="1489" w:type="dxa"/>
            <w:tcBorders>
              <w:top w:val="nil"/>
              <w:left w:val="nil"/>
              <w:bottom w:val="nil"/>
              <w:right w:val="nil"/>
            </w:tcBorders>
            <w:vAlign w:val="center"/>
          </w:tcPr>
          <w:p w14:paraId="6036934A"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.989</w:t>
            </w:r>
          </w:p>
        </w:tc>
      </w:tr>
      <w:tr w:rsidR="003156EF" w:rsidRPr="007115F2" w14:paraId="53261B99" w14:textId="77777777" w:rsidTr="00C82841">
        <w:trPr>
          <w:trHeight w:val="264"/>
        </w:trPr>
        <w:tc>
          <w:tcPr>
            <w:tcW w:w="852" w:type="dxa"/>
            <w:tcBorders>
              <w:top w:val="nil"/>
              <w:left w:val="nil"/>
              <w:bottom w:val="nil"/>
              <w:right w:val="nil"/>
            </w:tcBorders>
            <w:vAlign w:val="center"/>
          </w:tcPr>
          <w:p w14:paraId="029908DC" w14:textId="77777777" w:rsidR="003156EF" w:rsidRPr="007115F2" w:rsidRDefault="003156EF" w:rsidP="00AB066F">
            <w:pPr>
              <w:widowControl w:val="0"/>
              <w:autoSpaceDE w:val="0"/>
              <w:autoSpaceDN w:val="0"/>
              <w:adjustRightInd w:val="0"/>
              <w:spacing w:line="240" w:lineRule="auto"/>
              <w:jc w:val="left"/>
              <w:rPr>
                <w:color w:val="000000" w:themeColor="text1"/>
                <w:sz w:val="22"/>
                <w:lang w:val="en-US"/>
              </w:rPr>
            </w:pPr>
            <w:r w:rsidRPr="007115F2">
              <w:rPr>
                <w:color w:val="000000" w:themeColor="text1"/>
                <w:sz w:val="22"/>
              </w:rPr>
              <w:t>-8</w:t>
            </w:r>
          </w:p>
        </w:tc>
        <w:tc>
          <w:tcPr>
            <w:tcW w:w="2126" w:type="dxa"/>
            <w:tcBorders>
              <w:top w:val="nil"/>
              <w:left w:val="nil"/>
              <w:bottom w:val="nil"/>
              <w:right w:val="nil"/>
            </w:tcBorders>
            <w:shd w:val="clear" w:color="auto" w:fill="auto"/>
            <w:vAlign w:val="center"/>
          </w:tcPr>
          <w:p w14:paraId="43F57EA4"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-.11%</w:t>
            </w:r>
          </w:p>
        </w:tc>
        <w:tc>
          <w:tcPr>
            <w:tcW w:w="2499" w:type="dxa"/>
            <w:tcBorders>
              <w:top w:val="nil"/>
              <w:left w:val="nil"/>
              <w:bottom w:val="nil"/>
              <w:right w:val="nil"/>
            </w:tcBorders>
            <w:shd w:val="clear" w:color="auto" w:fill="auto"/>
            <w:vAlign w:val="center"/>
          </w:tcPr>
          <w:p w14:paraId="3C08458D"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-.915</w:t>
            </w:r>
          </w:p>
        </w:tc>
        <w:tc>
          <w:tcPr>
            <w:tcW w:w="1490" w:type="dxa"/>
            <w:tcBorders>
              <w:top w:val="nil"/>
              <w:left w:val="nil"/>
              <w:bottom w:val="nil"/>
              <w:right w:val="nil"/>
            </w:tcBorders>
            <w:shd w:val="clear" w:color="auto" w:fill="auto"/>
            <w:vAlign w:val="center"/>
          </w:tcPr>
          <w:p w14:paraId="24611940"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.361</w:t>
            </w:r>
          </w:p>
        </w:tc>
        <w:tc>
          <w:tcPr>
            <w:tcW w:w="1489" w:type="dxa"/>
            <w:tcBorders>
              <w:top w:val="nil"/>
              <w:left w:val="nil"/>
              <w:bottom w:val="nil"/>
              <w:right w:val="nil"/>
            </w:tcBorders>
            <w:vAlign w:val="center"/>
          </w:tcPr>
          <w:p w14:paraId="3C127CB9"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-1.538</w:t>
            </w:r>
          </w:p>
        </w:tc>
        <w:tc>
          <w:tcPr>
            <w:tcW w:w="1489" w:type="dxa"/>
            <w:tcBorders>
              <w:top w:val="nil"/>
              <w:left w:val="nil"/>
              <w:bottom w:val="nil"/>
              <w:right w:val="nil"/>
            </w:tcBorders>
            <w:vAlign w:val="center"/>
          </w:tcPr>
          <w:p w14:paraId="2C47A232"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.124</w:t>
            </w:r>
          </w:p>
        </w:tc>
      </w:tr>
      <w:tr w:rsidR="003156EF" w:rsidRPr="007115F2" w14:paraId="00F62D2B" w14:textId="77777777" w:rsidTr="00C82841">
        <w:trPr>
          <w:trHeight w:val="264"/>
        </w:trPr>
        <w:tc>
          <w:tcPr>
            <w:tcW w:w="852" w:type="dxa"/>
            <w:tcBorders>
              <w:top w:val="nil"/>
              <w:left w:val="nil"/>
              <w:bottom w:val="nil"/>
              <w:right w:val="nil"/>
            </w:tcBorders>
            <w:vAlign w:val="center"/>
          </w:tcPr>
          <w:p w14:paraId="77FDA8B3" w14:textId="77777777" w:rsidR="003156EF" w:rsidRPr="007115F2" w:rsidRDefault="003156EF" w:rsidP="00AB066F">
            <w:pPr>
              <w:widowControl w:val="0"/>
              <w:autoSpaceDE w:val="0"/>
              <w:autoSpaceDN w:val="0"/>
              <w:adjustRightInd w:val="0"/>
              <w:spacing w:line="240" w:lineRule="auto"/>
              <w:jc w:val="left"/>
              <w:rPr>
                <w:color w:val="000000" w:themeColor="text1"/>
                <w:sz w:val="22"/>
                <w:lang w:val="en-US"/>
              </w:rPr>
            </w:pPr>
            <w:r w:rsidRPr="007115F2">
              <w:rPr>
                <w:color w:val="000000" w:themeColor="text1"/>
                <w:sz w:val="22"/>
              </w:rPr>
              <w:t>-7</w:t>
            </w:r>
          </w:p>
        </w:tc>
        <w:tc>
          <w:tcPr>
            <w:tcW w:w="2126" w:type="dxa"/>
            <w:tcBorders>
              <w:top w:val="nil"/>
              <w:left w:val="nil"/>
              <w:bottom w:val="nil"/>
              <w:right w:val="nil"/>
            </w:tcBorders>
            <w:shd w:val="clear" w:color="auto" w:fill="auto"/>
            <w:vAlign w:val="center"/>
          </w:tcPr>
          <w:p w14:paraId="593DDF59"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-.02%</w:t>
            </w:r>
          </w:p>
        </w:tc>
        <w:tc>
          <w:tcPr>
            <w:tcW w:w="2499" w:type="dxa"/>
            <w:tcBorders>
              <w:top w:val="nil"/>
              <w:left w:val="nil"/>
              <w:bottom w:val="nil"/>
              <w:right w:val="nil"/>
            </w:tcBorders>
            <w:shd w:val="clear" w:color="auto" w:fill="auto"/>
            <w:vAlign w:val="center"/>
          </w:tcPr>
          <w:p w14:paraId="35AE5125"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-.168</w:t>
            </w:r>
          </w:p>
        </w:tc>
        <w:tc>
          <w:tcPr>
            <w:tcW w:w="1490" w:type="dxa"/>
            <w:tcBorders>
              <w:top w:val="nil"/>
              <w:left w:val="nil"/>
              <w:bottom w:val="nil"/>
              <w:right w:val="nil"/>
            </w:tcBorders>
            <w:shd w:val="clear" w:color="auto" w:fill="auto"/>
            <w:vAlign w:val="center"/>
          </w:tcPr>
          <w:p w14:paraId="7B6BBCEC"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.867</w:t>
            </w:r>
          </w:p>
        </w:tc>
        <w:tc>
          <w:tcPr>
            <w:tcW w:w="1489" w:type="dxa"/>
            <w:tcBorders>
              <w:top w:val="nil"/>
              <w:left w:val="nil"/>
              <w:bottom w:val="nil"/>
              <w:right w:val="nil"/>
            </w:tcBorders>
            <w:vAlign w:val="center"/>
          </w:tcPr>
          <w:p w14:paraId="6F3BAAAF"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-.872</w:t>
            </w:r>
          </w:p>
        </w:tc>
        <w:tc>
          <w:tcPr>
            <w:tcW w:w="1489" w:type="dxa"/>
            <w:tcBorders>
              <w:top w:val="nil"/>
              <w:left w:val="nil"/>
              <w:bottom w:val="nil"/>
              <w:right w:val="nil"/>
            </w:tcBorders>
            <w:vAlign w:val="center"/>
          </w:tcPr>
          <w:p w14:paraId="5F0FECA4"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.383</w:t>
            </w:r>
          </w:p>
        </w:tc>
      </w:tr>
      <w:tr w:rsidR="003156EF" w:rsidRPr="007115F2" w14:paraId="69DBC488" w14:textId="77777777" w:rsidTr="00C82841">
        <w:trPr>
          <w:trHeight w:val="264"/>
        </w:trPr>
        <w:tc>
          <w:tcPr>
            <w:tcW w:w="852" w:type="dxa"/>
            <w:tcBorders>
              <w:top w:val="nil"/>
              <w:left w:val="nil"/>
              <w:bottom w:val="nil"/>
              <w:right w:val="nil"/>
            </w:tcBorders>
            <w:vAlign w:val="center"/>
          </w:tcPr>
          <w:p w14:paraId="7F2F7913" w14:textId="77777777" w:rsidR="003156EF" w:rsidRPr="007115F2" w:rsidRDefault="003156EF" w:rsidP="00AB066F">
            <w:pPr>
              <w:widowControl w:val="0"/>
              <w:autoSpaceDE w:val="0"/>
              <w:autoSpaceDN w:val="0"/>
              <w:adjustRightInd w:val="0"/>
              <w:spacing w:line="240" w:lineRule="auto"/>
              <w:jc w:val="left"/>
              <w:rPr>
                <w:color w:val="000000" w:themeColor="text1"/>
                <w:sz w:val="22"/>
                <w:lang w:val="en-US"/>
              </w:rPr>
            </w:pPr>
            <w:r w:rsidRPr="007115F2">
              <w:rPr>
                <w:color w:val="000000" w:themeColor="text1"/>
                <w:sz w:val="22"/>
              </w:rPr>
              <w:t>-6</w:t>
            </w:r>
          </w:p>
        </w:tc>
        <w:tc>
          <w:tcPr>
            <w:tcW w:w="2126" w:type="dxa"/>
            <w:tcBorders>
              <w:top w:val="nil"/>
              <w:left w:val="nil"/>
              <w:bottom w:val="nil"/>
              <w:right w:val="nil"/>
            </w:tcBorders>
            <w:shd w:val="clear" w:color="auto" w:fill="auto"/>
            <w:vAlign w:val="center"/>
          </w:tcPr>
          <w:p w14:paraId="5B44BF6B"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.08%</w:t>
            </w:r>
          </w:p>
        </w:tc>
        <w:tc>
          <w:tcPr>
            <w:tcW w:w="2499" w:type="dxa"/>
            <w:tcBorders>
              <w:top w:val="nil"/>
              <w:left w:val="nil"/>
              <w:bottom w:val="nil"/>
              <w:right w:val="nil"/>
            </w:tcBorders>
            <w:shd w:val="clear" w:color="auto" w:fill="auto"/>
            <w:vAlign w:val="center"/>
          </w:tcPr>
          <w:p w14:paraId="77705870"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.672</w:t>
            </w:r>
          </w:p>
        </w:tc>
        <w:tc>
          <w:tcPr>
            <w:tcW w:w="1490" w:type="dxa"/>
            <w:tcBorders>
              <w:top w:val="nil"/>
              <w:left w:val="nil"/>
              <w:bottom w:val="nil"/>
              <w:right w:val="nil"/>
            </w:tcBorders>
            <w:shd w:val="clear" w:color="auto" w:fill="auto"/>
            <w:vAlign w:val="center"/>
          </w:tcPr>
          <w:p w14:paraId="2BFDC876"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.502</w:t>
            </w:r>
          </w:p>
        </w:tc>
        <w:tc>
          <w:tcPr>
            <w:tcW w:w="1489" w:type="dxa"/>
            <w:tcBorders>
              <w:top w:val="nil"/>
              <w:left w:val="nil"/>
              <w:bottom w:val="nil"/>
              <w:right w:val="nil"/>
            </w:tcBorders>
            <w:vAlign w:val="center"/>
          </w:tcPr>
          <w:p w14:paraId="42000F70"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.109</w:t>
            </w:r>
          </w:p>
        </w:tc>
        <w:tc>
          <w:tcPr>
            <w:tcW w:w="1489" w:type="dxa"/>
            <w:tcBorders>
              <w:top w:val="nil"/>
              <w:left w:val="nil"/>
              <w:bottom w:val="nil"/>
              <w:right w:val="nil"/>
            </w:tcBorders>
            <w:vAlign w:val="center"/>
          </w:tcPr>
          <w:p w14:paraId="175D1AD9"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.913</w:t>
            </w:r>
          </w:p>
        </w:tc>
      </w:tr>
      <w:tr w:rsidR="003156EF" w:rsidRPr="007115F2" w14:paraId="59B07A79" w14:textId="77777777" w:rsidTr="00C82841">
        <w:trPr>
          <w:trHeight w:val="264"/>
        </w:trPr>
        <w:tc>
          <w:tcPr>
            <w:tcW w:w="852" w:type="dxa"/>
            <w:tcBorders>
              <w:top w:val="nil"/>
              <w:left w:val="nil"/>
              <w:bottom w:val="nil"/>
              <w:right w:val="nil"/>
            </w:tcBorders>
            <w:vAlign w:val="center"/>
          </w:tcPr>
          <w:p w14:paraId="2F0F7D1C" w14:textId="77777777" w:rsidR="003156EF" w:rsidRPr="007115F2" w:rsidRDefault="003156EF" w:rsidP="00AB066F">
            <w:pPr>
              <w:widowControl w:val="0"/>
              <w:autoSpaceDE w:val="0"/>
              <w:autoSpaceDN w:val="0"/>
              <w:adjustRightInd w:val="0"/>
              <w:spacing w:line="240" w:lineRule="auto"/>
              <w:jc w:val="left"/>
              <w:rPr>
                <w:color w:val="000000" w:themeColor="text1"/>
                <w:sz w:val="22"/>
                <w:lang w:val="en-US"/>
              </w:rPr>
            </w:pPr>
            <w:r w:rsidRPr="007115F2">
              <w:rPr>
                <w:color w:val="000000" w:themeColor="text1"/>
                <w:sz w:val="22"/>
              </w:rPr>
              <w:t>-5</w:t>
            </w:r>
          </w:p>
        </w:tc>
        <w:tc>
          <w:tcPr>
            <w:tcW w:w="2126" w:type="dxa"/>
            <w:tcBorders>
              <w:top w:val="nil"/>
              <w:left w:val="nil"/>
              <w:bottom w:val="nil"/>
              <w:right w:val="nil"/>
            </w:tcBorders>
            <w:shd w:val="clear" w:color="auto" w:fill="auto"/>
            <w:vAlign w:val="center"/>
          </w:tcPr>
          <w:p w14:paraId="003F5DA3"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.09%</w:t>
            </w:r>
          </w:p>
        </w:tc>
        <w:tc>
          <w:tcPr>
            <w:tcW w:w="2499" w:type="dxa"/>
            <w:tcBorders>
              <w:top w:val="nil"/>
              <w:left w:val="nil"/>
              <w:bottom w:val="nil"/>
              <w:right w:val="nil"/>
            </w:tcBorders>
            <w:shd w:val="clear" w:color="auto" w:fill="auto"/>
            <w:vAlign w:val="center"/>
          </w:tcPr>
          <w:p w14:paraId="19F7EE1D"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.721</w:t>
            </w:r>
          </w:p>
        </w:tc>
        <w:tc>
          <w:tcPr>
            <w:tcW w:w="1490" w:type="dxa"/>
            <w:tcBorders>
              <w:top w:val="nil"/>
              <w:left w:val="nil"/>
              <w:bottom w:val="nil"/>
              <w:right w:val="nil"/>
            </w:tcBorders>
            <w:shd w:val="clear" w:color="auto" w:fill="auto"/>
            <w:vAlign w:val="center"/>
          </w:tcPr>
          <w:p w14:paraId="57769558"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.471</w:t>
            </w:r>
          </w:p>
        </w:tc>
        <w:tc>
          <w:tcPr>
            <w:tcW w:w="1489" w:type="dxa"/>
            <w:tcBorders>
              <w:top w:val="nil"/>
              <w:left w:val="nil"/>
              <w:bottom w:val="nil"/>
              <w:right w:val="nil"/>
            </w:tcBorders>
            <w:vAlign w:val="center"/>
          </w:tcPr>
          <w:p w14:paraId="7B4C2BC3"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.275</w:t>
            </w:r>
          </w:p>
        </w:tc>
        <w:tc>
          <w:tcPr>
            <w:tcW w:w="1489" w:type="dxa"/>
            <w:tcBorders>
              <w:top w:val="nil"/>
              <w:left w:val="nil"/>
              <w:bottom w:val="nil"/>
              <w:right w:val="nil"/>
            </w:tcBorders>
            <w:vAlign w:val="center"/>
          </w:tcPr>
          <w:p w14:paraId="3437BF3E"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.783</w:t>
            </w:r>
          </w:p>
        </w:tc>
      </w:tr>
      <w:tr w:rsidR="003156EF" w:rsidRPr="007115F2" w14:paraId="5428CC43" w14:textId="77777777" w:rsidTr="00C82841">
        <w:trPr>
          <w:trHeight w:val="264"/>
        </w:trPr>
        <w:tc>
          <w:tcPr>
            <w:tcW w:w="852" w:type="dxa"/>
            <w:tcBorders>
              <w:top w:val="nil"/>
              <w:left w:val="nil"/>
              <w:bottom w:val="nil"/>
              <w:right w:val="nil"/>
            </w:tcBorders>
            <w:vAlign w:val="center"/>
          </w:tcPr>
          <w:p w14:paraId="625762B3" w14:textId="77777777" w:rsidR="003156EF" w:rsidRPr="007115F2" w:rsidRDefault="003156EF" w:rsidP="00AB066F">
            <w:pPr>
              <w:widowControl w:val="0"/>
              <w:autoSpaceDE w:val="0"/>
              <w:autoSpaceDN w:val="0"/>
              <w:adjustRightInd w:val="0"/>
              <w:spacing w:line="240" w:lineRule="auto"/>
              <w:jc w:val="left"/>
              <w:rPr>
                <w:color w:val="000000" w:themeColor="text1"/>
                <w:sz w:val="22"/>
                <w:lang w:val="en-US"/>
              </w:rPr>
            </w:pPr>
            <w:r w:rsidRPr="007115F2">
              <w:rPr>
                <w:color w:val="000000" w:themeColor="text1"/>
                <w:sz w:val="22"/>
              </w:rPr>
              <w:t>-4</w:t>
            </w:r>
          </w:p>
        </w:tc>
        <w:tc>
          <w:tcPr>
            <w:tcW w:w="2126" w:type="dxa"/>
            <w:tcBorders>
              <w:top w:val="nil"/>
              <w:left w:val="nil"/>
              <w:bottom w:val="nil"/>
              <w:right w:val="nil"/>
            </w:tcBorders>
            <w:shd w:val="clear" w:color="auto" w:fill="auto"/>
            <w:vAlign w:val="center"/>
          </w:tcPr>
          <w:p w14:paraId="4D7258B3"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-.11%</w:t>
            </w:r>
          </w:p>
        </w:tc>
        <w:tc>
          <w:tcPr>
            <w:tcW w:w="2499" w:type="dxa"/>
            <w:tcBorders>
              <w:top w:val="nil"/>
              <w:left w:val="nil"/>
              <w:bottom w:val="nil"/>
              <w:right w:val="nil"/>
            </w:tcBorders>
            <w:shd w:val="clear" w:color="auto" w:fill="auto"/>
            <w:vAlign w:val="center"/>
          </w:tcPr>
          <w:p w14:paraId="36C1A58B"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-.893</w:t>
            </w:r>
          </w:p>
        </w:tc>
        <w:tc>
          <w:tcPr>
            <w:tcW w:w="1490" w:type="dxa"/>
            <w:tcBorders>
              <w:top w:val="nil"/>
              <w:left w:val="nil"/>
              <w:bottom w:val="nil"/>
              <w:right w:val="nil"/>
            </w:tcBorders>
            <w:shd w:val="clear" w:color="auto" w:fill="auto"/>
            <w:vAlign w:val="center"/>
          </w:tcPr>
          <w:p w14:paraId="3DF88928"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.373</w:t>
            </w:r>
          </w:p>
        </w:tc>
        <w:tc>
          <w:tcPr>
            <w:tcW w:w="1489" w:type="dxa"/>
            <w:tcBorders>
              <w:top w:val="nil"/>
              <w:left w:val="nil"/>
              <w:bottom w:val="nil"/>
              <w:right w:val="nil"/>
            </w:tcBorders>
            <w:vAlign w:val="center"/>
          </w:tcPr>
          <w:p w14:paraId="02B29E33"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-1.322</w:t>
            </w:r>
          </w:p>
        </w:tc>
        <w:tc>
          <w:tcPr>
            <w:tcW w:w="1489" w:type="dxa"/>
            <w:tcBorders>
              <w:top w:val="nil"/>
              <w:left w:val="nil"/>
              <w:bottom w:val="nil"/>
              <w:right w:val="nil"/>
            </w:tcBorders>
            <w:vAlign w:val="center"/>
          </w:tcPr>
          <w:p w14:paraId="196BB5C3"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.186</w:t>
            </w:r>
          </w:p>
        </w:tc>
      </w:tr>
      <w:tr w:rsidR="003156EF" w:rsidRPr="007115F2" w14:paraId="10B5369B" w14:textId="77777777" w:rsidTr="00C82841">
        <w:trPr>
          <w:trHeight w:val="264"/>
        </w:trPr>
        <w:tc>
          <w:tcPr>
            <w:tcW w:w="852" w:type="dxa"/>
            <w:tcBorders>
              <w:top w:val="nil"/>
              <w:left w:val="nil"/>
              <w:bottom w:val="nil"/>
              <w:right w:val="nil"/>
            </w:tcBorders>
            <w:vAlign w:val="center"/>
          </w:tcPr>
          <w:p w14:paraId="3C310FB1" w14:textId="77777777" w:rsidR="003156EF" w:rsidRPr="007115F2" w:rsidRDefault="003156EF" w:rsidP="00AB066F">
            <w:pPr>
              <w:widowControl w:val="0"/>
              <w:autoSpaceDE w:val="0"/>
              <w:autoSpaceDN w:val="0"/>
              <w:adjustRightInd w:val="0"/>
              <w:spacing w:line="240" w:lineRule="auto"/>
              <w:jc w:val="left"/>
              <w:rPr>
                <w:color w:val="000000" w:themeColor="text1"/>
                <w:sz w:val="22"/>
                <w:lang w:val="en-US"/>
              </w:rPr>
            </w:pPr>
            <w:r w:rsidRPr="007115F2">
              <w:rPr>
                <w:color w:val="000000" w:themeColor="text1"/>
                <w:sz w:val="22"/>
              </w:rPr>
              <w:t>-3</w:t>
            </w:r>
          </w:p>
        </w:tc>
        <w:tc>
          <w:tcPr>
            <w:tcW w:w="2126" w:type="dxa"/>
            <w:tcBorders>
              <w:top w:val="nil"/>
              <w:left w:val="nil"/>
              <w:bottom w:val="nil"/>
              <w:right w:val="nil"/>
            </w:tcBorders>
            <w:shd w:val="clear" w:color="auto" w:fill="auto"/>
            <w:vAlign w:val="center"/>
          </w:tcPr>
          <w:p w14:paraId="4133BB9D"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.15%</w:t>
            </w:r>
          </w:p>
        </w:tc>
        <w:tc>
          <w:tcPr>
            <w:tcW w:w="2499" w:type="dxa"/>
            <w:tcBorders>
              <w:top w:val="nil"/>
              <w:left w:val="nil"/>
              <w:bottom w:val="nil"/>
              <w:right w:val="nil"/>
            </w:tcBorders>
            <w:shd w:val="clear" w:color="auto" w:fill="auto"/>
            <w:vAlign w:val="center"/>
          </w:tcPr>
          <w:p w14:paraId="78B1465B"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1.231</w:t>
            </w:r>
          </w:p>
        </w:tc>
        <w:tc>
          <w:tcPr>
            <w:tcW w:w="1490" w:type="dxa"/>
            <w:tcBorders>
              <w:top w:val="nil"/>
              <w:left w:val="nil"/>
              <w:bottom w:val="nil"/>
              <w:right w:val="nil"/>
            </w:tcBorders>
            <w:shd w:val="clear" w:color="auto" w:fill="auto"/>
            <w:vAlign w:val="center"/>
          </w:tcPr>
          <w:p w14:paraId="43E50679"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.219</w:t>
            </w:r>
          </w:p>
        </w:tc>
        <w:tc>
          <w:tcPr>
            <w:tcW w:w="1489" w:type="dxa"/>
            <w:tcBorders>
              <w:top w:val="nil"/>
              <w:left w:val="nil"/>
              <w:bottom w:val="nil"/>
              <w:right w:val="nil"/>
            </w:tcBorders>
            <w:vAlign w:val="center"/>
          </w:tcPr>
          <w:p w14:paraId="44361BB6"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1.234</w:t>
            </w:r>
          </w:p>
        </w:tc>
        <w:tc>
          <w:tcPr>
            <w:tcW w:w="1489" w:type="dxa"/>
            <w:tcBorders>
              <w:top w:val="nil"/>
              <w:left w:val="nil"/>
              <w:bottom w:val="nil"/>
              <w:right w:val="nil"/>
            </w:tcBorders>
            <w:vAlign w:val="center"/>
          </w:tcPr>
          <w:p w14:paraId="6AD1E118"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.217</w:t>
            </w:r>
          </w:p>
        </w:tc>
      </w:tr>
      <w:tr w:rsidR="003156EF" w:rsidRPr="007115F2" w14:paraId="5F1CC443" w14:textId="77777777" w:rsidTr="00C82841">
        <w:trPr>
          <w:trHeight w:val="249"/>
        </w:trPr>
        <w:tc>
          <w:tcPr>
            <w:tcW w:w="852" w:type="dxa"/>
            <w:tcBorders>
              <w:top w:val="nil"/>
              <w:left w:val="nil"/>
              <w:bottom w:val="nil"/>
              <w:right w:val="nil"/>
            </w:tcBorders>
            <w:vAlign w:val="center"/>
          </w:tcPr>
          <w:p w14:paraId="12FC868B" w14:textId="77777777" w:rsidR="003156EF" w:rsidRPr="007115F2" w:rsidRDefault="003156EF" w:rsidP="00AB066F">
            <w:pPr>
              <w:widowControl w:val="0"/>
              <w:autoSpaceDE w:val="0"/>
              <w:autoSpaceDN w:val="0"/>
              <w:adjustRightInd w:val="0"/>
              <w:spacing w:line="240" w:lineRule="auto"/>
              <w:jc w:val="left"/>
              <w:rPr>
                <w:color w:val="000000" w:themeColor="text1"/>
                <w:sz w:val="22"/>
                <w:lang w:val="en-US"/>
              </w:rPr>
            </w:pPr>
            <w:r w:rsidRPr="007115F2">
              <w:rPr>
                <w:color w:val="000000" w:themeColor="text1"/>
                <w:sz w:val="22"/>
              </w:rPr>
              <w:t>-2</w:t>
            </w:r>
          </w:p>
        </w:tc>
        <w:tc>
          <w:tcPr>
            <w:tcW w:w="2126" w:type="dxa"/>
            <w:tcBorders>
              <w:top w:val="nil"/>
              <w:left w:val="nil"/>
              <w:bottom w:val="nil"/>
              <w:right w:val="nil"/>
            </w:tcBorders>
            <w:shd w:val="clear" w:color="auto" w:fill="auto"/>
            <w:vAlign w:val="center"/>
          </w:tcPr>
          <w:p w14:paraId="7CC238BE"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.07%</w:t>
            </w:r>
          </w:p>
        </w:tc>
        <w:tc>
          <w:tcPr>
            <w:tcW w:w="2499" w:type="dxa"/>
            <w:tcBorders>
              <w:top w:val="nil"/>
              <w:left w:val="nil"/>
              <w:bottom w:val="nil"/>
              <w:right w:val="nil"/>
            </w:tcBorders>
            <w:shd w:val="clear" w:color="auto" w:fill="auto"/>
            <w:vAlign w:val="center"/>
          </w:tcPr>
          <w:p w14:paraId="4207BE58"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.573</w:t>
            </w:r>
          </w:p>
        </w:tc>
        <w:tc>
          <w:tcPr>
            <w:tcW w:w="1490" w:type="dxa"/>
            <w:tcBorders>
              <w:top w:val="nil"/>
              <w:left w:val="nil"/>
              <w:bottom w:val="nil"/>
              <w:right w:val="nil"/>
            </w:tcBorders>
            <w:shd w:val="clear" w:color="auto" w:fill="auto"/>
            <w:vAlign w:val="center"/>
          </w:tcPr>
          <w:p w14:paraId="3E1E1068"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.567</w:t>
            </w:r>
          </w:p>
        </w:tc>
        <w:tc>
          <w:tcPr>
            <w:tcW w:w="1489" w:type="dxa"/>
            <w:tcBorders>
              <w:top w:val="nil"/>
              <w:left w:val="nil"/>
              <w:bottom w:val="nil"/>
              <w:right w:val="nil"/>
            </w:tcBorders>
            <w:vAlign w:val="center"/>
          </w:tcPr>
          <w:p w14:paraId="226848D7"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-.186</w:t>
            </w:r>
          </w:p>
        </w:tc>
        <w:tc>
          <w:tcPr>
            <w:tcW w:w="1489" w:type="dxa"/>
            <w:tcBorders>
              <w:top w:val="nil"/>
              <w:left w:val="nil"/>
              <w:bottom w:val="nil"/>
              <w:right w:val="nil"/>
            </w:tcBorders>
            <w:vAlign w:val="center"/>
          </w:tcPr>
          <w:p w14:paraId="15BF1888"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.852</w:t>
            </w:r>
          </w:p>
        </w:tc>
      </w:tr>
      <w:tr w:rsidR="003156EF" w:rsidRPr="007115F2" w14:paraId="02BDBA88" w14:textId="77777777" w:rsidTr="00C82841">
        <w:trPr>
          <w:trHeight w:val="264"/>
        </w:trPr>
        <w:tc>
          <w:tcPr>
            <w:tcW w:w="852" w:type="dxa"/>
            <w:tcBorders>
              <w:top w:val="nil"/>
              <w:left w:val="nil"/>
              <w:bottom w:val="nil"/>
              <w:right w:val="nil"/>
            </w:tcBorders>
            <w:vAlign w:val="center"/>
          </w:tcPr>
          <w:p w14:paraId="6DA23AA5" w14:textId="77777777" w:rsidR="003156EF" w:rsidRPr="007115F2" w:rsidRDefault="003156EF" w:rsidP="00AB066F">
            <w:pPr>
              <w:widowControl w:val="0"/>
              <w:autoSpaceDE w:val="0"/>
              <w:autoSpaceDN w:val="0"/>
              <w:adjustRightInd w:val="0"/>
              <w:spacing w:line="240" w:lineRule="auto"/>
              <w:jc w:val="left"/>
              <w:rPr>
                <w:color w:val="000000" w:themeColor="text1"/>
                <w:sz w:val="22"/>
                <w:lang w:val="en-US"/>
              </w:rPr>
            </w:pPr>
            <w:r w:rsidRPr="007115F2">
              <w:rPr>
                <w:color w:val="000000" w:themeColor="text1"/>
                <w:sz w:val="22"/>
              </w:rPr>
              <w:t>-1</w:t>
            </w:r>
          </w:p>
        </w:tc>
        <w:tc>
          <w:tcPr>
            <w:tcW w:w="2126" w:type="dxa"/>
            <w:tcBorders>
              <w:top w:val="nil"/>
              <w:left w:val="nil"/>
              <w:bottom w:val="nil"/>
              <w:right w:val="nil"/>
            </w:tcBorders>
            <w:shd w:val="clear" w:color="auto" w:fill="auto"/>
            <w:vAlign w:val="center"/>
          </w:tcPr>
          <w:p w14:paraId="03B0B2E6"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-.10%</w:t>
            </w:r>
          </w:p>
        </w:tc>
        <w:tc>
          <w:tcPr>
            <w:tcW w:w="2499" w:type="dxa"/>
            <w:tcBorders>
              <w:top w:val="nil"/>
              <w:left w:val="nil"/>
              <w:bottom w:val="nil"/>
              <w:right w:val="nil"/>
            </w:tcBorders>
            <w:shd w:val="clear" w:color="auto" w:fill="auto"/>
            <w:vAlign w:val="center"/>
          </w:tcPr>
          <w:p w14:paraId="2CCBC4D9"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-.827</w:t>
            </w:r>
          </w:p>
        </w:tc>
        <w:tc>
          <w:tcPr>
            <w:tcW w:w="1490" w:type="dxa"/>
            <w:tcBorders>
              <w:top w:val="nil"/>
              <w:left w:val="nil"/>
              <w:bottom w:val="nil"/>
              <w:right w:val="nil"/>
            </w:tcBorders>
            <w:shd w:val="clear" w:color="auto" w:fill="auto"/>
            <w:vAlign w:val="center"/>
          </w:tcPr>
          <w:p w14:paraId="204B8184"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.409</w:t>
            </w:r>
          </w:p>
        </w:tc>
        <w:tc>
          <w:tcPr>
            <w:tcW w:w="1489" w:type="dxa"/>
            <w:tcBorders>
              <w:top w:val="nil"/>
              <w:left w:val="nil"/>
              <w:bottom w:val="nil"/>
              <w:right w:val="nil"/>
            </w:tcBorders>
            <w:vAlign w:val="center"/>
          </w:tcPr>
          <w:p w14:paraId="0BB45FC6"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-.884</w:t>
            </w:r>
          </w:p>
        </w:tc>
        <w:tc>
          <w:tcPr>
            <w:tcW w:w="1489" w:type="dxa"/>
            <w:tcBorders>
              <w:top w:val="nil"/>
              <w:left w:val="nil"/>
              <w:bottom w:val="nil"/>
              <w:right w:val="nil"/>
            </w:tcBorders>
            <w:vAlign w:val="center"/>
          </w:tcPr>
          <w:p w14:paraId="21CAF8F6"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.377</w:t>
            </w:r>
          </w:p>
        </w:tc>
      </w:tr>
      <w:tr w:rsidR="003156EF" w:rsidRPr="007115F2" w14:paraId="43EF5F42" w14:textId="77777777" w:rsidTr="00C82841">
        <w:trPr>
          <w:trHeight w:val="264"/>
        </w:trPr>
        <w:tc>
          <w:tcPr>
            <w:tcW w:w="852" w:type="dxa"/>
            <w:tcBorders>
              <w:top w:val="nil"/>
              <w:left w:val="nil"/>
              <w:bottom w:val="nil"/>
              <w:right w:val="nil"/>
            </w:tcBorders>
            <w:vAlign w:val="center"/>
          </w:tcPr>
          <w:p w14:paraId="43A9999F" w14:textId="77777777" w:rsidR="003156EF" w:rsidRPr="007115F2" w:rsidRDefault="003156EF" w:rsidP="00AB066F">
            <w:pPr>
              <w:widowControl w:val="0"/>
              <w:autoSpaceDE w:val="0"/>
              <w:autoSpaceDN w:val="0"/>
              <w:adjustRightInd w:val="0"/>
              <w:spacing w:line="240" w:lineRule="auto"/>
              <w:jc w:val="left"/>
              <w:rPr>
                <w:color w:val="000000" w:themeColor="text1"/>
                <w:sz w:val="22"/>
                <w:lang w:val="en-US"/>
              </w:rPr>
            </w:pPr>
            <w:r w:rsidRPr="007115F2">
              <w:rPr>
                <w:color w:val="000000" w:themeColor="text1"/>
                <w:sz w:val="22"/>
              </w:rPr>
              <w:t>0</w:t>
            </w:r>
          </w:p>
        </w:tc>
        <w:tc>
          <w:tcPr>
            <w:tcW w:w="2126" w:type="dxa"/>
            <w:tcBorders>
              <w:top w:val="nil"/>
              <w:left w:val="nil"/>
              <w:bottom w:val="nil"/>
              <w:right w:val="nil"/>
            </w:tcBorders>
            <w:shd w:val="clear" w:color="auto" w:fill="auto"/>
            <w:vAlign w:val="center"/>
          </w:tcPr>
          <w:p w14:paraId="5C7734AA"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-.25%</w:t>
            </w:r>
          </w:p>
        </w:tc>
        <w:tc>
          <w:tcPr>
            <w:tcW w:w="2499" w:type="dxa"/>
            <w:tcBorders>
              <w:top w:val="nil"/>
              <w:left w:val="nil"/>
              <w:bottom w:val="nil"/>
              <w:right w:val="nil"/>
            </w:tcBorders>
            <w:shd w:val="clear" w:color="auto" w:fill="auto"/>
            <w:vAlign w:val="center"/>
          </w:tcPr>
          <w:p w14:paraId="642C4EAC"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-1.984</w:t>
            </w:r>
          </w:p>
        </w:tc>
        <w:tc>
          <w:tcPr>
            <w:tcW w:w="1490" w:type="dxa"/>
            <w:tcBorders>
              <w:top w:val="nil"/>
              <w:left w:val="nil"/>
              <w:bottom w:val="nil"/>
              <w:right w:val="nil"/>
            </w:tcBorders>
            <w:shd w:val="clear" w:color="auto" w:fill="auto"/>
            <w:vAlign w:val="center"/>
          </w:tcPr>
          <w:p w14:paraId="12D3126D"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.049</w:t>
            </w:r>
          </w:p>
        </w:tc>
        <w:tc>
          <w:tcPr>
            <w:tcW w:w="1489" w:type="dxa"/>
            <w:tcBorders>
              <w:top w:val="nil"/>
              <w:left w:val="nil"/>
              <w:bottom w:val="nil"/>
              <w:right w:val="nil"/>
            </w:tcBorders>
            <w:vAlign w:val="center"/>
          </w:tcPr>
          <w:p w14:paraId="46768F54"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-2.175</w:t>
            </w:r>
          </w:p>
        </w:tc>
        <w:tc>
          <w:tcPr>
            <w:tcW w:w="1489" w:type="dxa"/>
            <w:tcBorders>
              <w:top w:val="nil"/>
              <w:left w:val="nil"/>
              <w:bottom w:val="nil"/>
              <w:right w:val="nil"/>
            </w:tcBorders>
            <w:vAlign w:val="center"/>
          </w:tcPr>
          <w:p w14:paraId="4D65580A"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.029</w:t>
            </w:r>
          </w:p>
        </w:tc>
      </w:tr>
      <w:tr w:rsidR="003156EF" w:rsidRPr="007115F2" w14:paraId="577A7D2E" w14:textId="77777777" w:rsidTr="00C82841">
        <w:trPr>
          <w:trHeight w:val="264"/>
        </w:trPr>
        <w:tc>
          <w:tcPr>
            <w:tcW w:w="852" w:type="dxa"/>
            <w:tcBorders>
              <w:top w:val="nil"/>
              <w:left w:val="nil"/>
              <w:bottom w:val="nil"/>
              <w:right w:val="nil"/>
            </w:tcBorders>
            <w:vAlign w:val="center"/>
          </w:tcPr>
          <w:p w14:paraId="512648D5" w14:textId="77777777" w:rsidR="003156EF" w:rsidRPr="007115F2" w:rsidRDefault="003156EF" w:rsidP="00AB066F">
            <w:pPr>
              <w:widowControl w:val="0"/>
              <w:autoSpaceDE w:val="0"/>
              <w:autoSpaceDN w:val="0"/>
              <w:adjustRightInd w:val="0"/>
              <w:spacing w:line="240" w:lineRule="auto"/>
              <w:jc w:val="left"/>
              <w:rPr>
                <w:color w:val="000000" w:themeColor="text1"/>
                <w:sz w:val="22"/>
                <w:lang w:val="en-US"/>
              </w:rPr>
            </w:pPr>
            <w:r w:rsidRPr="007115F2">
              <w:rPr>
                <w:color w:val="000000" w:themeColor="text1"/>
                <w:sz w:val="22"/>
              </w:rPr>
              <w:t>1</w:t>
            </w:r>
          </w:p>
        </w:tc>
        <w:tc>
          <w:tcPr>
            <w:tcW w:w="2126" w:type="dxa"/>
            <w:tcBorders>
              <w:top w:val="nil"/>
              <w:left w:val="nil"/>
              <w:bottom w:val="nil"/>
              <w:right w:val="nil"/>
            </w:tcBorders>
            <w:shd w:val="clear" w:color="auto" w:fill="auto"/>
            <w:vAlign w:val="center"/>
          </w:tcPr>
          <w:p w14:paraId="44C4F5C3"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-.11%</w:t>
            </w:r>
          </w:p>
        </w:tc>
        <w:tc>
          <w:tcPr>
            <w:tcW w:w="2499" w:type="dxa"/>
            <w:tcBorders>
              <w:top w:val="nil"/>
              <w:left w:val="nil"/>
              <w:bottom w:val="nil"/>
              <w:right w:val="nil"/>
            </w:tcBorders>
            <w:shd w:val="clear" w:color="auto" w:fill="auto"/>
            <w:vAlign w:val="center"/>
          </w:tcPr>
          <w:p w14:paraId="53150046"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-.924</w:t>
            </w:r>
          </w:p>
        </w:tc>
        <w:tc>
          <w:tcPr>
            <w:tcW w:w="1490" w:type="dxa"/>
            <w:tcBorders>
              <w:top w:val="nil"/>
              <w:left w:val="nil"/>
              <w:bottom w:val="nil"/>
              <w:right w:val="nil"/>
            </w:tcBorders>
            <w:shd w:val="clear" w:color="auto" w:fill="auto"/>
            <w:vAlign w:val="center"/>
          </w:tcPr>
          <w:p w14:paraId="67B84D60"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.357</w:t>
            </w:r>
          </w:p>
        </w:tc>
        <w:tc>
          <w:tcPr>
            <w:tcW w:w="1489" w:type="dxa"/>
            <w:tcBorders>
              <w:top w:val="nil"/>
              <w:left w:val="nil"/>
              <w:bottom w:val="nil"/>
              <w:right w:val="nil"/>
            </w:tcBorders>
            <w:vAlign w:val="center"/>
          </w:tcPr>
          <w:p w14:paraId="247D54D0"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-.994</w:t>
            </w:r>
          </w:p>
        </w:tc>
        <w:tc>
          <w:tcPr>
            <w:tcW w:w="1489" w:type="dxa"/>
            <w:tcBorders>
              <w:top w:val="nil"/>
              <w:left w:val="nil"/>
              <w:bottom w:val="nil"/>
              <w:right w:val="nil"/>
            </w:tcBorders>
            <w:vAlign w:val="center"/>
          </w:tcPr>
          <w:p w14:paraId="772B697B"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.320</w:t>
            </w:r>
          </w:p>
        </w:tc>
      </w:tr>
      <w:tr w:rsidR="003156EF" w:rsidRPr="007115F2" w14:paraId="4F93B053" w14:textId="77777777" w:rsidTr="00C82841">
        <w:trPr>
          <w:trHeight w:val="264"/>
        </w:trPr>
        <w:tc>
          <w:tcPr>
            <w:tcW w:w="852" w:type="dxa"/>
            <w:tcBorders>
              <w:top w:val="nil"/>
              <w:left w:val="nil"/>
              <w:bottom w:val="nil"/>
              <w:right w:val="nil"/>
            </w:tcBorders>
            <w:vAlign w:val="center"/>
          </w:tcPr>
          <w:p w14:paraId="11214453" w14:textId="77777777" w:rsidR="003156EF" w:rsidRPr="007115F2" w:rsidRDefault="003156EF" w:rsidP="00AB066F">
            <w:pPr>
              <w:widowControl w:val="0"/>
              <w:autoSpaceDE w:val="0"/>
              <w:autoSpaceDN w:val="0"/>
              <w:adjustRightInd w:val="0"/>
              <w:spacing w:line="240" w:lineRule="auto"/>
              <w:jc w:val="left"/>
              <w:rPr>
                <w:color w:val="000000" w:themeColor="text1"/>
                <w:sz w:val="22"/>
                <w:lang w:val="en-US"/>
              </w:rPr>
            </w:pPr>
            <w:r w:rsidRPr="007115F2">
              <w:rPr>
                <w:color w:val="000000" w:themeColor="text1"/>
                <w:sz w:val="22"/>
              </w:rPr>
              <w:t>2</w:t>
            </w:r>
          </w:p>
        </w:tc>
        <w:tc>
          <w:tcPr>
            <w:tcW w:w="2126" w:type="dxa"/>
            <w:tcBorders>
              <w:top w:val="nil"/>
              <w:left w:val="nil"/>
              <w:bottom w:val="nil"/>
              <w:right w:val="nil"/>
            </w:tcBorders>
            <w:shd w:val="clear" w:color="auto" w:fill="auto"/>
            <w:vAlign w:val="center"/>
          </w:tcPr>
          <w:p w14:paraId="4446EC3C"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-.10%</w:t>
            </w:r>
          </w:p>
        </w:tc>
        <w:tc>
          <w:tcPr>
            <w:tcW w:w="2499" w:type="dxa"/>
            <w:tcBorders>
              <w:top w:val="nil"/>
              <w:left w:val="nil"/>
              <w:bottom w:val="nil"/>
              <w:right w:val="nil"/>
            </w:tcBorders>
            <w:shd w:val="clear" w:color="auto" w:fill="auto"/>
            <w:vAlign w:val="center"/>
          </w:tcPr>
          <w:p w14:paraId="6FE18998"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-.816</w:t>
            </w:r>
          </w:p>
        </w:tc>
        <w:tc>
          <w:tcPr>
            <w:tcW w:w="1490" w:type="dxa"/>
            <w:tcBorders>
              <w:top w:val="nil"/>
              <w:left w:val="nil"/>
              <w:bottom w:val="nil"/>
              <w:right w:val="nil"/>
            </w:tcBorders>
            <w:shd w:val="clear" w:color="auto" w:fill="auto"/>
            <w:vAlign w:val="center"/>
          </w:tcPr>
          <w:p w14:paraId="3A687738"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.415</w:t>
            </w:r>
          </w:p>
        </w:tc>
        <w:tc>
          <w:tcPr>
            <w:tcW w:w="1489" w:type="dxa"/>
            <w:tcBorders>
              <w:top w:val="nil"/>
              <w:left w:val="nil"/>
              <w:bottom w:val="nil"/>
              <w:right w:val="nil"/>
            </w:tcBorders>
            <w:vAlign w:val="center"/>
          </w:tcPr>
          <w:p w14:paraId="54B26181"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-.959</w:t>
            </w:r>
          </w:p>
        </w:tc>
        <w:tc>
          <w:tcPr>
            <w:tcW w:w="1489" w:type="dxa"/>
            <w:tcBorders>
              <w:top w:val="nil"/>
              <w:left w:val="nil"/>
              <w:bottom w:val="nil"/>
              <w:right w:val="nil"/>
            </w:tcBorders>
            <w:vAlign w:val="center"/>
          </w:tcPr>
          <w:p w14:paraId="5A537A9D"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.337</w:t>
            </w:r>
          </w:p>
        </w:tc>
      </w:tr>
      <w:tr w:rsidR="003156EF" w:rsidRPr="007115F2" w14:paraId="53CFB9A2" w14:textId="77777777" w:rsidTr="00C82841">
        <w:trPr>
          <w:trHeight w:val="264"/>
        </w:trPr>
        <w:tc>
          <w:tcPr>
            <w:tcW w:w="852" w:type="dxa"/>
            <w:tcBorders>
              <w:top w:val="nil"/>
              <w:left w:val="nil"/>
              <w:bottom w:val="nil"/>
              <w:right w:val="nil"/>
            </w:tcBorders>
            <w:vAlign w:val="center"/>
          </w:tcPr>
          <w:p w14:paraId="6FE05171" w14:textId="77777777" w:rsidR="003156EF" w:rsidRPr="007115F2" w:rsidRDefault="003156EF" w:rsidP="00AB066F">
            <w:pPr>
              <w:widowControl w:val="0"/>
              <w:autoSpaceDE w:val="0"/>
              <w:autoSpaceDN w:val="0"/>
              <w:adjustRightInd w:val="0"/>
              <w:spacing w:line="240" w:lineRule="auto"/>
              <w:jc w:val="left"/>
              <w:rPr>
                <w:color w:val="000000" w:themeColor="text1"/>
                <w:sz w:val="22"/>
              </w:rPr>
            </w:pPr>
            <w:r w:rsidRPr="007115F2">
              <w:rPr>
                <w:color w:val="000000" w:themeColor="text1"/>
                <w:sz w:val="22"/>
              </w:rPr>
              <w:t>3</w:t>
            </w:r>
          </w:p>
        </w:tc>
        <w:tc>
          <w:tcPr>
            <w:tcW w:w="2126" w:type="dxa"/>
            <w:tcBorders>
              <w:top w:val="nil"/>
              <w:left w:val="nil"/>
              <w:bottom w:val="nil"/>
              <w:right w:val="nil"/>
            </w:tcBorders>
            <w:shd w:val="clear" w:color="auto" w:fill="auto"/>
            <w:vAlign w:val="center"/>
          </w:tcPr>
          <w:p w14:paraId="0BA14E78"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.04%</w:t>
            </w:r>
          </w:p>
        </w:tc>
        <w:tc>
          <w:tcPr>
            <w:tcW w:w="2499" w:type="dxa"/>
            <w:tcBorders>
              <w:top w:val="nil"/>
              <w:left w:val="nil"/>
              <w:bottom w:val="nil"/>
              <w:right w:val="nil"/>
            </w:tcBorders>
            <w:shd w:val="clear" w:color="auto" w:fill="auto"/>
            <w:vAlign w:val="center"/>
          </w:tcPr>
          <w:p w14:paraId="464C1328"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.300</w:t>
            </w:r>
          </w:p>
        </w:tc>
        <w:tc>
          <w:tcPr>
            <w:tcW w:w="1490" w:type="dxa"/>
            <w:tcBorders>
              <w:top w:val="nil"/>
              <w:left w:val="nil"/>
              <w:bottom w:val="nil"/>
              <w:right w:val="nil"/>
            </w:tcBorders>
            <w:shd w:val="clear" w:color="auto" w:fill="auto"/>
            <w:vAlign w:val="center"/>
          </w:tcPr>
          <w:p w14:paraId="6F87BCE5"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.764</w:t>
            </w:r>
          </w:p>
        </w:tc>
        <w:tc>
          <w:tcPr>
            <w:tcW w:w="1489" w:type="dxa"/>
            <w:tcBorders>
              <w:top w:val="nil"/>
              <w:left w:val="nil"/>
              <w:bottom w:val="nil"/>
              <w:right w:val="nil"/>
            </w:tcBorders>
            <w:vAlign w:val="center"/>
          </w:tcPr>
          <w:p w14:paraId="45669574"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-.279</w:t>
            </w:r>
          </w:p>
        </w:tc>
        <w:tc>
          <w:tcPr>
            <w:tcW w:w="1489" w:type="dxa"/>
            <w:tcBorders>
              <w:top w:val="nil"/>
              <w:left w:val="nil"/>
              <w:bottom w:val="nil"/>
              <w:right w:val="nil"/>
            </w:tcBorders>
            <w:vAlign w:val="center"/>
          </w:tcPr>
          <w:p w14:paraId="0B804B26"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.780</w:t>
            </w:r>
          </w:p>
        </w:tc>
      </w:tr>
      <w:tr w:rsidR="003156EF" w:rsidRPr="007115F2" w14:paraId="0A1E628D" w14:textId="77777777" w:rsidTr="00C82841">
        <w:trPr>
          <w:trHeight w:val="264"/>
        </w:trPr>
        <w:tc>
          <w:tcPr>
            <w:tcW w:w="852" w:type="dxa"/>
            <w:tcBorders>
              <w:top w:val="nil"/>
              <w:left w:val="nil"/>
              <w:bottom w:val="nil"/>
              <w:right w:val="nil"/>
            </w:tcBorders>
            <w:vAlign w:val="center"/>
          </w:tcPr>
          <w:p w14:paraId="63116AF8" w14:textId="77777777" w:rsidR="003156EF" w:rsidRPr="007115F2" w:rsidRDefault="003156EF" w:rsidP="00AB066F">
            <w:pPr>
              <w:widowControl w:val="0"/>
              <w:autoSpaceDE w:val="0"/>
              <w:autoSpaceDN w:val="0"/>
              <w:adjustRightInd w:val="0"/>
              <w:spacing w:line="240" w:lineRule="auto"/>
              <w:jc w:val="left"/>
              <w:rPr>
                <w:color w:val="000000" w:themeColor="text1"/>
                <w:sz w:val="22"/>
              </w:rPr>
            </w:pPr>
            <w:r w:rsidRPr="007115F2">
              <w:rPr>
                <w:color w:val="000000" w:themeColor="text1"/>
                <w:sz w:val="22"/>
              </w:rPr>
              <w:t>4</w:t>
            </w:r>
          </w:p>
        </w:tc>
        <w:tc>
          <w:tcPr>
            <w:tcW w:w="2126" w:type="dxa"/>
            <w:tcBorders>
              <w:top w:val="nil"/>
              <w:left w:val="nil"/>
              <w:bottom w:val="nil"/>
              <w:right w:val="nil"/>
            </w:tcBorders>
            <w:shd w:val="clear" w:color="auto" w:fill="auto"/>
            <w:vAlign w:val="center"/>
          </w:tcPr>
          <w:p w14:paraId="2E41943F"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-.11%</w:t>
            </w:r>
          </w:p>
        </w:tc>
        <w:tc>
          <w:tcPr>
            <w:tcW w:w="2499" w:type="dxa"/>
            <w:tcBorders>
              <w:top w:val="nil"/>
              <w:left w:val="nil"/>
              <w:bottom w:val="nil"/>
              <w:right w:val="nil"/>
            </w:tcBorders>
            <w:shd w:val="clear" w:color="auto" w:fill="auto"/>
            <w:vAlign w:val="center"/>
          </w:tcPr>
          <w:p w14:paraId="24E0FACC"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-.871</w:t>
            </w:r>
          </w:p>
        </w:tc>
        <w:tc>
          <w:tcPr>
            <w:tcW w:w="1490" w:type="dxa"/>
            <w:tcBorders>
              <w:top w:val="nil"/>
              <w:left w:val="nil"/>
              <w:bottom w:val="nil"/>
              <w:right w:val="nil"/>
            </w:tcBorders>
            <w:shd w:val="clear" w:color="auto" w:fill="auto"/>
            <w:vAlign w:val="center"/>
          </w:tcPr>
          <w:p w14:paraId="660229A4"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.385</w:t>
            </w:r>
          </w:p>
        </w:tc>
        <w:tc>
          <w:tcPr>
            <w:tcW w:w="1489" w:type="dxa"/>
            <w:tcBorders>
              <w:top w:val="nil"/>
              <w:left w:val="nil"/>
              <w:bottom w:val="nil"/>
              <w:right w:val="nil"/>
            </w:tcBorders>
            <w:vAlign w:val="center"/>
          </w:tcPr>
          <w:p w14:paraId="7C0467FE"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-.217</w:t>
            </w:r>
          </w:p>
        </w:tc>
        <w:tc>
          <w:tcPr>
            <w:tcW w:w="1489" w:type="dxa"/>
            <w:tcBorders>
              <w:top w:val="nil"/>
              <w:left w:val="nil"/>
              <w:bottom w:val="nil"/>
              <w:right w:val="nil"/>
            </w:tcBorders>
            <w:vAlign w:val="center"/>
          </w:tcPr>
          <w:p w14:paraId="50167F4C"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.829</w:t>
            </w:r>
          </w:p>
        </w:tc>
      </w:tr>
      <w:tr w:rsidR="003156EF" w:rsidRPr="007115F2" w14:paraId="6BDAF5FB" w14:textId="77777777" w:rsidTr="00C82841">
        <w:trPr>
          <w:trHeight w:val="264"/>
        </w:trPr>
        <w:tc>
          <w:tcPr>
            <w:tcW w:w="852" w:type="dxa"/>
            <w:tcBorders>
              <w:top w:val="nil"/>
              <w:left w:val="nil"/>
              <w:bottom w:val="nil"/>
              <w:right w:val="nil"/>
            </w:tcBorders>
            <w:vAlign w:val="center"/>
          </w:tcPr>
          <w:p w14:paraId="4AB769D4" w14:textId="77777777" w:rsidR="003156EF" w:rsidRPr="007115F2" w:rsidRDefault="003156EF" w:rsidP="00AB066F">
            <w:pPr>
              <w:widowControl w:val="0"/>
              <w:autoSpaceDE w:val="0"/>
              <w:autoSpaceDN w:val="0"/>
              <w:adjustRightInd w:val="0"/>
              <w:spacing w:line="240" w:lineRule="auto"/>
              <w:jc w:val="left"/>
              <w:rPr>
                <w:color w:val="000000" w:themeColor="text1"/>
                <w:sz w:val="22"/>
              </w:rPr>
            </w:pPr>
            <w:r w:rsidRPr="007115F2">
              <w:rPr>
                <w:color w:val="000000" w:themeColor="text1"/>
                <w:sz w:val="22"/>
              </w:rPr>
              <w:t>5</w:t>
            </w:r>
          </w:p>
        </w:tc>
        <w:tc>
          <w:tcPr>
            <w:tcW w:w="2126" w:type="dxa"/>
            <w:tcBorders>
              <w:top w:val="nil"/>
              <w:left w:val="nil"/>
              <w:bottom w:val="nil"/>
              <w:right w:val="nil"/>
            </w:tcBorders>
            <w:shd w:val="clear" w:color="auto" w:fill="auto"/>
            <w:vAlign w:val="center"/>
          </w:tcPr>
          <w:p w14:paraId="7963C31A"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-.07%</w:t>
            </w:r>
          </w:p>
        </w:tc>
        <w:tc>
          <w:tcPr>
            <w:tcW w:w="2499" w:type="dxa"/>
            <w:tcBorders>
              <w:top w:val="nil"/>
              <w:left w:val="nil"/>
              <w:bottom w:val="nil"/>
              <w:right w:val="nil"/>
            </w:tcBorders>
            <w:shd w:val="clear" w:color="auto" w:fill="auto"/>
            <w:vAlign w:val="center"/>
          </w:tcPr>
          <w:p w14:paraId="0340BB87"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-.627</w:t>
            </w:r>
          </w:p>
        </w:tc>
        <w:tc>
          <w:tcPr>
            <w:tcW w:w="1490" w:type="dxa"/>
            <w:tcBorders>
              <w:top w:val="nil"/>
              <w:left w:val="nil"/>
              <w:bottom w:val="nil"/>
              <w:right w:val="nil"/>
            </w:tcBorders>
            <w:shd w:val="clear" w:color="auto" w:fill="auto"/>
            <w:vAlign w:val="center"/>
          </w:tcPr>
          <w:p w14:paraId="6566DFEA"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.532</w:t>
            </w:r>
          </w:p>
        </w:tc>
        <w:tc>
          <w:tcPr>
            <w:tcW w:w="1489" w:type="dxa"/>
            <w:tcBorders>
              <w:top w:val="nil"/>
              <w:left w:val="nil"/>
              <w:bottom w:val="nil"/>
              <w:right w:val="nil"/>
            </w:tcBorders>
            <w:vAlign w:val="center"/>
          </w:tcPr>
          <w:p w14:paraId="36A904DA"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.144</w:t>
            </w:r>
          </w:p>
        </w:tc>
        <w:tc>
          <w:tcPr>
            <w:tcW w:w="1489" w:type="dxa"/>
            <w:tcBorders>
              <w:top w:val="nil"/>
              <w:left w:val="nil"/>
              <w:bottom w:val="nil"/>
              <w:right w:val="nil"/>
            </w:tcBorders>
            <w:vAlign w:val="center"/>
          </w:tcPr>
          <w:p w14:paraId="0D2BFECF"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.885</w:t>
            </w:r>
          </w:p>
        </w:tc>
      </w:tr>
      <w:tr w:rsidR="003156EF" w:rsidRPr="007115F2" w14:paraId="60B09F54" w14:textId="77777777" w:rsidTr="00C82841">
        <w:trPr>
          <w:trHeight w:val="264"/>
        </w:trPr>
        <w:tc>
          <w:tcPr>
            <w:tcW w:w="852" w:type="dxa"/>
            <w:tcBorders>
              <w:top w:val="nil"/>
              <w:left w:val="nil"/>
              <w:bottom w:val="nil"/>
              <w:right w:val="nil"/>
            </w:tcBorders>
            <w:vAlign w:val="center"/>
          </w:tcPr>
          <w:p w14:paraId="4A1B9385" w14:textId="77777777" w:rsidR="003156EF" w:rsidRPr="007115F2" w:rsidRDefault="003156EF" w:rsidP="00AB066F">
            <w:pPr>
              <w:widowControl w:val="0"/>
              <w:autoSpaceDE w:val="0"/>
              <w:autoSpaceDN w:val="0"/>
              <w:adjustRightInd w:val="0"/>
              <w:spacing w:line="240" w:lineRule="auto"/>
              <w:jc w:val="left"/>
              <w:rPr>
                <w:color w:val="000000" w:themeColor="text1"/>
                <w:sz w:val="22"/>
              </w:rPr>
            </w:pPr>
            <w:r w:rsidRPr="007115F2">
              <w:rPr>
                <w:color w:val="000000" w:themeColor="text1"/>
                <w:sz w:val="22"/>
              </w:rPr>
              <w:t>6</w:t>
            </w:r>
          </w:p>
        </w:tc>
        <w:tc>
          <w:tcPr>
            <w:tcW w:w="2126" w:type="dxa"/>
            <w:tcBorders>
              <w:top w:val="nil"/>
              <w:left w:val="nil"/>
              <w:bottom w:val="nil"/>
              <w:right w:val="nil"/>
            </w:tcBorders>
            <w:shd w:val="clear" w:color="auto" w:fill="auto"/>
            <w:vAlign w:val="center"/>
          </w:tcPr>
          <w:p w14:paraId="1EF7408B"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.05%</w:t>
            </w:r>
          </w:p>
        </w:tc>
        <w:tc>
          <w:tcPr>
            <w:tcW w:w="2499" w:type="dxa"/>
            <w:tcBorders>
              <w:top w:val="nil"/>
              <w:left w:val="nil"/>
              <w:bottom w:val="nil"/>
              <w:right w:val="nil"/>
            </w:tcBorders>
            <w:shd w:val="clear" w:color="auto" w:fill="auto"/>
            <w:vAlign w:val="center"/>
          </w:tcPr>
          <w:p w14:paraId="0E73C534"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.413</w:t>
            </w:r>
          </w:p>
        </w:tc>
        <w:tc>
          <w:tcPr>
            <w:tcW w:w="1490" w:type="dxa"/>
            <w:tcBorders>
              <w:top w:val="nil"/>
              <w:left w:val="nil"/>
              <w:bottom w:val="nil"/>
              <w:right w:val="nil"/>
            </w:tcBorders>
            <w:shd w:val="clear" w:color="auto" w:fill="auto"/>
            <w:vAlign w:val="center"/>
          </w:tcPr>
          <w:p w14:paraId="0A6111EB"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.680</w:t>
            </w:r>
          </w:p>
        </w:tc>
        <w:tc>
          <w:tcPr>
            <w:tcW w:w="1489" w:type="dxa"/>
            <w:tcBorders>
              <w:top w:val="nil"/>
              <w:left w:val="nil"/>
              <w:bottom w:val="nil"/>
              <w:right w:val="nil"/>
            </w:tcBorders>
            <w:vAlign w:val="center"/>
          </w:tcPr>
          <w:p w14:paraId="48F9166C"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.134</w:t>
            </w:r>
          </w:p>
        </w:tc>
        <w:tc>
          <w:tcPr>
            <w:tcW w:w="1489" w:type="dxa"/>
            <w:tcBorders>
              <w:top w:val="nil"/>
              <w:left w:val="nil"/>
              <w:bottom w:val="nil"/>
              <w:right w:val="nil"/>
            </w:tcBorders>
            <w:vAlign w:val="center"/>
          </w:tcPr>
          <w:p w14:paraId="16DE13F7"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.893</w:t>
            </w:r>
          </w:p>
        </w:tc>
      </w:tr>
      <w:tr w:rsidR="003156EF" w:rsidRPr="007115F2" w14:paraId="46AAA49A" w14:textId="77777777" w:rsidTr="00C82841">
        <w:trPr>
          <w:trHeight w:val="264"/>
        </w:trPr>
        <w:tc>
          <w:tcPr>
            <w:tcW w:w="852" w:type="dxa"/>
            <w:tcBorders>
              <w:top w:val="nil"/>
              <w:left w:val="nil"/>
              <w:bottom w:val="nil"/>
              <w:right w:val="nil"/>
            </w:tcBorders>
            <w:vAlign w:val="center"/>
          </w:tcPr>
          <w:p w14:paraId="72DD46FC" w14:textId="77777777" w:rsidR="003156EF" w:rsidRPr="007115F2" w:rsidRDefault="003156EF" w:rsidP="00AB066F">
            <w:pPr>
              <w:widowControl w:val="0"/>
              <w:autoSpaceDE w:val="0"/>
              <w:autoSpaceDN w:val="0"/>
              <w:adjustRightInd w:val="0"/>
              <w:spacing w:line="240" w:lineRule="auto"/>
              <w:jc w:val="left"/>
              <w:rPr>
                <w:color w:val="000000" w:themeColor="text1"/>
                <w:sz w:val="22"/>
              </w:rPr>
            </w:pPr>
            <w:r w:rsidRPr="007115F2">
              <w:rPr>
                <w:color w:val="000000" w:themeColor="text1"/>
                <w:sz w:val="22"/>
              </w:rPr>
              <w:t>7</w:t>
            </w:r>
          </w:p>
        </w:tc>
        <w:tc>
          <w:tcPr>
            <w:tcW w:w="2126" w:type="dxa"/>
            <w:tcBorders>
              <w:top w:val="nil"/>
              <w:left w:val="nil"/>
              <w:bottom w:val="nil"/>
              <w:right w:val="nil"/>
            </w:tcBorders>
            <w:shd w:val="clear" w:color="auto" w:fill="auto"/>
            <w:vAlign w:val="center"/>
          </w:tcPr>
          <w:p w14:paraId="2DF919D9"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-.05%</w:t>
            </w:r>
          </w:p>
        </w:tc>
        <w:tc>
          <w:tcPr>
            <w:tcW w:w="2499" w:type="dxa"/>
            <w:tcBorders>
              <w:top w:val="nil"/>
              <w:left w:val="nil"/>
              <w:bottom w:val="nil"/>
              <w:right w:val="nil"/>
            </w:tcBorders>
            <w:shd w:val="clear" w:color="auto" w:fill="auto"/>
            <w:vAlign w:val="center"/>
          </w:tcPr>
          <w:p w14:paraId="48616DAD"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-.432</w:t>
            </w:r>
          </w:p>
        </w:tc>
        <w:tc>
          <w:tcPr>
            <w:tcW w:w="1490" w:type="dxa"/>
            <w:tcBorders>
              <w:top w:val="nil"/>
              <w:left w:val="nil"/>
              <w:bottom w:val="nil"/>
              <w:right w:val="nil"/>
            </w:tcBorders>
            <w:shd w:val="clear" w:color="auto" w:fill="auto"/>
            <w:vAlign w:val="center"/>
          </w:tcPr>
          <w:p w14:paraId="5CB96980"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.666</w:t>
            </w:r>
          </w:p>
        </w:tc>
        <w:tc>
          <w:tcPr>
            <w:tcW w:w="1489" w:type="dxa"/>
            <w:tcBorders>
              <w:top w:val="nil"/>
              <w:left w:val="nil"/>
              <w:bottom w:val="nil"/>
              <w:right w:val="nil"/>
            </w:tcBorders>
            <w:vAlign w:val="center"/>
          </w:tcPr>
          <w:p w14:paraId="501143AB"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-.836</w:t>
            </w:r>
          </w:p>
        </w:tc>
        <w:tc>
          <w:tcPr>
            <w:tcW w:w="1489" w:type="dxa"/>
            <w:tcBorders>
              <w:top w:val="nil"/>
              <w:left w:val="nil"/>
              <w:bottom w:val="nil"/>
              <w:right w:val="nil"/>
            </w:tcBorders>
            <w:vAlign w:val="center"/>
          </w:tcPr>
          <w:p w14:paraId="415DCDBD"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.403</w:t>
            </w:r>
          </w:p>
        </w:tc>
      </w:tr>
      <w:tr w:rsidR="003156EF" w:rsidRPr="007115F2" w14:paraId="0A4625D5" w14:textId="77777777" w:rsidTr="00C82841">
        <w:trPr>
          <w:trHeight w:val="264"/>
        </w:trPr>
        <w:tc>
          <w:tcPr>
            <w:tcW w:w="852" w:type="dxa"/>
            <w:tcBorders>
              <w:top w:val="nil"/>
              <w:left w:val="nil"/>
              <w:bottom w:val="nil"/>
              <w:right w:val="nil"/>
            </w:tcBorders>
            <w:vAlign w:val="center"/>
          </w:tcPr>
          <w:p w14:paraId="1B7972BA" w14:textId="77777777" w:rsidR="003156EF" w:rsidRPr="007115F2" w:rsidRDefault="003156EF" w:rsidP="00AB066F">
            <w:pPr>
              <w:widowControl w:val="0"/>
              <w:autoSpaceDE w:val="0"/>
              <w:autoSpaceDN w:val="0"/>
              <w:adjustRightInd w:val="0"/>
              <w:spacing w:line="240" w:lineRule="auto"/>
              <w:jc w:val="left"/>
              <w:rPr>
                <w:color w:val="000000" w:themeColor="text1"/>
                <w:sz w:val="22"/>
                <w:lang w:val="en-US"/>
              </w:rPr>
            </w:pPr>
            <w:r w:rsidRPr="007115F2">
              <w:rPr>
                <w:color w:val="000000" w:themeColor="text1"/>
                <w:sz w:val="22"/>
              </w:rPr>
              <w:t>8</w:t>
            </w:r>
          </w:p>
        </w:tc>
        <w:tc>
          <w:tcPr>
            <w:tcW w:w="2126" w:type="dxa"/>
            <w:tcBorders>
              <w:top w:val="nil"/>
              <w:left w:val="nil"/>
              <w:bottom w:val="nil"/>
              <w:right w:val="nil"/>
            </w:tcBorders>
            <w:shd w:val="clear" w:color="auto" w:fill="auto"/>
            <w:vAlign w:val="center"/>
          </w:tcPr>
          <w:p w14:paraId="1D3307B0"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.10%</w:t>
            </w:r>
          </w:p>
        </w:tc>
        <w:tc>
          <w:tcPr>
            <w:tcW w:w="2499" w:type="dxa"/>
            <w:tcBorders>
              <w:top w:val="nil"/>
              <w:left w:val="nil"/>
              <w:bottom w:val="nil"/>
              <w:right w:val="nil"/>
            </w:tcBorders>
            <w:shd w:val="clear" w:color="auto" w:fill="auto"/>
            <w:vAlign w:val="center"/>
          </w:tcPr>
          <w:p w14:paraId="49BAB4AB"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.805</w:t>
            </w:r>
          </w:p>
        </w:tc>
        <w:tc>
          <w:tcPr>
            <w:tcW w:w="1490" w:type="dxa"/>
            <w:tcBorders>
              <w:top w:val="nil"/>
              <w:left w:val="nil"/>
              <w:bottom w:val="nil"/>
              <w:right w:val="nil"/>
            </w:tcBorders>
            <w:shd w:val="clear" w:color="auto" w:fill="auto"/>
            <w:vAlign w:val="center"/>
          </w:tcPr>
          <w:p w14:paraId="1AB1D3C6"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.421</w:t>
            </w:r>
          </w:p>
        </w:tc>
        <w:tc>
          <w:tcPr>
            <w:tcW w:w="1489" w:type="dxa"/>
            <w:tcBorders>
              <w:top w:val="nil"/>
              <w:left w:val="nil"/>
              <w:bottom w:val="nil"/>
              <w:right w:val="nil"/>
            </w:tcBorders>
            <w:vAlign w:val="center"/>
          </w:tcPr>
          <w:p w14:paraId="331609A1"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1.076</w:t>
            </w:r>
          </w:p>
        </w:tc>
        <w:tc>
          <w:tcPr>
            <w:tcW w:w="1489" w:type="dxa"/>
            <w:tcBorders>
              <w:top w:val="nil"/>
              <w:left w:val="nil"/>
              <w:bottom w:val="nil"/>
              <w:right w:val="nil"/>
            </w:tcBorders>
            <w:vAlign w:val="center"/>
          </w:tcPr>
          <w:p w14:paraId="6F7C2FE4"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.282</w:t>
            </w:r>
          </w:p>
        </w:tc>
      </w:tr>
      <w:tr w:rsidR="003156EF" w:rsidRPr="007115F2" w14:paraId="76136DC4" w14:textId="77777777" w:rsidTr="00C82841">
        <w:trPr>
          <w:trHeight w:val="264"/>
        </w:trPr>
        <w:tc>
          <w:tcPr>
            <w:tcW w:w="852" w:type="dxa"/>
            <w:tcBorders>
              <w:top w:val="nil"/>
              <w:left w:val="nil"/>
              <w:bottom w:val="nil"/>
              <w:right w:val="nil"/>
            </w:tcBorders>
            <w:vAlign w:val="center"/>
          </w:tcPr>
          <w:p w14:paraId="4026145A" w14:textId="77777777" w:rsidR="003156EF" w:rsidRPr="007115F2" w:rsidRDefault="003156EF" w:rsidP="00AB066F">
            <w:pPr>
              <w:widowControl w:val="0"/>
              <w:autoSpaceDE w:val="0"/>
              <w:autoSpaceDN w:val="0"/>
              <w:adjustRightInd w:val="0"/>
              <w:spacing w:line="240" w:lineRule="auto"/>
              <w:jc w:val="left"/>
              <w:rPr>
                <w:color w:val="000000" w:themeColor="text1"/>
                <w:sz w:val="22"/>
              </w:rPr>
            </w:pPr>
            <w:r w:rsidRPr="007115F2">
              <w:rPr>
                <w:color w:val="000000" w:themeColor="text1"/>
                <w:sz w:val="22"/>
              </w:rPr>
              <w:t>9</w:t>
            </w:r>
          </w:p>
        </w:tc>
        <w:tc>
          <w:tcPr>
            <w:tcW w:w="2126" w:type="dxa"/>
            <w:tcBorders>
              <w:top w:val="nil"/>
              <w:left w:val="nil"/>
              <w:bottom w:val="nil"/>
              <w:right w:val="nil"/>
            </w:tcBorders>
            <w:shd w:val="clear" w:color="auto" w:fill="auto"/>
            <w:vAlign w:val="center"/>
          </w:tcPr>
          <w:p w14:paraId="0FE78E79"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-.12%</w:t>
            </w:r>
          </w:p>
        </w:tc>
        <w:tc>
          <w:tcPr>
            <w:tcW w:w="2499" w:type="dxa"/>
            <w:tcBorders>
              <w:top w:val="nil"/>
              <w:left w:val="nil"/>
              <w:bottom w:val="nil"/>
              <w:right w:val="nil"/>
            </w:tcBorders>
            <w:shd w:val="clear" w:color="auto" w:fill="auto"/>
            <w:vAlign w:val="center"/>
          </w:tcPr>
          <w:p w14:paraId="41518043"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-.989</w:t>
            </w:r>
          </w:p>
        </w:tc>
        <w:tc>
          <w:tcPr>
            <w:tcW w:w="1490" w:type="dxa"/>
            <w:tcBorders>
              <w:top w:val="nil"/>
              <w:left w:val="nil"/>
              <w:bottom w:val="nil"/>
              <w:right w:val="nil"/>
            </w:tcBorders>
            <w:shd w:val="clear" w:color="auto" w:fill="auto"/>
            <w:vAlign w:val="center"/>
          </w:tcPr>
          <w:p w14:paraId="6EB26F0A"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.324</w:t>
            </w:r>
          </w:p>
        </w:tc>
        <w:tc>
          <w:tcPr>
            <w:tcW w:w="1489" w:type="dxa"/>
            <w:tcBorders>
              <w:top w:val="nil"/>
              <w:left w:val="nil"/>
              <w:bottom w:val="nil"/>
              <w:right w:val="nil"/>
            </w:tcBorders>
            <w:vAlign w:val="center"/>
          </w:tcPr>
          <w:p w14:paraId="4E5AD7A1"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-1.410</w:t>
            </w:r>
          </w:p>
        </w:tc>
        <w:tc>
          <w:tcPr>
            <w:tcW w:w="1489" w:type="dxa"/>
            <w:tcBorders>
              <w:top w:val="nil"/>
              <w:left w:val="nil"/>
              <w:bottom w:val="nil"/>
              <w:right w:val="nil"/>
            </w:tcBorders>
            <w:vAlign w:val="center"/>
          </w:tcPr>
          <w:p w14:paraId="0E0F2537" w14:textId="77777777" w:rsidR="003156EF" w:rsidRPr="007115F2" w:rsidRDefault="003156EF" w:rsidP="00AB066F">
            <w:pPr>
              <w:widowControl w:val="0"/>
              <w:autoSpaceDE w:val="0"/>
              <w:autoSpaceDN w:val="0"/>
              <w:adjustRightInd w:val="0"/>
              <w:spacing w:line="240" w:lineRule="auto"/>
              <w:jc w:val="right"/>
              <w:rPr>
                <w:color w:val="000000" w:themeColor="text1"/>
                <w:sz w:val="22"/>
              </w:rPr>
            </w:pPr>
            <w:r w:rsidRPr="007115F2">
              <w:rPr>
                <w:color w:val="000000" w:themeColor="text1"/>
                <w:sz w:val="22"/>
              </w:rPr>
              <w:t>.158</w:t>
            </w:r>
          </w:p>
        </w:tc>
      </w:tr>
      <w:tr w:rsidR="003156EF" w:rsidRPr="007115F2" w14:paraId="0B0E9E4D" w14:textId="77777777" w:rsidTr="00C82841">
        <w:trPr>
          <w:trHeight w:val="264"/>
        </w:trPr>
        <w:tc>
          <w:tcPr>
            <w:tcW w:w="852" w:type="dxa"/>
            <w:tcBorders>
              <w:top w:val="nil"/>
              <w:left w:val="nil"/>
              <w:bottom w:val="single" w:sz="4" w:space="0" w:color="auto"/>
              <w:right w:val="nil"/>
            </w:tcBorders>
            <w:vAlign w:val="center"/>
          </w:tcPr>
          <w:p w14:paraId="626700A5" w14:textId="77777777" w:rsidR="003156EF" w:rsidRPr="007115F2" w:rsidRDefault="003156EF" w:rsidP="00AB066F">
            <w:pPr>
              <w:widowControl w:val="0"/>
              <w:autoSpaceDE w:val="0"/>
              <w:autoSpaceDN w:val="0"/>
              <w:adjustRightInd w:val="0"/>
              <w:spacing w:line="240" w:lineRule="auto"/>
              <w:jc w:val="left"/>
              <w:rPr>
                <w:b/>
                <w:bCs/>
                <w:color w:val="000000" w:themeColor="text1"/>
                <w:sz w:val="22"/>
                <w:lang w:val="en-US"/>
              </w:rPr>
            </w:pPr>
            <w:r w:rsidRPr="007115F2">
              <w:rPr>
                <w:color w:val="000000" w:themeColor="text1"/>
                <w:sz w:val="22"/>
              </w:rPr>
              <w:t>10</w:t>
            </w:r>
          </w:p>
        </w:tc>
        <w:tc>
          <w:tcPr>
            <w:tcW w:w="2126" w:type="dxa"/>
            <w:tcBorders>
              <w:top w:val="nil"/>
              <w:left w:val="nil"/>
              <w:bottom w:val="single" w:sz="4" w:space="0" w:color="auto"/>
              <w:right w:val="nil"/>
            </w:tcBorders>
            <w:shd w:val="clear" w:color="auto" w:fill="auto"/>
            <w:vAlign w:val="center"/>
          </w:tcPr>
          <w:p w14:paraId="2490B14E" w14:textId="77777777" w:rsidR="003156EF" w:rsidRPr="007115F2" w:rsidRDefault="003156EF" w:rsidP="00AB066F">
            <w:pPr>
              <w:widowControl w:val="0"/>
              <w:autoSpaceDE w:val="0"/>
              <w:autoSpaceDN w:val="0"/>
              <w:adjustRightInd w:val="0"/>
              <w:spacing w:line="240" w:lineRule="auto"/>
              <w:jc w:val="right"/>
              <w:rPr>
                <w:b/>
                <w:bCs/>
                <w:color w:val="000000" w:themeColor="text1"/>
                <w:sz w:val="22"/>
              </w:rPr>
            </w:pPr>
            <w:r w:rsidRPr="007115F2">
              <w:rPr>
                <w:color w:val="000000" w:themeColor="text1"/>
                <w:sz w:val="22"/>
              </w:rPr>
              <w:t>-.05%</w:t>
            </w:r>
          </w:p>
        </w:tc>
        <w:tc>
          <w:tcPr>
            <w:tcW w:w="2499" w:type="dxa"/>
            <w:tcBorders>
              <w:top w:val="nil"/>
              <w:left w:val="nil"/>
              <w:bottom w:val="single" w:sz="4" w:space="0" w:color="auto"/>
              <w:right w:val="nil"/>
            </w:tcBorders>
            <w:shd w:val="clear" w:color="auto" w:fill="auto"/>
            <w:vAlign w:val="center"/>
          </w:tcPr>
          <w:p w14:paraId="5DEEBE5F" w14:textId="77777777" w:rsidR="003156EF" w:rsidRPr="007115F2" w:rsidRDefault="003156EF" w:rsidP="00AB066F">
            <w:pPr>
              <w:widowControl w:val="0"/>
              <w:autoSpaceDE w:val="0"/>
              <w:autoSpaceDN w:val="0"/>
              <w:adjustRightInd w:val="0"/>
              <w:spacing w:line="240" w:lineRule="auto"/>
              <w:jc w:val="right"/>
              <w:rPr>
                <w:b/>
                <w:bCs/>
                <w:color w:val="000000" w:themeColor="text1"/>
                <w:sz w:val="22"/>
              </w:rPr>
            </w:pPr>
            <w:r w:rsidRPr="007115F2">
              <w:rPr>
                <w:color w:val="000000" w:themeColor="text1"/>
                <w:sz w:val="22"/>
              </w:rPr>
              <w:t>-.390</w:t>
            </w:r>
          </w:p>
        </w:tc>
        <w:tc>
          <w:tcPr>
            <w:tcW w:w="1490" w:type="dxa"/>
            <w:tcBorders>
              <w:top w:val="nil"/>
              <w:left w:val="nil"/>
              <w:bottom w:val="single" w:sz="4" w:space="0" w:color="auto"/>
              <w:right w:val="nil"/>
            </w:tcBorders>
            <w:shd w:val="clear" w:color="auto" w:fill="auto"/>
            <w:vAlign w:val="center"/>
          </w:tcPr>
          <w:p w14:paraId="2B0A35D4" w14:textId="77777777" w:rsidR="003156EF" w:rsidRPr="007115F2" w:rsidRDefault="003156EF" w:rsidP="00AB066F">
            <w:pPr>
              <w:widowControl w:val="0"/>
              <w:autoSpaceDE w:val="0"/>
              <w:autoSpaceDN w:val="0"/>
              <w:adjustRightInd w:val="0"/>
              <w:spacing w:line="240" w:lineRule="auto"/>
              <w:jc w:val="right"/>
              <w:rPr>
                <w:b/>
                <w:bCs/>
                <w:color w:val="000000" w:themeColor="text1"/>
                <w:sz w:val="22"/>
              </w:rPr>
            </w:pPr>
            <w:r w:rsidRPr="007115F2">
              <w:rPr>
                <w:color w:val="000000" w:themeColor="text1"/>
                <w:sz w:val="22"/>
              </w:rPr>
              <w:t>.697</w:t>
            </w:r>
          </w:p>
        </w:tc>
        <w:tc>
          <w:tcPr>
            <w:tcW w:w="1489" w:type="dxa"/>
            <w:tcBorders>
              <w:top w:val="nil"/>
              <w:left w:val="nil"/>
              <w:bottom w:val="single" w:sz="4" w:space="0" w:color="auto"/>
              <w:right w:val="nil"/>
            </w:tcBorders>
            <w:vAlign w:val="center"/>
          </w:tcPr>
          <w:p w14:paraId="41BFCE66" w14:textId="77777777" w:rsidR="003156EF" w:rsidRPr="007115F2" w:rsidRDefault="003156EF" w:rsidP="00AB066F">
            <w:pPr>
              <w:widowControl w:val="0"/>
              <w:autoSpaceDE w:val="0"/>
              <w:autoSpaceDN w:val="0"/>
              <w:adjustRightInd w:val="0"/>
              <w:spacing w:line="240" w:lineRule="auto"/>
              <w:jc w:val="right"/>
              <w:rPr>
                <w:b/>
                <w:bCs/>
                <w:color w:val="000000" w:themeColor="text1"/>
                <w:sz w:val="22"/>
              </w:rPr>
            </w:pPr>
            <w:r w:rsidRPr="007115F2">
              <w:rPr>
                <w:color w:val="000000" w:themeColor="text1"/>
                <w:sz w:val="22"/>
              </w:rPr>
              <w:t>.378</w:t>
            </w:r>
          </w:p>
        </w:tc>
        <w:tc>
          <w:tcPr>
            <w:tcW w:w="1489" w:type="dxa"/>
            <w:tcBorders>
              <w:top w:val="nil"/>
              <w:left w:val="nil"/>
              <w:bottom w:val="single" w:sz="4" w:space="0" w:color="auto"/>
              <w:right w:val="nil"/>
            </w:tcBorders>
            <w:vAlign w:val="center"/>
          </w:tcPr>
          <w:p w14:paraId="765DE45C" w14:textId="77777777" w:rsidR="003156EF" w:rsidRPr="007115F2" w:rsidRDefault="003156EF" w:rsidP="00AB066F">
            <w:pPr>
              <w:widowControl w:val="0"/>
              <w:autoSpaceDE w:val="0"/>
              <w:autoSpaceDN w:val="0"/>
              <w:adjustRightInd w:val="0"/>
              <w:spacing w:line="240" w:lineRule="auto"/>
              <w:jc w:val="right"/>
              <w:rPr>
                <w:b/>
                <w:bCs/>
                <w:color w:val="000000" w:themeColor="text1"/>
                <w:sz w:val="22"/>
              </w:rPr>
            </w:pPr>
            <w:r w:rsidRPr="007115F2">
              <w:rPr>
                <w:color w:val="000000" w:themeColor="text1"/>
                <w:sz w:val="22"/>
              </w:rPr>
              <w:t>.705</w:t>
            </w:r>
          </w:p>
        </w:tc>
      </w:tr>
      <w:tr w:rsidR="003156EF" w:rsidRPr="00BE5632" w14:paraId="69872883" w14:textId="77777777" w:rsidTr="00C82841">
        <w:trPr>
          <w:trHeight w:val="264"/>
        </w:trPr>
        <w:tc>
          <w:tcPr>
            <w:tcW w:w="9945" w:type="dxa"/>
            <w:gridSpan w:val="6"/>
            <w:tcBorders>
              <w:top w:val="single" w:sz="4" w:space="0" w:color="auto"/>
              <w:left w:val="nil"/>
              <w:right w:val="nil"/>
            </w:tcBorders>
            <w:vAlign w:val="bottom"/>
          </w:tcPr>
          <w:p w14:paraId="4ADBB3A2" w14:textId="77777777" w:rsidR="003156EF" w:rsidRPr="007115F2" w:rsidRDefault="003156EF" w:rsidP="00D137E4">
            <w:pPr>
              <w:widowControl w:val="0"/>
              <w:autoSpaceDE w:val="0"/>
              <w:autoSpaceDN w:val="0"/>
              <w:adjustRightInd w:val="0"/>
              <w:spacing w:line="240" w:lineRule="auto"/>
              <w:rPr>
                <w:i/>
                <w:iCs/>
                <w:color w:val="000000" w:themeColor="text1"/>
                <w:sz w:val="22"/>
                <w:lang w:val="en-US"/>
              </w:rPr>
            </w:pPr>
            <w:r w:rsidRPr="007115F2">
              <w:rPr>
                <w:i/>
                <w:iCs/>
                <w:color w:val="000000" w:themeColor="text1"/>
                <w:sz w:val="22"/>
                <w:lang w:val="en-US"/>
              </w:rPr>
              <w:t>Note</w:t>
            </w:r>
            <w:r w:rsidRPr="007115F2">
              <w:rPr>
                <w:color w:val="000000" w:themeColor="text1"/>
                <w:sz w:val="22"/>
                <w:lang w:val="en-US"/>
              </w:rPr>
              <w:t>. This table presents the mean abnormal daily returns of acquiring firms for the ten-day event window around the M&amp;A announcement date. The descriptive statistics are based on the daily abnormal returns of 243 deal observations for the years 2008 to 2021.</w:t>
            </w:r>
          </w:p>
        </w:tc>
      </w:tr>
    </w:tbl>
    <w:p w14:paraId="4855F0A5" w14:textId="42F5F058" w:rsidR="0011734B" w:rsidRDefault="0011734B" w:rsidP="00D137E4">
      <w:pPr>
        <w:spacing w:after="160" w:line="259" w:lineRule="auto"/>
        <w:rPr>
          <w:color w:val="000000" w:themeColor="text1"/>
          <w:lang w:val="en-US"/>
        </w:rPr>
      </w:pPr>
      <w:r>
        <w:rPr>
          <w:color w:val="000000" w:themeColor="text1"/>
          <w:lang w:val="en-US"/>
        </w:rPr>
        <w:br w:type="page"/>
      </w:r>
    </w:p>
    <w:p w14:paraId="033B9482" w14:textId="77777777" w:rsidR="0011734B" w:rsidRDefault="003156EF" w:rsidP="0011734B">
      <w:pPr>
        <w:pStyle w:val="1fake"/>
      </w:pPr>
      <w:r w:rsidRPr="000C4487">
        <w:lastRenderedPageBreak/>
        <w:t>Table 2</w:t>
      </w:r>
    </w:p>
    <w:p w14:paraId="741EDE7B" w14:textId="08A325FD" w:rsidR="00106E8D" w:rsidRPr="009C7671" w:rsidRDefault="00106E8D" w:rsidP="00106E8D">
      <w:pPr>
        <w:pStyle w:val="Beschriftung"/>
      </w:pPr>
      <w:bookmarkStart w:id="609" w:name="_Toc180594838"/>
      <w:r>
        <w:t xml:space="preserve">T - III - </w:t>
      </w:r>
      <w:r>
        <w:fldChar w:fldCharType="begin"/>
      </w:r>
      <w:r>
        <w:instrText xml:space="preserve"> SEQ T_-_III_- \* ARABIC </w:instrText>
      </w:r>
      <w:r>
        <w:fldChar w:fldCharType="separate"/>
      </w:r>
      <w:r w:rsidR="00E91088">
        <w:rPr>
          <w:noProof/>
        </w:rPr>
        <w:t>2</w:t>
      </w:r>
      <w:r>
        <w:fldChar w:fldCharType="end"/>
      </w:r>
      <w:r>
        <w:t xml:space="preserve">: </w:t>
      </w:r>
      <w:r w:rsidRPr="008B3E77">
        <w:t>Deals by announcement year</w:t>
      </w:r>
      <w:bookmarkEnd w:id="609"/>
    </w:p>
    <w:tbl>
      <w:tblPr>
        <w:tblW w:w="9072" w:type="dxa"/>
        <w:tblLayout w:type="fixed"/>
        <w:tblLook w:val="0000" w:firstRow="0" w:lastRow="0" w:firstColumn="0" w:lastColumn="0" w:noHBand="0" w:noVBand="0"/>
      </w:tblPr>
      <w:tblGrid>
        <w:gridCol w:w="3248"/>
        <w:gridCol w:w="1941"/>
        <w:gridCol w:w="1941"/>
        <w:gridCol w:w="1942"/>
      </w:tblGrid>
      <w:tr w:rsidR="003156EF" w:rsidRPr="007115F2" w14:paraId="132FA9FA" w14:textId="77777777" w:rsidTr="00C82841">
        <w:trPr>
          <w:trHeight w:val="70"/>
        </w:trPr>
        <w:tc>
          <w:tcPr>
            <w:tcW w:w="3563" w:type="dxa"/>
            <w:tcBorders>
              <w:top w:val="single" w:sz="4" w:space="0" w:color="auto"/>
              <w:left w:val="nil"/>
              <w:bottom w:val="single" w:sz="10" w:space="0" w:color="auto"/>
              <w:right w:val="nil"/>
            </w:tcBorders>
          </w:tcPr>
          <w:p w14:paraId="582D39B9" w14:textId="77777777" w:rsidR="003156EF" w:rsidRPr="007115F2" w:rsidRDefault="003156EF" w:rsidP="00AB066F">
            <w:pPr>
              <w:widowControl w:val="0"/>
              <w:autoSpaceDE w:val="0"/>
              <w:autoSpaceDN w:val="0"/>
              <w:adjustRightInd w:val="0"/>
              <w:spacing w:line="240" w:lineRule="auto"/>
              <w:rPr>
                <w:b/>
                <w:bCs/>
                <w:color w:val="000000" w:themeColor="text1"/>
                <w:sz w:val="22"/>
                <w:lang w:val="en-US"/>
              </w:rPr>
            </w:pPr>
            <w:r w:rsidRPr="007115F2">
              <w:rPr>
                <w:b/>
                <w:bCs/>
                <w:color w:val="000000" w:themeColor="text1"/>
                <w:sz w:val="22"/>
                <w:lang w:val="en-US"/>
              </w:rPr>
              <w:t>Announcement year</w:t>
            </w:r>
          </w:p>
        </w:tc>
        <w:tc>
          <w:tcPr>
            <w:tcW w:w="2120" w:type="dxa"/>
            <w:tcBorders>
              <w:top w:val="single" w:sz="4" w:space="0" w:color="auto"/>
              <w:left w:val="nil"/>
              <w:bottom w:val="single" w:sz="10" w:space="0" w:color="auto"/>
              <w:right w:val="nil"/>
            </w:tcBorders>
            <w:vAlign w:val="center"/>
          </w:tcPr>
          <w:p w14:paraId="5A0C5C0D" w14:textId="77777777" w:rsidR="003156EF" w:rsidRPr="007115F2" w:rsidRDefault="003156EF" w:rsidP="00AB066F">
            <w:pPr>
              <w:widowControl w:val="0"/>
              <w:autoSpaceDE w:val="0"/>
              <w:autoSpaceDN w:val="0"/>
              <w:adjustRightInd w:val="0"/>
              <w:spacing w:line="240" w:lineRule="auto"/>
              <w:jc w:val="center"/>
              <w:rPr>
                <w:b/>
                <w:bCs/>
                <w:color w:val="000000" w:themeColor="text1"/>
                <w:sz w:val="22"/>
                <w:lang w:val="en-US"/>
              </w:rPr>
            </w:pPr>
            <w:r w:rsidRPr="007115F2">
              <w:rPr>
                <w:b/>
                <w:bCs/>
                <w:color w:val="000000" w:themeColor="text1"/>
                <w:sz w:val="22"/>
                <w:lang w:val="en-US"/>
              </w:rPr>
              <w:t>Deals</w:t>
            </w:r>
          </w:p>
        </w:tc>
        <w:tc>
          <w:tcPr>
            <w:tcW w:w="2120" w:type="dxa"/>
            <w:tcBorders>
              <w:top w:val="single" w:sz="4" w:space="0" w:color="auto"/>
              <w:left w:val="nil"/>
              <w:bottom w:val="single" w:sz="10" w:space="0" w:color="auto"/>
              <w:right w:val="nil"/>
            </w:tcBorders>
            <w:vAlign w:val="center"/>
          </w:tcPr>
          <w:p w14:paraId="27344381" w14:textId="77777777" w:rsidR="003156EF" w:rsidRPr="007115F2" w:rsidRDefault="003156EF" w:rsidP="00AB066F">
            <w:pPr>
              <w:widowControl w:val="0"/>
              <w:autoSpaceDE w:val="0"/>
              <w:autoSpaceDN w:val="0"/>
              <w:adjustRightInd w:val="0"/>
              <w:spacing w:line="240" w:lineRule="auto"/>
              <w:jc w:val="center"/>
              <w:rPr>
                <w:b/>
                <w:bCs/>
                <w:color w:val="000000" w:themeColor="text1"/>
                <w:sz w:val="22"/>
                <w:lang w:val="en-US"/>
              </w:rPr>
            </w:pPr>
            <w:r w:rsidRPr="007115F2">
              <w:rPr>
                <w:b/>
                <w:bCs/>
                <w:color w:val="000000" w:themeColor="text1"/>
                <w:sz w:val="22"/>
                <w:lang w:val="en-US"/>
              </w:rPr>
              <w:t>Percentage</w:t>
            </w:r>
          </w:p>
        </w:tc>
        <w:tc>
          <w:tcPr>
            <w:tcW w:w="2121" w:type="dxa"/>
            <w:tcBorders>
              <w:top w:val="single" w:sz="4" w:space="0" w:color="auto"/>
              <w:left w:val="nil"/>
              <w:bottom w:val="single" w:sz="10" w:space="0" w:color="auto"/>
              <w:right w:val="nil"/>
            </w:tcBorders>
            <w:vAlign w:val="center"/>
          </w:tcPr>
          <w:p w14:paraId="1B0E6B1B" w14:textId="77777777" w:rsidR="003156EF" w:rsidRPr="007115F2" w:rsidRDefault="003156EF" w:rsidP="00AB066F">
            <w:pPr>
              <w:widowControl w:val="0"/>
              <w:autoSpaceDE w:val="0"/>
              <w:autoSpaceDN w:val="0"/>
              <w:adjustRightInd w:val="0"/>
              <w:spacing w:line="240" w:lineRule="auto"/>
              <w:jc w:val="center"/>
              <w:rPr>
                <w:b/>
                <w:bCs/>
                <w:color w:val="000000" w:themeColor="text1"/>
                <w:sz w:val="22"/>
                <w:lang w:val="en-US"/>
              </w:rPr>
            </w:pPr>
            <w:r w:rsidRPr="007115F2">
              <w:rPr>
                <w:b/>
                <w:bCs/>
                <w:color w:val="000000" w:themeColor="text1"/>
                <w:sz w:val="22"/>
                <w:lang w:val="en-US"/>
              </w:rPr>
              <w:t>Total percentage</w:t>
            </w:r>
          </w:p>
        </w:tc>
      </w:tr>
      <w:tr w:rsidR="003156EF" w:rsidRPr="007115F2" w14:paraId="559DDFFE" w14:textId="77777777" w:rsidTr="00C82841">
        <w:trPr>
          <w:trHeight w:val="267"/>
        </w:trPr>
        <w:tc>
          <w:tcPr>
            <w:tcW w:w="3563" w:type="dxa"/>
            <w:tcBorders>
              <w:top w:val="nil"/>
              <w:left w:val="nil"/>
              <w:bottom w:val="nil"/>
              <w:right w:val="nil"/>
            </w:tcBorders>
            <w:vAlign w:val="center"/>
          </w:tcPr>
          <w:p w14:paraId="26989405" w14:textId="77777777" w:rsidR="003156EF" w:rsidRPr="007115F2" w:rsidRDefault="003156EF" w:rsidP="00AB066F">
            <w:pPr>
              <w:widowControl w:val="0"/>
              <w:autoSpaceDE w:val="0"/>
              <w:autoSpaceDN w:val="0"/>
              <w:adjustRightInd w:val="0"/>
              <w:spacing w:line="240" w:lineRule="auto"/>
              <w:jc w:val="left"/>
              <w:rPr>
                <w:color w:val="000000" w:themeColor="text1"/>
                <w:sz w:val="22"/>
                <w:lang w:val="en-US"/>
              </w:rPr>
            </w:pPr>
            <w:r w:rsidRPr="007115F2">
              <w:rPr>
                <w:color w:val="000000" w:themeColor="text1"/>
                <w:sz w:val="22"/>
              </w:rPr>
              <w:t>2008</w:t>
            </w:r>
          </w:p>
        </w:tc>
        <w:tc>
          <w:tcPr>
            <w:tcW w:w="2120" w:type="dxa"/>
            <w:tcBorders>
              <w:top w:val="nil"/>
              <w:left w:val="nil"/>
              <w:bottom w:val="nil"/>
              <w:right w:val="nil"/>
            </w:tcBorders>
            <w:shd w:val="clear" w:color="auto" w:fill="auto"/>
            <w:vAlign w:val="center"/>
          </w:tcPr>
          <w:p w14:paraId="46734022"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2</w:t>
            </w:r>
          </w:p>
        </w:tc>
        <w:tc>
          <w:tcPr>
            <w:tcW w:w="2120" w:type="dxa"/>
            <w:tcBorders>
              <w:top w:val="nil"/>
              <w:left w:val="nil"/>
              <w:bottom w:val="nil"/>
              <w:right w:val="nil"/>
            </w:tcBorders>
            <w:shd w:val="clear" w:color="auto" w:fill="auto"/>
            <w:vAlign w:val="center"/>
          </w:tcPr>
          <w:p w14:paraId="4E703AA8"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0.82</w:t>
            </w:r>
          </w:p>
        </w:tc>
        <w:tc>
          <w:tcPr>
            <w:tcW w:w="2121" w:type="dxa"/>
            <w:tcBorders>
              <w:top w:val="nil"/>
              <w:left w:val="nil"/>
              <w:bottom w:val="nil"/>
              <w:right w:val="nil"/>
            </w:tcBorders>
            <w:shd w:val="clear" w:color="auto" w:fill="auto"/>
            <w:vAlign w:val="center"/>
          </w:tcPr>
          <w:p w14:paraId="428724DC"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0.82</w:t>
            </w:r>
          </w:p>
        </w:tc>
      </w:tr>
      <w:tr w:rsidR="003156EF" w:rsidRPr="007115F2" w14:paraId="7C0CBEBC" w14:textId="77777777" w:rsidTr="00C82841">
        <w:trPr>
          <w:trHeight w:val="283"/>
        </w:trPr>
        <w:tc>
          <w:tcPr>
            <w:tcW w:w="3563" w:type="dxa"/>
            <w:tcBorders>
              <w:top w:val="nil"/>
              <w:left w:val="nil"/>
              <w:bottom w:val="nil"/>
              <w:right w:val="nil"/>
            </w:tcBorders>
            <w:vAlign w:val="center"/>
          </w:tcPr>
          <w:p w14:paraId="24A6E579" w14:textId="77777777" w:rsidR="003156EF" w:rsidRPr="007115F2" w:rsidRDefault="003156EF" w:rsidP="00AB066F">
            <w:pPr>
              <w:widowControl w:val="0"/>
              <w:autoSpaceDE w:val="0"/>
              <w:autoSpaceDN w:val="0"/>
              <w:adjustRightInd w:val="0"/>
              <w:spacing w:line="240" w:lineRule="auto"/>
              <w:jc w:val="left"/>
              <w:rPr>
                <w:color w:val="000000" w:themeColor="text1"/>
                <w:sz w:val="22"/>
                <w:lang w:val="en-US"/>
              </w:rPr>
            </w:pPr>
            <w:r w:rsidRPr="007115F2">
              <w:rPr>
                <w:color w:val="000000" w:themeColor="text1"/>
                <w:sz w:val="22"/>
              </w:rPr>
              <w:t>2009</w:t>
            </w:r>
          </w:p>
        </w:tc>
        <w:tc>
          <w:tcPr>
            <w:tcW w:w="2120" w:type="dxa"/>
            <w:tcBorders>
              <w:top w:val="nil"/>
              <w:left w:val="nil"/>
              <w:bottom w:val="nil"/>
              <w:right w:val="nil"/>
            </w:tcBorders>
            <w:shd w:val="clear" w:color="auto" w:fill="auto"/>
            <w:vAlign w:val="center"/>
          </w:tcPr>
          <w:p w14:paraId="31BE1066"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5</w:t>
            </w:r>
          </w:p>
        </w:tc>
        <w:tc>
          <w:tcPr>
            <w:tcW w:w="2120" w:type="dxa"/>
            <w:tcBorders>
              <w:top w:val="nil"/>
              <w:left w:val="nil"/>
              <w:bottom w:val="nil"/>
              <w:right w:val="nil"/>
            </w:tcBorders>
            <w:shd w:val="clear" w:color="auto" w:fill="auto"/>
            <w:vAlign w:val="center"/>
          </w:tcPr>
          <w:p w14:paraId="6387F0CB"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2.06</w:t>
            </w:r>
          </w:p>
        </w:tc>
        <w:tc>
          <w:tcPr>
            <w:tcW w:w="2121" w:type="dxa"/>
            <w:tcBorders>
              <w:top w:val="nil"/>
              <w:left w:val="nil"/>
              <w:bottom w:val="nil"/>
              <w:right w:val="nil"/>
            </w:tcBorders>
            <w:shd w:val="clear" w:color="auto" w:fill="auto"/>
            <w:vAlign w:val="center"/>
          </w:tcPr>
          <w:p w14:paraId="712D907B"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2.88</w:t>
            </w:r>
          </w:p>
        </w:tc>
      </w:tr>
      <w:tr w:rsidR="003156EF" w:rsidRPr="007115F2" w14:paraId="6BC202EA" w14:textId="77777777" w:rsidTr="00C82841">
        <w:trPr>
          <w:trHeight w:val="283"/>
        </w:trPr>
        <w:tc>
          <w:tcPr>
            <w:tcW w:w="3563" w:type="dxa"/>
            <w:tcBorders>
              <w:top w:val="nil"/>
              <w:left w:val="nil"/>
              <w:bottom w:val="nil"/>
              <w:right w:val="nil"/>
            </w:tcBorders>
            <w:vAlign w:val="center"/>
          </w:tcPr>
          <w:p w14:paraId="0FFE1C79" w14:textId="77777777" w:rsidR="003156EF" w:rsidRPr="007115F2" w:rsidRDefault="003156EF" w:rsidP="00AB066F">
            <w:pPr>
              <w:widowControl w:val="0"/>
              <w:autoSpaceDE w:val="0"/>
              <w:autoSpaceDN w:val="0"/>
              <w:adjustRightInd w:val="0"/>
              <w:spacing w:line="240" w:lineRule="auto"/>
              <w:jc w:val="left"/>
              <w:rPr>
                <w:color w:val="000000" w:themeColor="text1"/>
                <w:sz w:val="22"/>
                <w:lang w:val="en-US"/>
              </w:rPr>
            </w:pPr>
            <w:r w:rsidRPr="007115F2">
              <w:rPr>
                <w:color w:val="000000" w:themeColor="text1"/>
                <w:sz w:val="22"/>
              </w:rPr>
              <w:t>2010</w:t>
            </w:r>
          </w:p>
        </w:tc>
        <w:tc>
          <w:tcPr>
            <w:tcW w:w="2120" w:type="dxa"/>
            <w:tcBorders>
              <w:top w:val="nil"/>
              <w:left w:val="nil"/>
              <w:bottom w:val="nil"/>
              <w:right w:val="nil"/>
            </w:tcBorders>
            <w:shd w:val="clear" w:color="auto" w:fill="auto"/>
            <w:vAlign w:val="center"/>
          </w:tcPr>
          <w:p w14:paraId="22971045"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3</w:t>
            </w:r>
          </w:p>
        </w:tc>
        <w:tc>
          <w:tcPr>
            <w:tcW w:w="2120" w:type="dxa"/>
            <w:tcBorders>
              <w:top w:val="nil"/>
              <w:left w:val="nil"/>
              <w:bottom w:val="nil"/>
              <w:right w:val="nil"/>
            </w:tcBorders>
            <w:shd w:val="clear" w:color="auto" w:fill="auto"/>
            <w:vAlign w:val="center"/>
          </w:tcPr>
          <w:p w14:paraId="1857F764"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1.23</w:t>
            </w:r>
          </w:p>
        </w:tc>
        <w:tc>
          <w:tcPr>
            <w:tcW w:w="2121" w:type="dxa"/>
            <w:tcBorders>
              <w:top w:val="nil"/>
              <w:left w:val="nil"/>
              <w:bottom w:val="nil"/>
              <w:right w:val="nil"/>
            </w:tcBorders>
            <w:shd w:val="clear" w:color="auto" w:fill="auto"/>
            <w:vAlign w:val="center"/>
          </w:tcPr>
          <w:p w14:paraId="01BA8662"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4.12</w:t>
            </w:r>
          </w:p>
        </w:tc>
      </w:tr>
      <w:tr w:rsidR="003156EF" w:rsidRPr="007115F2" w14:paraId="5532FD31" w14:textId="77777777" w:rsidTr="00C82841">
        <w:trPr>
          <w:trHeight w:val="283"/>
        </w:trPr>
        <w:tc>
          <w:tcPr>
            <w:tcW w:w="3563" w:type="dxa"/>
            <w:tcBorders>
              <w:top w:val="nil"/>
              <w:left w:val="nil"/>
              <w:bottom w:val="nil"/>
              <w:right w:val="nil"/>
            </w:tcBorders>
            <w:vAlign w:val="center"/>
          </w:tcPr>
          <w:p w14:paraId="0CF6B663" w14:textId="77777777" w:rsidR="003156EF" w:rsidRPr="007115F2" w:rsidRDefault="003156EF" w:rsidP="00AB066F">
            <w:pPr>
              <w:widowControl w:val="0"/>
              <w:autoSpaceDE w:val="0"/>
              <w:autoSpaceDN w:val="0"/>
              <w:adjustRightInd w:val="0"/>
              <w:spacing w:line="240" w:lineRule="auto"/>
              <w:jc w:val="left"/>
              <w:rPr>
                <w:color w:val="000000" w:themeColor="text1"/>
                <w:sz w:val="22"/>
                <w:lang w:val="en-US"/>
              </w:rPr>
            </w:pPr>
            <w:r w:rsidRPr="007115F2">
              <w:rPr>
                <w:color w:val="000000" w:themeColor="text1"/>
                <w:sz w:val="22"/>
              </w:rPr>
              <w:t>2011</w:t>
            </w:r>
          </w:p>
        </w:tc>
        <w:tc>
          <w:tcPr>
            <w:tcW w:w="2120" w:type="dxa"/>
            <w:tcBorders>
              <w:top w:val="nil"/>
              <w:left w:val="nil"/>
              <w:bottom w:val="nil"/>
              <w:right w:val="nil"/>
            </w:tcBorders>
            <w:shd w:val="clear" w:color="auto" w:fill="auto"/>
            <w:vAlign w:val="center"/>
          </w:tcPr>
          <w:p w14:paraId="6FBFA33E"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4</w:t>
            </w:r>
          </w:p>
        </w:tc>
        <w:tc>
          <w:tcPr>
            <w:tcW w:w="2120" w:type="dxa"/>
            <w:tcBorders>
              <w:top w:val="nil"/>
              <w:left w:val="nil"/>
              <w:bottom w:val="nil"/>
              <w:right w:val="nil"/>
            </w:tcBorders>
            <w:shd w:val="clear" w:color="auto" w:fill="auto"/>
            <w:vAlign w:val="center"/>
          </w:tcPr>
          <w:p w14:paraId="25E672F8"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1.65</w:t>
            </w:r>
          </w:p>
        </w:tc>
        <w:tc>
          <w:tcPr>
            <w:tcW w:w="2121" w:type="dxa"/>
            <w:tcBorders>
              <w:top w:val="nil"/>
              <w:left w:val="nil"/>
              <w:bottom w:val="nil"/>
              <w:right w:val="nil"/>
            </w:tcBorders>
            <w:shd w:val="clear" w:color="auto" w:fill="auto"/>
            <w:vAlign w:val="center"/>
          </w:tcPr>
          <w:p w14:paraId="14D547DF"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5.76</w:t>
            </w:r>
          </w:p>
        </w:tc>
      </w:tr>
      <w:tr w:rsidR="003156EF" w:rsidRPr="007115F2" w14:paraId="71FAA645" w14:textId="77777777" w:rsidTr="00C82841">
        <w:trPr>
          <w:trHeight w:val="283"/>
        </w:trPr>
        <w:tc>
          <w:tcPr>
            <w:tcW w:w="3563" w:type="dxa"/>
            <w:tcBorders>
              <w:top w:val="nil"/>
              <w:left w:val="nil"/>
              <w:bottom w:val="nil"/>
              <w:right w:val="nil"/>
            </w:tcBorders>
            <w:vAlign w:val="center"/>
          </w:tcPr>
          <w:p w14:paraId="20283012" w14:textId="77777777" w:rsidR="003156EF" w:rsidRPr="007115F2" w:rsidRDefault="003156EF" w:rsidP="00AB066F">
            <w:pPr>
              <w:widowControl w:val="0"/>
              <w:autoSpaceDE w:val="0"/>
              <w:autoSpaceDN w:val="0"/>
              <w:adjustRightInd w:val="0"/>
              <w:spacing w:line="240" w:lineRule="auto"/>
              <w:jc w:val="left"/>
              <w:rPr>
                <w:color w:val="000000" w:themeColor="text1"/>
                <w:sz w:val="22"/>
                <w:lang w:val="en-US"/>
              </w:rPr>
            </w:pPr>
            <w:r w:rsidRPr="007115F2">
              <w:rPr>
                <w:color w:val="000000" w:themeColor="text1"/>
                <w:sz w:val="22"/>
              </w:rPr>
              <w:t>2012</w:t>
            </w:r>
          </w:p>
        </w:tc>
        <w:tc>
          <w:tcPr>
            <w:tcW w:w="2120" w:type="dxa"/>
            <w:tcBorders>
              <w:top w:val="nil"/>
              <w:left w:val="nil"/>
              <w:bottom w:val="nil"/>
              <w:right w:val="nil"/>
            </w:tcBorders>
            <w:shd w:val="clear" w:color="auto" w:fill="auto"/>
            <w:vAlign w:val="center"/>
          </w:tcPr>
          <w:p w14:paraId="40C8F243"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11</w:t>
            </w:r>
          </w:p>
        </w:tc>
        <w:tc>
          <w:tcPr>
            <w:tcW w:w="2120" w:type="dxa"/>
            <w:tcBorders>
              <w:top w:val="nil"/>
              <w:left w:val="nil"/>
              <w:bottom w:val="nil"/>
              <w:right w:val="nil"/>
            </w:tcBorders>
            <w:shd w:val="clear" w:color="auto" w:fill="auto"/>
            <w:vAlign w:val="center"/>
          </w:tcPr>
          <w:p w14:paraId="7802D85E"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4.53</w:t>
            </w:r>
          </w:p>
        </w:tc>
        <w:tc>
          <w:tcPr>
            <w:tcW w:w="2121" w:type="dxa"/>
            <w:tcBorders>
              <w:top w:val="nil"/>
              <w:left w:val="nil"/>
              <w:bottom w:val="nil"/>
              <w:right w:val="nil"/>
            </w:tcBorders>
            <w:shd w:val="clear" w:color="auto" w:fill="auto"/>
            <w:vAlign w:val="center"/>
          </w:tcPr>
          <w:p w14:paraId="20337ACC"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10.29</w:t>
            </w:r>
          </w:p>
        </w:tc>
      </w:tr>
      <w:tr w:rsidR="003156EF" w:rsidRPr="007115F2" w14:paraId="7C844CF0" w14:textId="77777777" w:rsidTr="00C82841">
        <w:trPr>
          <w:trHeight w:val="283"/>
        </w:trPr>
        <w:tc>
          <w:tcPr>
            <w:tcW w:w="3563" w:type="dxa"/>
            <w:tcBorders>
              <w:top w:val="nil"/>
              <w:left w:val="nil"/>
              <w:bottom w:val="nil"/>
              <w:right w:val="nil"/>
            </w:tcBorders>
            <w:vAlign w:val="center"/>
          </w:tcPr>
          <w:p w14:paraId="37C98DD1" w14:textId="77777777" w:rsidR="003156EF" w:rsidRPr="007115F2" w:rsidRDefault="003156EF" w:rsidP="00AB066F">
            <w:pPr>
              <w:widowControl w:val="0"/>
              <w:autoSpaceDE w:val="0"/>
              <w:autoSpaceDN w:val="0"/>
              <w:adjustRightInd w:val="0"/>
              <w:spacing w:line="240" w:lineRule="auto"/>
              <w:jc w:val="left"/>
              <w:rPr>
                <w:color w:val="000000" w:themeColor="text1"/>
                <w:sz w:val="22"/>
                <w:lang w:val="en-US"/>
              </w:rPr>
            </w:pPr>
            <w:r w:rsidRPr="007115F2">
              <w:rPr>
                <w:color w:val="000000" w:themeColor="text1"/>
                <w:sz w:val="22"/>
              </w:rPr>
              <w:t>2013</w:t>
            </w:r>
          </w:p>
        </w:tc>
        <w:tc>
          <w:tcPr>
            <w:tcW w:w="2120" w:type="dxa"/>
            <w:tcBorders>
              <w:top w:val="nil"/>
              <w:left w:val="nil"/>
              <w:bottom w:val="nil"/>
              <w:right w:val="nil"/>
            </w:tcBorders>
            <w:shd w:val="clear" w:color="auto" w:fill="auto"/>
            <w:vAlign w:val="center"/>
          </w:tcPr>
          <w:p w14:paraId="4A52625E"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10</w:t>
            </w:r>
          </w:p>
        </w:tc>
        <w:tc>
          <w:tcPr>
            <w:tcW w:w="2120" w:type="dxa"/>
            <w:tcBorders>
              <w:top w:val="nil"/>
              <w:left w:val="nil"/>
              <w:bottom w:val="nil"/>
              <w:right w:val="nil"/>
            </w:tcBorders>
            <w:shd w:val="clear" w:color="auto" w:fill="auto"/>
            <w:vAlign w:val="center"/>
          </w:tcPr>
          <w:p w14:paraId="55948903"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4.12</w:t>
            </w:r>
          </w:p>
        </w:tc>
        <w:tc>
          <w:tcPr>
            <w:tcW w:w="2121" w:type="dxa"/>
            <w:tcBorders>
              <w:top w:val="nil"/>
              <w:left w:val="nil"/>
              <w:bottom w:val="nil"/>
              <w:right w:val="nil"/>
            </w:tcBorders>
            <w:shd w:val="clear" w:color="auto" w:fill="auto"/>
            <w:vAlign w:val="center"/>
          </w:tcPr>
          <w:p w14:paraId="3E592243"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14.40</w:t>
            </w:r>
          </w:p>
        </w:tc>
      </w:tr>
      <w:tr w:rsidR="003156EF" w:rsidRPr="007115F2" w14:paraId="5AFB8440" w14:textId="77777777" w:rsidTr="00C82841">
        <w:trPr>
          <w:trHeight w:val="283"/>
        </w:trPr>
        <w:tc>
          <w:tcPr>
            <w:tcW w:w="3563" w:type="dxa"/>
            <w:tcBorders>
              <w:top w:val="nil"/>
              <w:left w:val="nil"/>
              <w:bottom w:val="nil"/>
              <w:right w:val="nil"/>
            </w:tcBorders>
            <w:vAlign w:val="center"/>
          </w:tcPr>
          <w:p w14:paraId="7A8882E7" w14:textId="77777777" w:rsidR="003156EF" w:rsidRPr="007115F2" w:rsidRDefault="003156EF" w:rsidP="00AB066F">
            <w:pPr>
              <w:widowControl w:val="0"/>
              <w:autoSpaceDE w:val="0"/>
              <w:autoSpaceDN w:val="0"/>
              <w:adjustRightInd w:val="0"/>
              <w:spacing w:line="240" w:lineRule="auto"/>
              <w:jc w:val="left"/>
              <w:rPr>
                <w:color w:val="000000" w:themeColor="text1"/>
                <w:sz w:val="22"/>
                <w:lang w:val="en-US"/>
              </w:rPr>
            </w:pPr>
            <w:r w:rsidRPr="007115F2">
              <w:rPr>
                <w:color w:val="000000" w:themeColor="text1"/>
                <w:sz w:val="22"/>
              </w:rPr>
              <w:t>2014</w:t>
            </w:r>
          </w:p>
        </w:tc>
        <w:tc>
          <w:tcPr>
            <w:tcW w:w="2120" w:type="dxa"/>
            <w:tcBorders>
              <w:top w:val="nil"/>
              <w:left w:val="nil"/>
              <w:bottom w:val="nil"/>
              <w:right w:val="nil"/>
            </w:tcBorders>
            <w:shd w:val="clear" w:color="auto" w:fill="auto"/>
            <w:vAlign w:val="center"/>
          </w:tcPr>
          <w:p w14:paraId="6212D186"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15</w:t>
            </w:r>
          </w:p>
        </w:tc>
        <w:tc>
          <w:tcPr>
            <w:tcW w:w="2120" w:type="dxa"/>
            <w:tcBorders>
              <w:top w:val="nil"/>
              <w:left w:val="nil"/>
              <w:bottom w:val="nil"/>
              <w:right w:val="nil"/>
            </w:tcBorders>
            <w:shd w:val="clear" w:color="auto" w:fill="auto"/>
            <w:vAlign w:val="center"/>
          </w:tcPr>
          <w:p w14:paraId="06FCFA65"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6.17</w:t>
            </w:r>
          </w:p>
        </w:tc>
        <w:tc>
          <w:tcPr>
            <w:tcW w:w="2121" w:type="dxa"/>
            <w:tcBorders>
              <w:top w:val="nil"/>
              <w:left w:val="nil"/>
              <w:bottom w:val="nil"/>
              <w:right w:val="nil"/>
            </w:tcBorders>
            <w:shd w:val="clear" w:color="auto" w:fill="auto"/>
            <w:vAlign w:val="center"/>
          </w:tcPr>
          <w:p w14:paraId="321E99B5"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20.58</w:t>
            </w:r>
          </w:p>
        </w:tc>
      </w:tr>
      <w:tr w:rsidR="003156EF" w:rsidRPr="007115F2" w14:paraId="3F6CF087" w14:textId="77777777" w:rsidTr="00C82841">
        <w:trPr>
          <w:trHeight w:val="283"/>
        </w:trPr>
        <w:tc>
          <w:tcPr>
            <w:tcW w:w="3563" w:type="dxa"/>
            <w:tcBorders>
              <w:top w:val="nil"/>
              <w:left w:val="nil"/>
              <w:bottom w:val="nil"/>
              <w:right w:val="nil"/>
            </w:tcBorders>
            <w:vAlign w:val="center"/>
          </w:tcPr>
          <w:p w14:paraId="7E0D80BC" w14:textId="77777777" w:rsidR="003156EF" w:rsidRPr="007115F2" w:rsidRDefault="003156EF" w:rsidP="00AB066F">
            <w:pPr>
              <w:widowControl w:val="0"/>
              <w:autoSpaceDE w:val="0"/>
              <w:autoSpaceDN w:val="0"/>
              <w:adjustRightInd w:val="0"/>
              <w:spacing w:line="240" w:lineRule="auto"/>
              <w:jc w:val="left"/>
              <w:rPr>
                <w:color w:val="000000" w:themeColor="text1"/>
                <w:sz w:val="22"/>
                <w:lang w:val="en-US"/>
              </w:rPr>
            </w:pPr>
            <w:r w:rsidRPr="007115F2">
              <w:rPr>
                <w:color w:val="000000" w:themeColor="text1"/>
                <w:sz w:val="22"/>
              </w:rPr>
              <w:t>2015</w:t>
            </w:r>
          </w:p>
        </w:tc>
        <w:tc>
          <w:tcPr>
            <w:tcW w:w="2120" w:type="dxa"/>
            <w:tcBorders>
              <w:top w:val="nil"/>
              <w:left w:val="nil"/>
              <w:bottom w:val="nil"/>
              <w:right w:val="nil"/>
            </w:tcBorders>
            <w:shd w:val="clear" w:color="auto" w:fill="auto"/>
            <w:vAlign w:val="center"/>
          </w:tcPr>
          <w:p w14:paraId="6710A54E"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36</w:t>
            </w:r>
          </w:p>
        </w:tc>
        <w:tc>
          <w:tcPr>
            <w:tcW w:w="2120" w:type="dxa"/>
            <w:tcBorders>
              <w:top w:val="nil"/>
              <w:left w:val="nil"/>
              <w:bottom w:val="nil"/>
              <w:right w:val="nil"/>
            </w:tcBorders>
            <w:shd w:val="clear" w:color="auto" w:fill="auto"/>
            <w:vAlign w:val="center"/>
          </w:tcPr>
          <w:p w14:paraId="04A288AA"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14.81</w:t>
            </w:r>
          </w:p>
        </w:tc>
        <w:tc>
          <w:tcPr>
            <w:tcW w:w="2121" w:type="dxa"/>
            <w:tcBorders>
              <w:top w:val="nil"/>
              <w:left w:val="nil"/>
              <w:bottom w:val="nil"/>
              <w:right w:val="nil"/>
            </w:tcBorders>
            <w:shd w:val="clear" w:color="auto" w:fill="auto"/>
            <w:vAlign w:val="center"/>
          </w:tcPr>
          <w:p w14:paraId="6A61A7BD"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35.39</w:t>
            </w:r>
          </w:p>
        </w:tc>
      </w:tr>
      <w:tr w:rsidR="003156EF" w:rsidRPr="007115F2" w14:paraId="71CCC141" w14:textId="77777777" w:rsidTr="00C82841">
        <w:trPr>
          <w:trHeight w:val="267"/>
        </w:trPr>
        <w:tc>
          <w:tcPr>
            <w:tcW w:w="3563" w:type="dxa"/>
            <w:tcBorders>
              <w:top w:val="nil"/>
              <w:left w:val="nil"/>
              <w:bottom w:val="nil"/>
              <w:right w:val="nil"/>
            </w:tcBorders>
            <w:vAlign w:val="center"/>
          </w:tcPr>
          <w:p w14:paraId="51542FFA" w14:textId="77777777" w:rsidR="003156EF" w:rsidRPr="007115F2" w:rsidRDefault="003156EF" w:rsidP="00AB066F">
            <w:pPr>
              <w:widowControl w:val="0"/>
              <w:autoSpaceDE w:val="0"/>
              <w:autoSpaceDN w:val="0"/>
              <w:adjustRightInd w:val="0"/>
              <w:spacing w:line="240" w:lineRule="auto"/>
              <w:jc w:val="left"/>
              <w:rPr>
                <w:color w:val="000000" w:themeColor="text1"/>
                <w:sz w:val="22"/>
                <w:lang w:val="en-US"/>
              </w:rPr>
            </w:pPr>
            <w:r w:rsidRPr="007115F2">
              <w:rPr>
                <w:color w:val="000000" w:themeColor="text1"/>
                <w:sz w:val="22"/>
              </w:rPr>
              <w:t>2016</w:t>
            </w:r>
          </w:p>
        </w:tc>
        <w:tc>
          <w:tcPr>
            <w:tcW w:w="2120" w:type="dxa"/>
            <w:tcBorders>
              <w:top w:val="nil"/>
              <w:left w:val="nil"/>
              <w:bottom w:val="nil"/>
              <w:right w:val="nil"/>
            </w:tcBorders>
            <w:shd w:val="clear" w:color="auto" w:fill="auto"/>
            <w:vAlign w:val="center"/>
          </w:tcPr>
          <w:p w14:paraId="25C167DB"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36</w:t>
            </w:r>
          </w:p>
        </w:tc>
        <w:tc>
          <w:tcPr>
            <w:tcW w:w="2120" w:type="dxa"/>
            <w:tcBorders>
              <w:top w:val="nil"/>
              <w:left w:val="nil"/>
              <w:bottom w:val="nil"/>
              <w:right w:val="nil"/>
            </w:tcBorders>
            <w:shd w:val="clear" w:color="auto" w:fill="auto"/>
            <w:vAlign w:val="center"/>
          </w:tcPr>
          <w:p w14:paraId="07BA14D4"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14.81</w:t>
            </w:r>
          </w:p>
        </w:tc>
        <w:tc>
          <w:tcPr>
            <w:tcW w:w="2121" w:type="dxa"/>
            <w:tcBorders>
              <w:top w:val="nil"/>
              <w:left w:val="nil"/>
              <w:bottom w:val="nil"/>
              <w:right w:val="nil"/>
            </w:tcBorders>
            <w:shd w:val="clear" w:color="auto" w:fill="auto"/>
            <w:vAlign w:val="center"/>
          </w:tcPr>
          <w:p w14:paraId="08BDBB72"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50.21</w:t>
            </w:r>
          </w:p>
        </w:tc>
      </w:tr>
      <w:tr w:rsidR="003156EF" w:rsidRPr="007115F2" w14:paraId="4D209E97" w14:textId="77777777" w:rsidTr="00C82841">
        <w:trPr>
          <w:trHeight w:val="283"/>
        </w:trPr>
        <w:tc>
          <w:tcPr>
            <w:tcW w:w="3563" w:type="dxa"/>
            <w:tcBorders>
              <w:top w:val="nil"/>
              <w:left w:val="nil"/>
              <w:bottom w:val="nil"/>
              <w:right w:val="nil"/>
            </w:tcBorders>
            <w:vAlign w:val="center"/>
          </w:tcPr>
          <w:p w14:paraId="571EC755" w14:textId="77777777" w:rsidR="003156EF" w:rsidRPr="007115F2" w:rsidRDefault="003156EF" w:rsidP="00AB066F">
            <w:pPr>
              <w:widowControl w:val="0"/>
              <w:autoSpaceDE w:val="0"/>
              <w:autoSpaceDN w:val="0"/>
              <w:adjustRightInd w:val="0"/>
              <w:spacing w:line="240" w:lineRule="auto"/>
              <w:jc w:val="left"/>
              <w:rPr>
                <w:color w:val="000000" w:themeColor="text1"/>
                <w:sz w:val="22"/>
                <w:lang w:val="en-US"/>
              </w:rPr>
            </w:pPr>
            <w:r w:rsidRPr="007115F2">
              <w:rPr>
                <w:color w:val="000000" w:themeColor="text1"/>
                <w:sz w:val="22"/>
              </w:rPr>
              <w:t>2017</w:t>
            </w:r>
          </w:p>
        </w:tc>
        <w:tc>
          <w:tcPr>
            <w:tcW w:w="2120" w:type="dxa"/>
            <w:tcBorders>
              <w:top w:val="nil"/>
              <w:left w:val="nil"/>
              <w:bottom w:val="nil"/>
              <w:right w:val="nil"/>
            </w:tcBorders>
            <w:shd w:val="clear" w:color="auto" w:fill="auto"/>
            <w:vAlign w:val="center"/>
          </w:tcPr>
          <w:p w14:paraId="52D1F74C"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22</w:t>
            </w:r>
          </w:p>
        </w:tc>
        <w:tc>
          <w:tcPr>
            <w:tcW w:w="2120" w:type="dxa"/>
            <w:tcBorders>
              <w:top w:val="nil"/>
              <w:left w:val="nil"/>
              <w:bottom w:val="nil"/>
              <w:right w:val="nil"/>
            </w:tcBorders>
            <w:shd w:val="clear" w:color="auto" w:fill="auto"/>
            <w:vAlign w:val="center"/>
          </w:tcPr>
          <w:p w14:paraId="5C08FC45"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9.05</w:t>
            </w:r>
          </w:p>
        </w:tc>
        <w:tc>
          <w:tcPr>
            <w:tcW w:w="2121" w:type="dxa"/>
            <w:tcBorders>
              <w:top w:val="nil"/>
              <w:left w:val="nil"/>
              <w:bottom w:val="nil"/>
              <w:right w:val="nil"/>
            </w:tcBorders>
            <w:shd w:val="clear" w:color="auto" w:fill="auto"/>
            <w:vAlign w:val="center"/>
          </w:tcPr>
          <w:p w14:paraId="5FC2BEDA"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59.26</w:t>
            </w:r>
          </w:p>
        </w:tc>
      </w:tr>
      <w:tr w:rsidR="003156EF" w:rsidRPr="007115F2" w14:paraId="208452B4" w14:textId="77777777" w:rsidTr="00C82841">
        <w:trPr>
          <w:trHeight w:val="283"/>
        </w:trPr>
        <w:tc>
          <w:tcPr>
            <w:tcW w:w="3563" w:type="dxa"/>
            <w:tcBorders>
              <w:top w:val="nil"/>
              <w:left w:val="nil"/>
              <w:bottom w:val="nil"/>
              <w:right w:val="nil"/>
            </w:tcBorders>
            <w:vAlign w:val="center"/>
          </w:tcPr>
          <w:p w14:paraId="7770E82F" w14:textId="77777777" w:rsidR="003156EF" w:rsidRPr="007115F2" w:rsidRDefault="003156EF" w:rsidP="00AB066F">
            <w:pPr>
              <w:widowControl w:val="0"/>
              <w:autoSpaceDE w:val="0"/>
              <w:autoSpaceDN w:val="0"/>
              <w:adjustRightInd w:val="0"/>
              <w:spacing w:line="240" w:lineRule="auto"/>
              <w:jc w:val="left"/>
              <w:rPr>
                <w:color w:val="000000" w:themeColor="text1"/>
                <w:sz w:val="22"/>
                <w:lang w:val="en-US"/>
              </w:rPr>
            </w:pPr>
            <w:r w:rsidRPr="007115F2">
              <w:rPr>
                <w:color w:val="000000" w:themeColor="text1"/>
                <w:sz w:val="22"/>
              </w:rPr>
              <w:t>2018</w:t>
            </w:r>
          </w:p>
        </w:tc>
        <w:tc>
          <w:tcPr>
            <w:tcW w:w="2120" w:type="dxa"/>
            <w:tcBorders>
              <w:top w:val="nil"/>
              <w:left w:val="nil"/>
              <w:bottom w:val="nil"/>
              <w:right w:val="nil"/>
            </w:tcBorders>
            <w:shd w:val="clear" w:color="auto" w:fill="auto"/>
            <w:vAlign w:val="center"/>
          </w:tcPr>
          <w:p w14:paraId="41885167"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22</w:t>
            </w:r>
          </w:p>
        </w:tc>
        <w:tc>
          <w:tcPr>
            <w:tcW w:w="2120" w:type="dxa"/>
            <w:tcBorders>
              <w:top w:val="nil"/>
              <w:left w:val="nil"/>
              <w:bottom w:val="nil"/>
              <w:right w:val="nil"/>
            </w:tcBorders>
            <w:shd w:val="clear" w:color="auto" w:fill="auto"/>
            <w:vAlign w:val="center"/>
          </w:tcPr>
          <w:p w14:paraId="25A7BFDA"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9.05</w:t>
            </w:r>
          </w:p>
        </w:tc>
        <w:tc>
          <w:tcPr>
            <w:tcW w:w="2121" w:type="dxa"/>
            <w:tcBorders>
              <w:top w:val="nil"/>
              <w:left w:val="nil"/>
              <w:bottom w:val="nil"/>
              <w:right w:val="nil"/>
            </w:tcBorders>
            <w:shd w:val="clear" w:color="auto" w:fill="auto"/>
            <w:vAlign w:val="center"/>
          </w:tcPr>
          <w:p w14:paraId="2F77C319"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68.31</w:t>
            </w:r>
          </w:p>
        </w:tc>
      </w:tr>
      <w:tr w:rsidR="003156EF" w:rsidRPr="007115F2" w14:paraId="6CC6F4FA" w14:textId="77777777" w:rsidTr="00C82841">
        <w:trPr>
          <w:trHeight w:val="283"/>
        </w:trPr>
        <w:tc>
          <w:tcPr>
            <w:tcW w:w="3563" w:type="dxa"/>
            <w:tcBorders>
              <w:top w:val="nil"/>
              <w:left w:val="nil"/>
              <w:bottom w:val="nil"/>
              <w:right w:val="nil"/>
            </w:tcBorders>
            <w:vAlign w:val="center"/>
          </w:tcPr>
          <w:p w14:paraId="0F6574D9" w14:textId="77777777" w:rsidR="003156EF" w:rsidRPr="007115F2" w:rsidRDefault="003156EF" w:rsidP="00AB066F">
            <w:pPr>
              <w:widowControl w:val="0"/>
              <w:autoSpaceDE w:val="0"/>
              <w:autoSpaceDN w:val="0"/>
              <w:adjustRightInd w:val="0"/>
              <w:spacing w:line="240" w:lineRule="auto"/>
              <w:jc w:val="left"/>
              <w:rPr>
                <w:color w:val="000000" w:themeColor="text1"/>
                <w:sz w:val="22"/>
                <w:lang w:val="en-US"/>
              </w:rPr>
            </w:pPr>
            <w:r w:rsidRPr="007115F2">
              <w:rPr>
                <w:color w:val="000000" w:themeColor="text1"/>
                <w:sz w:val="22"/>
              </w:rPr>
              <w:t>2019</w:t>
            </w:r>
          </w:p>
        </w:tc>
        <w:tc>
          <w:tcPr>
            <w:tcW w:w="2120" w:type="dxa"/>
            <w:tcBorders>
              <w:top w:val="nil"/>
              <w:left w:val="nil"/>
              <w:bottom w:val="nil"/>
              <w:right w:val="nil"/>
            </w:tcBorders>
            <w:shd w:val="clear" w:color="auto" w:fill="auto"/>
            <w:vAlign w:val="center"/>
          </w:tcPr>
          <w:p w14:paraId="424057D0"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23</w:t>
            </w:r>
          </w:p>
        </w:tc>
        <w:tc>
          <w:tcPr>
            <w:tcW w:w="2120" w:type="dxa"/>
            <w:tcBorders>
              <w:top w:val="nil"/>
              <w:left w:val="nil"/>
              <w:bottom w:val="nil"/>
              <w:right w:val="nil"/>
            </w:tcBorders>
            <w:shd w:val="clear" w:color="auto" w:fill="auto"/>
            <w:vAlign w:val="center"/>
          </w:tcPr>
          <w:p w14:paraId="39759C22"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9.47</w:t>
            </w:r>
          </w:p>
        </w:tc>
        <w:tc>
          <w:tcPr>
            <w:tcW w:w="2121" w:type="dxa"/>
            <w:tcBorders>
              <w:top w:val="nil"/>
              <w:left w:val="nil"/>
              <w:bottom w:val="nil"/>
              <w:right w:val="nil"/>
            </w:tcBorders>
            <w:shd w:val="clear" w:color="auto" w:fill="auto"/>
            <w:vAlign w:val="center"/>
          </w:tcPr>
          <w:p w14:paraId="6FF38875"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77.78</w:t>
            </w:r>
          </w:p>
        </w:tc>
      </w:tr>
      <w:tr w:rsidR="003156EF" w:rsidRPr="007115F2" w14:paraId="5C64EE84" w14:textId="77777777" w:rsidTr="00C82841">
        <w:trPr>
          <w:trHeight w:val="283"/>
        </w:trPr>
        <w:tc>
          <w:tcPr>
            <w:tcW w:w="3563" w:type="dxa"/>
            <w:tcBorders>
              <w:top w:val="nil"/>
              <w:left w:val="nil"/>
              <w:bottom w:val="nil"/>
              <w:right w:val="nil"/>
            </w:tcBorders>
            <w:vAlign w:val="center"/>
          </w:tcPr>
          <w:p w14:paraId="27B0FA0E" w14:textId="77777777" w:rsidR="003156EF" w:rsidRPr="007115F2" w:rsidRDefault="003156EF" w:rsidP="00AB066F">
            <w:pPr>
              <w:widowControl w:val="0"/>
              <w:autoSpaceDE w:val="0"/>
              <w:autoSpaceDN w:val="0"/>
              <w:adjustRightInd w:val="0"/>
              <w:spacing w:line="240" w:lineRule="auto"/>
              <w:jc w:val="left"/>
              <w:rPr>
                <w:color w:val="000000" w:themeColor="text1"/>
                <w:sz w:val="22"/>
                <w:lang w:val="en-US"/>
              </w:rPr>
            </w:pPr>
            <w:r w:rsidRPr="007115F2">
              <w:rPr>
                <w:color w:val="000000" w:themeColor="text1"/>
                <w:sz w:val="22"/>
              </w:rPr>
              <w:t>2020</w:t>
            </w:r>
          </w:p>
        </w:tc>
        <w:tc>
          <w:tcPr>
            <w:tcW w:w="2120" w:type="dxa"/>
            <w:tcBorders>
              <w:top w:val="nil"/>
              <w:left w:val="nil"/>
              <w:bottom w:val="nil"/>
              <w:right w:val="nil"/>
            </w:tcBorders>
            <w:shd w:val="clear" w:color="auto" w:fill="auto"/>
            <w:vAlign w:val="center"/>
          </w:tcPr>
          <w:p w14:paraId="4B75BFD4"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21</w:t>
            </w:r>
          </w:p>
        </w:tc>
        <w:tc>
          <w:tcPr>
            <w:tcW w:w="2120" w:type="dxa"/>
            <w:tcBorders>
              <w:top w:val="nil"/>
              <w:left w:val="nil"/>
              <w:bottom w:val="nil"/>
              <w:right w:val="nil"/>
            </w:tcBorders>
            <w:shd w:val="clear" w:color="auto" w:fill="auto"/>
            <w:vAlign w:val="center"/>
          </w:tcPr>
          <w:p w14:paraId="7F4D128F"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8.64</w:t>
            </w:r>
          </w:p>
        </w:tc>
        <w:tc>
          <w:tcPr>
            <w:tcW w:w="2121" w:type="dxa"/>
            <w:tcBorders>
              <w:top w:val="nil"/>
              <w:left w:val="nil"/>
              <w:bottom w:val="nil"/>
              <w:right w:val="nil"/>
            </w:tcBorders>
            <w:shd w:val="clear" w:color="auto" w:fill="auto"/>
            <w:vAlign w:val="center"/>
          </w:tcPr>
          <w:p w14:paraId="4ACE0364"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86.42</w:t>
            </w:r>
          </w:p>
        </w:tc>
      </w:tr>
      <w:tr w:rsidR="003156EF" w:rsidRPr="007115F2" w14:paraId="3A678DDF" w14:textId="77777777" w:rsidTr="00C82841">
        <w:trPr>
          <w:trHeight w:val="283"/>
        </w:trPr>
        <w:tc>
          <w:tcPr>
            <w:tcW w:w="3563" w:type="dxa"/>
            <w:tcBorders>
              <w:top w:val="nil"/>
              <w:left w:val="nil"/>
              <w:bottom w:val="nil"/>
              <w:right w:val="nil"/>
            </w:tcBorders>
            <w:vAlign w:val="center"/>
          </w:tcPr>
          <w:p w14:paraId="271F19F8" w14:textId="77777777" w:rsidR="003156EF" w:rsidRPr="007115F2" w:rsidRDefault="003156EF" w:rsidP="00AB066F">
            <w:pPr>
              <w:widowControl w:val="0"/>
              <w:autoSpaceDE w:val="0"/>
              <w:autoSpaceDN w:val="0"/>
              <w:adjustRightInd w:val="0"/>
              <w:spacing w:line="240" w:lineRule="auto"/>
              <w:jc w:val="left"/>
              <w:rPr>
                <w:color w:val="000000" w:themeColor="text1"/>
                <w:sz w:val="22"/>
                <w:lang w:val="en-US"/>
              </w:rPr>
            </w:pPr>
            <w:r w:rsidRPr="007115F2">
              <w:rPr>
                <w:color w:val="000000" w:themeColor="text1"/>
                <w:sz w:val="22"/>
              </w:rPr>
              <w:t>2021</w:t>
            </w:r>
          </w:p>
        </w:tc>
        <w:tc>
          <w:tcPr>
            <w:tcW w:w="2120" w:type="dxa"/>
            <w:tcBorders>
              <w:top w:val="nil"/>
              <w:left w:val="nil"/>
              <w:bottom w:val="nil"/>
              <w:right w:val="nil"/>
            </w:tcBorders>
            <w:shd w:val="clear" w:color="auto" w:fill="auto"/>
            <w:vAlign w:val="center"/>
          </w:tcPr>
          <w:p w14:paraId="6F33F4AA"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33</w:t>
            </w:r>
          </w:p>
        </w:tc>
        <w:tc>
          <w:tcPr>
            <w:tcW w:w="2120" w:type="dxa"/>
            <w:tcBorders>
              <w:top w:val="nil"/>
              <w:left w:val="nil"/>
              <w:bottom w:val="nil"/>
              <w:right w:val="nil"/>
            </w:tcBorders>
            <w:shd w:val="clear" w:color="auto" w:fill="auto"/>
            <w:vAlign w:val="center"/>
          </w:tcPr>
          <w:p w14:paraId="373E1917"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13.58</w:t>
            </w:r>
          </w:p>
        </w:tc>
        <w:tc>
          <w:tcPr>
            <w:tcW w:w="2121" w:type="dxa"/>
            <w:tcBorders>
              <w:top w:val="nil"/>
              <w:left w:val="nil"/>
              <w:bottom w:val="nil"/>
              <w:right w:val="nil"/>
            </w:tcBorders>
            <w:shd w:val="clear" w:color="auto" w:fill="auto"/>
            <w:vAlign w:val="center"/>
          </w:tcPr>
          <w:p w14:paraId="64556098" w14:textId="77777777" w:rsidR="003156EF" w:rsidRPr="007115F2" w:rsidRDefault="003156EF" w:rsidP="00AB066F">
            <w:pPr>
              <w:widowControl w:val="0"/>
              <w:autoSpaceDE w:val="0"/>
              <w:autoSpaceDN w:val="0"/>
              <w:adjustRightInd w:val="0"/>
              <w:spacing w:line="240" w:lineRule="auto"/>
              <w:jc w:val="center"/>
              <w:rPr>
                <w:color w:val="000000" w:themeColor="text1"/>
                <w:sz w:val="22"/>
              </w:rPr>
            </w:pPr>
            <w:r w:rsidRPr="007115F2">
              <w:rPr>
                <w:color w:val="000000" w:themeColor="text1"/>
                <w:sz w:val="22"/>
              </w:rPr>
              <w:t>100.00</w:t>
            </w:r>
          </w:p>
        </w:tc>
      </w:tr>
      <w:tr w:rsidR="003156EF" w:rsidRPr="007115F2" w14:paraId="557624E4" w14:textId="77777777" w:rsidTr="00C82841">
        <w:trPr>
          <w:trHeight w:val="283"/>
        </w:trPr>
        <w:tc>
          <w:tcPr>
            <w:tcW w:w="3563" w:type="dxa"/>
            <w:tcBorders>
              <w:top w:val="nil"/>
              <w:left w:val="nil"/>
              <w:bottom w:val="single" w:sz="4" w:space="0" w:color="auto"/>
              <w:right w:val="nil"/>
            </w:tcBorders>
            <w:vAlign w:val="center"/>
          </w:tcPr>
          <w:p w14:paraId="31BA7802" w14:textId="77777777" w:rsidR="003156EF" w:rsidRPr="007115F2" w:rsidRDefault="003156EF" w:rsidP="00AB066F">
            <w:pPr>
              <w:widowControl w:val="0"/>
              <w:autoSpaceDE w:val="0"/>
              <w:autoSpaceDN w:val="0"/>
              <w:adjustRightInd w:val="0"/>
              <w:spacing w:line="240" w:lineRule="auto"/>
              <w:jc w:val="left"/>
              <w:rPr>
                <w:b/>
                <w:bCs/>
                <w:color w:val="000000" w:themeColor="text1"/>
                <w:sz w:val="22"/>
                <w:lang w:val="en-US"/>
              </w:rPr>
            </w:pPr>
            <w:r w:rsidRPr="007115F2">
              <w:rPr>
                <w:b/>
                <w:bCs/>
                <w:color w:val="000000" w:themeColor="text1"/>
                <w:sz w:val="22"/>
              </w:rPr>
              <w:t>Total</w:t>
            </w:r>
          </w:p>
        </w:tc>
        <w:tc>
          <w:tcPr>
            <w:tcW w:w="2120" w:type="dxa"/>
            <w:tcBorders>
              <w:top w:val="nil"/>
              <w:left w:val="nil"/>
              <w:bottom w:val="single" w:sz="4" w:space="0" w:color="auto"/>
              <w:right w:val="nil"/>
            </w:tcBorders>
            <w:shd w:val="clear" w:color="auto" w:fill="auto"/>
            <w:vAlign w:val="center"/>
          </w:tcPr>
          <w:p w14:paraId="599AAFF4" w14:textId="77777777" w:rsidR="003156EF" w:rsidRPr="007115F2" w:rsidRDefault="003156EF" w:rsidP="00AB066F">
            <w:pPr>
              <w:widowControl w:val="0"/>
              <w:autoSpaceDE w:val="0"/>
              <w:autoSpaceDN w:val="0"/>
              <w:adjustRightInd w:val="0"/>
              <w:spacing w:line="240" w:lineRule="auto"/>
              <w:jc w:val="center"/>
              <w:rPr>
                <w:b/>
                <w:bCs/>
                <w:color w:val="000000" w:themeColor="text1"/>
                <w:sz w:val="22"/>
              </w:rPr>
            </w:pPr>
            <w:r w:rsidRPr="007115F2">
              <w:rPr>
                <w:b/>
                <w:bCs/>
                <w:color w:val="000000" w:themeColor="text1"/>
                <w:sz w:val="22"/>
              </w:rPr>
              <w:t>243</w:t>
            </w:r>
          </w:p>
        </w:tc>
        <w:tc>
          <w:tcPr>
            <w:tcW w:w="2120" w:type="dxa"/>
            <w:tcBorders>
              <w:top w:val="nil"/>
              <w:left w:val="nil"/>
              <w:bottom w:val="single" w:sz="4" w:space="0" w:color="auto"/>
              <w:right w:val="nil"/>
            </w:tcBorders>
            <w:shd w:val="clear" w:color="auto" w:fill="auto"/>
            <w:vAlign w:val="center"/>
          </w:tcPr>
          <w:p w14:paraId="1E5D0B92" w14:textId="77777777" w:rsidR="003156EF" w:rsidRPr="007115F2" w:rsidRDefault="003156EF" w:rsidP="00AB066F">
            <w:pPr>
              <w:widowControl w:val="0"/>
              <w:autoSpaceDE w:val="0"/>
              <w:autoSpaceDN w:val="0"/>
              <w:adjustRightInd w:val="0"/>
              <w:spacing w:line="240" w:lineRule="auto"/>
              <w:jc w:val="center"/>
              <w:rPr>
                <w:b/>
                <w:bCs/>
                <w:color w:val="000000" w:themeColor="text1"/>
                <w:sz w:val="22"/>
              </w:rPr>
            </w:pPr>
            <w:r w:rsidRPr="007115F2">
              <w:rPr>
                <w:b/>
                <w:bCs/>
                <w:color w:val="000000" w:themeColor="text1"/>
                <w:sz w:val="22"/>
              </w:rPr>
              <w:t>100.00</w:t>
            </w:r>
          </w:p>
        </w:tc>
        <w:tc>
          <w:tcPr>
            <w:tcW w:w="2121" w:type="dxa"/>
            <w:tcBorders>
              <w:top w:val="nil"/>
              <w:left w:val="nil"/>
              <w:bottom w:val="single" w:sz="4" w:space="0" w:color="auto"/>
              <w:right w:val="nil"/>
            </w:tcBorders>
            <w:shd w:val="clear" w:color="auto" w:fill="auto"/>
            <w:vAlign w:val="center"/>
          </w:tcPr>
          <w:p w14:paraId="7291910A" w14:textId="77777777" w:rsidR="003156EF" w:rsidRPr="007115F2" w:rsidRDefault="003156EF" w:rsidP="00AB066F">
            <w:pPr>
              <w:widowControl w:val="0"/>
              <w:autoSpaceDE w:val="0"/>
              <w:autoSpaceDN w:val="0"/>
              <w:adjustRightInd w:val="0"/>
              <w:spacing w:line="240" w:lineRule="auto"/>
              <w:jc w:val="center"/>
              <w:rPr>
                <w:b/>
                <w:bCs/>
                <w:color w:val="000000" w:themeColor="text1"/>
                <w:sz w:val="22"/>
              </w:rPr>
            </w:pPr>
            <w:r w:rsidRPr="007115F2">
              <w:rPr>
                <w:b/>
                <w:bCs/>
                <w:color w:val="000000" w:themeColor="text1"/>
                <w:sz w:val="22"/>
              </w:rPr>
              <w:t>100.00</w:t>
            </w:r>
          </w:p>
        </w:tc>
      </w:tr>
      <w:tr w:rsidR="003156EF" w:rsidRPr="00BE5632" w14:paraId="273CC65C" w14:textId="77777777" w:rsidTr="00C82841">
        <w:trPr>
          <w:trHeight w:val="283"/>
        </w:trPr>
        <w:tc>
          <w:tcPr>
            <w:tcW w:w="9924" w:type="dxa"/>
            <w:gridSpan w:val="4"/>
            <w:tcBorders>
              <w:top w:val="single" w:sz="4" w:space="0" w:color="auto"/>
              <w:left w:val="nil"/>
              <w:right w:val="nil"/>
            </w:tcBorders>
            <w:vAlign w:val="bottom"/>
          </w:tcPr>
          <w:p w14:paraId="30722D33" w14:textId="77777777" w:rsidR="003156EF" w:rsidRPr="007115F2" w:rsidRDefault="003156EF" w:rsidP="00D137E4">
            <w:pPr>
              <w:widowControl w:val="0"/>
              <w:autoSpaceDE w:val="0"/>
              <w:autoSpaceDN w:val="0"/>
              <w:adjustRightInd w:val="0"/>
              <w:spacing w:line="240" w:lineRule="auto"/>
              <w:rPr>
                <w:color w:val="000000" w:themeColor="text1"/>
                <w:sz w:val="22"/>
                <w:lang w:val="en-US"/>
              </w:rPr>
            </w:pPr>
            <w:r w:rsidRPr="007115F2">
              <w:rPr>
                <w:i/>
                <w:iCs/>
                <w:color w:val="000000" w:themeColor="text1"/>
                <w:sz w:val="22"/>
                <w:lang w:val="en-US"/>
              </w:rPr>
              <w:t>Note</w:t>
            </w:r>
            <w:r w:rsidRPr="007115F2">
              <w:rPr>
                <w:color w:val="000000" w:themeColor="text1"/>
                <w:sz w:val="22"/>
                <w:lang w:val="en-US"/>
              </w:rPr>
              <w:t>. This table presents the number of deals per year. The descriptive statistics are based on 243 deal observations for the years 2008 to 2021.</w:t>
            </w:r>
          </w:p>
        </w:tc>
      </w:tr>
    </w:tbl>
    <w:p w14:paraId="69DFE6FB" w14:textId="77777777" w:rsidR="0011734B" w:rsidRDefault="0011734B" w:rsidP="00D137E4">
      <w:pPr>
        <w:spacing w:after="160" w:line="259" w:lineRule="auto"/>
        <w:rPr>
          <w:rFonts w:eastAsiaTheme="majorEastAsia" w:cstheme="majorBidi"/>
          <w:b/>
          <w:caps/>
          <w:szCs w:val="32"/>
          <w:lang w:val="en-US"/>
        </w:rPr>
      </w:pPr>
      <w:r w:rsidRPr="006B1B51">
        <w:rPr>
          <w:lang w:val="en-US"/>
        </w:rPr>
        <w:br w:type="page"/>
      </w:r>
    </w:p>
    <w:p w14:paraId="45DA0077" w14:textId="31BE3ABB" w:rsidR="0011734B" w:rsidRDefault="003156EF" w:rsidP="0011734B">
      <w:pPr>
        <w:pStyle w:val="1fake"/>
      </w:pPr>
      <w:r w:rsidRPr="000C4487">
        <w:lastRenderedPageBreak/>
        <w:t>Table 3</w:t>
      </w:r>
    </w:p>
    <w:p w14:paraId="4164136A" w14:textId="0CBF9223" w:rsidR="00106E8D" w:rsidRPr="000C4487" w:rsidRDefault="00106E8D" w:rsidP="00106E8D">
      <w:pPr>
        <w:pStyle w:val="Beschriftung"/>
      </w:pPr>
      <w:bookmarkStart w:id="610" w:name="_Toc180594839"/>
      <w:r>
        <w:t xml:space="preserve">T - III - </w:t>
      </w:r>
      <w:r>
        <w:fldChar w:fldCharType="begin"/>
      </w:r>
      <w:r w:rsidRPr="007115F2">
        <w:instrText xml:space="preserve"> SEQ T_-_III_- \* ARABIC </w:instrText>
      </w:r>
      <w:r>
        <w:fldChar w:fldCharType="separate"/>
      </w:r>
      <w:r w:rsidR="00E91088">
        <w:rPr>
          <w:noProof/>
        </w:rPr>
        <w:t>3</w:t>
      </w:r>
      <w:r>
        <w:fldChar w:fldCharType="end"/>
      </w:r>
      <w:r>
        <w:t xml:space="preserve">: </w:t>
      </w:r>
      <w:r w:rsidRPr="00221645">
        <w:t>Descriptive statistics</w:t>
      </w:r>
      <w:bookmarkEnd w:id="610"/>
    </w:p>
    <w:tbl>
      <w:tblPr>
        <w:tblW w:w="9072" w:type="dxa"/>
        <w:tblLayout w:type="fixed"/>
        <w:tblLook w:val="0000" w:firstRow="0" w:lastRow="0" w:firstColumn="0" w:lastColumn="0" w:noHBand="0" w:noVBand="0"/>
      </w:tblPr>
      <w:tblGrid>
        <w:gridCol w:w="3340"/>
        <w:gridCol w:w="604"/>
        <w:gridCol w:w="1282"/>
        <w:gridCol w:w="1282"/>
        <w:gridCol w:w="1282"/>
        <w:gridCol w:w="1282"/>
      </w:tblGrid>
      <w:tr w:rsidR="003156EF" w:rsidRPr="007115F2" w14:paraId="0AE68E68" w14:textId="77777777" w:rsidTr="00C82841">
        <w:tc>
          <w:tcPr>
            <w:tcW w:w="3340" w:type="dxa"/>
            <w:tcBorders>
              <w:top w:val="single" w:sz="4" w:space="0" w:color="auto"/>
              <w:left w:val="nil"/>
              <w:bottom w:val="single" w:sz="10" w:space="0" w:color="auto"/>
              <w:right w:val="nil"/>
            </w:tcBorders>
          </w:tcPr>
          <w:p w14:paraId="2DC7FBAE" w14:textId="77777777" w:rsidR="003156EF" w:rsidRPr="007115F2" w:rsidRDefault="003156EF" w:rsidP="00AB066F">
            <w:pPr>
              <w:widowControl w:val="0"/>
              <w:autoSpaceDE w:val="0"/>
              <w:autoSpaceDN w:val="0"/>
              <w:adjustRightInd w:val="0"/>
              <w:spacing w:line="240" w:lineRule="auto"/>
              <w:rPr>
                <w:b/>
                <w:bCs/>
                <w:color w:val="000000" w:themeColor="text1"/>
                <w:sz w:val="22"/>
                <w:lang w:val="en-US"/>
              </w:rPr>
            </w:pPr>
            <w:r w:rsidRPr="007115F2">
              <w:rPr>
                <w:b/>
                <w:bCs/>
                <w:color w:val="000000" w:themeColor="text1"/>
                <w:sz w:val="22"/>
                <w:lang w:val="en-US"/>
              </w:rPr>
              <w:t>Variable</w:t>
            </w:r>
          </w:p>
        </w:tc>
        <w:tc>
          <w:tcPr>
            <w:tcW w:w="604" w:type="dxa"/>
            <w:tcBorders>
              <w:top w:val="single" w:sz="4" w:space="0" w:color="auto"/>
              <w:left w:val="nil"/>
              <w:bottom w:val="single" w:sz="10" w:space="0" w:color="auto"/>
              <w:right w:val="nil"/>
            </w:tcBorders>
          </w:tcPr>
          <w:p w14:paraId="6C0F0B43" w14:textId="77777777" w:rsidR="003156EF" w:rsidRPr="007115F2" w:rsidRDefault="003156EF" w:rsidP="00AB066F">
            <w:pPr>
              <w:widowControl w:val="0"/>
              <w:autoSpaceDE w:val="0"/>
              <w:autoSpaceDN w:val="0"/>
              <w:adjustRightInd w:val="0"/>
              <w:spacing w:line="240" w:lineRule="auto"/>
              <w:jc w:val="right"/>
              <w:rPr>
                <w:b/>
                <w:bCs/>
                <w:i/>
                <w:iCs/>
                <w:color w:val="000000" w:themeColor="text1"/>
                <w:sz w:val="22"/>
                <w:lang w:val="en-US"/>
              </w:rPr>
            </w:pPr>
            <w:r w:rsidRPr="007115F2">
              <w:rPr>
                <w:b/>
                <w:bCs/>
                <w:i/>
                <w:iCs/>
                <w:color w:val="000000" w:themeColor="text1"/>
                <w:sz w:val="22"/>
                <w:lang w:val="en-US"/>
              </w:rPr>
              <w:t xml:space="preserve"> N</w:t>
            </w:r>
          </w:p>
        </w:tc>
        <w:tc>
          <w:tcPr>
            <w:tcW w:w="1282" w:type="dxa"/>
            <w:tcBorders>
              <w:top w:val="single" w:sz="4" w:space="0" w:color="auto"/>
              <w:left w:val="nil"/>
              <w:bottom w:val="single" w:sz="10" w:space="0" w:color="auto"/>
              <w:right w:val="nil"/>
            </w:tcBorders>
          </w:tcPr>
          <w:p w14:paraId="18300D5E" w14:textId="77777777" w:rsidR="003156EF" w:rsidRPr="007115F2" w:rsidRDefault="003156EF" w:rsidP="00AB066F">
            <w:pPr>
              <w:widowControl w:val="0"/>
              <w:autoSpaceDE w:val="0"/>
              <w:autoSpaceDN w:val="0"/>
              <w:adjustRightInd w:val="0"/>
              <w:spacing w:line="240" w:lineRule="auto"/>
              <w:jc w:val="right"/>
              <w:rPr>
                <w:b/>
                <w:bCs/>
                <w:i/>
                <w:iCs/>
                <w:color w:val="000000" w:themeColor="text1"/>
                <w:sz w:val="22"/>
                <w:lang w:val="en-US"/>
              </w:rPr>
            </w:pPr>
            <w:r w:rsidRPr="007115F2">
              <w:rPr>
                <w:b/>
                <w:bCs/>
                <w:i/>
                <w:iCs/>
                <w:color w:val="000000" w:themeColor="text1"/>
                <w:sz w:val="22"/>
                <w:lang w:val="en-US"/>
              </w:rPr>
              <w:t xml:space="preserve"> M</w:t>
            </w:r>
          </w:p>
        </w:tc>
        <w:tc>
          <w:tcPr>
            <w:tcW w:w="1282" w:type="dxa"/>
            <w:tcBorders>
              <w:top w:val="single" w:sz="4" w:space="0" w:color="auto"/>
              <w:left w:val="nil"/>
              <w:bottom w:val="single" w:sz="10" w:space="0" w:color="auto"/>
              <w:right w:val="nil"/>
            </w:tcBorders>
          </w:tcPr>
          <w:p w14:paraId="067D84BA" w14:textId="77777777" w:rsidR="003156EF" w:rsidRPr="007115F2" w:rsidRDefault="003156EF" w:rsidP="00AB066F">
            <w:pPr>
              <w:widowControl w:val="0"/>
              <w:autoSpaceDE w:val="0"/>
              <w:autoSpaceDN w:val="0"/>
              <w:adjustRightInd w:val="0"/>
              <w:spacing w:line="240" w:lineRule="auto"/>
              <w:jc w:val="right"/>
              <w:rPr>
                <w:b/>
                <w:bCs/>
                <w:i/>
                <w:iCs/>
                <w:color w:val="000000" w:themeColor="text1"/>
                <w:sz w:val="22"/>
                <w:lang w:val="en-US"/>
              </w:rPr>
            </w:pPr>
            <w:r w:rsidRPr="007115F2">
              <w:rPr>
                <w:b/>
                <w:bCs/>
                <w:i/>
                <w:iCs/>
                <w:color w:val="000000" w:themeColor="text1"/>
                <w:sz w:val="22"/>
                <w:lang w:val="en-US"/>
              </w:rPr>
              <w:t xml:space="preserve"> SD</w:t>
            </w:r>
          </w:p>
        </w:tc>
        <w:tc>
          <w:tcPr>
            <w:tcW w:w="1282" w:type="dxa"/>
            <w:tcBorders>
              <w:top w:val="single" w:sz="4" w:space="0" w:color="auto"/>
              <w:left w:val="nil"/>
              <w:bottom w:val="single" w:sz="10" w:space="0" w:color="auto"/>
              <w:right w:val="nil"/>
            </w:tcBorders>
          </w:tcPr>
          <w:p w14:paraId="1859822E" w14:textId="77777777" w:rsidR="003156EF" w:rsidRPr="007115F2" w:rsidRDefault="003156EF" w:rsidP="00AB066F">
            <w:pPr>
              <w:widowControl w:val="0"/>
              <w:autoSpaceDE w:val="0"/>
              <w:autoSpaceDN w:val="0"/>
              <w:adjustRightInd w:val="0"/>
              <w:spacing w:line="240" w:lineRule="auto"/>
              <w:jc w:val="right"/>
              <w:rPr>
                <w:b/>
                <w:bCs/>
                <w:color w:val="000000" w:themeColor="text1"/>
                <w:sz w:val="22"/>
                <w:lang w:val="en-US"/>
              </w:rPr>
            </w:pPr>
            <w:r w:rsidRPr="007115F2">
              <w:rPr>
                <w:b/>
                <w:bCs/>
                <w:color w:val="000000" w:themeColor="text1"/>
                <w:sz w:val="22"/>
                <w:lang w:val="en-US"/>
              </w:rPr>
              <w:t xml:space="preserve"> Min</w:t>
            </w:r>
          </w:p>
        </w:tc>
        <w:tc>
          <w:tcPr>
            <w:tcW w:w="1282" w:type="dxa"/>
            <w:tcBorders>
              <w:top w:val="single" w:sz="4" w:space="0" w:color="auto"/>
              <w:left w:val="nil"/>
              <w:bottom w:val="single" w:sz="10" w:space="0" w:color="auto"/>
              <w:right w:val="nil"/>
            </w:tcBorders>
          </w:tcPr>
          <w:p w14:paraId="3CE3D170" w14:textId="77777777" w:rsidR="003156EF" w:rsidRPr="007115F2" w:rsidRDefault="003156EF" w:rsidP="00AB066F">
            <w:pPr>
              <w:widowControl w:val="0"/>
              <w:autoSpaceDE w:val="0"/>
              <w:autoSpaceDN w:val="0"/>
              <w:adjustRightInd w:val="0"/>
              <w:spacing w:line="240" w:lineRule="auto"/>
              <w:jc w:val="right"/>
              <w:rPr>
                <w:b/>
                <w:bCs/>
                <w:color w:val="000000" w:themeColor="text1"/>
                <w:sz w:val="22"/>
                <w:lang w:val="en-US"/>
              </w:rPr>
            </w:pPr>
            <w:r w:rsidRPr="007115F2">
              <w:rPr>
                <w:b/>
                <w:bCs/>
                <w:color w:val="000000" w:themeColor="text1"/>
                <w:sz w:val="22"/>
                <w:lang w:val="en-US"/>
              </w:rPr>
              <w:t xml:space="preserve"> Max</w:t>
            </w:r>
          </w:p>
        </w:tc>
      </w:tr>
      <w:tr w:rsidR="00C82841" w:rsidRPr="007115F2" w14:paraId="61B97AA2" w14:textId="77777777" w:rsidTr="00C82841">
        <w:tc>
          <w:tcPr>
            <w:tcW w:w="6508" w:type="dxa"/>
            <w:gridSpan w:val="4"/>
            <w:tcBorders>
              <w:top w:val="nil"/>
              <w:left w:val="nil"/>
              <w:bottom w:val="nil"/>
              <w:right w:val="nil"/>
            </w:tcBorders>
          </w:tcPr>
          <w:p w14:paraId="43422E61" w14:textId="2F11D010" w:rsidR="00C82841" w:rsidRPr="007115F2" w:rsidRDefault="00C82841" w:rsidP="00C82841">
            <w:pPr>
              <w:widowControl w:val="0"/>
              <w:autoSpaceDE w:val="0"/>
              <w:autoSpaceDN w:val="0"/>
              <w:adjustRightInd w:val="0"/>
              <w:spacing w:line="240" w:lineRule="auto"/>
              <w:jc w:val="left"/>
              <w:rPr>
                <w:color w:val="000000" w:themeColor="text1"/>
                <w:sz w:val="22"/>
                <w:lang w:val="en-US"/>
              </w:rPr>
            </w:pPr>
            <w:r w:rsidRPr="007115F2">
              <w:rPr>
                <w:b/>
                <w:bCs/>
                <w:color w:val="000000" w:themeColor="text1"/>
                <w:sz w:val="22"/>
                <w:lang w:val="en-US"/>
              </w:rPr>
              <w:t>Acquiring Firms Culture Affiliation</w:t>
            </w:r>
          </w:p>
        </w:tc>
        <w:tc>
          <w:tcPr>
            <w:tcW w:w="1282" w:type="dxa"/>
            <w:tcBorders>
              <w:top w:val="nil"/>
              <w:left w:val="nil"/>
              <w:bottom w:val="nil"/>
              <w:right w:val="nil"/>
            </w:tcBorders>
          </w:tcPr>
          <w:p w14:paraId="5CFA0D63" w14:textId="77777777" w:rsidR="00C82841" w:rsidRPr="007115F2" w:rsidRDefault="00C82841" w:rsidP="00AB066F">
            <w:pPr>
              <w:widowControl w:val="0"/>
              <w:autoSpaceDE w:val="0"/>
              <w:autoSpaceDN w:val="0"/>
              <w:adjustRightInd w:val="0"/>
              <w:spacing w:line="240" w:lineRule="auto"/>
              <w:jc w:val="right"/>
              <w:rPr>
                <w:color w:val="000000" w:themeColor="text1"/>
                <w:sz w:val="22"/>
                <w:lang w:val="en-US"/>
              </w:rPr>
            </w:pPr>
          </w:p>
        </w:tc>
        <w:tc>
          <w:tcPr>
            <w:tcW w:w="1282" w:type="dxa"/>
            <w:tcBorders>
              <w:top w:val="nil"/>
              <w:left w:val="nil"/>
              <w:bottom w:val="nil"/>
              <w:right w:val="nil"/>
            </w:tcBorders>
          </w:tcPr>
          <w:p w14:paraId="7FE07A1C" w14:textId="77777777" w:rsidR="00C82841" w:rsidRPr="007115F2" w:rsidRDefault="00C82841" w:rsidP="00AB066F">
            <w:pPr>
              <w:widowControl w:val="0"/>
              <w:autoSpaceDE w:val="0"/>
              <w:autoSpaceDN w:val="0"/>
              <w:adjustRightInd w:val="0"/>
              <w:spacing w:line="240" w:lineRule="auto"/>
              <w:jc w:val="right"/>
              <w:rPr>
                <w:color w:val="000000" w:themeColor="text1"/>
                <w:sz w:val="22"/>
                <w:lang w:val="en-US"/>
              </w:rPr>
            </w:pPr>
          </w:p>
        </w:tc>
      </w:tr>
      <w:tr w:rsidR="003156EF" w:rsidRPr="007115F2" w14:paraId="0B23794E" w14:textId="77777777" w:rsidTr="00C82841">
        <w:tc>
          <w:tcPr>
            <w:tcW w:w="3340" w:type="dxa"/>
            <w:tcBorders>
              <w:top w:val="nil"/>
              <w:left w:val="nil"/>
              <w:bottom w:val="nil"/>
              <w:right w:val="nil"/>
            </w:tcBorders>
            <w:vAlign w:val="center"/>
          </w:tcPr>
          <w:p w14:paraId="23A27970"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bookmarkStart w:id="611" w:name="_Hlk141045054"/>
            <w:r w:rsidRPr="007115F2">
              <w:rPr>
                <w:color w:val="000000" w:themeColor="text1"/>
                <w:sz w:val="22"/>
                <w:lang w:val="en-US"/>
              </w:rPr>
              <w:t>acq_clan_culture</w:t>
            </w:r>
          </w:p>
        </w:tc>
        <w:tc>
          <w:tcPr>
            <w:tcW w:w="604" w:type="dxa"/>
            <w:tcBorders>
              <w:top w:val="nil"/>
              <w:left w:val="nil"/>
              <w:bottom w:val="nil"/>
              <w:right w:val="nil"/>
            </w:tcBorders>
            <w:vAlign w:val="center"/>
          </w:tcPr>
          <w:p w14:paraId="2B197656"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243</w:t>
            </w:r>
          </w:p>
        </w:tc>
        <w:tc>
          <w:tcPr>
            <w:tcW w:w="1282" w:type="dxa"/>
            <w:tcBorders>
              <w:top w:val="nil"/>
              <w:left w:val="nil"/>
              <w:bottom w:val="nil"/>
              <w:right w:val="nil"/>
            </w:tcBorders>
            <w:vAlign w:val="center"/>
          </w:tcPr>
          <w:p w14:paraId="0ADD8102"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.259</w:t>
            </w:r>
          </w:p>
        </w:tc>
        <w:tc>
          <w:tcPr>
            <w:tcW w:w="1282" w:type="dxa"/>
            <w:tcBorders>
              <w:top w:val="nil"/>
              <w:left w:val="nil"/>
              <w:bottom w:val="nil"/>
              <w:right w:val="nil"/>
            </w:tcBorders>
            <w:vAlign w:val="center"/>
          </w:tcPr>
          <w:p w14:paraId="6EAAF34E"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.084</w:t>
            </w:r>
          </w:p>
        </w:tc>
        <w:tc>
          <w:tcPr>
            <w:tcW w:w="1282" w:type="dxa"/>
            <w:tcBorders>
              <w:top w:val="nil"/>
              <w:left w:val="nil"/>
              <w:bottom w:val="nil"/>
              <w:right w:val="nil"/>
            </w:tcBorders>
            <w:vAlign w:val="center"/>
          </w:tcPr>
          <w:p w14:paraId="2F44DF6A"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.036</w:t>
            </w:r>
          </w:p>
        </w:tc>
        <w:tc>
          <w:tcPr>
            <w:tcW w:w="1282" w:type="dxa"/>
            <w:tcBorders>
              <w:top w:val="nil"/>
              <w:left w:val="nil"/>
              <w:bottom w:val="nil"/>
              <w:right w:val="nil"/>
            </w:tcBorders>
            <w:vAlign w:val="center"/>
          </w:tcPr>
          <w:p w14:paraId="003BA487"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.511</w:t>
            </w:r>
          </w:p>
        </w:tc>
      </w:tr>
      <w:tr w:rsidR="003156EF" w:rsidRPr="007115F2" w14:paraId="46839B6C" w14:textId="77777777" w:rsidTr="00C82841">
        <w:tc>
          <w:tcPr>
            <w:tcW w:w="3340" w:type="dxa"/>
            <w:tcBorders>
              <w:top w:val="nil"/>
              <w:left w:val="nil"/>
              <w:bottom w:val="nil"/>
              <w:right w:val="nil"/>
            </w:tcBorders>
            <w:vAlign w:val="center"/>
          </w:tcPr>
          <w:p w14:paraId="6AF169E5"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acq_adhocracy_culture</w:t>
            </w:r>
          </w:p>
        </w:tc>
        <w:tc>
          <w:tcPr>
            <w:tcW w:w="604" w:type="dxa"/>
            <w:tcBorders>
              <w:top w:val="nil"/>
              <w:left w:val="nil"/>
              <w:bottom w:val="nil"/>
              <w:right w:val="nil"/>
            </w:tcBorders>
            <w:vAlign w:val="center"/>
          </w:tcPr>
          <w:p w14:paraId="4A786620"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243</w:t>
            </w:r>
          </w:p>
        </w:tc>
        <w:tc>
          <w:tcPr>
            <w:tcW w:w="1282" w:type="dxa"/>
            <w:tcBorders>
              <w:top w:val="nil"/>
              <w:left w:val="nil"/>
              <w:bottom w:val="nil"/>
              <w:right w:val="nil"/>
            </w:tcBorders>
            <w:vAlign w:val="center"/>
          </w:tcPr>
          <w:p w14:paraId="07F2B292"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.203</w:t>
            </w:r>
          </w:p>
        </w:tc>
        <w:tc>
          <w:tcPr>
            <w:tcW w:w="1282" w:type="dxa"/>
            <w:tcBorders>
              <w:top w:val="nil"/>
              <w:left w:val="nil"/>
              <w:bottom w:val="nil"/>
              <w:right w:val="nil"/>
            </w:tcBorders>
            <w:vAlign w:val="center"/>
          </w:tcPr>
          <w:p w14:paraId="04B92F75"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.104</w:t>
            </w:r>
          </w:p>
        </w:tc>
        <w:tc>
          <w:tcPr>
            <w:tcW w:w="1282" w:type="dxa"/>
            <w:tcBorders>
              <w:top w:val="nil"/>
              <w:left w:val="nil"/>
              <w:bottom w:val="nil"/>
              <w:right w:val="nil"/>
            </w:tcBorders>
            <w:vAlign w:val="center"/>
          </w:tcPr>
          <w:p w14:paraId="4F5E599E"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.013</w:t>
            </w:r>
          </w:p>
        </w:tc>
        <w:tc>
          <w:tcPr>
            <w:tcW w:w="1282" w:type="dxa"/>
            <w:tcBorders>
              <w:top w:val="nil"/>
              <w:left w:val="nil"/>
              <w:bottom w:val="nil"/>
              <w:right w:val="nil"/>
            </w:tcBorders>
            <w:vAlign w:val="center"/>
          </w:tcPr>
          <w:p w14:paraId="71A0F27D"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.626</w:t>
            </w:r>
          </w:p>
        </w:tc>
      </w:tr>
      <w:tr w:rsidR="003156EF" w:rsidRPr="007115F2" w14:paraId="54656919" w14:textId="77777777" w:rsidTr="00C82841">
        <w:tc>
          <w:tcPr>
            <w:tcW w:w="3340" w:type="dxa"/>
            <w:tcBorders>
              <w:top w:val="nil"/>
              <w:left w:val="nil"/>
              <w:bottom w:val="nil"/>
              <w:right w:val="nil"/>
            </w:tcBorders>
            <w:vAlign w:val="center"/>
          </w:tcPr>
          <w:p w14:paraId="41EE5B5F"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acq_market_culture</w:t>
            </w:r>
          </w:p>
        </w:tc>
        <w:tc>
          <w:tcPr>
            <w:tcW w:w="604" w:type="dxa"/>
            <w:tcBorders>
              <w:top w:val="nil"/>
              <w:left w:val="nil"/>
              <w:bottom w:val="nil"/>
              <w:right w:val="nil"/>
            </w:tcBorders>
            <w:vAlign w:val="center"/>
          </w:tcPr>
          <w:p w14:paraId="70341CE2"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243</w:t>
            </w:r>
          </w:p>
        </w:tc>
        <w:tc>
          <w:tcPr>
            <w:tcW w:w="1282" w:type="dxa"/>
            <w:tcBorders>
              <w:top w:val="nil"/>
              <w:left w:val="nil"/>
              <w:bottom w:val="nil"/>
              <w:right w:val="nil"/>
            </w:tcBorders>
            <w:vAlign w:val="center"/>
          </w:tcPr>
          <w:p w14:paraId="1A44EDFC"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.276</w:t>
            </w:r>
          </w:p>
        </w:tc>
        <w:tc>
          <w:tcPr>
            <w:tcW w:w="1282" w:type="dxa"/>
            <w:tcBorders>
              <w:top w:val="nil"/>
              <w:left w:val="nil"/>
              <w:bottom w:val="nil"/>
              <w:right w:val="nil"/>
            </w:tcBorders>
            <w:vAlign w:val="center"/>
          </w:tcPr>
          <w:p w14:paraId="616A94F7"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.098</w:t>
            </w:r>
          </w:p>
        </w:tc>
        <w:tc>
          <w:tcPr>
            <w:tcW w:w="1282" w:type="dxa"/>
            <w:tcBorders>
              <w:top w:val="nil"/>
              <w:left w:val="nil"/>
              <w:bottom w:val="nil"/>
              <w:right w:val="nil"/>
            </w:tcBorders>
            <w:vAlign w:val="center"/>
          </w:tcPr>
          <w:p w14:paraId="50E1BF51"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.077</w:t>
            </w:r>
          </w:p>
        </w:tc>
        <w:tc>
          <w:tcPr>
            <w:tcW w:w="1282" w:type="dxa"/>
            <w:tcBorders>
              <w:top w:val="nil"/>
              <w:left w:val="nil"/>
              <w:bottom w:val="nil"/>
              <w:right w:val="nil"/>
            </w:tcBorders>
            <w:vAlign w:val="center"/>
          </w:tcPr>
          <w:p w14:paraId="7F755C5D"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.580</w:t>
            </w:r>
          </w:p>
        </w:tc>
      </w:tr>
      <w:tr w:rsidR="003156EF" w:rsidRPr="007115F2" w14:paraId="57048203" w14:textId="77777777" w:rsidTr="00C82841">
        <w:tc>
          <w:tcPr>
            <w:tcW w:w="3340" w:type="dxa"/>
            <w:tcBorders>
              <w:top w:val="nil"/>
              <w:left w:val="nil"/>
              <w:bottom w:val="nil"/>
              <w:right w:val="nil"/>
            </w:tcBorders>
            <w:vAlign w:val="center"/>
          </w:tcPr>
          <w:p w14:paraId="517DD419"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acq_hierarchy_culture</w:t>
            </w:r>
          </w:p>
        </w:tc>
        <w:tc>
          <w:tcPr>
            <w:tcW w:w="604" w:type="dxa"/>
            <w:tcBorders>
              <w:top w:val="nil"/>
              <w:left w:val="nil"/>
              <w:bottom w:val="nil"/>
              <w:right w:val="nil"/>
            </w:tcBorders>
            <w:vAlign w:val="center"/>
          </w:tcPr>
          <w:p w14:paraId="633EB220"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243</w:t>
            </w:r>
          </w:p>
        </w:tc>
        <w:tc>
          <w:tcPr>
            <w:tcW w:w="1282" w:type="dxa"/>
            <w:tcBorders>
              <w:top w:val="nil"/>
              <w:left w:val="nil"/>
              <w:bottom w:val="nil"/>
              <w:right w:val="nil"/>
            </w:tcBorders>
            <w:vAlign w:val="center"/>
          </w:tcPr>
          <w:p w14:paraId="774456CE"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.262</w:t>
            </w:r>
          </w:p>
        </w:tc>
        <w:tc>
          <w:tcPr>
            <w:tcW w:w="1282" w:type="dxa"/>
            <w:tcBorders>
              <w:top w:val="nil"/>
              <w:left w:val="nil"/>
              <w:bottom w:val="nil"/>
              <w:right w:val="nil"/>
            </w:tcBorders>
            <w:vAlign w:val="center"/>
          </w:tcPr>
          <w:p w14:paraId="13C30D3B"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.083</w:t>
            </w:r>
          </w:p>
        </w:tc>
        <w:tc>
          <w:tcPr>
            <w:tcW w:w="1282" w:type="dxa"/>
            <w:tcBorders>
              <w:top w:val="nil"/>
              <w:left w:val="nil"/>
              <w:bottom w:val="nil"/>
              <w:right w:val="nil"/>
            </w:tcBorders>
            <w:vAlign w:val="center"/>
          </w:tcPr>
          <w:p w14:paraId="3CDF5598"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.051</w:t>
            </w:r>
          </w:p>
        </w:tc>
        <w:tc>
          <w:tcPr>
            <w:tcW w:w="1282" w:type="dxa"/>
            <w:tcBorders>
              <w:top w:val="nil"/>
              <w:left w:val="nil"/>
              <w:bottom w:val="nil"/>
              <w:right w:val="nil"/>
            </w:tcBorders>
            <w:vAlign w:val="center"/>
          </w:tcPr>
          <w:p w14:paraId="5EE374CB"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.516</w:t>
            </w:r>
          </w:p>
        </w:tc>
      </w:tr>
      <w:tr w:rsidR="003156EF" w:rsidRPr="007115F2" w14:paraId="40D855A4" w14:textId="77777777" w:rsidTr="00C82841">
        <w:tc>
          <w:tcPr>
            <w:tcW w:w="3340" w:type="dxa"/>
            <w:tcBorders>
              <w:top w:val="nil"/>
              <w:left w:val="nil"/>
              <w:bottom w:val="nil"/>
              <w:right w:val="nil"/>
            </w:tcBorders>
            <w:vAlign w:val="center"/>
          </w:tcPr>
          <w:p w14:paraId="62FC8701"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b/>
                <w:bCs/>
                <w:color w:val="000000" w:themeColor="text1"/>
                <w:sz w:val="22"/>
                <w:lang w:val="en-US"/>
              </w:rPr>
              <w:t>Target Firms Culture Affiliation</w:t>
            </w:r>
          </w:p>
        </w:tc>
        <w:tc>
          <w:tcPr>
            <w:tcW w:w="604" w:type="dxa"/>
            <w:tcBorders>
              <w:top w:val="nil"/>
              <w:left w:val="nil"/>
              <w:bottom w:val="nil"/>
              <w:right w:val="nil"/>
            </w:tcBorders>
            <w:vAlign w:val="center"/>
          </w:tcPr>
          <w:p w14:paraId="0CD40A02"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p>
        </w:tc>
        <w:tc>
          <w:tcPr>
            <w:tcW w:w="1282" w:type="dxa"/>
            <w:tcBorders>
              <w:top w:val="nil"/>
              <w:left w:val="nil"/>
              <w:bottom w:val="nil"/>
              <w:right w:val="nil"/>
            </w:tcBorders>
            <w:vAlign w:val="center"/>
          </w:tcPr>
          <w:p w14:paraId="3D909DA2"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p>
        </w:tc>
        <w:tc>
          <w:tcPr>
            <w:tcW w:w="1282" w:type="dxa"/>
            <w:tcBorders>
              <w:top w:val="nil"/>
              <w:left w:val="nil"/>
              <w:bottom w:val="nil"/>
              <w:right w:val="nil"/>
            </w:tcBorders>
            <w:vAlign w:val="center"/>
          </w:tcPr>
          <w:p w14:paraId="6FFC1E73"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p>
        </w:tc>
        <w:tc>
          <w:tcPr>
            <w:tcW w:w="1282" w:type="dxa"/>
            <w:tcBorders>
              <w:top w:val="nil"/>
              <w:left w:val="nil"/>
              <w:bottom w:val="nil"/>
              <w:right w:val="nil"/>
            </w:tcBorders>
            <w:vAlign w:val="center"/>
          </w:tcPr>
          <w:p w14:paraId="3629105F"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p>
        </w:tc>
        <w:tc>
          <w:tcPr>
            <w:tcW w:w="1282" w:type="dxa"/>
            <w:tcBorders>
              <w:top w:val="nil"/>
              <w:left w:val="nil"/>
              <w:bottom w:val="nil"/>
              <w:right w:val="nil"/>
            </w:tcBorders>
            <w:vAlign w:val="center"/>
          </w:tcPr>
          <w:p w14:paraId="6065EA3F"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p>
        </w:tc>
      </w:tr>
      <w:tr w:rsidR="003156EF" w:rsidRPr="007115F2" w14:paraId="76A54083" w14:textId="77777777" w:rsidTr="00C82841">
        <w:tc>
          <w:tcPr>
            <w:tcW w:w="3340" w:type="dxa"/>
            <w:tcBorders>
              <w:top w:val="nil"/>
              <w:left w:val="nil"/>
              <w:bottom w:val="nil"/>
              <w:right w:val="nil"/>
            </w:tcBorders>
            <w:vAlign w:val="center"/>
          </w:tcPr>
          <w:p w14:paraId="465A5DDA"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tar_clan_culture</w:t>
            </w:r>
          </w:p>
        </w:tc>
        <w:tc>
          <w:tcPr>
            <w:tcW w:w="604" w:type="dxa"/>
            <w:tcBorders>
              <w:top w:val="nil"/>
              <w:left w:val="nil"/>
              <w:bottom w:val="nil"/>
              <w:right w:val="nil"/>
            </w:tcBorders>
            <w:vAlign w:val="center"/>
          </w:tcPr>
          <w:p w14:paraId="13CF55E8"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243</w:t>
            </w:r>
          </w:p>
        </w:tc>
        <w:tc>
          <w:tcPr>
            <w:tcW w:w="1282" w:type="dxa"/>
            <w:tcBorders>
              <w:top w:val="nil"/>
              <w:left w:val="nil"/>
              <w:bottom w:val="nil"/>
              <w:right w:val="nil"/>
            </w:tcBorders>
            <w:vAlign w:val="center"/>
          </w:tcPr>
          <w:p w14:paraId="141F535D"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.257</w:t>
            </w:r>
          </w:p>
        </w:tc>
        <w:tc>
          <w:tcPr>
            <w:tcW w:w="1282" w:type="dxa"/>
            <w:tcBorders>
              <w:top w:val="nil"/>
              <w:left w:val="nil"/>
              <w:bottom w:val="nil"/>
              <w:right w:val="nil"/>
            </w:tcBorders>
            <w:vAlign w:val="center"/>
          </w:tcPr>
          <w:p w14:paraId="10CDE577"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.100</w:t>
            </w:r>
          </w:p>
        </w:tc>
        <w:tc>
          <w:tcPr>
            <w:tcW w:w="1282" w:type="dxa"/>
            <w:tcBorders>
              <w:top w:val="nil"/>
              <w:left w:val="nil"/>
              <w:bottom w:val="nil"/>
              <w:right w:val="nil"/>
            </w:tcBorders>
            <w:vAlign w:val="center"/>
          </w:tcPr>
          <w:p w14:paraId="45E8AF11"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.025</w:t>
            </w:r>
          </w:p>
        </w:tc>
        <w:tc>
          <w:tcPr>
            <w:tcW w:w="1282" w:type="dxa"/>
            <w:tcBorders>
              <w:top w:val="nil"/>
              <w:left w:val="nil"/>
              <w:bottom w:val="nil"/>
              <w:right w:val="nil"/>
            </w:tcBorders>
            <w:vAlign w:val="center"/>
          </w:tcPr>
          <w:p w14:paraId="0A90F8CB"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.570</w:t>
            </w:r>
          </w:p>
        </w:tc>
      </w:tr>
      <w:tr w:rsidR="003156EF" w:rsidRPr="007115F2" w14:paraId="3B6C945C" w14:textId="77777777" w:rsidTr="00C82841">
        <w:tc>
          <w:tcPr>
            <w:tcW w:w="3340" w:type="dxa"/>
            <w:tcBorders>
              <w:top w:val="nil"/>
              <w:left w:val="nil"/>
              <w:bottom w:val="nil"/>
              <w:right w:val="nil"/>
            </w:tcBorders>
            <w:vAlign w:val="center"/>
          </w:tcPr>
          <w:p w14:paraId="3CA8C758"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tar_adhocracy_culture</w:t>
            </w:r>
          </w:p>
        </w:tc>
        <w:tc>
          <w:tcPr>
            <w:tcW w:w="604" w:type="dxa"/>
            <w:tcBorders>
              <w:top w:val="nil"/>
              <w:left w:val="nil"/>
              <w:bottom w:val="nil"/>
              <w:right w:val="nil"/>
            </w:tcBorders>
            <w:vAlign w:val="center"/>
          </w:tcPr>
          <w:p w14:paraId="31F44839"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243</w:t>
            </w:r>
          </w:p>
        </w:tc>
        <w:tc>
          <w:tcPr>
            <w:tcW w:w="1282" w:type="dxa"/>
            <w:tcBorders>
              <w:top w:val="nil"/>
              <w:left w:val="nil"/>
              <w:bottom w:val="nil"/>
              <w:right w:val="nil"/>
            </w:tcBorders>
            <w:vAlign w:val="center"/>
          </w:tcPr>
          <w:p w14:paraId="0383709A"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.220</w:t>
            </w:r>
          </w:p>
        </w:tc>
        <w:tc>
          <w:tcPr>
            <w:tcW w:w="1282" w:type="dxa"/>
            <w:tcBorders>
              <w:top w:val="nil"/>
              <w:left w:val="nil"/>
              <w:bottom w:val="nil"/>
              <w:right w:val="nil"/>
            </w:tcBorders>
            <w:vAlign w:val="center"/>
          </w:tcPr>
          <w:p w14:paraId="648378C5"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.117</w:t>
            </w:r>
          </w:p>
        </w:tc>
        <w:tc>
          <w:tcPr>
            <w:tcW w:w="1282" w:type="dxa"/>
            <w:tcBorders>
              <w:top w:val="nil"/>
              <w:left w:val="nil"/>
              <w:bottom w:val="nil"/>
              <w:right w:val="nil"/>
            </w:tcBorders>
            <w:vAlign w:val="center"/>
          </w:tcPr>
          <w:p w14:paraId="22BCF995"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.036</w:t>
            </w:r>
          </w:p>
        </w:tc>
        <w:tc>
          <w:tcPr>
            <w:tcW w:w="1282" w:type="dxa"/>
            <w:tcBorders>
              <w:top w:val="nil"/>
              <w:left w:val="nil"/>
              <w:bottom w:val="nil"/>
              <w:right w:val="nil"/>
            </w:tcBorders>
            <w:vAlign w:val="center"/>
          </w:tcPr>
          <w:p w14:paraId="46BF7EB4"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.691</w:t>
            </w:r>
          </w:p>
        </w:tc>
      </w:tr>
      <w:tr w:rsidR="003156EF" w:rsidRPr="007115F2" w14:paraId="3EA9EC1D" w14:textId="77777777" w:rsidTr="00C82841">
        <w:tc>
          <w:tcPr>
            <w:tcW w:w="3340" w:type="dxa"/>
            <w:tcBorders>
              <w:top w:val="nil"/>
              <w:left w:val="nil"/>
              <w:bottom w:val="nil"/>
              <w:right w:val="nil"/>
            </w:tcBorders>
            <w:vAlign w:val="center"/>
          </w:tcPr>
          <w:p w14:paraId="4F846683"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tar_market_culture</w:t>
            </w:r>
          </w:p>
        </w:tc>
        <w:tc>
          <w:tcPr>
            <w:tcW w:w="604" w:type="dxa"/>
            <w:tcBorders>
              <w:top w:val="nil"/>
              <w:left w:val="nil"/>
              <w:bottom w:val="nil"/>
              <w:right w:val="nil"/>
            </w:tcBorders>
            <w:vAlign w:val="center"/>
          </w:tcPr>
          <w:p w14:paraId="255D884F"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243</w:t>
            </w:r>
          </w:p>
        </w:tc>
        <w:tc>
          <w:tcPr>
            <w:tcW w:w="1282" w:type="dxa"/>
            <w:tcBorders>
              <w:top w:val="nil"/>
              <w:left w:val="nil"/>
              <w:bottom w:val="nil"/>
              <w:right w:val="nil"/>
            </w:tcBorders>
            <w:vAlign w:val="center"/>
          </w:tcPr>
          <w:p w14:paraId="1042F493"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.293</w:t>
            </w:r>
          </w:p>
        </w:tc>
        <w:tc>
          <w:tcPr>
            <w:tcW w:w="1282" w:type="dxa"/>
            <w:tcBorders>
              <w:top w:val="nil"/>
              <w:left w:val="nil"/>
              <w:bottom w:val="nil"/>
              <w:right w:val="nil"/>
            </w:tcBorders>
            <w:vAlign w:val="center"/>
          </w:tcPr>
          <w:p w14:paraId="73AD75E1"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.117</w:t>
            </w:r>
          </w:p>
        </w:tc>
        <w:tc>
          <w:tcPr>
            <w:tcW w:w="1282" w:type="dxa"/>
            <w:tcBorders>
              <w:top w:val="nil"/>
              <w:left w:val="nil"/>
              <w:bottom w:val="nil"/>
              <w:right w:val="nil"/>
            </w:tcBorders>
            <w:vAlign w:val="center"/>
          </w:tcPr>
          <w:p w14:paraId="609027B5"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.038</w:t>
            </w:r>
          </w:p>
        </w:tc>
        <w:tc>
          <w:tcPr>
            <w:tcW w:w="1282" w:type="dxa"/>
            <w:tcBorders>
              <w:top w:val="nil"/>
              <w:left w:val="nil"/>
              <w:bottom w:val="nil"/>
              <w:right w:val="nil"/>
            </w:tcBorders>
            <w:vAlign w:val="center"/>
          </w:tcPr>
          <w:p w14:paraId="1550250C"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.603</w:t>
            </w:r>
          </w:p>
        </w:tc>
      </w:tr>
      <w:tr w:rsidR="003156EF" w:rsidRPr="007115F2" w14:paraId="27576ACF" w14:textId="77777777" w:rsidTr="00C82841">
        <w:tc>
          <w:tcPr>
            <w:tcW w:w="3340" w:type="dxa"/>
            <w:tcBorders>
              <w:top w:val="nil"/>
              <w:left w:val="nil"/>
              <w:bottom w:val="nil"/>
              <w:right w:val="nil"/>
            </w:tcBorders>
            <w:vAlign w:val="center"/>
          </w:tcPr>
          <w:p w14:paraId="17D3FB90"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tar_hierarchy_culture</w:t>
            </w:r>
          </w:p>
        </w:tc>
        <w:tc>
          <w:tcPr>
            <w:tcW w:w="604" w:type="dxa"/>
            <w:tcBorders>
              <w:top w:val="nil"/>
              <w:left w:val="nil"/>
              <w:bottom w:val="nil"/>
              <w:right w:val="nil"/>
            </w:tcBorders>
            <w:vAlign w:val="center"/>
          </w:tcPr>
          <w:p w14:paraId="3A6693C9"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243</w:t>
            </w:r>
          </w:p>
        </w:tc>
        <w:tc>
          <w:tcPr>
            <w:tcW w:w="1282" w:type="dxa"/>
            <w:tcBorders>
              <w:top w:val="nil"/>
              <w:left w:val="nil"/>
              <w:bottom w:val="nil"/>
              <w:right w:val="nil"/>
            </w:tcBorders>
            <w:vAlign w:val="center"/>
          </w:tcPr>
          <w:p w14:paraId="0C406302"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.230</w:t>
            </w:r>
          </w:p>
        </w:tc>
        <w:tc>
          <w:tcPr>
            <w:tcW w:w="1282" w:type="dxa"/>
            <w:tcBorders>
              <w:top w:val="nil"/>
              <w:left w:val="nil"/>
              <w:bottom w:val="nil"/>
              <w:right w:val="nil"/>
            </w:tcBorders>
            <w:vAlign w:val="center"/>
          </w:tcPr>
          <w:p w14:paraId="1D23072A"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.097</w:t>
            </w:r>
          </w:p>
        </w:tc>
        <w:tc>
          <w:tcPr>
            <w:tcW w:w="1282" w:type="dxa"/>
            <w:tcBorders>
              <w:top w:val="nil"/>
              <w:left w:val="nil"/>
              <w:bottom w:val="nil"/>
              <w:right w:val="nil"/>
            </w:tcBorders>
            <w:vAlign w:val="center"/>
          </w:tcPr>
          <w:p w14:paraId="63D69C04"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.027</w:t>
            </w:r>
          </w:p>
        </w:tc>
        <w:tc>
          <w:tcPr>
            <w:tcW w:w="1282" w:type="dxa"/>
            <w:tcBorders>
              <w:top w:val="nil"/>
              <w:left w:val="nil"/>
              <w:bottom w:val="nil"/>
              <w:right w:val="nil"/>
            </w:tcBorders>
            <w:vAlign w:val="center"/>
          </w:tcPr>
          <w:p w14:paraId="3B2C236A"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.570</w:t>
            </w:r>
          </w:p>
        </w:tc>
      </w:tr>
      <w:tr w:rsidR="003156EF" w:rsidRPr="007115F2" w14:paraId="17D2B9E2" w14:textId="77777777" w:rsidTr="00C82841">
        <w:tc>
          <w:tcPr>
            <w:tcW w:w="3340" w:type="dxa"/>
            <w:tcBorders>
              <w:top w:val="nil"/>
              <w:left w:val="nil"/>
              <w:bottom w:val="nil"/>
              <w:right w:val="nil"/>
            </w:tcBorders>
          </w:tcPr>
          <w:p w14:paraId="5FA93DBF" w14:textId="77777777" w:rsidR="003156EF" w:rsidRPr="007115F2" w:rsidRDefault="003156EF" w:rsidP="00AB066F">
            <w:pPr>
              <w:widowControl w:val="0"/>
              <w:autoSpaceDE w:val="0"/>
              <w:autoSpaceDN w:val="0"/>
              <w:adjustRightInd w:val="0"/>
              <w:spacing w:line="240" w:lineRule="auto"/>
              <w:rPr>
                <w:b/>
                <w:bCs/>
                <w:color w:val="000000" w:themeColor="text1"/>
                <w:sz w:val="22"/>
                <w:lang w:val="en-US"/>
              </w:rPr>
            </w:pPr>
            <w:r w:rsidRPr="007115F2">
              <w:rPr>
                <w:b/>
                <w:bCs/>
                <w:color w:val="000000" w:themeColor="text1"/>
                <w:sz w:val="22"/>
                <w:lang w:val="en-US"/>
              </w:rPr>
              <w:t>Deal Cultural Distance</w:t>
            </w:r>
          </w:p>
        </w:tc>
        <w:tc>
          <w:tcPr>
            <w:tcW w:w="604" w:type="dxa"/>
            <w:tcBorders>
              <w:top w:val="nil"/>
              <w:left w:val="nil"/>
              <w:bottom w:val="nil"/>
              <w:right w:val="nil"/>
            </w:tcBorders>
          </w:tcPr>
          <w:p w14:paraId="7AB2AB37"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p>
        </w:tc>
        <w:tc>
          <w:tcPr>
            <w:tcW w:w="1282" w:type="dxa"/>
            <w:tcBorders>
              <w:top w:val="nil"/>
              <w:left w:val="nil"/>
              <w:bottom w:val="nil"/>
              <w:right w:val="nil"/>
            </w:tcBorders>
          </w:tcPr>
          <w:p w14:paraId="335F4D39"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p>
        </w:tc>
        <w:tc>
          <w:tcPr>
            <w:tcW w:w="1282" w:type="dxa"/>
            <w:tcBorders>
              <w:top w:val="nil"/>
              <w:left w:val="nil"/>
              <w:bottom w:val="nil"/>
              <w:right w:val="nil"/>
            </w:tcBorders>
          </w:tcPr>
          <w:p w14:paraId="6A226171"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p>
        </w:tc>
        <w:tc>
          <w:tcPr>
            <w:tcW w:w="1282" w:type="dxa"/>
            <w:tcBorders>
              <w:top w:val="nil"/>
              <w:left w:val="nil"/>
              <w:bottom w:val="nil"/>
              <w:right w:val="nil"/>
            </w:tcBorders>
          </w:tcPr>
          <w:p w14:paraId="44010ECE"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p>
        </w:tc>
        <w:tc>
          <w:tcPr>
            <w:tcW w:w="1282" w:type="dxa"/>
            <w:tcBorders>
              <w:top w:val="nil"/>
              <w:left w:val="nil"/>
              <w:bottom w:val="nil"/>
              <w:right w:val="nil"/>
            </w:tcBorders>
          </w:tcPr>
          <w:p w14:paraId="77A1DE1B"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p>
        </w:tc>
      </w:tr>
      <w:tr w:rsidR="003156EF" w:rsidRPr="007115F2" w14:paraId="1915A195" w14:textId="77777777" w:rsidTr="00C82841">
        <w:tc>
          <w:tcPr>
            <w:tcW w:w="3340" w:type="dxa"/>
            <w:tcBorders>
              <w:top w:val="nil"/>
              <w:left w:val="nil"/>
              <w:bottom w:val="nil"/>
              <w:right w:val="nil"/>
            </w:tcBorders>
          </w:tcPr>
          <w:p w14:paraId="0A31C130"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deal_culturaldistance</w:t>
            </w:r>
          </w:p>
        </w:tc>
        <w:tc>
          <w:tcPr>
            <w:tcW w:w="604" w:type="dxa"/>
            <w:tcBorders>
              <w:top w:val="nil"/>
              <w:left w:val="nil"/>
              <w:bottom w:val="nil"/>
              <w:right w:val="nil"/>
            </w:tcBorders>
            <w:vAlign w:val="center"/>
          </w:tcPr>
          <w:p w14:paraId="31CCF6C0"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243</w:t>
            </w:r>
          </w:p>
        </w:tc>
        <w:tc>
          <w:tcPr>
            <w:tcW w:w="1282" w:type="dxa"/>
            <w:tcBorders>
              <w:top w:val="nil"/>
              <w:left w:val="nil"/>
              <w:bottom w:val="nil"/>
              <w:right w:val="nil"/>
            </w:tcBorders>
            <w:vAlign w:val="center"/>
          </w:tcPr>
          <w:p w14:paraId="1F22F2F4"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.201</w:t>
            </w:r>
          </w:p>
        </w:tc>
        <w:tc>
          <w:tcPr>
            <w:tcW w:w="1282" w:type="dxa"/>
            <w:tcBorders>
              <w:top w:val="nil"/>
              <w:left w:val="nil"/>
              <w:bottom w:val="nil"/>
              <w:right w:val="nil"/>
            </w:tcBorders>
            <w:vAlign w:val="center"/>
          </w:tcPr>
          <w:p w14:paraId="1ACF2DE5"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.103</w:t>
            </w:r>
          </w:p>
        </w:tc>
        <w:tc>
          <w:tcPr>
            <w:tcW w:w="1282" w:type="dxa"/>
            <w:tcBorders>
              <w:top w:val="nil"/>
              <w:left w:val="nil"/>
              <w:bottom w:val="nil"/>
              <w:right w:val="nil"/>
            </w:tcBorders>
            <w:vAlign w:val="center"/>
          </w:tcPr>
          <w:p w14:paraId="192066F6"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.029</w:t>
            </w:r>
          </w:p>
        </w:tc>
        <w:tc>
          <w:tcPr>
            <w:tcW w:w="1282" w:type="dxa"/>
            <w:tcBorders>
              <w:top w:val="nil"/>
              <w:left w:val="nil"/>
              <w:bottom w:val="nil"/>
              <w:right w:val="nil"/>
            </w:tcBorders>
            <w:vAlign w:val="center"/>
          </w:tcPr>
          <w:p w14:paraId="0B1AAAC3"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.580</w:t>
            </w:r>
          </w:p>
        </w:tc>
      </w:tr>
      <w:tr w:rsidR="003156EF" w:rsidRPr="007115F2" w14:paraId="6C8C8B6F" w14:textId="77777777" w:rsidTr="00C82841">
        <w:tc>
          <w:tcPr>
            <w:tcW w:w="3340" w:type="dxa"/>
            <w:tcBorders>
              <w:top w:val="nil"/>
              <w:left w:val="nil"/>
              <w:bottom w:val="nil"/>
              <w:right w:val="nil"/>
            </w:tcBorders>
          </w:tcPr>
          <w:p w14:paraId="6DE48115"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deal_culturaldistance_js</w:t>
            </w:r>
          </w:p>
        </w:tc>
        <w:tc>
          <w:tcPr>
            <w:tcW w:w="604" w:type="dxa"/>
            <w:tcBorders>
              <w:top w:val="nil"/>
              <w:left w:val="nil"/>
              <w:bottom w:val="nil"/>
              <w:right w:val="nil"/>
            </w:tcBorders>
            <w:vAlign w:val="center"/>
          </w:tcPr>
          <w:p w14:paraId="7238E60E"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243</w:t>
            </w:r>
          </w:p>
        </w:tc>
        <w:tc>
          <w:tcPr>
            <w:tcW w:w="1282" w:type="dxa"/>
            <w:tcBorders>
              <w:top w:val="nil"/>
              <w:left w:val="nil"/>
              <w:bottom w:val="nil"/>
              <w:right w:val="nil"/>
            </w:tcBorders>
            <w:vAlign w:val="center"/>
          </w:tcPr>
          <w:p w14:paraId="0BDEA8CA"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.144</w:t>
            </w:r>
          </w:p>
        </w:tc>
        <w:tc>
          <w:tcPr>
            <w:tcW w:w="1282" w:type="dxa"/>
            <w:tcBorders>
              <w:top w:val="nil"/>
              <w:left w:val="nil"/>
              <w:bottom w:val="nil"/>
              <w:right w:val="nil"/>
            </w:tcBorders>
            <w:vAlign w:val="center"/>
          </w:tcPr>
          <w:p w14:paraId="77FE110A"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.072</w:t>
            </w:r>
          </w:p>
        </w:tc>
        <w:tc>
          <w:tcPr>
            <w:tcW w:w="1282" w:type="dxa"/>
            <w:tcBorders>
              <w:top w:val="nil"/>
              <w:left w:val="nil"/>
              <w:bottom w:val="nil"/>
              <w:right w:val="nil"/>
            </w:tcBorders>
            <w:vAlign w:val="center"/>
          </w:tcPr>
          <w:p w14:paraId="68E0ADA8"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.023</w:t>
            </w:r>
          </w:p>
        </w:tc>
        <w:tc>
          <w:tcPr>
            <w:tcW w:w="1282" w:type="dxa"/>
            <w:tcBorders>
              <w:top w:val="nil"/>
              <w:left w:val="nil"/>
              <w:bottom w:val="nil"/>
              <w:right w:val="nil"/>
            </w:tcBorders>
            <w:vAlign w:val="center"/>
          </w:tcPr>
          <w:p w14:paraId="0E72FE25"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.401</w:t>
            </w:r>
          </w:p>
        </w:tc>
      </w:tr>
      <w:tr w:rsidR="003156EF" w:rsidRPr="007115F2" w14:paraId="6FFC0ACA" w14:textId="77777777" w:rsidTr="00C82841">
        <w:tc>
          <w:tcPr>
            <w:tcW w:w="3340" w:type="dxa"/>
            <w:tcBorders>
              <w:top w:val="nil"/>
              <w:left w:val="nil"/>
              <w:bottom w:val="nil"/>
              <w:right w:val="nil"/>
            </w:tcBorders>
          </w:tcPr>
          <w:p w14:paraId="66CE11CA"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deal_clan_culture_abs</w:t>
            </w:r>
          </w:p>
        </w:tc>
        <w:tc>
          <w:tcPr>
            <w:tcW w:w="604" w:type="dxa"/>
            <w:tcBorders>
              <w:top w:val="nil"/>
              <w:left w:val="nil"/>
              <w:bottom w:val="nil"/>
              <w:right w:val="nil"/>
            </w:tcBorders>
            <w:vAlign w:val="center"/>
          </w:tcPr>
          <w:p w14:paraId="0A8D64F4"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243</w:t>
            </w:r>
          </w:p>
        </w:tc>
        <w:tc>
          <w:tcPr>
            <w:tcW w:w="1282" w:type="dxa"/>
            <w:tcBorders>
              <w:top w:val="nil"/>
              <w:left w:val="nil"/>
              <w:bottom w:val="nil"/>
              <w:right w:val="nil"/>
            </w:tcBorders>
            <w:vAlign w:val="center"/>
          </w:tcPr>
          <w:p w14:paraId="6D668DB3"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.083</w:t>
            </w:r>
          </w:p>
        </w:tc>
        <w:tc>
          <w:tcPr>
            <w:tcW w:w="1282" w:type="dxa"/>
            <w:tcBorders>
              <w:top w:val="nil"/>
              <w:left w:val="nil"/>
              <w:bottom w:val="nil"/>
              <w:right w:val="nil"/>
            </w:tcBorders>
            <w:vAlign w:val="center"/>
          </w:tcPr>
          <w:p w14:paraId="1256FA8D"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.068</w:t>
            </w:r>
          </w:p>
        </w:tc>
        <w:tc>
          <w:tcPr>
            <w:tcW w:w="1282" w:type="dxa"/>
            <w:tcBorders>
              <w:top w:val="nil"/>
              <w:left w:val="nil"/>
              <w:bottom w:val="nil"/>
              <w:right w:val="nil"/>
            </w:tcBorders>
            <w:vAlign w:val="center"/>
          </w:tcPr>
          <w:p w14:paraId="2DD6A3B4"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.001</w:t>
            </w:r>
          </w:p>
        </w:tc>
        <w:tc>
          <w:tcPr>
            <w:tcW w:w="1282" w:type="dxa"/>
            <w:tcBorders>
              <w:top w:val="nil"/>
              <w:left w:val="nil"/>
              <w:bottom w:val="nil"/>
              <w:right w:val="nil"/>
            </w:tcBorders>
            <w:vAlign w:val="center"/>
          </w:tcPr>
          <w:p w14:paraId="1E52F7E0"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.404</w:t>
            </w:r>
          </w:p>
        </w:tc>
      </w:tr>
      <w:tr w:rsidR="003156EF" w:rsidRPr="007115F2" w14:paraId="73810F0F" w14:textId="77777777" w:rsidTr="00C82841">
        <w:tc>
          <w:tcPr>
            <w:tcW w:w="3340" w:type="dxa"/>
            <w:tcBorders>
              <w:top w:val="nil"/>
              <w:left w:val="nil"/>
              <w:bottom w:val="nil"/>
              <w:right w:val="nil"/>
            </w:tcBorders>
          </w:tcPr>
          <w:p w14:paraId="3336CCFD"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deal_adhocracy_culture_abs</w:t>
            </w:r>
          </w:p>
        </w:tc>
        <w:tc>
          <w:tcPr>
            <w:tcW w:w="604" w:type="dxa"/>
            <w:tcBorders>
              <w:top w:val="nil"/>
              <w:left w:val="nil"/>
              <w:bottom w:val="nil"/>
              <w:right w:val="nil"/>
            </w:tcBorders>
            <w:vAlign w:val="center"/>
          </w:tcPr>
          <w:p w14:paraId="5862C513"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243</w:t>
            </w:r>
          </w:p>
        </w:tc>
        <w:tc>
          <w:tcPr>
            <w:tcW w:w="1282" w:type="dxa"/>
            <w:tcBorders>
              <w:top w:val="nil"/>
              <w:left w:val="nil"/>
              <w:bottom w:val="nil"/>
              <w:right w:val="nil"/>
            </w:tcBorders>
            <w:vAlign w:val="center"/>
          </w:tcPr>
          <w:p w14:paraId="602F4876"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.079</w:t>
            </w:r>
          </w:p>
        </w:tc>
        <w:tc>
          <w:tcPr>
            <w:tcW w:w="1282" w:type="dxa"/>
            <w:tcBorders>
              <w:top w:val="nil"/>
              <w:left w:val="nil"/>
              <w:bottom w:val="nil"/>
              <w:right w:val="nil"/>
            </w:tcBorders>
            <w:vAlign w:val="center"/>
          </w:tcPr>
          <w:p w14:paraId="10FBB98D"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.075</w:t>
            </w:r>
          </w:p>
        </w:tc>
        <w:tc>
          <w:tcPr>
            <w:tcW w:w="1282" w:type="dxa"/>
            <w:tcBorders>
              <w:top w:val="nil"/>
              <w:left w:val="nil"/>
              <w:bottom w:val="nil"/>
              <w:right w:val="nil"/>
            </w:tcBorders>
            <w:vAlign w:val="center"/>
          </w:tcPr>
          <w:p w14:paraId="240A122B"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.0002</w:t>
            </w:r>
          </w:p>
        </w:tc>
        <w:tc>
          <w:tcPr>
            <w:tcW w:w="1282" w:type="dxa"/>
            <w:tcBorders>
              <w:top w:val="nil"/>
              <w:left w:val="nil"/>
              <w:bottom w:val="nil"/>
              <w:right w:val="nil"/>
            </w:tcBorders>
            <w:vAlign w:val="center"/>
          </w:tcPr>
          <w:p w14:paraId="3167BB16"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.433</w:t>
            </w:r>
          </w:p>
        </w:tc>
      </w:tr>
      <w:tr w:rsidR="003156EF" w:rsidRPr="007115F2" w14:paraId="6523DDB4" w14:textId="77777777" w:rsidTr="00C82841">
        <w:tc>
          <w:tcPr>
            <w:tcW w:w="3340" w:type="dxa"/>
            <w:tcBorders>
              <w:top w:val="nil"/>
              <w:left w:val="nil"/>
              <w:bottom w:val="nil"/>
              <w:right w:val="nil"/>
            </w:tcBorders>
          </w:tcPr>
          <w:p w14:paraId="392BAB02"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deal_market_culture_abs</w:t>
            </w:r>
          </w:p>
        </w:tc>
        <w:tc>
          <w:tcPr>
            <w:tcW w:w="604" w:type="dxa"/>
            <w:tcBorders>
              <w:top w:val="nil"/>
              <w:left w:val="nil"/>
              <w:bottom w:val="nil"/>
              <w:right w:val="nil"/>
            </w:tcBorders>
            <w:vAlign w:val="center"/>
          </w:tcPr>
          <w:p w14:paraId="5B4C4F9B"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243</w:t>
            </w:r>
          </w:p>
        </w:tc>
        <w:tc>
          <w:tcPr>
            <w:tcW w:w="1282" w:type="dxa"/>
            <w:tcBorders>
              <w:top w:val="nil"/>
              <w:left w:val="nil"/>
              <w:bottom w:val="nil"/>
              <w:right w:val="nil"/>
            </w:tcBorders>
            <w:vAlign w:val="center"/>
          </w:tcPr>
          <w:p w14:paraId="1996CC05"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.093</w:t>
            </w:r>
          </w:p>
        </w:tc>
        <w:tc>
          <w:tcPr>
            <w:tcW w:w="1282" w:type="dxa"/>
            <w:tcBorders>
              <w:top w:val="nil"/>
              <w:left w:val="nil"/>
              <w:bottom w:val="nil"/>
              <w:right w:val="nil"/>
            </w:tcBorders>
            <w:vAlign w:val="center"/>
          </w:tcPr>
          <w:p w14:paraId="491DA612"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.075</w:t>
            </w:r>
          </w:p>
        </w:tc>
        <w:tc>
          <w:tcPr>
            <w:tcW w:w="1282" w:type="dxa"/>
            <w:tcBorders>
              <w:top w:val="nil"/>
              <w:left w:val="nil"/>
              <w:bottom w:val="nil"/>
              <w:right w:val="nil"/>
            </w:tcBorders>
            <w:vAlign w:val="center"/>
          </w:tcPr>
          <w:p w14:paraId="1178DA9B"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.0001</w:t>
            </w:r>
          </w:p>
        </w:tc>
        <w:tc>
          <w:tcPr>
            <w:tcW w:w="1282" w:type="dxa"/>
            <w:tcBorders>
              <w:top w:val="nil"/>
              <w:left w:val="nil"/>
              <w:bottom w:val="nil"/>
              <w:right w:val="nil"/>
            </w:tcBorders>
            <w:vAlign w:val="center"/>
          </w:tcPr>
          <w:p w14:paraId="64672C85"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.419</w:t>
            </w:r>
          </w:p>
        </w:tc>
      </w:tr>
      <w:tr w:rsidR="003156EF" w:rsidRPr="007115F2" w14:paraId="2748F378" w14:textId="77777777" w:rsidTr="00C82841">
        <w:tc>
          <w:tcPr>
            <w:tcW w:w="3340" w:type="dxa"/>
            <w:tcBorders>
              <w:top w:val="nil"/>
              <w:left w:val="nil"/>
              <w:bottom w:val="nil"/>
              <w:right w:val="nil"/>
            </w:tcBorders>
          </w:tcPr>
          <w:p w14:paraId="2BFD381B"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deal_hierarchy_culture_abs</w:t>
            </w:r>
          </w:p>
        </w:tc>
        <w:tc>
          <w:tcPr>
            <w:tcW w:w="604" w:type="dxa"/>
            <w:tcBorders>
              <w:top w:val="nil"/>
              <w:left w:val="nil"/>
              <w:bottom w:val="nil"/>
              <w:right w:val="nil"/>
            </w:tcBorders>
            <w:vAlign w:val="center"/>
          </w:tcPr>
          <w:p w14:paraId="2C5E24FF"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243</w:t>
            </w:r>
          </w:p>
        </w:tc>
        <w:tc>
          <w:tcPr>
            <w:tcW w:w="1282" w:type="dxa"/>
            <w:tcBorders>
              <w:top w:val="nil"/>
              <w:left w:val="nil"/>
              <w:bottom w:val="nil"/>
              <w:right w:val="nil"/>
            </w:tcBorders>
            <w:vAlign w:val="center"/>
          </w:tcPr>
          <w:p w14:paraId="32BE2587"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.091</w:t>
            </w:r>
          </w:p>
        </w:tc>
        <w:tc>
          <w:tcPr>
            <w:tcW w:w="1282" w:type="dxa"/>
            <w:tcBorders>
              <w:top w:val="nil"/>
              <w:left w:val="nil"/>
              <w:bottom w:val="nil"/>
              <w:right w:val="nil"/>
            </w:tcBorders>
            <w:vAlign w:val="center"/>
          </w:tcPr>
          <w:p w14:paraId="43B26C2F"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.069</w:t>
            </w:r>
          </w:p>
        </w:tc>
        <w:tc>
          <w:tcPr>
            <w:tcW w:w="1282" w:type="dxa"/>
            <w:tcBorders>
              <w:top w:val="nil"/>
              <w:left w:val="nil"/>
              <w:bottom w:val="nil"/>
              <w:right w:val="nil"/>
            </w:tcBorders>
            <w:vAlign w:val="center"/>
          </w:tcPr>
          <w:p w14:paraId="2EED0D22"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.001</w:t>
            </w:r>
          </w:p>
        </w:tc>
        <w:tc>
          <w:tcPr>
            <w:tcW w:w="1282" w:type="dxa"/>
            <w:tcBorders>
              <w:top w:val="nil"/>
              <w:left w:val="nil"/>
              <w:bottom w:val="nil"/>
              <w:right w:val="nil"/>
            </w:tcBorders>
            <w:vAlign w:val="center"/>
          </w:tcPr>
          <w:p w14:paraId="571DA4D2"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.333</w:t>
            </w:r>
          </w:p>
        </w:tc>
      </w:tr>
      <w:tr w:rsidR="003156EF" w:rsidRPr="007115F2" w14:paraId="1C55796E" w14:textId="77777777" w:rsidTr="00C82841">
        <w:tc>
          <w:tcPr>
            <w:tcW w:w="3340" w:type="dxa"/>
            <w:tcBorders>
              <w:top w:val="nil"/>
              <w:left w:val="nil"/>
              <w:bottom w:val="nil"/>
              <w:right w:val="nil"/>
            </w:tcBorders>
          </w:tcPr>
          <w:p w14:paraId="34B0FAA4" w14:textId="77777777" w:rsidR="003156EF" w:rsidRPr="007115F2" w:rsidRDefault="003156EF" w:rsidP="00AB066F">
            <w:pPr>
              <w:widowControl w:val="0"/>
              <w:autoSpaceDE w:val="0"/>
              <w:autoSpaceDN w:val="0"/>
              <w:adjustRightInd w:val="0"/>
              <w:spacing w:line="240" w:lineRule="auto"/>
              <w:rPr>
                <w:b/>
                <w:bCs/>
                <w:color w:val="000000" w:themeColor="text1"/>
                <w:sz w:val="22"/>
                <w:lang w:val="en-US"/>
              </w:rPr>
            </w:pPr>
            <w:r w:rsidRPr="007115F2">
              <w:rPr>
                <w:b/>
                <w:bCs/>
                <w:color w:val="000000" w:themeColor="text1"/>
                <w:sz w:val="22"/>
                <w:lang w:val="en-US"/>
              </w:rPr>
              <w:t>Dependent Variables</w:t>
            </w:r>
          </w:p>
        </w:tc>
        <w:tc>
          <w:tcPr>
            <w:tcW w:w="604" w:type="dxa"/>
            <w:tcBorders>
              <w:top w:val="nil"/>
              <w:left w:val="nil"/>
              <w:bottom w:val="nil"/>
              <w:right w:val="nil"/>
            </w:tcBorders>
          </w:tcPr>
          <w:p w14:paraId="048C3A53"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p>
        </w:tc>
        <w:tc>
          <w:tcPr>
            <w:tcW w:w="1282" w:type="dxa"/>
            <w:tcBorders>
              <w:top w:val="nil"/>
              <w:left w:val="nil"/>
              <w:bottom w:val="nil"/>
              <w:right w:val="nil"/>
            </w:tcBorders>
          </w:tcPr>
          <w:p w14:paraId="12A64657"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p>
        </w:tc>
        <w:tc>
          <w:tcPr>
            <w:tcW w:w="1282" w:type="dxa"/>
            <w:tcBorders>
              <w:top w:val="nil"/>
              <w:left w:val="nil"/>
              <w:bottom w:val="nil"/>
              <w:right w:val="nil"/>
            </w:tcBorders>
          </w:tcPr>
          <w:p w14:paraId="0FE53653"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p>
        </w:tc>
        <w:tc>
          <w:tcPr>
            <w:tcW w:w="1282" w:type="dxa"/>
            <w:tcBorders>
              <w:top w:val="nil"/>
              <w:left w:val="nil"/>
              <w:bottom w:val="nil"/>
              <w:right w:val="nil"/>
            </w:tcBorders>
          </w:tcPr>
          <w:p w14:paraId="6761C2E6"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p>
        </w:tc>
        <w:tc>
          <w:tcPr>
            <w:tcW w:w="1282" w:type="dxa"/>
            <w:tcBorders>
              <w:top w:val="nil"/>
              <w:left w:val="nil"/>
              <w:bottom w:val="nil"/>
              <w:right w:val="nil"/>
            </w:tcBorders>
          </w:tcPr>
          <w:p w14:paraId="2C7EECF7"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p>
        </w:tc>
      </w:tr>
      <w:tr w:rsidR="003156EF" w:rsidRPr="007115F2" w14:paraId="79150C5E" w14:textId="77777777" w:rsidTr="00C82841">
        <w:tc>
          <w:tcPr>
            <w:tcW w:w="3340" w:type="dxa"/>
            <w:tcBorders>
              <w:top w:val="nil"/>
              <w:left w:val="nil"/>
              <w:bottom w:val="nil"/>
              <w:right w:val="nil"/>
            </w:tcBorders>
            <w:vAlign w:val="center"/>
          </w:tcPr>
          <w:p w14:paraId="16201F32"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acq_car5</w:t>
            </w:r>
          </w:p>
        </w:tc>
        <w:tc>
          <w:tcPr>
            <w:tcW w:w="604" w:type="dxa"/>
            <w:tcBorders>
              <w:top w:val="nil"/>
              <w:left w:val="nil"/>
              <w:bottom w:val="nil"/>
              <w:right w:val="nil"/>
            </w:tcBorders>
            <w:vAlign w:val="center"/>
          </w:tcPr>
          <w:p w14:paraId="69597769"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243</w:t>
            </w:r>
          </w:p>
        </w:tc>
        <w:tc>
          <w:tcPr>
            <w:tcW w:w="1282" w:type="dxa"/>
            <w:tcBorders>
              <w:top w:val="nil"/>
              <w:left w:val="nil"/>
              <w:bottom w:val="nil"/>
              <w:right w:val="nil"/>
            </w:tcBorders>
            <w:vAlign w:val="center"/>
          </w:tcPr>
          <w:p w14:paraId="2846E477"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-.035</w:t>
            </w:r>
          </w:p>
        </w:tc>
        <w:tc>
          <w:tcPr>
            <w:tcW w:w="1282" w:type="dxa"/>
            <w:tcBorders>
              <w:top w:val="nil"/>
              <w:left w:val="nil"/>
              <w:bottom w:val="nil"/>
              <w:right w:val="nil"/>
            </w:tcBorders>
            <w:vAlign w:val="center"/>
          </w:tcPr>
          <w:p w14:paraId="42B78398"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.313</w:t>
            </w:r>
          </w:p>
        </w:tc>
        <w:tc>
          <w:tcPr>
            <w:tcW w:w="1282" w:type="dxa"/>
            <w:tcBorders>
              <w:top w:val="nil"/>
              <w:left w:val="nil"/>
              <w:bottom w:val="nil"/>
              <w:right w:val="nil"/>
            </w:tcBorders>
            <w:vAlign w:val="center"/>
          </w:tcPr>
          <w:p w14:paraId="15403A4F"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-3.598</w:t>
            </w:r>
          </w:p>
        </w:tc>
        <w:tc>
          <w:tcPr>
            <w:tcW w:w="1282" w:type="dxa"/>
            <w:tcBorders>
              <w:top w:val="nil"/>
              <w:left w:val="nil"/>
              <w:bottom w:val="nil"/>
              <w:right w:val="nil"/>
            </w:tcBorders>
            <w:vAlign w:val="center"/>
          </w:tcPr>
          <w:p w14:paraId="5C09A53D"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.705</w:t>
            </w:r>
          </w:p>
        </w:tc>
      </w:tr>
      <w:tr w:rsidR="003156EF" w:rsidRPr="007115F2" w14:paraId="3F361813" w14:textId="77777777" w:rsidTr="00C82841">
        <w:tc>
          <w:tcPr>
            <w:tcW w:w="3340" w:type="dxa"/>
            <w:tcBorders>
              <w:top w:val="nil"/>
              <w:left w:val="nil"/>
              <w:bottom w:val="nil"/>
              <w:right w:val="nil"/>
            </w:tcBorders>
            <w:vAlign w:val="center"/>
          </w:tcPr>
          <w:p w14:paraId="378871FA"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acq_car10</w:t>
            </w:r>
          </w:p>
        </w:tc>
        <w:tc>
          <w:tcPr>
            <w:tcW w:w="604" w:type="dxa"/>
            <w:tcBorders>
              <w:top w:val="nil"/>
              <w:left w:val="nil"/>
              <w:bottom w:val="nil"/>
              <w:right w:val="nil"/>
            </w:tcBorders>
            <w:vAlign w:val="center"/>
          </w:tcPr>
          <w:p w14:paraId="0889592B"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243</w:t>
            </w:r>
          </w:p>
        </w:tc>
        <w:tc>
          <w:tcPr>
            <w:tcW w:w="1282" w:type="dxa"/>
            <w:tcBorders>
              <w:top w:val="nil"/>
              <w:left w:val="nil"/>
              <w:bottom w:val="nil"/>
              <w:right w:val="nil"/>
            </w:tcBorders>
            <w:vAlign w:val="center"/>
          </w:tcPr>
          <w:p w14:paraId="182E75D4"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-.051</w:t>
            </w:r>
          </w:p>
        </w:tc>
        <w:tc>
          <w:tcPr>
            <w:tcW w:w="1282" w:type="dxa"/>
            <w:tcBorders>
              <w:top w:val="nil"/>
              <w:left w:val="nil"/>
              <w:bottom w:val="nil"/>
              <w:right w:val="nil"/>
            </w:tcBorders>
            <w:vAlign w:val="center"/>
          </w:tcPr>
          <w:p w14:paraId="496B0A20"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.563</w:t>
            </w:r>
          </w:p>
        </w:tc>
        <w:tc>
          <w:tcPr>
            <w:tcW w:w="1282" w:type="dxa"/>
            <w:tcBorders>
              <w:top w:val="nil"/>
              <w:left w:val="nil"/>
              <w:bottom w:val="nil"/>
              <w:right w:val="nil"/>
            </w:tcBorders>
            <w:vAlign w:val="center"/>
          </w:tcPr>
          <w:p w14:paraId="2A704BBD"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-6.463</w:t>
            </w:r>
          </w:p>
        </w:tc>
        <w:tc>
          <w:tcPr>
            <w:tcW w:w="1282" w:type="dxa"/>
            <w:tcBorders>
              <w:top w:val="nil"/>
              <w:left w:val="nil"/>
              <w:bottom w:val="nil"/>
              <w:right w:val="nil"/>
            </w:tcBorders>
            <w:vAlign w:val="center"/>
          </w:tcPr>
          <w:p w14:paraId="31164A88"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1.324</w:t>
            </w:r>
          </w:p>
        </w:tc>
      </w:tr>
      <w:tr w:rsidR="003156EF" w:rsidRPr="007115F2" w14:paraId="37AD68E1" w14:textId="77777777" w:rsidTr="00C82841">
        <w:tc>
          <w:tcPr>
            <w:tcW w:w="3340" w:type="dxa"/>
            <w:tcBorders>
              <w:top w:val="nil"/>
              <w:left w:val="nil"/>
              <w:bottom w:val="nil"/>
              <w:right w:val="nil"/>
            </w:tcBorders>
            <w:vAlign w:val="center"/>
          </w:tcPr>
          <w:p w14:paraId="1946747C"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deal_car_weighted</w:t>
            </w:r>
          </w:p>
        </w:tc>
        <w:tc>
          <w:tcPr>
            <w:tcW w:w="604" w:type="dxa"/>
            <w:tcBorders>
              <w:top w:val="nil"/>
              <w:left w:val="nil"/>
              <w:bottom w:val="nil"/>
              <w:right w:val="nil"/>
            </w:tcBorders>
            <w:vAlign w:val="center"/>
          </w:tcPr>
          <w:p w14:paraId="3EEF7BE2"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243</w:t>
            </w:r>
          </w:p>
        </w:tc>
        <w:tc>
          <w:tcPr>
            <w:tcW w:w="1282" w:type="dxa"/>
            <w:tcBorders>
              <w:top w:val="nil"/>
              <w:left w:val="nil"/>
              <w:bottom w:val="nil"/>
              <w:right w:val="nil"/>
            </w:tcBorders>
            <w:vAlign w:val="center"/>
          </w:tcPr>
          <w:p w14:paraId="047067D8"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-.016</w:t>
            </w:r>
          </w:p>
        </w:tc>
        <w:tc>
          <w:tcPr>
            <w:tcW w:w="1282" w:type="dxa"/>
            <w:tcBorders>
              <w:top w:val="nil"/>
              <w:left w:val="nil"/>
              <w:bottom w:val="nil"/>
              <w:right w:val="nil"/>
            </w:tcBorders>
            <w:vAlign w:val="center"/>
          </w:tcPr>
          <w:p w14:paraId="674C7BAB"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.135</w:t>
            </w:r>
          </w:p>
        </w:tc>
        <w:tc>
          <w:tcPr>
            <w:tcW w:w="1282" w:type="dxa"/>
            <w:tcBorders>
              <w:top w:val="nil"/>
              <w:left w:val="nil"/>
              <w:bottom w:val="nil"/>
              <w:right w:val="nil"/>
            </w:tcBorders>
            <w:vAlign w:val="center"/>
          </w:tcPr>
          <w:p w14:paraId="7C3143C8"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-1.634</w:t>
            </w:r>
          </w:p>
        </w:tc>
        <w:tc>
          <w:tcPr>
            <w:tcW w:w="1282" w:type="dxa"/>
            <w:tcBorders>
              <w:top w:val="nil"/>
              <w:left w:val="nil"/>
              <w:bottom w:val="nil"/>
              <w:right w:val="nil"/>
            </w:tcBorders>
            <w:vAlign w:val="center"/>
          </w:tcPr>
          <w:p w14:paraId="090248BE"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.318</w:t>
            </w:r>
          </w:p>
        </w:tc>
      </w:tr>
      <w:tr w:rsidR="003156EF" w:rsidRPr="007115F2" w14:paraId="5729C0E1" w14:textId="77777777" w:rsidTr="00C82841">
        <w:tc>
          <w:tcPr>
            <w:tcW w:w="3340" w:type="dxa"/>
            <w:tcBorders>
              <w:top w:val="nil"/>
              <w:left w:val="nil"/>
              <w:bottom w:val="nil"/>
              <w:right w:val="nil"/>
            </w:tcBorders>
            <w:vAlign w:val="center"/>
          </w:tcPr>
          <w:p w14:paraId="129D6100"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acq_2yr_sales_growth</w:t>
            </w:r>
          </w:p>
        </w:tc>
        <w:tc>
          <w:tcPr>
            <w:tcW w:w="604" w:type="dxa"/>
            <w:tcBorders>
              <w:top w:val="nil"/>
              <w:left w:val="nil"/>
              <w:bottom w:val="nil"/>
              <w:right w:val="nil"/>
            </w:tcBorders>
            <w:vAlign w:val="center"/>
          </w:tcPr>
          <w:p w14:paraId="3A9EE7A3"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182</w:t>
            </w:r>
          </w:p>
        </w:tc>
        <w:tc>
          <w:tcPr>
            <w:tcW w:w="1282" w:type="dxa"/>
            <w:tcBorders>
              <w:top w:val="nil"/>
              <w:left w:val="nil"/>
              <w:bottom w:val="nil"/>
              <w:right w:val="nil"/>
            </w:tcBorders>
            <w:vAlign w:val="center"/>
          </w:tcPr>
          <w:p w14:paraId="7D291940"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.227</w:t>
            </w:r>
          </w:p>
        </w:tc>
        <w:tc>
          <w:tcPr>
            <w:tcW w:w="1282" w:type="dxa"/>
            <w:tcBorders>
              <w:top w:val="nil"/>
              <w:left w:val="nil"/>
              <w:bottom w:val="nil"/>
              <w:right w:val="nil"/>
            </w:tcBorders>
            <w:vAlign w:val="center"/>
          </w:tcPr>
          <w:p w14:paraId="2CBA9F91"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.298</w:t>
            </w:r>
          </w:p>
        </w:tc>
        <w:tc>
          <w:tcPr>
            <w:tcW w:w="1282" w:type="dxa"/>
            <w:tcBorders>
              <w:top w:val="nil"/>
              <w:left w:val="nil"/>
              <w:bottom w:val="nil"/>
              <w:right w:val="nil"/>
            </w:tcBorders>
            <w:vAlign w:val="center"/>
          </w:tcPr>
          <w:p w14:paraId="0E884623"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-.214</w:t>
            </w:r>
          </w:p>
        </w:tc>
        <w:tc>
          <w:tcPr>
            <w:tcW w:w="1282" w:type="dxa"/>
            <w:tcBorders>
              <w:top w:val="nil"/>
              <w:left w:val="nil"/>
              <w:bottom w:val="nil"/>
              <w:right w:val="nil"/>
            </w:tcBorders>
            <w:vAlign w:val="center"/>
          </w:tcPr>
          <w:p w14:paraId="1CF752A2"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1.856</w:t>
            </w:r>
          </w:p>
        </w:tc>
      </w:tr>
      <w:tr w:rsidR="003156EF" w:rsidRPr="007115F2" w14:paraId="0BC5D927" w14:textId="77777777" w:rsidTr="00C82841">
        <w:tc>
          <w:tcPr>
            <w:tcW w:w="3340" w:type="dxa"/>
            <w:tcBorders>
              <w:top w:val="nil"/>
              <w:left w:val="nil"/>
              <w:bottom w:val="nil"/>
              <w:right w:val="nil"/>
            </w:tcBorders>
            <w:vAlign w:val="center"/>
          </w:tcPr>
          <w:p w14:paraId="77D96222"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acq_4yr_sales_growth</w:t>
            </w:r>
          </w:p>
        </w:tc>
        <w:tc>
          <w:tcPr>
            <w:tcW w:w="604" w:type="dxa"/>
            <w:tcBorders>
              <w:top w:val="nil"/>
              <w:left w:val="nil"/>
              <w:bottom w:val="nil"/>
              <w:right w:val="nil"/>
            </w:tcBorders>
            <w:vAlign w:val="center"/>
          </w:tcPr>
          <w:p w14:paraId="6996AFDB"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131</w:t>
            </w:r>
          </w:p>
        </w:tc>
        <w:tc>
          <w:tcPr>
            <w:tcW w:w="1282" w:type="dxa"/>
            <w:tcBorders>
              <w:top w:val="nil"/>
              <w:left w:val="nil"/>
              <w:bottom w:val="nil"/>
              <w:right w:val="nil"/>
            </w:tcBorders>
            <w:vAlign w:val="center"/>
          </w:tcPr>
          <w:p w14:paraId="54E547FD"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.128</w:t>
            </w:r>
          </w:p>
        </w:tc>
        <w:tc>
          <w:tcPr>
            <w:tcW w:w="1282" w:type="dxa"/>
            <w:tcBorders>
              <w:top w:val="nil"/>
              <w:left w:val="nil"/>
              <w:bottom w:val="nil"/>
              <w:right w:val="nil"/>
            </w:tcBorders>
            <w:vAlign w:val="center"/>
          </w:tcPr>
          <w:p w14:paraId="7B07902B"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.154</w:t>
            </w:r>
          </w:p>
        </w:tc>
        <w:tc>
          <w:tcPr>
            <w:tcW w:w="1282" w:type="dxa"/>
            <w:tcBorders>
              <w:top w:val="nil"/>
              <w:left w:val="nil"/>
              <w:bottom w:val="nil"/>
              <w:right w:val="nil"/>
            </w:tcBorders>
            <w:vAlign w:val="center"/>
          </w:tcPr>
          <w:p w14:paraId="6C32CAF6"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-.117</w:t>
            </w:r>
          </w:p>
        </w:tc>
        <w:tc>
          <w:tcPr>
            <w:tcW w:w="1282" w:type="dxa"/>
            <w:tcBorders>
              <w:top w:val="nil"/>
              <w:left w:val="nil"/>
              <w:bottom w:val="nil"/>
              <w:right w:val="nil"/>
            </w:tcBorders>
            <w:vAlign w:val="center"/>
          </w:tcPr>
          <w:p w14:paraId="73A13D9E"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.653</w:t>
            </w:r>
          </w:p>
        </w:tc>
      </w:tr>
      <w:tr w:rsidR="003156EF" w:rsidRPr="007115F2" w14:paraId="488E0594" w14:textId="77777777" w:rsidTr="00C82841">
        <w:tc>
          <w:tcPr>
            <w:tcW w:w="3340" w:type="dxa"/>
            <w:tcBorders>
              <w:top w:val="nil"/>
              <w:left w:val="nil"/>
              <w:bottom w:val="nil"/>
              <w:right w:val="nil"/>
            </w:tcBorders>
            <w:vAlign w:val="center"/>
          </w:tcPr>
          <w:p w14:paraId="40285F4C"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deal_premium_1day</w:t>
            </w:r>
          </w:p>
        </w:tc>
        <w:tc>
          <w:tcPr>
            <w:tcW w:w="604" w:type="dxa"/>
            <w:tcBorders>
              <w:top w:val="nil"/>
              <w:left w:val="nil"/>
              <w:bottom w:val="nil"/>
              <w:right w:val="nil"/>
            </w:tcBorders>
            <w:vAlign w:val="center"/>
          </w:tcPr>
          <w:p w14:paraId="67DCADF0"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226</w:t>
            </w:r>
          </w:p>
        </w:tc>
        <w:tc>
          <w:tcPr>
            <w:tcW w:w="1282" w:type="dxa"/>
            <w:tcBorders>
              <w:top w:val="nil"/>
              <w:left w:val="nil"/>
              <w:bottom w:val="nil"/>
              <w:right w:val="nil"/>
            </w:tcBorders>
            <w:vAlign w:val="center"/>
          </w:tcPr>
          <w:p w14:paraId="1809CD65"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.328</w:t>
            </w:r>
          </w:p>
        </w:tc>
        <w:tc>
          <w:tcPr>
            <w:tcW w:w="1282" w:type="dxa"/>
            <w:tcBorders>
              <w:top w:val="nil"/>
              <w:left w:val="nil"/>
              <w:bottom w:val="nil"/>
              <w:right w:val="nil"/>
            </w:tcBorders>
            <w:vAlign w:val="center"/>
          </w:tcPr>
          <w:p w14:paraId="4B19632C"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.306</w:t>
            </w:r>
          </w:p>
        </w:tc>
        <w:tc>
          <w:tcPr>
            <w:tcW w:w="1282" w:type="dxa"/>
            <w:tcBorders>
              <w:top w:val="nil"/>
              <w:left w:val="nil"/>
              <w:bottom w:val="nil"/>
              <w:right w:val="nil"/>
            </w:tcBorders>
            <w:vAlign w:val="center"/>
          </w:tcPr>
          <w:p w14:paraId="27FE73C4"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-.312</w:t>
            </w:r>
          </w:p>
        </w:tc>
        <w:tc>
          <w:tcPr>
            <w:tcW w:w="1282" w:type="dxa"/>
            <w:tcBorders>
              <w:top w:val="nil"/>
              <w:left w:val="nil"/>
              <w:bottom w:val="nil"/>
              <w:right w:val="nil"/>
            </w:tcBorders>
            <w:vAlign w:val="center"/>
          </w:tcPr>
          <w:p w14:paraId="67ABE571"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2.367</w:t>
            </w:r>
          </w:p>
        </w:tc>
      </w:tr>
      <w:tr w:rsidR="003156EF" w:rsidRPr="007115F2" w14:paraId="5140691D" w14:textId="77777777" w:rsidTr="00C82841">
        <w:tc>
          <w:tcPr>
            <w:tcW w:w="3340" w:type="dxa"/>
            <w:tcBorders>
              <w:top w:val="nil"/>
              <w:left w:val="nil"/>
              <w:bottom w:val="nil"/>
              <w:right w:val="nil"/>
            </w:tcBorders>
            <w:vAlign w:val="center"/>
          </w:tcPr>
          <w:p w14:paraId="0B78DD54"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deal_premium_1week</w:t>
            </w:r>
          </w:p>
        </w:tc>
        <w:tc>
          <w:tcPr>
            <w:tcW w:w="604" w:type="dxa"/>
            <w:tcBorders>
              <w:top w:val="nil"/>
              <w:left w:val="nil"/>
              <w:bottom w:val="nil"/>
              <w:right w:val="nil"/>
            </w:tcBorders>
            <w:vAlign w:val="center"/>
          </w:tcPr>
          <w:p w14:paraId="36CF9BD5"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226</w:t>
            </w:r>
          </w:p>
        </w:tc>
        <w:tc>
          <w:tcPr>
            <w:tcW w:w="1282" w:type="dxa"/>
            <w:tcBorders>
              <w:top w:val="nil"/>
              <w:left w:val="nil"/>
              <w:bottom w:val="nil"/>
              <w:right w:val="nil"/>
            </w:tcBorders>
            <w:vAlign w:val="center"/>
          </w:tcPr>
          <w:p w14:paraId="559A1CAF"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.356</w:t>
            </w:r>
          </w:p>
        </w:tc>
        <w:tc>
          <w:tcPr>
            <w:tcW w:w="1282" w:type="dxa"/>
            <w:tcBorders>
              <w:top w:val="nil"/>
              <w:left w:val="nil"/>
              <w:bottom w:val="nil"/>
              <w:right w:val="nil"/>
            </w:tcBorders>
            <w:vAlign w:val="center"/>
          </w:tcPr>
          <w:p w14:paraId="144B4B68"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.313</w:t>
            </w:r>
          </w:p>
        </w:tc>
        <w:tc>
          <w:tcPr>
            <w:tcW w:w="1282" w:type="dxa"/>
            <w:tcBorders>
              <w:top w:val="nil"/>
              <w:left w:val="nil"/>
              <w:bottom w:val="nil"/>
              <w:right w:val="nil"/>
            </w:tcBorders>
            <w:vAlign w:val="center"/>
          </w:tcPr>
          <w:p w14:paraId="2798827D"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-.307</w:t>
            </w:r>
          </w:p>
        </w:tc>
        <w:tc>
          <w:tcPr>
            <w:tcW w:w="1282" w:type="dxa"/>
            <w:tcBorders>
              <w:top w:val="nil"/>
              <w:left w:val="nil"/>
              <w:bottom w:val="nil"/>
              <w:right w:val="nil"/>
            </w:tcBorders>
            <w:vAlign w:val="center"/>
          </w:tcPr>
          <w:p w14:paraId="20D2C79C"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2.438</w:t>
            </w:r>
          </w:p>
        </w:tc>
      </w:tr>
      <w:tr w:rsidR="003156EF" w:rsidRPr="007115F2" w14:paraId="09B98C4D" w14:textId="77777777" w:rsidTr="00C82841">
        <w:tc>
          <w:tcPr>
            <w:tcW w:w="3340" w:type="dxa"/>
            <w:tcBorders>
              <w:top w:val="nil"/>
              <w:left w:val="nil"/>
              <w:bottom w:val="nil"/>
              <w:right w:val="nil"/>
            </w:tcBorders>
            <w:vAlign w:val="center"/>
          </w:tcPr>
          <w:p w14:paraId="2F0D5547"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deal_premium_1month</w:t>
            </w:r>
          </w:p>
        </w:tc>
        <w:tc>
          <w:tcPr>
            <w:tcW w:w="604" w:type="dxa"/>
            <w:tcBorders>
              <w:top w:val="nil"/>
              <w:left w:val="nil"/>
              <w:bottom w:val="nil"/>
              <w:right w:val="nil"/>
            </w:tcBorders>
            <w:vAlign w:val="center"/>
          </w:tcPr>
          <w:p w14:paraId="2D8D532B"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226</w:t>
            </w:r>
          </w:p>
        </w:tc>
        <w:tc>
          <w:tcPr>
            <w:tcW w:w="1282" w:type="dxa"/>
            <w:tcBorders>
              <w:top w:val="nil"/>
              <w:left w:val="nil"/>
              <w:bottom w:val="nil"/>
              <w:right w:val="nil"/>
            </w:tcBorders>
            <w:vAlign w:val="center"/>
          </w:tcPr>
          <w:p w14:paraId="21BC7250"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.380</w:t>
            </w:r>
          </w:p>
        </w:tc>
        <w:tc>
          <w:tcPr>
            <w:tcW w:w="1282" w:type="dxa"/>
            <w:tcBorders>
              <w:top w:val="nil"/>
              <w:left w:val="nil"/>
              <w:bottom w:val="nil"/>
              <w:right w:val="nil"/>
            </w:tcBorders>
            <w:vAlign w:val="center"/>
          </w:tcPr>
          <w:p w14:paraId="557A2ACC"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.306</w:t>
            </w:r>
          </w:p>
        </w:tc>
        <w:tc>
          <w:tcPr>
            <w:tcW w:w="1282" w:type="dxa"/>
            <w:tcBorders>
              <w:top w:val="nil"/>
              <w:left w:val="nil"/>
              <w:bottom w:val="nil"/>
              <w:right w:val="nil"/>
            </w:tcBorders>
            <w:vAlign w:val="center"/>
          </w:tcPr>
          <w:p w14:paraId="4AC8B5BE"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-.341</w:t>
            </w:r>
          </w:p>
        </w:tc>
        <w:tc>
          <w:tcPr>
            <w:tcW w:w="1282" w:type="dxa"/>
            <w:tcBorders>
              <w:top w:val="nil"/>
              <w:left w:val="nil"/>
              <w:bottom w:val="nil"/>
              <w:right w:val="nil"/>
            </w:tcBorders>
            <w:vAlign w:val="center"/>
          </w:tcPr>
          <w:p w14:paraId="10F10781"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2.625</w:t>
            </w:r>
          </w:p>
        </w:tc>
      </w:tr>
      <w:tr w:rsidR="003156EF" w:rsidRPr="007115F2" w14:paraId="755F9DC5" w14:textId="77777777" w:rsidTr="00C82841">
        <w:tc>
          <w:tcPr>
            <w:tcW w:w="3340" w:type="dxa"/>
            <w:tcBorders>
              <w:top w:val="nil"/>
              <w:left w:val="nil"/>
              <w:bottom w:val="nil"/>
              <w:right w:val="nil"/>
            </w:tcBorders>
            <w:vAlign w:val="center"/>
          </w:tcPr>
          <w:p w14:paraId="2E480E6F"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acq_2yr_patent_growth</w:t>
            </w:r>
          </w:p>
        </w:tc>
        <w:tc>
          <w:tcPr>
            <w:tcW w:w="604" w:type="dxa"/>
            <w:tcBorders>
              <w:top w:val="nil"/>
              <w:left w:val="nil"/>
              <w:bottom w:val="nil"/>
              <w:right w:val="nil"/>
            </w:tcBorders>
            <w:vAlign w:val="center"/>
          </w:tcPr>
          <w:p w14:paraId="1D5E9576"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189</w:t>
            </w:r>
          </w:p>
        </w:tc>
        <w:tc>
          <w:tcPr>
            <w:tcW w:w="1282" w:type="dxa"/>
            <w:tcBorders>
              <w:top w:val="nil"/>
              <w:left w:val="nil"/>
              <w:bottom w:val="nil"/>
              <w:right w:val="nil"/>
            </w:tcBorders>
            <w:vAlign w:val="center"/>
          </w:tcPr>
          <w:p w14:paraId="5098A13D"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3.573</w:t>
            </w:r>
          </w:p>
        </w:tc>
        <w:tc>
          <w:tcPr>
            <w:tcW w:w="1282" w:type="dxa"/>
            <w:tcBorders>
              <w:top w:val="nil"/>
              <w:left w:val="nil"/>
              <w:bottom w:val="nil"/>
              <w:right w:val="nil"/>
            </w:tcBorders>
            <w:vAlign w:val="center"/>
          </w:tcPr>
          <w:p w14:paraId="0A6E850B"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8.458</w:t>
            </w:r>
          </w:p>
        </w:tc>
        <w:tc>
          <w:tcPr>
            <w:tcW w:w="1282" w:type="dxa"/>
            <w:tcBorders>
              <w:top w:val="nil"/>
              <w:left w:val="nil"/>
              <w:bottom w:val="nil"/>
              <w:right w:val="nil"/>
            </w:tcBorders>
            <w:vAlign w:val="center"/>
          </w:tcPr>
          <w:p w14:paraId="4CF2AF57"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.000</w:t>
            </w:r>
          </w:p>
        </w:tc>
        <w:tc>
          <w:tcPr>
            <w:tcW w:w="1282" w:type="dxa"/>
            <w:tcBorders>
              <w:top w:val="nil"/>
              <w:left w:val="nil"/>
              <w:bottom w:val="nil"/>
              <w:right w:val="nil"/>
            </w:tcBorders>
            <w:vAlign w:val="center"/>
          </w:tcPr>
          <w:p w14:paraId="153D8D3A"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101.187</w:t>
            </w:r>
          </w:p>
        </w:tc>
      </w:tr>
      <w:tr w:rsidR="003156EF" w:rsidRPr="007115F2" w14:paraId="5E9C6EEF" w14:textId="77777777" w:rsidTr="00C82841">
        <w:tc>
          <w:tcPr>
            <w:tcW w:w="3340" w:type="dxa"/>
            <w:tcBorders>
              <w:top w:val="nil"/>
              <w:left w:val="nil"/>
              <w:bottom w:val="nil"/>
              <w:right w:val="nil"/>
            </w:tcBorders>
            <w:vAlign w:val="center"/>
          </w:tcPr>
          <w:p w14:paraId="70347524"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acq_2yr_npd_growth</w:t>
            </w:r>
          </w:p>
        </w:tc>
        <w:tc>
          <w:tcPr>
            <w:tcW w:w="604" w:type="dxa"/>
            <w:tcBorders>
              <w:top w:val="nil"/>
              <w:left w:val="nil"/>
              <w:bottom w:val="nil"/>
              <w:right w:val="nil"/>
            </w:tcBorders>
            <w:vAlign w:val="center"/>
          </w:tcPr>
          <w:p w14:paraId="277ED98B"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154</w:t>
            </w:r>
          </w:p>
        </w:tc>
        <w:tc>
          <w:tcPr>
            <w:tcW w:w="1282" w:type="dxa"/>
            <w:tcBorders>
              <w:top w:val="nil"/>
              <w:left w:val="nil"/>
              <w:bottom w:val="nil"/>
              <w:right w:val="nil"/>
            </w:tcBorders>
            <w:vAlign w:val="center"/>
          </w:tcPr>
          <w:p w14:paraId="486C7FE3"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.136</w:t>
            </w:r>
          </w:p>
        </w:tc>
        <w:tc>
          <w:tcPr>
            <w:tcW w:w="1282" w:type="dxa"/>
            <w:tcBorders>
              <w:top w:val="nil"/>
              <w:left w:val="nil"/>
              <w:bottom w:val="nil"/>
              <w:right w:val="nil"/>
            </w:tcBorders>
            <w:vAlign w:val="center"/>
          </w:tcPr>
          <w:p w14:paraId="057311DE"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.153</w:t>
            </w:r>
          </w:p>
        </w:tc>
        <w:tc>
          <w:tcPr>
            <w:tcW w:w="1282" w:type="dxa"/>
            <w:tcBorders>
              <w:top w:val="nil"/>
              <w:left w:val="nil"/>
              <w:bottom w:val="nil"/>
              <w:right w:val="nil"/>
            </w:tcBorders>
            <w:vAlign w:val="center"/>
          </w:tcPr>
          <w:p w14:paraId="2A81226E"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.000</w:t>
            </w:r>
          </w:p>
        </w:tc>
        <w:tc>
          <w:tcPr>
            <w:tcW w:w="1282" w:type="dxa"/>
            <w:tcBorders>
              <w:top w:val="nil"/>
              <w:left w:val="nil"/>
              <w:bottom w:val="nil"/>
              <w:right w:val="nil"/>
            </w:tcBorders>
            <w:vAlign w:val="center"/>
          </w:tcPr>
          <w:p w14:paraId="371292F4"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.913</w:t>
            </w:r>
          </w:p>
        </w:tc>
      </w:tr>
      <w:tr w:rsidR="003156EF" w:rsidRPr="007115F2" w14:paraId="22AFB430" w14:textId="77777777" w:rsidTr="00C82841">
        <w:tc>
          <w:tcPr>
            <w:tcW w:w="3340" w:type="dxa"/>
            <w:tcBorders>
              <w:top w:val="nil"/>
              <w:left w:val="nil"/>
              <w:bottom w:val="nil"/>
              <w:right w:val="nil"/>
            </w:tcBorders>
          </w:tcPr>
          <w:p w14:paraId="3258ADED" w14:textId="77777777" w:rsidR="003156EF" w:rsidRPr="007115F2" w:rsidRDefault="003156EF" w:rsidP="00AB066F">
            <w:pPr>
              <w:widowControl w:val="0"/>
              <w:autoSpaceDE w:val="0"/>
              <w:autoSpaceDN w:val="0"/>
              <w:adjustRightInd w:val="0"/>
              <w:spacing w:line="240" w:lineRule="auto"/>
              <w:rPr>
                <w:b/>
                <w:bCs/>
                <w:color w:val="000000" w:themeColor="text1"/>
                <w:sz w:val="22"/>
                <w:lang w:val="en-US"/>
              </w:rPr>
            </w:pPr>
            <w:r w:rsidRPr="007115F2">
              <w:rPr>
                <w:b/>
                <w:bCs/>
                <w:color w:val="000000" w:themeColor="text1"/>
                <w:sz w:val="22"/>
                <w:lang w:val="en-US"/>
              </w:rPr>
              <w:t>Deal Controls</w:t>
            </w:r>
          </w:p>
        </w:tc>
        <w:tc>
          <w:tcPr>
            <w:tcW w:w="604" w:type="dxa"/>
            <w:tcBorders>
              <w:top w:val="nil"/>
              <w:left w:val="nil"/>
              <w:bottom w:val="nil"/>
              <w:right w:val="nil"/>
            </w:tcBorders>
          </w:tcPr>
          <w:p w14:paraId="0F15348B"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p>
        </w:tc>
        <w:tc>
          <w:tcPr>
            <w:tcW w:w="1282" w:type="dxa"/>
            <w:tcBorders>
              <w:top w:val="nil"/>
              <w:left w:val="nil"/>
              <w:bottom w:val="nil"/>
              <w:right w:val="nil"/>
            </w:tcBorders>
          </w:tcPr>
          <w:p w14:paraId="3B8D6B00"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p>
        </w:tc>
        <w:tc>
          <w:tcPr>
            <w:tcW w:w="1282" w:type="dxa"/>
            <w:tcBorders>
              <w:top w:val="nil"/>
              <w:left w:val="nil"/>
              <w:bottom w:val="nil"/>
              <w:right w:val="nil"/>
            </w:tcBorders>
          </w:tcPr>
          <w:p w14:paraId="3B4EA2D0"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p>
        </w:tc>
        <w:tc>
          <w:tcPr>
            <w:tcW w:w="1282" w:type="dxa"/>
            <w:tcBorders>
              <w:top w:val="nil"/>
              <w:left w:val="nil"/>
              <w:bottom w:val="nil"/>
              <w:right w:val="nil"/>
            </w:tcBorders>
          </w:tcPr>
          <w:p w14:paraId="52C8C7CC"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p>
        </w:tc>
        <w:tc>
          <w:tcPr>
            <w:tcW w:w="1282" w:type="dxa"/>
            <w:tcBorders>
              <w:top w:val="nil"/>
              <w:left w:val="nil"/>
              <w:bottom w:val="nil"/>
              <w:right w:val="nil"/>
            </w:tcBorders>
          </w:tcPr>
          <w:p w14:paraId="7BA5CCD3"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p>
        </w:tc>
      </w:tr>
      <w:tr w:rsidR="003156EF" w:rsidRPr="007115F2" w14:paraId="4B3A7886" w14:textId="77777777" w:rsidTr="00C82841">
        <w:tc>
          <w:tcPr>
            <w:tcW w:w="3340" w:type="dxa"/>
            <w:tcBorders>
              <w:top w:val="nil"/>
              <w:left w:val="nil"/>
              <w:bottom w:val="nil"/>
              <w:right w:val="nil"/>
            </w:tcBorders>
            <w:vAlign w:val="center"/>
          </w:tcPr>
          <w:p w14:paraId="49A060E4"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deal_value_ln</w:t>
            </w:r>
          </w:p>
        </w:tc>
        <w:tc>
          <w:tcPr>
            <w:tcW w:w="604" w:type="dxa"/>
            <w:tcBorders>
              <w:top w:val="nil"/>
              <w:left w:val="nil"/>
              <w:bottom w:val="nil"/>
              <w:right w:val="nil"/>
            </w:tcBorders>
            <w:vAlign w:val="center"/>
          </w:tcPr>
          <w:p w14:paraId="28B1E14C"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243</w:t>
            </w:r>
          </w:p>
        </w:tc>
        <w:tc>
          <w:tcPr>
            <w:tcW w:w="1282" w:type="dxa"/>
            <w:tcBorders>
              <w:top w:val="nil"/>
              <w:left w:val="nil"/>
              <w:bottom w:val="nil"/>
              <w:right w:val="nil"/>
            </w:tcBorders>
            <w:vAlign w:val="center"/>
          </w:tcPr>
          <w:p w14:paraId="4B1CEB9D"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21.568</w:t>
            </w:r>
          </w:p>
        </w:tc>
        <w:tc>
          <w:tcPr>
            <w:tcW w:w="1282" w:type="dxa"/>
            <w:tcBorders>
              <w:top w:val="nil"/>
              <w:left w:val="nil"/>
              <w:bottom w:val="nil"/>
              <w:right w:val="nil"/>
            </w:tcBorders>
            <w:vAlign w:val="center"/>
          </w:tcPr>
          <w:p w14:paraId="2F87B90F"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1.672</w:t>
            </w:r>
          </w:p>
        </w:tc>
        <w:tc>
          <w:tcPr>
            <w:tcW w:w="1282" w:type="dxa"/>
            <w:tcBorders>
              <w:top w:val="nil"/>
              <w:left w:val="nil"/>
              <w:bottom w:val="nil"/>
              <w:right w:val="nil"/>
            </w:tcBorders>
            <w:vAlign w:val="center"/>
          </w:tcPr>
          <w:p w14:paraId="04D331D2"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17.272</w:t>
            </w:r>
          </w:p>
        </w:tc>
        <w:tc>
          <w:tcPr>
            <w:tcW w:w="1282" w:type="dxa"/>
            <w:tcBorders>
              <w:top w:val="nil"/>
              <w:left w:val="nil"/>
              <w:bottom w:val="nil"/>
              <w:right w:val="nil"/>
            </w:tcBorders>
            <w:vAlign w:val="center"/>
          </w:tcPr>
          <w:p w14:paraId="352AEFB3"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25.156</w:t>
            </w:r>
          </w:p>
        </w:tc>
      </w:tr>
      <w:tr w:rsidR="003156EF" w:rsidRPr="007115F2" w14:paraId="5431FA27" w14:textId="77777777" w:rsidTr="00C82841">
        <w:tc>
          <w:tcPr>
            <w:tcW w:w="3340" w:type="dxa"/>
            <w:tcBorders>
              <w:top w:val="nil"/>
              <w:left w:val="nil"/>
              <w:bottom w:val="nil"/>
              <w:right w:val="nil"/>
            </w:tcBorders>
            <w:vAlign w:val="center"/>
          </w:tcPr>
          <w:p w14:paraId="1D2E85FF"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deal_hofstede_distance</w:t>
            </w:r>
          </w:p>
        </w:tc>
        <w:tc>
          <w:tcPr>
            <w:tcW w:w="604" w:type="dxa"/>
            <w:tcBorders>
              <w:top w:val="nil"/>
              <w:left w:val="nil"/>
              <w:bottom w:val="nil"/>
              <w:right w:val="nil"/>
            </w:tcBorders>
            <w:vAlign w:val="center"/>
          </w:tcPr>
          <w:p w14:paraId="1CD74EE5"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243</w:t>
            </w:r>
          </w:p>
        </w:tc>
        <w:tc>
          <w:tcPr>
            <w:tcW w:w="1282" w:type="dxa"/>
            <w:tcBorders>
              <w:top w:val="nil"/>
              <w:left w:val="nil"/>
              <w:bottom w:val="nil"/>
              <w:right w:val="nil"/>
            </w:tcBorders>
            <w:vAlign w:val="center"/>
          </w:tcPr>
          <w:p w14:paraId="0AFA7712"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.031</w:t>
            </w:r>
          </w:p>
        </w:tc>
        <w:tc>
          <w:tcPr>
            <w:tcW w:w="1282" w:type="dxa"/>
            <w:tcBorders>
              <w:top w:val="nil"/>
              <w:left w:val="nil"/>
              <w:bottom w:val="nil"/>
              <w:right w:val="nil"/>
            </w:tcBorders>
            <w:vAlign w:val="center"/>
          </w:tcPr>
          <w:p w14:paraId="45B692C7"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.081</w:t>
            </w:r>
          </w:p>
        </w:tc>
        <w:tc>
          <w:tcPr>
            <w:tcW w:w="1282" w:type="dxa"/>
            <w:tcBorders>
              <w:top w:val="nil"/>
              <w:left w:val="nil"/>
              <w:bottom w:val="nil"/>
              <w:right w:val="nil"/>
            </w:tcBorders>
            <w:vAlign w:val="center"/>
          </w:tcPr>
          <w:p w14:paraId="0829C0B3"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0.000</w:t>
            </w:r>
          </w:p>
        </w:tc>
        <w:tc>
          <w:tcPr>
            <w:tcW w:w="1282" w:type="dxa"/>
            <w:tcBorders>
              <w:top w:val="nil"/>
              <w:left w:val="nil"/>
              <w:bottom w:val="nil"/>
              <w:right w:val="nil"/>
            </w:tcBorders>
            <w:vAlign w:val="center"/>
          </w:tcPr>
          <w:p w14:paraId="44D255CA"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.345</w:t>
            </w:r>
          </w:p>
        </w:tc>
      </w:tr>
      <w:tr w:rsidR="003156EF" w:rsidRPr="007115F2" w14:paraId="2DA61250" w14:textId="77777777" w:rsidTr="00C82841">
        <w:tc>
          <w:tcPr>
            <w:tcW w:w="3340" w:type="dxa"/>
            <w:tcBorders>
              <w:top w:val="nil"/>
              <w:left w:val="nil"/>
              <w:bottom w:val="nil"/>
              <w:right w:val="nil"/>
            </w:tcBorders>
            <w:vAlign w:val="center"/>
          </w:tcPr>
          <w:p w14:paraId="1C5686DB"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deal_all_cash_dummy</w:t>
            </w:r>
          </w:p>
        </w:tc>
        <w:tc>
          <w:tcPr>
            <w:tcW w:w="604" w:type="dxa"/>
            <w:tcBorders>
              <w:top w:val="nil"/>
              <w:left w:val="nil"/>
              <w:bottom w:val="nil"/>
              <w:right w:val="nil"/>
            </w:tcBorders>
            <w:vAlign w:val="center"/>
          </w:tcPr>
          <w:p w14:paraId="3E804D7C"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243</w:t>
            </w:r>
          </w:p>
        </w:tc>
        <w:tc>
          <w:tcPr>
            <w:tcW w:w="1282" w:type="dxa"/>
            <w:tcBorders>
              <w:top w:val="nil"/>
              <w:left w:val="nil"/>
              <w:bottom w:val="nil"/>
              <w:right w:val="nil"/>
            </w:tcBorders>
            <w:vAlign w:val="center"/>
          </w:tcPr>
          <w:p w14:paraId="5B29644A"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.473</w:t>
            </w:r>
          </w:p>
        </w:tc>
        <w:tc>
          <w:tcPr>
            <w:tcW w:w="1282" w:type="dxa"/>
            <w:tcBorders>
              <w:top w:val="nil"/>
              <w:left w:val="nil"/>
              <w:bottom w:val="nil"/>
              <w:right w:val="nil"/>
            </w:tcBorders>
            <w:vAlign w:val="center"/>
          </w:tcPr>
          <w:p w14:paraId="5DF94758"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.500</w:t>
            </w:r>
          </w:p>
        </w:tc>
        <w:tc>
          <w:tcPr>
            <w:tcW w:w="1282" w:type="dxa"/>
            <w:tcBorders>
              <w:top w:val="nil"/>
              <w:left w:val="nil"/>
              <w:bottom w:val="nil"/>
              <w:right w:val="nil"/>
            </w:tcBorders>
            <w:vAlign w:val="center"/>
          </w:tcPr>
          <w:p w14:paraId="3F32DA5A"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w:t>
            </w:r>
          </w:p>
        </w:tc>
        <w:tc>
          <w:tcPr>
            <w:tcW w:w="1282" w:type="dxa"/>
            <w:tcBorders>
              <w:top w:val="nil"/>
              <w:left w:val="nil"/>
              <w:bottom w:val="nil"/>
              <w:right w:val="nil"/>
            </w:tcBorders>
            <w:vAlign w:val="center"/>
          </w:tcPr>
          <w:p w14:paraId="1CEF914E"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1</w:t>
            </w:r>
          </w:p>
        </w:tc>
      </w:tr>
      <w:tr w:rsidR="003156EF" w:rsidRPr="007115F2" w14:paraId="21C8AC04" w14:textId="77777777" w:rsidTr="00C82841">
        <w:tc>
          <w:tcPr>
            <w:tcW w:w="3340" w:type="dxa"/>
            <w:tcBorders>
              <w:top w:val="nil"/>
              <w:left w:val="nil"/>
              <w:bottom w:val="nil"/>
              <w:right w:val="nil"/>
            </w:tcBorders>
            <w:vAlign w:val="center"/>
          </w:tcPr>
          <w:p w14:paraId="57194AA6"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deal_all_stock_dummy</w:t>
            </w:r>
          </w:p>
        </w:tc>
        <w:tc>
          <w:tcPr>
            <w:tcW w:w="604" w:type="dxa"/>
            <w:tcBorders>
              <w:top w:val="nil"/>
              <w:left w:val="nil"/>
              <w:bottom w:val="nil"/>
              <w:right w:val="nil"/>
            </w:tcBorders>
            <w:vAlign w:val="center"/>
          </w:tcPr>
          <w:p w14:paraId="00519601"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243</w:t>
            </w:r>
          </w:p>
        </w:tc>
        <w:tc>
          <w:tcPr>
            <w:tcW w:w="1282" w:type="dxa"/>
            <w:tcBorders>
              <w:top w:val="nil"/>
              <w:left w:val="nil"/>
              <w:bottom w:val="nil"/>
              <w:right w:val="nil"/>
            </w:tcBorders>
            <w:vAlign w:val="center"/>
          </w:tcPr>
          <w:p w14:paraId="54F453B8"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.152</w:t>
            </w:r>
          </w:p>
        </w:tc>
        <w:tc>
          <w:tcPr>
            <w:tcW w:w="1282" w:type="dxa"/>
            <w:tcBorders>
              <w:top w:val="nil"/>
              <w:left w:val="nil"/>
              <w:bottom w:val="nil"/>
              <w:right w:val="nil"/>
            </w:tcBorders>
            <w:vAlign w:val="center"/>
          </w:tcPr>
          <w:p w14:paraId="3C3C8BE4"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.360</w:t>
            </w:r>
          </w:p>
        </w:tc>
        <w:tc>
          <w:tcPr>
            <w:tcW w:w="1282" w:type="dxa"/>
            <w:tcBorders>
              <w:top w:val="nil"/>
              <w:left w:val="nil"/>
              <w:bottom w:val="nil"/>
              <w:right w:val="nil"/>
            </w:tcBorders>
            <w:vAlign w:val="center"/>
          </w:tcPr>
          <w:p w14:paraId="79CF8E14"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w:t>
            </w:r>
          </w:p>
        </w:tc>
        <w:tc>
          <w:tcPr>
            <w:tcW w:w="1282" w:type="dxa"/>
            <w:tcBorders>
              <w:top w:val="nil"/>
              <w:left w:val="nil"/>
              <w:bottom w:val="nil"/>
              <w:right w:val="nil"/>
            </w:tcBorders>
            <w:vAlign w:val="center"/>
          </w:tcPr>
          <w:p w14:paraId="2A8A96D1"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1</w:t>
            </w:r>
          </w:p>
        </w:tc>
      </w:tr>
      <w:tr w:rsidR="003156EF" w:rsidRPr="007115F2" w14:paraId="24387A96" w14:textId="77777777" w:rsidTr="00C82841">
        <w:tc>
          <w:tcPr>
            <w:tcW w:w="3340" w:type="dxa"/>
            <w:tcBorders>
              <w:top w:val="nil"/>
              <w:left w:val="nil"/>
              <w:bottom w:val="nil"/>
              <w:right w:val="nil"/>
            </w:tcBorders>
            <w:vAlign w:val="center"/>
          </w:tcPr>
          <w:p w14:paraId="2A7BD1FF"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deal_tenderoffer_dummy</w:t>
            </w:r>
          </w:p>
        </w:tc>
        <w:tc>
          <w:tcPr>
            <w:tcW w:w="604" w:type="dxa"/>
            <w:tcBorders>
              <w:top w:val="nil"/>
              <w:left w:val="nil"/>
              <w:bottom w:val="nil"/>
              <w:right w:val="nil"/>
            </w:tcBorders>
            <w:vAlign w:val="center"/>
          </w:tcPr>
          <w:p w14:paraId="6B33F47B"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243</w:t>
            </w:r>
          </w:p>
        </w:tc>
        <w:tc>
          <w:tcPr>
            <w:tcW w:w="1282" w:type="dxa"/>
            <w:tcBorders>
              <w:top w:val="nil"/>
              <w:left w:val="nil"/>
              <w:bottom w:val="nil"/>
              <w:right w:val="nil"/>
            </w:tcBorders>
            <w:vAlign w:val="center"/>
          </w:tcPr>
          <w:p w14:paraId="43371283"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.181</w:t>
            </w:r>
          </w:p>
        </w:tc>
        <w:tc>
          <w:tcPr>
            <w:tcW w:w="1282" w:type="dxa"/>
            <w:tcBorders>
              <w:top w:val="nil"/>
              <w:left w:val="nil"/>
              <w:bottom w:val="nil"/>
              <w:right w:val="nil"/>
            </w:tcBorders>
            <w:vAlign w:val="center"/>
          </w:tcPr>
          <w:p w14:paraId="32CE00EF"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.386</w:t>
            </w:r>
          </w:p>
        </w:tc>
        <w:tc>
          <w:tcPr>
            <w:tcW w:w="1282" w:type="dxa"/>
            <w:tcBorders>
              <w:top w:val="nil"/>
              <w:left w:val="nil"/>
              <w:bottom w:val="nil"/>
              <w:right w:val="nil"/>
            </w:tcBorders>
            <w:vAlign w:val="center"/>
          </w:tcPr>
          <w:p w14:paraId="2406A665"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w:t>
            </w:r>
          </w:p>
        </w:tc>
        <w:tc>
          <w:tcPr>
            <w:tcW w:w="1282" w:type="dxa"/>
            <w:tcBorders>
              <w:top w:val="nil"/>
              <w:left w:val="nil"/>
              <w:bottom w:val="nil"/>
              <w:right w:val="nil"/>
            </w:tcBorders>
            <w:vAlign w:val="center"/>
          </w:tcPr>
          <w:p w14:paraId="2E2A34CD"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1</w:t>
            </w:r>
          </w:p>
        </w:tc>
      </w:tr>
      <w:tr w:rsidR="003156EF" w:rsidRPr="007115F2" w14:paraId="6D921295" w14:textId="77777777" w:rsidTr="00C82841">
        <w:tc>
          <w:tcPr>
            <w:tcW w:w="3340" w:type="dxa"/>
            <w:tcBorders>
              <w:top w:val="nil"/>
              <w:left w:val="nil"/>
              <w:bottom w:val="nil"/>
              <w:right w:val="nil"/>
            </w:tcBorders>
            <w:vAlign w:val="center"/>
          </w:tcPr>
          <w:p w14:paraId="25C3855D"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deal_friendly_dummy</w:t>
            </w:r>
          </w:p>
        </w:tc>
        <w:tc>
          <w:tcPr>
            <w:tcW w:w="604" w:type="dxa"/>
            <w:tcBorders>
              <w:top w:val="nil"/>
              <w:left w:val="nil"/>
              <w:bottom w:val="nil"/>
              <w:right w:val="nil"/>
            </w:tcBorders>
            <w:vAlign w:val="center"/>
          </w:tcPr>
          <w:p w14:paraId="58E01574"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243</w:t>
            </w:r>
          </w:p>
        </w:tc>
        <w:tc>
          <w:tcPr>
            <w:tcW w:w="1282" w:type="dxa"/>
            <w:tcBorders>
              <w:top w:val="nil"/>
              <w:left w:val="nil"/>
              <w:bottom w:val="nil"/>
              <w:right w:val="nil"/>
            </w:tcBorders>
            <w:vAlign w:val="center"/>
          </w:tcPr>
          <w:p w14:paraId="27A3E6B9"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.992</w:t>
            </w:r>
          </w:p>
        </w:tc>
        <w:tc>
          <w:tcPr>
            <w:tcW w:w="1282" w:type="dxa"/>
            <w:tcBorders>
              <w:top w:val="nil"/>
              <w:left w:val="nil"/>
              <w:bottom w:val="nil"/>
              <w:right w:val="nil"/>
            </w:tcBorders>
            <w:vAlign w:val="center"/>
          </w:tcPr>
          <w:p w14:paraId="55D70A0B"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.091</w:t>
            </w:r>
          </w:p>
        </w:tc>
        <w:tc>
          <w:tcPr>
            <w:tcW w:w="1282" w:type="dxa"/>
            <w:tcBorders>
              <w:top w:val="nil"/>
              <w:left w:val="nil"/>
              <w:bottom w:val="nil"/>
              <w:right w:val="nil"/>
            </w:tcBorders>
            <w:vAlign w:val="center"/>
          </w:tcPr>
          <w:p w14:paraId="35A922BC"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w:t>
            </w:r>
          </w:p>
        </w:tc>
        <w:tc>
          <w:tcPr>
            <w:tcW w:w="1282" w:type="dxa"/>
            <w:tcBorders>
              <w:top w:val="nil"/>
              <w:left w:val="nil"/>
              <w:bottom w:val="nil"/>
              <w:right w:val="nil"/>
            </w:tcBorders>
            <w:vAlign w:val="center"/>
          </w:tcPr>
          <w:p w14:paraId="34A65EDD"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1</w:t>
            </w:r>
          </w:p>
        </w:tc>
      </w:tr>
      <w:tr w:rsidR="003156EF" w:rsidRPr="007115F2" w14:paraId="3B6C9CED" w14:textId="77777777" w:rsidTr="00C82841">
        <w:tc>
          <w:tcPr>
            <w:tcW w:w="3340" w:type="dxa"/>
            <w:tcBorders>
              <w:top w:val="nil"/>
              <w:left w:val="nil"/>
              <w:bottom w:val="nil"/>
              <w:right w:val="nil"/>
            </w:tcBorders>
            <w:vAlign w:val="center"/>
          </w:tcPr>
          <w:p w14:paraId="17DFD737"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deal_relatedness_dummy</w:t>
            </w:r>
          </w:p>
        </w:tc>
        <w:tc>
          <w:tcPr>
            <w:tcW w:w="604" w:type="dxa"/>
            <w:tcBorders>
              <w:top w:val="nil"/>
              <w:left w:val="nil"/>
              <w:bottom w:val="nil"/>
              <w:right w:val="nil"/>
            </w:tcBorders>
            <w:vAlign w:val="center"/>
          </w:tcPr>
          <w:p w14:paraId="015020D7"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243</w:t>
            </w:r>
          </w:p>
        </w:tc>
        <w:tc>
          <w:tcPr>
            <w:tcW w:w="1282" w:type="dxa"/>
            <w:tcBorders>
              <w:top w:val="nil"/>
              <w:left w:val="nil"/>
              <w:bottom w:val="nil"/>
              <w:right w:val="nil"/>
            </w:tcBorders>
            <w:vAlign w:val="center"/>
          </w:tcPr>
          <w:p w14:paraId="7A0892FF"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.687</w:t>
            </w:r>
          </w:p>
        </w:tc>
        <w:tc>
          <w:tcPr>
            <w:tcW w:w="1282" w:type="dxa"/>
            <w:tcBorders>
              <w:top w:val="nil"/>
              <w:left w:val="nil"/>
              <w:bottom w:val="nil"/>
              <w:right w:val="nil"/>
            </w:tcBorders>
            <w:vAlign w:val="center"/>
          </w:tcPr>
          <w:p w14:paraId="35FC3800"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.465</w:t>
            </w:r>
          </w:p>
        </w:tc>
        <w:tc>
          <w:tcPr>
            <w:tcW w:w="1282" w:type="dxa"/>
            <w:tcBorders>
              <w:top w:val="nil"/>
              <w:left w:val="nil"/>
              <w:bottom w:val="nil"/>
              <w:right w:val="nil"/>
            </w:tcBorders>
            <w:vAlign w:val="center"/>
          </w:tcPr>
          <w:p w14:paraId="27FD24A7"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w:t>
            </w:r>
          </w:p>
        </w:tc>
        <w:tc>
          <w:tcPr>
            <w:tcW w:w="1282" w:type="dxa"/>
            <w:tcBorders>
              <w:top w:val="nil"/>
              <w:left w:val="nil"/>
              <w:bottom w:val="nil"/>
              <w:right w:val="nil"/>
            </w:tcBorders>
            <w:vAlign w:val="center"/>
          </w:tcPr>
          <w:p w14:paraId="3573ED8A"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1</w:t>
            </w:r>
          </w:p>
        </w:tc>
      </w:tr>
      <w:tr w:rsidR="003156EF" w:rsidRPr="007115F2" w14:paraId="47B7BEFC" w14:textId="77777777" w:rsidTr="00C82841">
        <w:tc>
          <w:tcPr>
            <w:tcW w:w="3340" w:type="dxa"/>
            <w:tcBorders>
              <w:top w:val="nil"/>
              <w:left w:val="nil"/>
              <w:bottom w:val="nil"/>
              <w:right w:val="nil"/>
            </w:tcBorders>
          </w:tcPr>
          <w:p w14:paraId="50CD091D" w14:textId="77777777" w:rsidR="003156EF" w:rsidRPr="007115F2" w:rsidRDefault="003156EF" w:rsidP="00AB066F">
            <w:pPr>
              <w:widowControl w:val="0"/>
              <w:autoSpaceDE w:val="0"/>
              <w:autoSpaceDN w:val="0"/>
              <w:adjustRightInd w:val="0"/>
              <w:spacing w:line="240" w:lineRule="auto"/>
              <w:rPr>
                <w:b/>
                <w:bCs/>
                <w:color w:val="000000" w:themeColor="text1"/>
                <w:sz w:val="22"/>
                <w:lang w:val="en-US"/>
              </w:rPr>
            </w:pPr>
            <w:r w:rsidRPr="007115F2">
              <w:rPr>
                <w:b/>
                <w:bCs/>
                <w:color w:val="000000" w:themeColor="text1"/>
                <w:sz w:val="22"/>
                <w:lang w:val="en-US"/>
              </w:rPr>
              <w:t>Acquirer Controls</w:t>
            </w:r>
          </w:p>
        </w:tc>
        <w:tc>
          <w:tcPr>
            <w:tcW w:w="604" w:type="dxa"/>
            <w:tcBorders>
              <w:top w:val="nil"/>
              <w:left w:val="nil"/>
              <w:bottom w:val="nil"/>
              <w:right w:val="nil"/>
            </w:tcBorders>
          </w:tcPr>
          <w:p w14:paraId="64E36F48"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p>
        </w:tc>
        <w:tc>
          <w:tcPr>
            <w:tcW w:w="1282" w:type="dxa"/>
            <w:tcBorders>
              <w:top w:val="nil"/>
              <w:left w:val="nil"/>
              <w:bottom w:val="nil"/>
              <w:right w:val="nil"/>
            </w:tcBorders>
          </w:tcPr>
          <w:p w14:paraId="0430FD85"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p>
        </w:tc>
        <w:tc>
          <w:tcPr>
            <w:tcW w:w="1282" w:type="dxa"/>
            <w:tcBorders>
              <w:top w:val="nil"/>
              <w:left w:val="nil"/>
              <w:bottom w:val="nil"/>
              <w:right w:val="nil"/>
            </w:tcBorders>
          </w:tcPr>
          <w:p w14:paraId="667A7B0E"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p>
        </w:tc>
        <w:tc>
          <w:tcPr>
            <w:tcW w:w="1282" w:type="dxa"/>
            <w:tcBorders>
              <w:top w:val="nil"/>
              <w:left w:val="nil"/>
              <w:bottom w:val="nil"/>
              <w:right w:val="nil"/>
            </w:tcBorders>
          </w:tcPr>
          <w:p w14:paraId="03CFBA95"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p>
        </w:tc>
        <w:tc>
          <w:tcPr>
            <w:tcW w:w="1282" w:type="dxa"/>
            <w:tcBorders>
              <w:top w:val="nil"/>
              <w:left w:val="nil"/>
              <w:bottom w:val="nil"/>
              <w:right w:val="nil"/>
            </w:tcBorders>
          </w:tcPr>
          <w:p w14:paraId="53358838"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p>
        </w:tc>
      </w:tr>
      <w:tr w:rsidR="003156EF" w:rsidRPr="007115F2" w14:paraId="140DE5D0" w14:textId="77777777" w:rsidTr="00C82841">
        <w:tc>
          <w:tcPr>
            <w:tcW w:w="3340" w:type="dxa"/>
            <w:tcBorders>
              <w:top w:val="nil"/>
              <w:left w:val="nil"/>
              <w:bottom w:val="nil"/>
              <w:right w:val="nil"/>
            </w:tcBorders>
            <w:vAlign w:val="center"/>
          </w:tcPr>
          <w:p w14:paraId="6F269FF0"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acq_age</w:t>
            </w:r>
          </w:p>
        </w:tc>
        <w:tc>
          <w:tcPr>
            <w:tcW w:w="604" w:type="dxa"/>
            <w:tcBorders>
              <w:top w:val="nil"/>
              <w:left w:val="nil"/>
              <w:bottom w:val="nil"/>
              <w:right w:val="nil"/>
            </w:tcBorders>
            <w:vAlign w:val="center"/>
          </w:tcPr>
          <w:p w14:paraId="37D2A496"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243</w:t>
            </w:r>
          </w:p>
        </w:tc>
        <w:tc>
          <w:tcPr>
            <w:tcW w:w="1282" w:type="dxa"/>
            <w:tcBorders>
              <w:top w:val="nil"/>
              <w:left w:val="nil"/>
              <w:bottom w:val="nil"/>
              <w:right w:val="nil"/>
            </w:tcBorders>
            <w:vAlign w:val="center"/>
          </w:tcPr>
          <w:p w14:paraId="2700E5A3"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69.984</w:t>
            </w:r>
          </w:p>
        </w:tc>
        <w:tc>
          <w:tcPr>
            <w:tcW w:w="1282" w:type="dxa"/>
            <w:tcBorders>
              <w:top w:val="nil"/>
              <w:left w:val="nil"/>
              <w:bottom w:val="nil"/>
              <w:right w:val="nil"/>
            </w:tcBorders>
            <w:vAlign w:val="center"/>
          </w:tcPr>
          <w:p w14:paraId="68765B34"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49.831</w:t>
            </w:r>
          </w:p>
        </w:tc>
        <w:tc>
          <w:tcPr>
            <w:tcW w:w="1282" w:type="dxa"/>
            <w:tcBorders>
              <w:top w:val="nil"/>
              <w:left w:val="nil"/>
              <w:bottom w:val="nil"/>
              <w:right w:val="nil"/>
            </w:tcBorders>
            <w:vAlign w:val="center"/>
          </w:tcPr>
          <w:p w14:paraId="1F95D48D"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6</w:t>
            </w:r>
          </w:p>
        </w:tc>
        <w:tc>
          <w:tcPr>
            <w:tcW w:w="1282" w:type="dxa"/>
            <w:tcBorders>
              <w:top w:val="nil"/>
              <w:left w:val="nil"/>
              <w:bottom w:val="nil"/>
              <w:right w:val="nil"/>
            </w:tcBorders>
            <w:vAlign w:val="center"/>
          </w:tcPr>
          <w:p w14:paraId="5207E5F6"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232</w:t>
            </w:r>
          </w:p>
        </w:tc>
      </w:tr>
      <w:tr w:rsidR="003156EF" w:rsidRPr="007115F2" w14:paraId="05E7CE96" w14:textId="77777777" w:rsidTr="00C82841">
        <w:tc>
          <w:tcPr>
            <w:tcW w:w="3340" w:type="dxa"/>
            <w:tcBorders>
              <w:top w:val="nil"/>
              <w:left w:val="nil"/>
              <w:bottom w:val="nil"/>
              <w:right w:val="nil"/>
            </w:tcBorders>
            <w:vAlign w:val="center"/>
          </w:tcPr>
          <w:p w14:paraId="74360F10"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acq_assets_lastyear_ln</w:t>
            </w:r>
          </w:p>
        </w:tc>
        <w:tc>
          <w:tcPr>
            <w:tcW w:w="604" w:type="dxa"/>
            <w:tcBorders>
              <w:top w:val="nil"/>
              <w:left w:val="nil"/>
              <w:bottom w:val="nil"/>
              <w:right w:val="nil"/>
            </w:tcBorders>
            <w:vAlign w:val="center"/>
          </w:tcPr>
          <w:p w14:paraId="58ECC2FC"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243</w:t>
            </w:r>
          </w:p>
        </w:tc>
        <w:tc>
          <w:tcPr>
            <w:tcW w:w="1282" w:type="dxa"/>
            <w:tcBorders>
              <w:top w:val="nil"/>
              <w:left w:val="nil"/>
              <w:bottom w:val="nil"/>
              <w:right w:val="nil"/>
            </w:tcBorders>
            <w:vAlign w:val="center"/>
          </w:tcPr>
          <w:p w14:paraId="0E01263A"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23.081</w:t>
            </w:r>
          </w:p>
        </w:tc>
        <w:tc>
          <w:tcPr>
            <w:tcW w:w="1282" w:type="dxa"/>
            <w:tcBorders>
              <w:top w:val="nil"/>
              <w:left w:val="nil"/>
              <w:bottom w:val="nil"/>
              <w:right w:val="nil"/>
            </w:tcBorders>
            <w:vAlign w:val="center"/>
          </w:tcPr>
          <w:p w14:paraId="5D242907"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1.773</w:t>
            </w:r>
          </w:p>
        </w:tc>
        <w:tc>
          <w:tcPr>
            <w:tcW w:w="1282" w:type="dxa"/>
            <w:tcBorders>
              <w:top w:val="nil"/>
              <w:left w:val="nil"/>
              <w:bottom w:val="nil"/>
              <w:right w:val="nil"/>
            </w:tcBorders>
            <w:vAlign w:val="center"/>
          </w:tcPr>
          <w:p w14:paraId="4F46E6F4"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18.594</w:t>
            </w:r>
          </w:p>
        </w:tc>
        <w:tc>
          <w:tcPr>
            <w:tcW w:w="1282" w:type="dxa"/>
            <w:tcBorders>
              <w:top w:val="nil"/>
              <w:left w:val="nil"/>
              <w:bottom w:val="nil"/>
              <w:right w:val="nil"/>
            </w:tcBorders>
            <w:vAlign w:val="center"/>
          </w:tcPr>
          <w:p w14:paraId="6E1710AE"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27.496</w:t>
            </w:r>
          </w:p>
        </w:tc>
      </w:tr>
      <w:tr w:rsidR="003156EF" w:rsidRPr="007115F2" w14:paraId="0C3282A3" w14:textId="77777777" w:rsidTr="00C82841">
        <w:tc>
          <w:tcPr>
            <w:tcW w:w="3340" w:type="dxa"/>
            <w:tcBorders>
              <w:top w:val="nil"/>
              <w:left w:val="nil"/>
              <w:bottom w:val="nil"/>
              <w:right w:val="nil"/>
            </w:tcBorders>
            <w:vAlign w:val="center"/>
          </w:tcPr>
          <w:p w14:paraId="28ED0F35"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acq_roa_lastyear</w:t>
            </w:r>
          </w:p>
        </w:tc>
        <w:tc>
          <w:tcPr>
            <w:tcW w:w="604" w:type="dxa"/>
            <w:tcBorders>
              <w:top w:val="nil"/>
              <w:left w:val="nil"/>
              <w:bottom w:val="nil"/>
              <w:right w:val="nil"/>
            </w:tcBorders>
            <w:vAlign w:val="center"/>
          </w:tcPr>
          <w:p w14:paraId="296D3F5E"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243</w:t>
            </w:r>
          </w:p>
        </w:tc>
        <w:tc>
          <w:tcPr>
            <w:tcW w:w="1282" w:type="dxa"/>
            <w:tcBorders>
              <w:top w:val="nil"/>
              <w:left w:val="nil"/>
              <w:bottom w:val="nil"/>
              <w:right w:val="nil"/>
            </w:tcBorders>
            <w:vAlign w:val="center"/>
          </w:tcPr>
          <w:p w14:paraId="5F24CE31"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.419</w:t>
            </w:r>
          </w:p>
        </w:tc>
        <w:tc>
          <w:tcPr>
            <w:tcW w:w="1282" w:type="dxa"/>
            <w:tcBorders>
              <w:top w:val="nil"/>
              <w:left w:val="nil"/>
              <w:bottom w:val="nil"/>
              <w:right w:val="nil"/>
            </w:tcBorders>
            <w:vAlign w:val="center"/>
          </w:tcPr>
          <w:p w14:paraId="22070DDC"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.946</w:t>
            </w:r>
          </w:p>
        </w:tc>
        <w:tc>
          <w:tcPr>
            <w:tcW w:w="1282" w:type="dxa"/>
            <w:tcBorders>
              <w:top w:val="nil"/>
              <w:left w:val="nil"/>
              <w:bottom w:val="nil"/>
              <w:right w:val="nil"/>
            </w:tcBorders>
            <w:vAlign w:val="center"/>
          </w:tcPr>
          <w:p w14:paraId="03AB8585"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-.330</w:t>
            </w:r>
          </w:p>
        </w:tc>
        <w:tc>
          <w:tcPr>
            <w:tcW w:w="1282" w:type="dxa"/>
            <w:tcBorders>
              <w:top w:val="nil"/>
              <w:left w:val="nil"/>
              <w:bottom w:val="nil"/>
              <w:right w:val="nil"/>
            </w:tcBorders>
            <w:vAlign w:val="center"/>
          </w:tcPr>
          <w:p w14:paraId="662DF590"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10.077</w:t>
            </w:r>
          </w:p>
        </w:tc>
      </w:tr>
      <w:tr w:rsidR="003156EF" w:rsidRPr="007115F2" w14:paraId="78CBF49C" w14:textId="77777777" w:rsidTr="00C82841">
        <w:tc>
          <w:tcPr>
            <w:tcW w:w="3340" w:type="dxa"/>
            <w:tcBorders>
              <w:top w:val="nil"/>
              <w:left w:val="nil"/>
              <w:bottom w:val="nil"/>
              <w:right w:val="nil"/>
            </w:tcBorders>
            <w:vAlign w:val="center"/>
          </w:tcPr>
          <w:p w14:paraId="08CA5B38"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acq_industrygrowth</w:t>
            </w:r>
          </w:p>
        </w:tc>
        <w:tc>
          <w:tcPr>
            <w:tcW w:w="604" w:type="dxa"/>
            <w:tcBorders>
              <w:top w:val="nil"/>
              <w:left w:val="nil"/>
              <w:bottom w:val="nil"/>
              <w:right w:val="nil"/>
            </w:tcBorders>
            <w:vAlign w:val="center"/>
          </w:tcPr>
          <w:p w14:paraId="561A2911"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243</w:t>
            </w:r>
          </w:p>
        </w:tc>
        <w:tc>
          <w:tcPr>
            <w:tcW w:w="1282" w:type="dxa"/>
            <w:tcBorders>
              <w:top w:val="nil"/>
              <w:left w:val="nil"/>
              <w:bottom w:val="nil"/>
              <w:right w:val="nil"/>
            </w:tcBorders>
            <w:vAlign w:val="center"/>
          </w:tcPr>
          <w:p w14:paraId="44A65415"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.009</w:t>
            </w:r>
          </w:p>
        </w:tc>
        <w:tc>
          <w:tcPr>
            <w:tcW w:w="1282" w:type="dxa"/>
            <w:tcBorders>
              <w:top w:val="nil"/>
              <w:left w:val="nil"/>
              <w:bottom w:val="nil"/>
              <w:right w:val="nil"/>
            </w:tcBorders>
            <w:vAlign w:val="center"/>
          </w:tcPr>
          <w:p w14:paraId="3BF47A7A"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.051</w:t>
            </w:r>
          </w:p>
        </w:tc>
        <w:tc>
          <w:tcPr>
            <w:tcW w:w="1282" w:type="dxa"/>
            <w:tcBorders>
              <w:top w:val="nil"/>
              <w:left w:val="nil"/>
              <w:bottom w:val="nil"/>
              <w:right w:val="nil"/>
            </w:tcBorders>
            <w:vAlign w:val="center"/>
          </w:tcPr>
          <w:p w14:paraId="2D0B73C9"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-.037</w:t>
            </w:r>
          </w:p>
        </w:tc>
        <w:tc>
          <w:tcPr>
            <w:tcW w:w="1282" w:type="dxa"/>
            <w:tcBorders>
              <w:top w:val="nil"/>
              <w:left w:val="nil"/>
              <w:bottom w:val="nil"/>
              <w:right w:val="nil"/>
            </w:tcBorders>
            <w:vAlign w:val="center"/>
          </w:tcPr>
          <w:p w14:paraId="2B65BB37"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.551</w:t>
            </w:r>
          </w:p>
        </w:tc>
      </w:tr>
      <w:tr w:rsidR="003156EF" w:rsidRPr="007115F2" w14:paraId="3A95F2FD" w14:textId="77777777" w:rsidTr="00C82841">
        <w:tc>
          <w:tcPr>
            <w:tcW w:w="3340" w:type="dxa"/>
            <w:tcBorders>
              <w:top w:val="nil"/>
              <w:left w:val="nil"/>
              <w:bottom w:val="nil"/>
              <w:right w:val="nil"/>
            </w:tcBorders>
            <w:vAlign w:val="center"/>
          </w:tcPr>
          <w:p w14:paraId="4373F763"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acq_dealexperience</w:t>
            </w:r>
          </w:p>
        </w:tc>
        <w:tc>
          <w:tcPr>
            <w:tcW w:w="604" w:type="dxa"/>
            <w:tcBorders>
              <w:top w:val="nil"/>
              <w:left w:val="nil"/>
              <w:bottom w:val="nil"/>
              <w:right w:val="nil"/>
            </w:tcBorders>
            <w:vAlign w:val="center"/>
          </w:tcPr>
          <w:p w14:paraId="52E66E66"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243</w:t>
            </w:r>
          </w:p>
        </w:tc>
        <w:tc>
          <w:tcPr>
            <w:tcW w:w="1282" w:type="dxa"/>
            <w:tcBorders>
              <w:top w:val="nil"/>
              <w:left w:val="nil"/>
              <w:bottom w:val="nil"/>
              <w:right w:val="nil"/>
            </w:tcBorders>
            <w:vAlign w:val="center"/>
          </w:tcPr>
          <w:p w14:paraId="6D262C4C"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1.535</w:t>
            </w:r>
          </w:p>
        </w:tc>
        <w:tc>
          <w:tcPr>
            <w:tcW w:w="1282" w:type="dxa"/>
            <w:tcBorders>
              <w:top w:val="nil"/>
              <w:left w:val="nil"/>
              <w:bottom w:val="nil"/>
              <w:right w:val="nil"/>
            </w:tcBorders>
            <w:vAlign w:val="center"/>
          </w:tcPr>
          <w:p w14:paraId="6C7E595E"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.937</w:t>
            </w:r>
          </w:p>
        </w:tc>
        <w:tc>
          <w:tcPr>
            <w:tcW w:w="1282" w:type="dxa"/>
            <w:tcBorders>
              <w:top w:val="nil"/>
              <w:left w:val="nil"/>
              <w:bottom w:val="nil"/>
              <w:right w:val="nil"/>
            </w:tcBorders>
            <w:vAlign w:val="center"/>
          </w:tcPr>
          <w:p w14:paraId="46374B6E"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1</w:t>
            </w:r>
          </w:p>
        </w:tc>
        <w:tc>
          <w:tcPr>
            <w:tcW w:w="1282" w:type="dxa"/>
            <w:tcBorders>
              <w:top w:val="nil"/>
              <w:left w:val="nil"/>
              <w:bottom w:val="nil"/>
              <w:right w:val="nil"/>
            </w:tcBorders>
            <w:vAlign w:val="center"/>
          </w:tcPr>
          <w:p w14:paraId="5255A489"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6</w:t>
            </w:r>
          </w:p>
        </w:tc>
      </w:tr>
      <w:tr w:rsidR="003156EF" w:rsidRPr="007115F2" w14:paraId="75E3D2E4" w14:textId="77777777" w:rsidTr="00C82841">
        <w:tc>
          <w:tcPr>
            <w:tcW w:w="3340" w:type="dxa"/>
            <w:tcBorders>
              <w:top w:val="nil"/>
              <w:left w:val="nil"/>
              <w:bottom w:val="nil"/>
              <w:right w:val="nil"/>
            </w:tcBorders>
            <w:vAlign w:val="center"/>
          </w:tcPr>
          <w:p w14:paraId="259797DF"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acq_rd_intensity</w:t>
            </w:r>
          </w:p>
        </w:tc>
        <w:tc>
          <w:tcPr>
            <w:tcW w:w="604" w:type="dxa"/>
            <w:tcBorders>
              <w:top w:val="nil"/>
              <w:left w:val="nil"/>
              <w:bottom w:val="nil"/>
              <w:right w:val="nil"/>
            </w:tcBorders>
            <w:vAlign w:val="center"/>
          </w:tcPr>
          <w:p w14:paraId="43AA162F"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243</w:t>
            </w:r>
          </w:p>
        </w:tc>
        <w:tc>
          <w:tcPr>
            <w:tcW w:w="1282" w:type="dxa"/>
            <w:tcBorders>
              <w:top w:val="nil"/>
              <w:left w:val="nil"/>
              <w:bottom w:val="nil"/>
              <w:right w:val="nil"/>
            </w:tcBorders>
            <w:vAlign w:val="center"/>
          </w:tcPr>
          <w:p w14:paraId="6F21F08C"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.059</w:t>
            </w:r>
          </w:p>
        </w:tc>
        <w:tc>
          <w:tcPr>
            <w:tcW w:w="1282" w:type="dxa"/>
            <w:tcBorders>
              <w:top w:val="nil"/>
              <w:left w:val="nil"/>
              <w:bottom w:val="nil"/>
              <w:right w:val="nil"/>
            </w:tcBorders>
            <w:vAlign w:val="center"/>
          </w:tcPr>
          <w:p w14:paraId="04162525"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.097</w:t>
            </w:r>
          </w:p>
        </w:tc>
        <w:tc>
          <w:tcPr>
            <w:tcW w:w="1282" w:type="dxa"/>
            <w:tcBorders>
              <w:top w:val="nil"/>
              <w:left w:val="nil"/>
              <w:bottom w:val="nil"/>
              <w:right w:val="nil"/>
            </w:tcBorders>
            <w:vAlign w:val="center"/>
          </w:tcPr>
          <w:p w14:paraId="609BC0B3"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0.000</w:t>
            </w:r>
          </w:p>
        </w:tc>
        <w:tc>
          <w:tcPr>
            <w:tcW w:w="1282" w:type="dxa"/>
            <w:tcBorders>
              <w:top w:val="nil"/>
              <w:left w:val="nil"/>
              <w:bottom w:val="nil"/>
              <w:right w:val="nil"/>
            </w:tcBorders>
            <w:vAlign w:val="center"/>
          </w:tcPr>
          <w:p w14:paraId="523C7F13"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.642</w:t>
            </w:r>
          </w:p>
        </w:tc>
      </w:tr>
      <w:tr w:rsidR="003156EF" w:rsidRPr="007115F2" w14:paraId="03E10D11" w14:textId="77777777" w:rsidTr="00C82841">
        <w:tc>
          <w:tcPr>
            <w:tcW w:w="3340" w:type="dxa"/>
            <w:tcBorders>
              <w:top w:val="nil"/>
              <w:left w:val="nil"/>
              <w:bottom w:val="nil"/>
              <w:right w:val="nil"/>
            </w:tcBorders>
          </w:tcPr>
          <w:p w14:paraId="401E709C" w14:textId="77777777" w:rsidR="003156EF" w:rsidRPr="007115F2" w:rsidRDefault="003156EF" w:rsidP="00AB066F">
            <w:pPr>
              <w:widowControl w:val="0"/>
              <w:autoSpaceDE w:val="0"/>
              <w:autoSpaceDN w:val="0"/>
              <w:adjustRightInd w:val="0"/>
              <w:spacing w:line="240" w:lineRule="auto"/>
              <w:rPr>
                <w:b/>
                <w:bCs/>
                <w:color w:val="000000" w:themeColor="text1"/>
                <w:sz w:val="22"/>
                <w:lang w:val="en-US"/>
              </w:rPr>
            </w:pPr>
            <w:r w:rsidRPr="007115F2">
              <w:rPr>
                <w:b/>
                <w:bCs/>
                <w:color w:val="000000" w:themeColor="text1"/>
                <w:sz w:val="22"/>
                <w:lang w:val="en-US"/>
              </w:rPr>
              <w:t>Target Controls</w:t>
            </w:r>
          </w:p>
        </w:tc>
        <w:tc>
          <w:tcPr>
            <w:tcW w:w="604" w:type="dxa"/>
            <w:tcBorders>
              <w:top w:val="nil"/>
              <w:left w:val="nil"/>
              <w:bottom w:val="nil"/>
              <w:right w:val="nil"/>
            </w:tcBorders>
          </w:tcPr>
          <w:p w14:paraId="6AD2ED35"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p>
        </w:tc>
        <w:tc>
          <w:tcPr>
            <w:tcW w:w="1282" w:type="dxa"/>
            <w:tcBorders>
              <w:top w:val="nil"/>
              <w:left w:val="nil"/>
              <w:bottom w:val="nil"/>
              <w:right w:val="nil"/>
            </w:tcBorders>
          </w:tcPr>
          <w:p w14:paraId="38E2F09B"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p>
        </w:tc>
        <w:tc>
          <w:tcPr>
            <w:tcW w:w="1282" w:type="dxa"/>
            <w:tcBorders>
              <w:top w:val="nil"/>
              <w:left w:val="nil"/>
              <w:bottom w:val="nil"/>
              <w:right w:val="nil"/>
            </w:tcBorders>
          </w:tcPr>
          <w:p w14:paraId="753548F1"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p>
        </w:tc>
        <w:tc>
          <w:tcPr>
            <w:tcW w:w="1282" w:type="dxa"/>
            <w:tcBorders>
              <w:top w:val="nil"/>
              <w:left w:val="nil"/>
              <w:bottom w:val="nil"/>
              <w:right w:val="nil"/>
            </w:tcBorders>
          </w:tcPr>
          <w:p w14:paraId="183C2F34"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p>
        </w:tc>
        <w:tc>
          <w:tcPr>
            <w:tcW w:w="1282" w:type="dxa"/>
            <w:tcBorders>
              <w:top w:val="nil"/>
              <w:left w:val="nil"/>
              <w:bottom w:val="nil"/>
              <w:right w:val="nil"/>
            </w:tcBorders>
          </w:tcPr>
          <w:p w14:paraId="57EB95DC"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p>
        </w:tc>
      </w:tr>
      <w:tr w:rsidR="003156EF" w:rsidRPr="007115F2" w14:paraId="1D4C5C6A" w14:textId="77777777" w:rsidTr="00C82841">
        <w:tc>
          <w:tcPr>
            <w:tcW w:w="3340" w:type="dxa"/>
            <w:tcBorders>
              <w:top w:val="nil"/>
              <w:left w:val="nil"/>
              <w:bottom w:val="nil"/>
              <w:right w:val="nil"/>
            </w:tcBorders>
            <w:vAlign w:val="center"/>
          </w:tcPr>
          <w:p w14:paraId="6BBEE71E"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tar_age</w:t>
            </w:r>
          </w:p>
        </w:tc>
        <w:tc>
          <w:tcPr>
            <w:tcW w:w="604" w:type="dxa"/>
            <w:tcBorders>
              <w:top w:val="nil"/>
              <w:left w:val="nil"/>
              <w:bottom w:val="nil"/>
              <w:right w:val="nil"/>
            </w:tcBorders>
            <w:vAlign w:val="center"/>
          </w:tcPr>
          <w:p w14:paraId="15B54E9B"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243</w:t>
            </w:r>
          </w:p>
        </w:tc>
        <w:tc>
          <w:tcPr>
            <w:tcW w:w="1282" w:type="dxa"/>
            <w:tcBorders>
              <w:top w:val="nil"/>
              <w:left w:val="nil"/>
              <w:bottom w:val="nil"/>
              <w:right w:val="nil"/>
            </w:tcBorders>
            <w:vAlign w:val="center"/>
          </w:tcPr>
          <w:p w14:paraId="67954894"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52.119</w:t>
            </w:r>
          </w:p>
        </w:tc>
        <w:tc>
          <w:tcPr>
            <w:tcW w:w="1282" w:type="dxa"/>
            <w:tcBorders>
              <w:top w:val="nil"/>
              <w:left w:val="nil"/>
              <w:bottom w:val="nil"/>
              <w:right w:val="nil"/>
            </w:tcBorders>
            <w:vAlign w:val="center"/>
          </w:tcPr>
          <w:p w14:paraId="650E3F6A"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40.360</w:t>
            </w:r>
          </w:p>
        </w:tc>
        <w:tc>
          <w:tcPr>
            <w:tcW w:w="1282" w:type="dxa"/>
            <w:tcBorders>
              <w:top w:val="nil"/>
              <w:left w:val="nil"/>
              <w:bottom w:val="nil"/>
              <w:right w:val="nil"/>
            </w:tcBorders>
            <w:vAlign w:val="center"/>
          </w:tcPr>
          <w:p w14:paraId="6EA3A3B1"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7</w:t>
            </w:r>
          </w:p>
        </w:tc>
        <w:tc>
          <w:tcPr>
            <w:tcW w:w="1282" w:type="dxa"/>
            <w:tcBorders>
              <w:top w:val="nil"/>
              <w:left w:val="nil"/>
              <w:bottom w:val="nil"/>
              <w:right w:val="nil"/>
            </w:tcBorders>
            <w:vAlign w:val="center"/>
          </w:tcPr>
          <w:p w14:paraId="16CBA381"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191</w:t>
            </w:r>
          </w:p>
        </w:tc>
      </w:tr>
      <w:tr w:rsidR="003156EF" w:rsidRPr="007115F2" w14:paraId="26FF65B6" w14:textId="77777777" w:rsidTr="00C82841">
        <w:tc>
          <w:tcPr>
            <w:tcW w:w="3340" w:type="dxa"/>
            <w:tcBorders>
              <w:top w:val="nil"/>
              <w:left w:val="nil"/>
              <w:bottom w:val="nil"/>
              <w:right w:val="nil"/>
            </w:tcBorders>
            <w:vAlign w:val="center"/>
          </w:tcPr>
          <w:p w14:paraId="15820C1A"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tar_assets_lastyear_ln</w:t>
            </w:r>
          </w:p>
        </w:tc>
        <w:tc>
          <w:tcPr>
            <w:tcW w:w="604" w:type="dxa"/>
            <w:tcBorders>
              <w:top w:val="nil"/>
              <w:left w:val="nil"/>
              <w:bottom w:val="nil"/>
              <w:right w:val="nil"/>
            </w:tcBorders>
            <w:vAlign w:val="center"/>
          </w:tcPr>
          <w:p w14:paraId="391700C3"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243</w:t>
            </w:r>
          </w:p>
        </w:tc>
        <w:tc>
          <w:tcPr>
            <w:tcW w:w="1282" w:type="dxa"/>
            <w:tcBorders>
              <w:top w:val="nil"/>
              <w:left w:val="nil"/>
              <w:bottom w:val="nil"/>
              <w:right w:val="nil"/>
            </w:tcBorders>
            <w:vAlign w:val="center"/>
          </w:tcPr>
          <w:p w14:paraId="4284FEF9"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21.209</w:t>
            </w:r>
          </w:p>
        </w:tc>
        <w:tc>
          <w:tcPr>
            <w:tcW w:w="1282" w:type="dxa"/>
            <w:tcBorders>
              <w:top w:val="nil"/>
              <w:left w:val="nil"/>
              <w:bottom w:val="nil"/>
              <w:right w:val="nil"/>
            </w:tcBorders>
            <w:vAlign w:val="center"/>
          </w:tcPr>
          <w:p w14:paraId="033670E6"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1.847</w:t>
            </w:r>
          </w:p>
        </w:tc>
        <w:tc>
          <w:tcPr>
            <w:tcW w:w="1282" w:type="dxa"/>
            <w:tcBorders>
              <w:top w:val="nil"/>
              <w:left w:val="nil"/>
              <w:bottom w:val="nil"/>
              <w:right w:val="nil"/>
            </w:tcBorders>
            <w:vAlign w:val="center"/>
          </w:tcPr>
          <w:p w14:paraId="5A95E43F"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16.507</w:t>
            </w:r>
          </w:p>
        </w:tc>
        <w:tc>
          <w:tcPr>
            <w:tcW w:w="1282" w:type="dxa"/>
            <w:tcBorders>
              <w:top w:val="nil"/>
              <w:left w:val="nil"/>
              <w:bottom w:val="nil"/>
              <w:right w:val="nil"/>
            </w:tcBorders>
            <w:vAlign w:val="center"/>
          </w:tcPr>
          <w:p w14:paraId="436223AC"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27.386</w:t>
            </w:r>
          </w:p>
        </w:tc>
      </w:tr>
      <w:tr w:rsidR="003156EF" w:rsidRPr="007115F2" w14:paraId="075D0F58" w14:textId="77777777" w:rsidTr="00C82841">
        <w:tc>
          <w:tcPr>
            <w:tcW w:w="3340" w:type="dxa"/>
            <w:tcBorders>
              <w:top w:val="nil"/>
              <w:left w:val="nil"/>
              <w:bottom w:val="nil"/>
              <w:right w:val="nil"/>
            </w:tcBorders>
            <w:vAlign w:val="center"/>
          </w:tcPr>
          <w:p w14:paraId="2EEDC3FF"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tar_roa_lastyear</w:t>
            </w:r>
          </w:p>
        </w:tc>
        <w:tc>
          <w:tcPr>
            <w:tcW w:w="604" w:type="dxa"/>
            <w:tcBorders>
              <w:top w:val="nil"/>
              <w:left w:val="nil"/>
              <w:bottom w:val="nil"/>
              <w:right w:val="nil"/>
            </w:tcBorders>
            <w:vAlign w:val="center"/>
          </w:tcPr>
          <w:p w14:paraId="7284CF0C"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243</w:t>
            </w:r>
          </w:p>
        </w:tc>
        <w:tc>
          <w:tcPr>
            <w:tcW w:w="1282" w:type="dxa"/>
            <w:tcBorders>
              <w:top w:val="nil"/>
              <w:left w:val="nil"/>
              <w:bottom w:val="nil"/>
              <w:right w:val="nil"/>
            </w:tcBorders>
            <w:vAlign w:val="center"/>
          </w:tcPr>
          <w:p w14:paraId="6C07EF26"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.017</w:t>
            </w:r>
          </w:p>
        </w:tc>
        <w:tc>
          <w:tcPr>
            <w:tcW w:w="1282" w:type="dxa"/>
            <w:tcBorders>
              <w:top w:val="nil"/>
              <w:left w:val="nil"/>
              <w:bottom w:val="nil"/>
              <w:right w:val="nil"/>
            </w:tcBorders>
            <w:vAlign w:val="center"/>
          </w:tcPr>
          <w:p w14:paraId="076E854F"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.163</w:t>
            </w:r>
          </w:p>
        </w:tc>
        <w:tc>
          <w:tcPr>
            <w:tcW w:w="1282" w:type="dxa"/>
            <w:tcBorders>
              <w:top w:val="nil"/>
              <w:left w:val="nil"/>
              <w:bottom w:val="nil"/>
              <w:right w:val="nil"/>
            </w:tcBorders>
            <w:vAlign w:val="center"/>
          </w:tcPr>
          <w:p w14:paraId="35FCEEF5"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-.511</w:t>
            </w:r>
          </w:p>
        </w:tc>
        <w:tc>
          <w:tcPr>
            <w:tcW w:w="1282" w:type="dxa"/>
            <w:tcBorders>
              <w:top w:val="nil"/>
              <w:left w:val="nil"/>
              <w:bottom w:val="nil"/>
              <w:right w:val="nil"/>
            </w:tcBorders>
            <w:vAlign w:val="center"/>
          </w:tcPr>
          <w:p w14:paraId="4367FCE1"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2.028</w:t>
            </w:r>
          </w:p>
        </w:tc>
      </w:tr>
      <w:tr w:rsidR="003156EF" w:rsidRPr="007115F2" w14:paraId="7FAA8F90" w14:textId="77777777" w:rsidTr="00C82841">
        <w:trPr>
          <w:trHeight w:val="347"/>
        </w:trPr>
        <w:tc>
          <w:tcPr>
            <w:tcW w:w="3340" w:type="dxa"/>
            <w:tcBorders>
              <w:top w:val="nil"/>
              <w:left w:val="nil"/>
              <w:bottom w:val="single" w:sz="6" w:space="0" w:color="auto"/>
              <w:right w:val="nil"/>
            </w:tcBorders>
            <w:vAlign w:val="center"/>
          </w:tcPr>
          <w:p w14:paraId="18226103"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color w:val="000000" w:themeColor="text1"/>
                <w:sz w:val="22"/>
                <w:lang w:val="en-US"/>
              </w:rPr>
              <w:t>tar_mbratio</w:t>
            </w:r>
          </w:p>
        </w:tc>
        <w:tc>
          <w:tcPr>
            <w:tcW w:w="604" w:type="dxa"/>
            <w:tcBorders>
              <w:top w:val="nil"/>
              <w:left w:val="nil"/>
              <w:bottom w:val="single" w:sz="6" w:space="0" w:color="auto"/>
              <w:right w:val="nil"/>
            </w:tcBorders>
            <w:vAlign w:val="center"/>
          </w:tcPr>
          <w:p w14:paraId="79F072D9"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243</w:t>
            </w:r>
          </w:p>
        </w:tc>
        <w:tc>
          <w:tcPr>
            <w:tcW w:w="1282" w:type="dxa"/>
            <w:tcBorders>
              <w:top w:val="nil"/>
              <w:left w:val="nil"/>
              <w:bottom w:val="single" w:sz="6" w:space="0" w:color="auto"/>
              <w:right w:val="nil"/>
            </w:tcBorders>
            <w:vAlign w:val="center"/>
          </w:tcPr>
          <w:p w14:paraId="1872E8F8"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2.363</w:t>
            </w:r>
          </w:p>
        </w:tc>
        <w:tc>
          <w:tcPr>
            <w:tcW w:w="1282" w:type="dxa"/>
            <w:tcBorders>
              <w:top w:val="nil"/>
              <w:left w:val="nil"/>
              <w:bottom w:val="single" w:sz="6" w:space="0" w:color="auto"/>
              <w:right w:val="nil"/>
            </w:tcBorders>
            <w:vAlign w:val="center"/>
          </w:tcPr>
          <w:p w14:paraId="0B602892"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4.503</w:t>
            </w:r>
          </w:p>
        </w:tc>
        <w:tc>
          <w:tcPr>
            <w:tcW w:w="1282" w:type="dxa"/>
            <w:tcBorders>
              <w:top w:val="nil"/>
              <w:left w:val="nil"/>
              <w:bottom w:val="single" w:sz="6" w:space="0" w:color="auto"/>
              <w:right w:val="nil"/>
            </w:tcBorders>
            <w:vAlign w:val="center"/>
          </w:tcPr>
          <w:p w14:paraId="03011E8B"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0.000</w:t>
            </w:r>
          </w:p>
        </w:tc>
        <w:tc>
          <w:tcPr>
            <w:tcW w:w="1282" w:type="dxa"/>
            <w:tcBorders>
              <w:top w:val="nil"/>
              <w:left w:val="nil"/>
              <w:bottom w:val="single" w:sz="6" w:space="0" w:color="auto"/>
              <w:right w:val="nil"/>
            </w:tcBorders>
            <w:vAlign w:val="center"/>
          </w:tcPr>
          <w:p w14:paraId="5CFD6222" w14:textId="77777777" w:rsidR="003156EF" w:rsidRPr="007115F2" w:rsidRDefault="003156EF" w:rsidP="00AB066F">
            <w:pPr>
              <w:widowControl w:val="0"/>
              <w:autoSpaceDE w:val="0"/>
              <w:autoSpaceDN w:val="0"/>
              <w:adjustRightInd w:val="0"/>
              <w:spacing w:line="240" w:lineRule="auto"/>
              <w:jc w:val="right"/>
              <w:rPr>
                <w:color w:val="000000" w:themeColor="text1"/>
                <w:sz w:val="22"/>
                <w:lang w:val="en-US"/>
              </w:rPr>
            </w:pPr>
            <w:r w:rsidRPr="007115F2">
              <w:rPr>
                <w:color w:val="000000" w:themeColor="text1"/>
                <w:sz w:val="22"/>
                <w:lang w:val="en-US"/>
              </w:rPr>
              <w:t>59.870</w:t>
            </w:r>
          </w:p>
        </w:tc>
      </w:tr>
      <w:bookmarkEnd w:id="611"/>
      <w:tr w:rsidR="003156EF" w:rsidRPr="00BE5632" w14:paraId="6F9EE1DF" w14:textId="77777777" w:rsidTr="00C82841">
        <w:tc>
          <w:tcPr>
            <w:tcW w:w="9072" w:type="dxa"/>
            <w:gridSpan w:val="6"/>
            <w:tcBorders>
              <w:top w:val="single" w:sz="6" w:space="0" w:color="auto"/>
              <w:left w:val="nil"/>
              <w:right w:val="nil"/>
            </w:tcBorders>
          </w:tcPr>
          <w:p w14:paraId="4D5276A8" w14:textId="77777777" w:rsidR="003156EF" w:rsidRPr="007115F2" w:rsidRDefault="003156EF" w:rsidP="00AB066F">
            <w:pPr>
              <w:widowControl w:val="0"/>
              <w:autoSpaceDE w:val="0"/>
              <w:autoSpaceDN w:val="0"/>
              <w:adjustRightInd w:val="0"/>
              <w:spacing w:line="240" w:lineRule="auto"/>
              <w:rPr>
                <w:color w:val="000000" w:themeColor="text1"/>
                <w:sz w:val="22"/>
                <w:lang w:val="en-US"/>
              </w:rPr>
            </w:pPr>
            <w:r w:rsidRPr="007115F2">
              <w:rPr>
                <w:i/>
                <w:iCs/>
                <w:color w:val="000000" w:themeColor="text1"/>
                <w:sz w:val="22"/>
                <w:lang w:val="en-US"/>
              </w:rPr>
              <w:t>Note</w:t>
            </w:r>
            <w:r w:rsidRPr="007115F2">
              <w:rPr>
                <w:color w:val="000000" w:themeColor="text1"/>
                <w:sz w:val="22"/>
                <w:lang w:val="en-US"/>
              </w:rPr>
              <w:t xml:space="preserve">. </w:t>
            </w:r>
            <w:r w:rsidRPr="007115F2">
              <w:rPr>
                <w:i/>
                <w:iCs/>
                <w:color w:val="000000" w:themeColor="text1"/>
                <w:sz w:val="22"/>
                <w:lang w:val="en-US"/>
              </w:rPr>
              <w:t>N</w:t>
            </w:r>
            <w:r w:rsidRPr="007115F2">
              <w:rPr>
                <w:color w:val="000000" w:themeColor="text1"/>
                <w:sz w:val="22"/>
                <w:lang w:val="en-US"/>
              </w:rPr>
              <w:t xml:space="preserve"> = 243. </w:t>
            </w:r>
            <w:r w:rsidRPr="007115F2">
              <w:rPr>
                <w:i/>
                <w:iCs/>
                <w:color w:val="000000" w:themeColor="text1"/>
                <w:sz w:val="22"/>
                <w:lang w:val="en-US"/>
              </w:rPr>
              <w:t>M</w:t>
            </w:r>
            <w:r w:rsidRPr="007115F2">
              <w:rPr>
                <w:color w:val="000000" w:themeColor="text1"/>
                <w:sz w:val="22"/>
                <w:lang w:val="en-US"/>
              </w:rPr>
              <w:t xml:space="preserve"> = Mean. </w:t>
            </w:r>
            <w:r w:rsidRPr="007115F2">
              <w:rPr>
                <w:i/>
                <w:iCs/>
                <w:color w:val="000000" w:themeColor="text1"/>
                <w:sz w:val="22"/>
                <w:lang w:val="en-US"/>
              </w:rPr>
              <w:t>SD</w:t>
            </w:r>
            <w:r w:rsidRPr="007115F2">
              <w:rPr>
                <w:color w:val="000000" w:themeColor="text1"/>
                <w:sz w:val="22"/>
                <w:lang w:val="en-US"/>
              </w:rPr>
              <w:t xml:space="preserve"> = Standard Deviation. </w:t>
            </w:r>
            <w:r w:rsidRPr="007115F2">
              <w:rPr>
                <w:i/>
                <w:iCs/>
                <w:color w:val="000000" w:themeColor="text1"/>
                <w:sz w:val="22"/>
                <w:lang w:val="en-US"/>
              </w:rPr>
              <w:t>Min</w:t>
            </w:r>
            <w:r w:rsidRPr="007115F2">
              <w:rPr>
                <w:color w:val="000000" w:themeColor="text1"/>
                <w:sz w:val="22"/>
                <w:lang w:val="en-US"/>
              </w:rPr>
              <w:t xml:space="preserve"> = Minimum. </w:t>
            </w:r>
            <w:r w:rsidRPr="007115F2">
              <w:rPr>
                <w:i/>
                <w:iCs/>
                <w:color w:val="000000" w:themeColor="text1"/>
                <w:sz w:val="22"/>
                <w:lang w:val="en-US"/>
              </w:rPr>
              <w:t>Max</w:t>
            </w:r>
            <w:r w:rsidRPr="007115F2">
              <w:rPr>
                <w:color w:val="000000" w:themeColor="text1"/>
                <w:sz w:val="22"/>
                <w:lang w:val="en-US"/>
              </w:rPr>
              <w:t xml:space="preserve"> = Maximum. The descriptive statistics are based on 243 deal observations for the years 2008 to 2021. A detailed variable </w:t>
            </w:r>
            <w:r w:rsidRPr="007115F2">
              <w:rPr>
                <w:color w:val="000000" w:themeColor="text1"/>
                <w:sz w:val="22"/>
                <w:lang w:val="en-US"/>
              </w:rPr>
              <w:lastRenderedPageBreak/>
              <w:t>description can be found in Appendix B.</w:t>
            </w:r>
          </w:p>
        </w:tc>
      </w:tr>
    </w:tbl>
    <w:p w14:paraId="12545C6B" w14:textId="77777777" w:rsidR="00D14819" w:rsidRPr="000C4487" w:rsidRDefault="00D14819" w:rsidP="00D14819">
      <w:pPr>
        <w:rPr>
          <w:color w:val="000000" w:themeColor="text1"/>
          <w:lang w:val="en-US"/>
        </w:rPr>
        <w:sectPr w:rsidR="00D14819" w:rsidRPr="000C4487" w:rsidSect="00794C6C">
          <w:footerReference w:type="default" r:id="rId67"/>
          <w:pgSz w:w="11906" w:h="16838"/>
          <w:pgMar w:top="1417" w:right="1417" w:bottom="1134" w:left="1417" w:header="709" w:footer="709" w:gutter="0"/>
          <w:cols w:space="708"/>
          <w:docGrid w:linePitch="360"/>
        </w:sectPr>
      </w:pPr>
    </w:p>
    <w:p w14:paraId="6C0450BA" w14:textId="77777777" w:rsidR="00D14819" w:rsidRPr="00D14819" w:rsidRDefault="00D14819" w:rsidP="00D14819">
      <w:pPr>
        <w:pStyle w:val="1fake"/>
        <w:rPr>
          <w:rStyle w:val="SchwacherVerweis"/>
          <w:smallCaps w:val="0"/>
          <w:color w:val="auto"/>
        </w:rPr>
      </w:pPr>
      <w:r w:rsidRPr="00D14819">
        <w:rPr>
          <w:rStyle w:val="SchwacherVerweis"/>
          <w:smallCaps w:val="0"/>
          <w:color w:val="auto"/>
        </w:rPr>
        <w:lastRenderedPageBreak/>
        <w:t>Table 4</w:t>
      </w:r>
    </w:p>
    <w:p w14:paraId="0D61CF14" w14:textId="7C132FD1" w:rsidR="00106E8D" w:rsidRPr="009C7671" w:rsidRDefault="00106E8D" w:rsidP="00106E8D">
      <w:pPr>
        <w:pStyle w:val="Beschriftung"/>
      </w:pPr>
      <w:bookmarkStart w:id="612" w:name="_Toc180594840"/>
      <w:r>
        <w:t xml:space="preserve">T - III - </w:t>
      </w:r>
      <w:r>
        <w:fldChar w:fldCharType="begin"/>
      </w:r>
      <w:r>
        <w:instrText xml:space="preserve"> SEQ T_-_III_- \* ARABIC </w:instrText>
      </w:r>
      <w:r>
        <w:fldChar w:fldCharType="separate"/>
      </w:r>
      <w:r w:rsidR="00E91088">
        <w:rPr>
          <w:noProof/>
        </w:rPr>
        <w:t>4</w:t>
      </w:r>
      <w:r>
        <w:fldChar w:fldCharType="end"/>
      </w:r>
      <w:r>
        <w:t xml:space="preserve">: </w:t>
      </w:r>
      <w:r w:rsidRPr="00F50861">
        <w:t xml:space="preserve">Correlation </w:t>
      </w:r>
      <w:r w:rsidR="00B24005">
        <w:t>m</w:t>
      </w:r>
      <w:r w:rsidRPr="00F50861">
        <w:t>atrix</w:t>
      </w:r>
      <w:bookmarkEnd w:id="612"/>
    </w:p>
    <w:tbl>
      <w:tblPr>
        <w:tblW w:w="14175" w:type="dxa"/>
        <w:tblLayout w:type="fixed"/>
        <w:tblCellMar>
          <w:left w:w="11" w:type="dxa"/>
          <w:right w:w="11" w:type="dxa"/>
        </w:tblCellMar>
        <w:tblLook w:val="04A0" w:firstRow="1" w:lastRow="0" w:firstColumn="1" w:lastColumn="0" w:noHBand="0" w:noVBand="1"/>
      </w:tblPr>
      <w:tblGrid>
        <w:gridCol w:w="455"/>
        <w:gridCol w:w="4040"/>
        <w:gridCol w:w="692"/>
        <w:gridCol w:w="692"/>
        <w:gridCol w:w="691"/>
        <w:gridCol w:w="692"/>
        <w:gridCol w:w="691"/>
        <w:gridCol w:w="691"/>
        <w:gridCol w:w="692"/>
        <w:gridCol w:w="691"/>
        <w:gridCol w:w="691"/>
        <w:gridCol w:w="691"/>
        <w:gridCol w:w="692"/>
        <w:gridCol w:w="691"/>
        <w:gridCol w:w="691"/>
        <w:gridCol w:w="692"/>
      </w:tblGrid>
      <w:tr w:rsidR="00A30BF8" w:rsidRPr="00882210" w14:paraId="38AABC93" w14:textId="77777777" w:rsidTr="00C82841">
        <w:trPr>
          <w:trHeight w:val="210"/>
        </w:trPr>
        <w:tc>
          <w:tcPr>
            <w:tcW w:w="491" w:type="dxa"/>
            <w:tcBorders>
              <w:top w:val="single" w:sz="4" w:space="0" w:color="auto"/>
              <w:bottom w:val="single" w:sz="4" w:space="0" w:color="auto"/>
            </w:tcBorders>
            <w:vAlign w:val="center"/>
          </w:tcPr>
          <w:p w14:paraId="48B9C79A" w14:textId="77777777" w:rsidR="00882210" w:rsidRPr="00882210" w:rsidRDefault="00882210" w:rsidP="00AB066F">
            <w:pPr>
              <w:spacing w:line="240" w:lineRule="auto"/>
              <w:jc w:val="center"/>
              <w:rPr>
                <w:b/>
                <w:bCs/>
                <w:color w:val="000000" w:themeColor="text1"/>
                <w:sz w:val="22"/>
              </w:rPr>
            </w:pPr>
            <w:r w:rsidRPr="00882210">
              <w:rPr>
                <w:b/>
                <w:bCs/>
                <w:color w:val="000000" w:themeColor="text1"/>
                <w:sz w:val="22"/>
              </w:rPr>
              <w:t>#</w:t>
            </w:r>
          </w:p>
        </w:tc>
        <w:tc>
          <w:tcPr>
            <w:tcW w:w="4395" w:type="dxa"/>
            <w:tcBorders>
              <w:top w:val="single" w:sz="4" w:space="0" w:color="auto"/>
              <w:bottom w:val="single" w:sz="4" w:space="0" w:color="auto"/>
            </w:tcBorders>
            <w:vAlign w:val="center"/>
            <w:hideMark/>
          </w:tcPr>
          <w:p w14:paraId="1A2B3A96" w14:textId="77777777" w:rsidR="00882210" w:rsidRPr="00882210" w:rsidRDefault="00882210" w:rsidP="00AB066F">
            <w:pPr>
              <w:spacing w:line="240" w:lineRule="auto"/>
              <w:jc w:val="left"/>
              <w:rPr>
                <w:b/>
                <w:bCs/>
                <w:color w:val="000000" w:themeColor="text1"/>
                <w:sz w:val="22"/>
              </w:rPr>
            </w:pPr>
            <w:r w:rsidRPr="00882210">
              <w:rPr>
                <w:b/>
                <w:bCs/>
                <w:color w:val="000000" w:themeColor="text1"/>
                <w:sz w:val="22"/>
              </w:rPr>
              <w:t>Variable</w:t>
            </w:r>
          </w:p>
        </w:tc>
        <w:tc>
          <w:tcPr>
            <w:tcW w:w="749" w:type="dxa"/>
            <w:tcBorders>
              <w:top w:val="single" w:sz="4" w:space="0" w:color="auto"/>
              <w:bottom w:val="single" w:sz="4" w:space="0" w:color="auto"/>
            </w:tcBorders>
            <w:vAlign w:val="center"/>
            <w:hideMark/>
          </w:tcPr>
          <w:p w14:paraId="07734597" w14:textId="77777777" w:rsidR="00882210" w:rsidRPr="00882210" w:rsidRDefault="00882210" w:rsidP="00AB066F">
            <w:pPr>
              <w:spacing w:line="240" w:lineRule="auto"/>
              <w:jc w:val="center"/>
              <w:rPr>
                <w:b/>
                <w:bCs/>
                <w:color w:val="000000" w:themeColor="text1"/>
                <w:sz w:val="22"/>
              </w:rPr>
            </w:pPr>
            <w:r w:rsidRPr="00882210">
              <w:rPr>
                <w:b/>
                <w:bCs/>
                <w:color w:val="000000" w:themeColor="text1"/>
                <w:sz w:val="22"/>
              </w:rPr>
              <w:t>1</w:t>
            </w:r>
          </w:p>
        </w:tc>
        <w:tc>
          <w:tcPr>
            <w:tcW w:w="749" w:type="dxa"/>
            <w:tcBorders>
              <w:top w:val="single" w:sz="4" w:space="0" w:color="auto"/>
              <w:bottom w:val="single" w:sz="4" w:space="0" w:color="auto"/>
            </w:tcBorders>
            <w:vAlign w:val="center"/>
            <w:hideMark/>
          </w:tcPr>
          <w:p w14:paraId="6C417510" w14:textId="77777777" w:rsidR="00882210" w:rsidRPr="00882210" w:rsidRDefault="00882210" w:rsidP="00AB066F">
            <w:pPr>
              <w:spacing w:line="240" w:lineRule="auto"/>
              <w:jc w:val="center"/>
              <w:rPr>
                <w:b/>
                <w:bCs/>
                <w:color w:val="000000" w:themeColor="text1"/>
                <w:sz w:val="22"/>
              </w:rPr>
            </w:pPr>
            <w:r w:rsidRPr="00882210">
              <w:rPr>
                <w:b/>
                <w:bCs/>
                <w:color w:val="000000" w:themeColor="text1"/>
                <w:sz w:val="22"/>
              </w:rPr>
              <w:t>2</w:t>
            </w:r>
          </w:p>
        </w:tc>
        <w:tc>
          <w:tcPr>
            <w:tcW w:w="749" w:type="dxa"/>
            <w:tcBorders>
              <w:top w:val="single" w:sz="4" w:space="0" w:color="auto"/>
              <w:bottom w:val="single" w:sz="4" w:space="0" w:color="auto"/>
            </w:tcBorders>
            <w:vAlign w:val="center"/>
            <w:hideMark/>
          </w:tcPr>
          <w:p w14:paraId="2634E465" w14:textId="77777777" w:rsidR="00882210" w:rsidRPr="00882210" w:rsidRDefault="00882210" w:rsidP="00AB066F">
            <w:pPr>
              <w:spacing w:line="240" w:lineRule="auto"/>
              <w:jc w:val="center"/>
              <w:rPr>
                <w:b/>
                <w:bCs/>
                <w:color w:val="000000" w:themeColor="text1"/>
                <w:sz w:val="22"/>
              </w:rPr>
            </w:pPr>
            <w:r w:rsidRPr="00882210">
              <w:rPr>
                <w:b/>
                <w:bCs/>
                <w:color w:val="000000" w:themeColor="text1"/>
                <w:sz w:val="22"/>
              </w:rPr>
              <w:t>3</w:t>
            </w:r>
          </w:p>
        </w:tc>
        <w:tc>
          <w:tcPr>
            <w:tcW w:w="750" w:type="dxa"/>
            <w:tcBorders>
              <w:top w:val="single" w:sz="4" w:space="0" w:color="auto"/>
              <w:bottom w:val="single" w:sz="4" w:space="0" w:color="auto"/>
            </w:tcBorders>
            <w:vAlign w:val="center"/>
            <w:hideMark/>
          </w:tcPr>
          <w:p w14:paraId="562ABAA6" w14:textId="77777777" w:rsidR="00882210" w:rsidRPr="00882210" w:rsidRDefault="00882210" w:rsidP="00AB066F">
            <w:pPr>
              <w:spacing w:line="240" w:lineRule="auto"/>
              <w:jc w:val="center"/>
              <w:rPr>
                <w:b/>
                <w:bCs/>
                <w:color w:val="000000" w:themeColor="text1"/>
                <w:sz w:val="22"/>
              </w:rPr>
            </w:pPr>
            <w:r w:rsidRPr="00882210">
              <w:rPr>
                <w:b/>
                <w:bCs/>
                <w:color w:val="000000" w:themeColor="text1"/>
                <w:sz w:val="22"/>
              </w:rPr>
              <w:t>4</w:t>
            </w:r>
          </w:p>
        </w:tc>
        <w:tc>
          <w:tcPr>
            <w:tcW w:w="749" w:type="dxa"/>
            <w:tcBorders>
              <w:top w:val="single" w:sz="4" w:space="0" w:color="auto"/>
              <w:bottom w:val="single" w:sz="4" w:space="0" w:color="auto"/>
            </w:tcBorders>
            <w:vAlign w:val="center"/>
            <w:hideMark/>
          </w:tcPr>
          <w:p w14:paraId="404768D7" w14:textId="77777777" w:rsidR="00882210" w:rsidRPr="00882210" w:rsidRDefault="00882210" w:rsidP="00AB066F">
            <w:pPr>
              <w:spacing w:line="240" w:lineRule="auto"/>
              <w:jc w:val="center"/>
              <w:rPr>
                <w:b/>
                <w:bCs/>
                <w:color w:val="000000" w:themeColor="text1"/>
                <w:sz w:val="22"/>
              </w:rPr>
            </w:pPr>
            <w:r w:rsidRPr="00882210">
              <w:rPr>
                <w:b/>
                <w:bCs/>
                <w:color w:val="000000" w:themeColor="text1"/>
                <w:sz w:val="22"/>
              </w:rPr>
              <w:t>5</w:t>
            </w:r>
          </w:p>
        </w:tc>
        <w:tc>
          <w:tcPr>
            <w:tcW w:w="749" w:type="dxa"/>
            <w:tcBorders>
              <w:top w:val="single" w:sz="4" w:space="0" w:color="auto"/>
              <w:bottom w:val="single" w:sz="4" w:space="0" w:color="auto"/>
            </w:tcBorders>
            <w:vAlign w:val="center"/>
            <w:hideMark/>
          </w:tcPr>
          <w:p w14:paraId="0E8DE796" w14:textId="77777777" w:rsidR="00882210" w:rsidRPr="00882210" w:rsidRDefault="00882210" w:rsidP="00AB066F">
            <w:pPr>
              <w:spacing w:line="240" w:lineRule="auto"/>
              <w:jc w:val="center"/>
              <w:rPr>
                <w:b/>
                <w:bCs/>
                <w:color w:val="000000" w:themeColor="text1"/>
                <w:sz w:val="22"/>
              </w:rPr>
            </w:pPr>
            <w:r w:rsidRPr="00882210">
              <w:rPr>
                <w:b/>
                <w:bCs/>
                <w:color w:val="000000" w:themeColor="text1"/>
                <w:sz w:val="22"/>
              </w:rPr>
              <w:t>6</w:t>
            </w:r>
          </w:p>
        </w:tc>
        <w:tc>
          <w:tcPr>
            <w:tcW w:w="750" w:type="dxa"/>
            <w:tcBorders>
              <w:top w:val="single" w:sz="4" w:space="0" w:color="auto"/>
              <w:bottom w:val="single" w:sz="4" w:space="0" w:color="auto"/>
            </w:tcBorders>
            <w:vAlign w:val="center"/>
            <w:hideMark/>
          </w:tcPr>
          <w:p w14:paraId="74FA130C" w14:textId="77777777" w:rsidR="00882210" w:rsidRPr="00882210" w:rsidRDefault="00882210" w:rsidP="00AB066F">
            <w:pPr>
              <w:spacing w:line="240" w:lineRule="auto"/>
              <w:jc w:val="center"/>
              <w:rPr>
                <w:b/>
                <w:bCs/>
                <w:color w:val="000000" w:themeColor="text1"/>
                <w:sz w:val="22"/>
              </w:rPr>
            </w:pPr>
            <w:r w:rsidRPr="00882210">
              <w:rPr>
                <w:b/>
                <w:bCs/>
                <w:color w:val="000000" w:themeColor="text1"/>
                <w:sz w:val="22"/>
              </w:rPr>
              <w:t>7</w:t>
            </w:r>
          </w:p>
        </w:tc>
        <w:tc>
          <w:tcPr>
            <w:tcW w:w="749" w:type="dxa"/>
            <w:tcBorders>
              <w:top w:val="single" w:sz="4" w:space="0" w:color="auto"/>
              <w:bottom w:val="single" w:sz="4" w:space="0" w:color="auto"/>
            </w:tcBorders>
            <w:vAlign w:val="center"/>
            <w:hideMark/>
          </w:tcPr>
          <w:p w14:paraId="38B99DFC" w14:textId="77777777" w:rsidR="00882210" w:rsidRPr="00882210" w:rsidRDefault="00882210" w:rsidP="00AB066F">
            <w:pPr>
              <w:spacing w:line="240" w:lineRule="auto"/>
              <w:jc w:val="center"/>
              <w:rPr>
                <w:b/>
                <w:bCs/>
                <w:color w:val="000000" w:themeColor="text1"/>
                <w:sz w:val="22"/>
              </w:rPr>
            </w:pPr>
            <w:r w:rsidRPr="00882210">
              <w:rPr>
                <w:b/>
                <w:bCs/>
                <w:color w:val="000000" w:themeColor="text1"/>
                <w:sz w:val="22"/>
              </w:rPr>
              <w:t>8</w:t>
            </w:r>
          </w:p>
        </w:tc>
        <w:tc>
          <w:tcPr>
            <w:tcW w:w="749" w:type="dxa"/>
            <w:tcBorders>
              <w:top w:val="single" w:sz="4" w:space="0" w:color="auto"/>
              <w:bottom w:val="single" w:sz="4" w:space="0" w:color="auto"/>
            </w:tcBorders>
            <w:vAlign w:val="center"/>
            <w:hideMark/>
          </w:tcPr>
          <w:p w14:paraId="43EE924E" w14:textId="77777777" w:rsidR="00882210" w:rsidRPr="00882210" w:rsidRDefault="00882210" w:rsidP="00AB066F">
            <w:pPr>
              <w:spacing w:line="240" w:lineRule="auto"/>
              <w:jc w:val="center"/>
              <w:rPr>
                <w:b/>
                <w:bCs/>
                <w:color w:val="000000" w:themeColor="text1"/>
                <w:sz w:val="22"/>
              </w:rPr>
            </w:pPr>
            <w:r w:rsidRPr="00882210">
              <w:rPr>
                <w:b/>
                <w:bCs/>
                <w:color w:val="000000" w:themeColor="text1"/>
                <w:sz w:val="22"/>
              </w:rPr>
              <w:t>9</w:t>
            </w:r>
          </w:p>
        </w:tc>
        <w:tc>
          <w:tcPr>
            <w:tcW w:w="749" w:type="dxa"/>
            <w:tcBorders>
              <w:top w:val="single" w:sz="4" w:space="0" w:color="auto"/>
              <w:bottom w:val="single" w:sz="4" w:space="0" w:color="auto"/>
            </w:tcBorders>
            <w:vAlign w:val="center"/>
            <w:hideMark/>
          </w:tcPr>
          <w:p w14:paraId="326F984C" w14:textId="77777777" w:rsidR="00882210" w:rsidRPr="00882210" w:rsidRDefault="00882210" w:rsidP="00AB066F">
            <w:pPr>
              <w:spacing w:line="240" w:lineRule="auto"/>
              <w:jc w:val="center"/>
              <w:rPr>
                <w:b/>
                <w:bCs/>
                <w:color w:val="000000" w:themeColor="text1"/>
                <w:sz w:val="22"/>
              </w:rPr>
            </w:pPr>
            <w:r w:rsidRPr="00882210">
              <w:rPr>
                <w:b/>
                <w:bCs/>
                <w:color w:val="000000" w:themeColor="text1"/>
                <w:sz w:val="22"/>
              </w:rPr>
              <w:t>10</w:t>
            </w:r>
          </w:p>
        </w:tc>
        <w:tc>
          <w:tcPr>
            <w:tcW w:w="750" w:type="dxa"/>
            <w:tcBorders>
              <w:top w:val="single" w:sz="4" w:space="0" w:color="auto"/>
              <w:bottom w:val="single" w:sz="4" w:space="0" w:color="auto"/>
            </w:tcBorders>
            <w:vAlign w:val="center"/>
            <w:hideMark/>
          </w:tcPr>
          <w:p w14:paraId="7E326CE7" w14:textId="77777777" w:rsidR="00882210" w:rsidRPr="00882210" w:rsidRDefault="00882210" w:rsidP="00AB066F">
            <w:pPr>
              <w:spacing w:line="240" w:lineRule="auto"/>
              <w:jc w:val="center"/>
              <w:rPr>
                <w:b/>
                <w:bCs/>
                <w:color w:val="000000" w:themeColor="text1"/>
                <w:sz w:val="22"/>
              </w:rPr>
            </w:pPr>
            <w:r w:rsidRPr="00882210">
              <w:rPr>
                <w:b/>
                <w:bCs/>
                <w:color w:val="000000" w:themeColor="text1"/>
                <w:sz w:val="22"/>
              </w:rPr>
              <w:t>11</w:t>
            </w:r>
          </w:p>
        </w:tc>
        <w:tc>
          <w:tcPr>
            <w:tcW w:w="749" w:type="dxa"/>
            <w:tcBorders>
              <w:top w:val="single" w:sz="4" w:space="0" w:color="auto"/>
              <w:bottom w:val="single" w:sz="4" w:space="0" w:color="auto"/>
            </w:tcBorders>
            <w:vAlign w:val="center"/>
            <w:hideMark/>
          </w:tcPr>
          <w:p w14:paraId="6F88DD31" w14:textId="77777777" w:rsidR="00882210" w:rsidRPr="00882210" w:rsidRDefault="00882210" w:rsidP="00AB066F">
            <w:pPr>
              <w:spacing w:line="240" w:lineRule="auto"/>
              <w:jc w:val="center"/>
              <w:rPr>
                <w:b/>
                <w:bCs/>
                <w:color w:val="000000" w:themeColor="text1"/>
                <w:sz w:val="22"/>
              </w:rPr>
            </w:pPr>
            <w:r w:rsidRPr="00882210">
              <w:rPr>
                <w:b/>
                <w:bCs/>
                <w:color w:val="000000" w:themeColor="text1"/>
                <w:sz w:val="22"/>
              </w:rPr>
              <w:t>12</w:t>
            </w:r>
          </w:p>
        </w:tc>
        <w:tc>
          <w:tcPr>
            <w:tcW w:w="749" w:type="dxa"/>
            <w:tcBorders>
              <w:top w:val="single" w:sz="4" w:space="0" w:color="auto"/>
              <w:bottom w:val="single" w:sz="4" w:space="0" w:color="auto"/>
            </w:tcBorders>
            <w:vAlign w:val="center"/>
            <w:hideMark/>
          </w:tcPr>
          <w:p w14:paraId="709A83A1" w14:textId="77777777" w:rsidR="00882210" w:rsidRPr="00882210" w:rsidRDefault="00882210" w:rsidP="00AB066F">
            <w:pPr>
              <w:spacing w:line="240" w:lineRule="auto"/>
              <w:jc w:val="center"/>
              <w:rPr>
                <w:b/>
                <w:bCs/>
                <w:color w:val="000000" w:themeColor="text1"/>
                <w:sz w:val="22"/>
              </w:rPr>
            </w:pPr>
            <w:r w:rsidRPr="00882210">
              <w:rPr>
                <w:b/>
                <w:bCs/>
                <w:color w:val="000000" w:themeColor="text1"/>
                <w:sz w:val="22"/>
              </w:rPr>
              <w:t>13</w:t>
            </w:r>
          </w:p>
        </w:tc>
        <w:tc>
          <w:tcPr>
            <w:tcW w:w="750" w:type="dxa"/>
            <w:tcBorders>
              <w:top w:val="single" w:sz="4" w:space="0" w:color="auto"/>
              <w:bottom w:val="single" w:sz="4" w:space="0" w:color="auto"/>
            </w:tcBorders>
            <w:vAlign w:val="center"/>
            <w:hideMark/>
          </w:tcPr>
          <w:p w14:paraId="72B8A7CE" w14:textId="77777777" w:rsidR="00882210" w:rsidRPr="00882210" w:rsidRDefault="00882210" w:rsidP="00AB066F">
            <w:pPr>
              <w:spacing w:line="240" w:lineRule="auto"/>
              <w:jc w:val="center"/>
              <w:rPr>
                <w:b/>
                <w:bCs/>
                <w:color w:val="000000" w:themeColor="text1"/>
                <w:sz w:val="22"/>
              </w:rPr>
            </w:pPr>
            <w:r w:rsidRPr="00882210">
              <w:rPr>
                <w:b/>
                <w:bCs/>
                <w:color w:val="000000" w:themeColor="text1"/>
                <w:sz w:val="22"/>
              </w:rPr>
              <w:t>14</w:t>
            </w:r>
          </w:p>
        </w:tc>
      </w:tr>
      <w:tr w:rsidR="00A30BF8" w:rsidRPr="00882210" w14:paraId="08B0A0C5" w14:textId="77777777" w:rsidTr="00C82841">
        <w:trPr>
          <w:trHeight w:val="210"/>
        </w:trPr>
        <w:tc>
          <w:tcPr>
            <w:tcW w:w="491" w:type="dxa"/>
            <w:tcBorders>
              <w:top w:val="single" w:sz="4" w:space="0" w:color="auto"/>
            </w:tcBorders>
            <w:vAlign w:val="center"/>
          </w:tcPr>
          <w:p w14:paraId="091127ED"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w:t>
            </w:r>
          </w:p>
        </w:tc>
        <w:tc>
          <w:tcPr>
            <w:tcW w:w="4395" w:type="dxa"/>
            <w:tcBorders>
              <w:top w:val="single" w:sz="4" w:space="0" w:color="auto"/>
            </w:tcBorders>
            <w:vAlign w:val="center"/>
            <w:hideMark/>
          </w:tcPr>
          <w:p w14:paraId="72355E60" w14:textId="77777777" w:rsidR="00882210" w:rsidRPr="00882210" w:rsidRDefault="00882210" w:rsidP="00AB066F">
            <w:pPr>
              <w:spacing w:line="240" w:lineRule="auto"/>
              <w:jc w:val="left"/>
              <w:rPr>
                <w:color w:val="000000" w:themeColor="text1"/>
                <w:sz w:val="22"/>
              </w:rPr>
            </w:pPr>
            <w:r w:rsidRPr="00882210">
              <w:rPr>
                <w:color w:val="000000" w:themeColor="text1"/>
                <w:sz w:val="22"/>
              </w:rPr>
              <w:t>deal_culturaldistance</w:t>
            </w:r>
          </w:p>
        </w:tc>
        <w:tc>
          <w:tcPr>
            <w:tcW w:w="749" w:type="dxa"/>
            <w:tcBorders>
              <w:top w:val="single" w:sz="4" w:space="0" w:color="auto"/>
            </w:tcBorders>
            <w:vAlign w:val="center"/>
            <w:hideMark/>
          </w:tcPr>
          <w:p w14:paraId="04727A52"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w:t>
            </w:r>
          </w:p>
        </w:tc>
        <w:tc>
          <w:tcPr>
            <w:tcW w:w="749" w:type="dxa"/>
            <w:tcBorders>
              <w:top w:val="single" w:sz="4" w:space="0" w:color="auto"/>
            </w:tcBorders>
            <w:vAlign w:val="center"/>
          </w:tcPr>
          <w:p w14:paraId="36CB4F91" w14:textId="77777777" w:rsidR="00882210" w:rsidRPr="00882210" w:rsidRDefault="00882210" w:rsidP="00AB066F">
            <w:pPr>
              <w:spacing w:line="240" w:lineRule="auto"/>
              <w:jc w:val="center"/>
              <w:rPr>
                <w:color w:val="000000" w:themeColor="text1"/>
                <w:sz w:val="22"/>
              </w:rPr>
            </w:pPr>
          </w:p>
        </w:tc>
        <w:tc>
          <w:tcPr>
            <w:tcW w:w="749" w:type="dxa"/>
            <w:tcBorders>
              <w:top w:val="single" w:sz="4" w:space="0" w:color="auto"/>
            </w:tcBorders>
            <w:vAlign w:val="center"/>
          </w:tcPr>
          <w:p w14:paraId="30B834DC" w14:textId="77777777" w:rsidR="00882210" w:rsidRPr="00882210" w:rsidRDefault="00882210" w:rsidP="00AB066F">
            <w:pPr>
              <w:spacing w:line="240" w:lineRule="auto"/>
              <w:jc w:val="center"/>
              <w:rPr>
                <w:color w:val="000000" w:themeColor="text1"/>
                <w:sz w:val="22"/>
              </w:rPr>
            </w:pPr>
          </w:p>
        </w:tc>
        <w:tc>
          <w:tcPr>
            <w:tcW w:w="750" w:type="dxa"/>
            <w:tcBorders>
              <w:top w:val="single" w:sz="4" w:space="0" w:color="auto"/>
            </w:tcBorders>
            <w:vAlign w:val="center"/>
          </w:tcPr>
          <w:p w14:paraId="25D0A4D4" w14:textId="77777777" w:rsidR="00882210" w:rsidRPr="00882210" w:rsidRDefault="00882210" w:rsidP="00AB066F">
            <w:pPr>
              <w:spacing w:line="240" w:lineRule="auto"/>
              <w:jc w:val="center"/>
              <w:rPr>
                <w:color w:val="000000" w:themeColor="text1"/>
                <w:sz w:val="22"/>
              </w:rPr>
            </w:pPr>
          </w:p>
        </w:tc>
        <w:tc>
          <w:tcPr>
            <w:tcW w:w="749" w:type="dxa"/>
            <w:tcBorders>
              <w:top w:val="single" w:sz="4" w:space="0" w:color="auto"/>
            </w:tcBorders>
            <w:vAlign w:val="center"/>
          </w:tcPr>
          <w:p w14:paraId="505028BD" w14:textId="77777777" w:rsidR="00882210" w:rsidRPr="00882210" w:rsidRDefault="00882210" w:rsidP="00AB066F">
            <w:pPr>
              <w:spacing w:line="240" w:lineRule="auto"/>
              <w:jc w:val="center"/>
              <w:rPr>
                <w:color w:val="000000" w:themeColor="text1"/>
                <w:sz w:val="22"/>
              </w:rPr>
            </w:pPr>
          </w:p>
        </w:tc>
        <w:tc>
          <w:tcPr>
            <w:tcW w:w="749" w:type="dxa"/>
            <w:tcBorders>
              <w:top w:val="single" w:sz="4" w:space="0" w:color="auto"/>
            </w:tcBorders>
            <w:vAlign w:val="center"/>
          </w:tcPr>
          <w:p w14:paraId="2E37BEB1" w14:textId="77777777" w:rsidR="00882210" w:rsidRPr="00882210" w:rsidRDefault="00882210" w:rsidP="00AB066F">
            <w:pPr>
              <w:spacing w:line="240" w:lineRule="auto"/>
              <w:jc w:val="center"/>
              <w:rPr>
                <w:color w:val="000000" w:themeColor="text1"/>
                <w:sz w:val="22"/>
              </w:rPr>
            </w:pPr>
          </w:p>
        </w:tc>
        <w:tc>
          <w:tcPr>
            <w:tcW w:w="750" w:type="dxa"/>
            <w:tcBorders>
              <w:top w:val="single" w:sz="4" w:space="0" w:color="auto"/>
            </w:tcBorders>
            <w:vAlign w:val="center"/>
          </w:tcPr>
          <w:p w14:paraId="2B9B5296" w14:textId="77777777" w:rsidR="00882210" w:rsidRPr="00882210" w:rsidRDefault="00882210" w:rsidP="00AB066F">
            <w:pPr>
              <w:spacing w:line="240" w:lineRule="auto"/>
              <w:jc w:val="center"/>
              <w:rPr>
                <w:color w:val="000000" w:themeColor="text1"/>
                <w:sz w:val="22"/>
              </w:rPr>
            </w:pPr>
          </w:p>
        </w:tc>
        <w:tc>
          <w:tcPr>
            <w:tcW w:w="749" w:type="dxa"/>
            <w:tcBorders>
              <w:top w:val="single" w:sz="4" w:space="0" w:color="auto"/>
            </w:tcBorders>
            <w:vAlign w:val="center"/>
          </w:tcPr>
          <w:p w14:paraId="00BC0682" w14:textId="77777777" w:rsidR="00882210" w:rsidRPr="00882210" w:rsidRDefault="00882210" w:rsidP="00AB066F">
            <w:pPr>
              <w:spacing w:line="240" w:lineRule="auto"/>
              <w:jc w:val="center"/>
              <w:rPr>
                <w:color w:val="000000" w:themeColor="text1"/>
                <w:sz w:val="22"/>
              </w:rPr>
            </w:pPr>
          </w:p>
        </w:tc>
        <w:tc>
          <w:tcPr>
            <w:tcW w:w="749" w:type="dxa"/>
            <w:tcBorders>
              <w:top w:val="single" w:sz="4" w:space="0" w:color="auto"/>
            </w:tcBorders>
            <w:vAlign w:val="center"/>
          </w:tcPr>
          <w:p w14:paraId="48525DAD" w14:textId="77777777" w:rsidR="00882210" w:rsidRPr="00882210" w:rsidRDefault="00882210" w:rsidP="00AB066F">
            <w:pPr>
              <w:spacing w:line="240" w:lineRule="auto"/>
              <w:jc w:val="center"/>
              <w:rPr>
                <w:color w:val="000000" w:themeColor="text1"/>
                <w:sz w:val="22"/>
              </w:rPr>
            </w:pPr>
          </w:p>
        </w:tc>
        <w:tc>
          <w:tcPr>
            <w:tcW w:w="749" w:type="dxa"/>
            <w:tcBorders>
              <w:top w:val="single" w:sz="4" w:space="0" w:color="auto"/>
            </w:tcBorders>
            <w:vAlign w:val="center"/>
          </w:tcPr>
          <w:p w14:paraId="1AE09563" w14:textId="77777777" w:rsidR="00882210" w:rsidRPr="00882210" w:rsidRDefault="00882210" w:rsidP="00AB066F">
            <w:pPr>
              <w:spacing w:line="240" w:lineRule="auto"/>
              <w:jc w:val="center"/>
              <w:rPr>
                <w:color w:val="000000" w:themeColor="text1"/>
                <w:sz w:val="22"/>
              </w:rPr>
            </w:pPr>
          </w:p>
        </w:tc>
        <w:tc>
          <w:tcPr>
            <w:tcW w:w="750" w:type="dxa"/>
            <w:tcBorders>
              <w:top w:val="single" w:sz="4" w:space="0" w:color="auto"/>
            </w:tcBorders>
            <w:vAlign w:val="center"/>
          </w:tcPr>
          <w:p w14:paraId="34CFA63F" w14:textId="77777777" w:rsidR="00882210" w:rsidRPr="00882210" w:rsidRDefault="00882210" w:rsidP="00AB066F">
            <w:pPr>
              <w:spacing w:line="240" w:lineRule="auto"/>
              <w:jc w:val="center"/>
              <w:rPr>
                <w:color w:val="000000" w:themeColor="text1"/>
                <w:sz w:val="22"/>
              </w:rPr>
            </w:pPr>
          </w:p>
        </w:tc>
        <w:tc>
          <w:tcPr>
            <w:tcW w:w="749" w:type="dxa"/>
            <w:tcBorders>
              <w:top w:val="single" w:sz="4" w:space="0" w:color="auto"/>
            </w:tcBorders>
            <w:vAlign w:val="center"/>
          </w:tcPr>
          <w:p w14:paraId="1D2989F8" w14:textId="77777777" w:rsidR="00882210" w:rsidRPr="00882210" w:rsidRDefault="00882210" w:rsidP="00AB066F">
            <w:pPr>
              <w:spacing w:line="240" w:lineRule="auto"/>
              <w:jc w:val="center"/>
              <w:rPr>
                <w:color w:val="000000" w:themeColor="text1"/>
                <w:sz w:val="22"/>
              </w:rPr>
            </w:pPr>
          </w:p>
        </w:tc>
        <w:tc>
          <w:tcPr>
            <w:tcW w:w="749" w:type="dxa"/>
            <w:tcBorders>
              <w:top w:val="single" w:sz="4" w:space="0" w:color="auto"/>
            </w:tcBorders>
            <w:vAlign w:val="center"/>
          </w:tcPr>
          <w:p w14:paraId="5D9EA2B8" w14:textId="77777777" w:rsidR="00882210" w:rsidRPr="00882210" w:rsidRDefault="00882210" w:rsidP="00AB066F">
            <w:pPr>
              <w:spacing w:line="240" w:lineRule="auto"/>
              <w:jc w:val="center"/>
              <w:rPr>
                <w:color w:val="000000" w:themeColor="text1"/>
                <w:sz w:val="22"/>
              </w:rPr>
            </w:pPr>
          </w:p>
        </w:tc>
        <w:tc>
          <w:tcPr>
            <w:tcW w:w="750" w:type="dxa"/>
            <w:tcBorders>
              <w:top w:val="single" w:sz="4" w:space="0" w:color="auto"/>
            </w:tcBorders>
            <w:vAlign w:val="center"/>
          </w:tcPr>
          <w:p w14:paraId="29D54C74" w14:textId="77777777" w:rsidR="00882210" w:rsidRPr="00882210" w:rsidRDefault="00882210" w:rsidP="00AB066F">
            <w:pPr>
              <w:spacing w:line="240" w:lineRule="auto"/>
              <w:jc w:val="center"/>
              <w:rPr>
                <w:color w:val="000000" w:themeColor="text1"/>
                <w:sz w:val="22"/>
              </w:rPr>
            </w:pPr>
          </w:p>
        </w:tc>
      </w:tr>
      <w:tr w:rsidR="00A30BF8" w:rsidRPr="00882210" w14:paraId="191B3944" w14:textId="77777777" w:rsidTr="00C82841">
        <w:trPr>
          <w:trHeight w:val="210"/>
        </w:trPr>
        <w:tc>
          <w:tcPr>
            <w:tcW w:w="491" w:type="dxa"/>
            <w:vAlign w:val="center"/>
          </w:tcPr>
          <w:p w14:paraId="7B145179" w14:textId="77777777" w:rsidR="00882210" w:rsidRPr="00882210" w:rsidRDefault="00882210" w:rsidP="00AB066F">
            <w:pPr>
              <w:spacing w:line="240" w:lineRule="auto"/>
              <w:jc w:val="center"/>
              <w:rPr>
                <w:color w:val="000000" w:themeColor="text1"/>
                <w:sz w:val="22"/>
              </w:rPr>
            </w:pPr>
            <w:r w:rsidRPr="00882210">
              <w:rPr>
                <w:color w:val="000000" w:themeColor="text1"/>
                <w:sz w:val="22"/>
              </w:rPr>
              <w:t>2.</w:t>
            </w:r>
          </w:p>
        </w:tc>
        <w:tc>
          <w:tcPr>
            <w:tcW w:w="4395" w:type="dxa"/>
            <w:vAlign w:val="center"/>
            <w:hideMark/>
          </w:tcPr>
          <w:p w14:paraId="558679BB" w14:textId="77777777" w:rsidR="00882210" w:rsidRPr="00882210" w:rsidRDefault="00882210" w:rsidP="00AB066F">
            <w:pPr>
              <w:spacing w:line="240" w:lineRule="auto"/>
              <w:jc w:val="left"/>
              <w:rPr>
                <w:color w:val="000000" w:themeColor="text1"/>
                <w:sz w:val="22"/>
              </w:rPr>
            </w:pPr>
            <w:r w:rsidRPr="00882210">
              <w:rPr>
                <w:color w:val="000000" w:themeColor="text1"/>
                <w:sz w:val="22"/>
              </w:rPr>
              <w:t>acq_car2</w:t>
            </w:r>
          </w:p>
        </w:tc>
        <w:tc>
          <w:tcPr>
            <w:tcW w:w="749" w:type="dxa"/>
            <w:vAlign w:val="center"/>
            <w:hideMark/>
          </w:tcPr>
          <w:p w14:paraId="22F8CEA1"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.03</w:t>
            </w:r>
          </w:p>
        </w:tc>
        <w:tc>
          <w:tcPr>
            <w:tcW w:w="749" w:type="dxa"/>
            <w:vAlign w:val="center"/>
            <w:hideMark/>
          </w:tcPr>
          <w:p w14:paraId="3E1BCC35"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w:t>
            </w:r>
          </w:p>
        </w:tc>
        <w:tc>
          <w:tcPr>
            <w:tcW w:w="749" w:type="dxa"/>
            <w:vAlign w:val="center"/>
          </w:tcPr>
          <w:p w14:paraId="4B75DF4D" w14:textId="77777777" w:rsidR="00882210" w:rsidRPr="00882210" w:rsidRDefault="00882210" w:rsidP="00AB066F">
            <w:pPr>
              <w:spacing w:line="240" w:lineRule="auto"/>
              <w:jc w:val="center"/>
              <w:rPr>
                <w:color w:val="000000" w:themeColor="text1"/>
                <w:sz w:val="22"/>
              </w:rPr>
            </w:pPr>
          </w:p>
        </w:tc>
        <w:tc>
          <w:tcPr>
            <w:tcW w:w="750" w:type="dxa"/>
            <w:vAlign w:val="center"/>
          </w:tcPr>
          <w:p w14:paraId="040462D8" w14:textId="77777777" w:rsidR="00882210" w:rsidRPr="00882210" w:rsidRDefault="00882210" w:rsidP="00AB066F">
            <w:pPr>
              <w:spacing w:line="240" w:lineRule="auto"/>
              <w:jc w:val="center"/>
              <w:rPr>
                <w:color w:val="000000" w:themeColor="text1"/>
                <w:sz w:val="22"/>
              </w:rPr>
            </w:pPr>
          </w:p>
        </w:tc>
        <w:tc>
          <w:tcPr>
            <w:tcW w:w="749" w:type="dxa"/>
            <w:vAlign w:val="center"/>
          </w:tcPr>
          <w:p w14:paraId="3750B217" w14:textId="77777777" w:rsidR="00882210" w:rsidRPr="00882210" w:rsidRDefault="00882210" w:rsidP="00AB066F">
            <w:pPr>
              <w:spacing w:line="240" w:lineRule="auto"/>
              <w:jc w:val="center"/>
              <w:rPr>
                <w:color w:val="000000" w:themeColor="text1"/>
                <w:sz w:val="22"/>
              </w:rPr>
            </w:pPr>
          </w:p>
        </w:tc>
        <w:tc>
          <w:tcPr>
            <w:tcW w:w="749" w:type="dxa"/>
            <w:vAlign w:val="center"/>
          </w:tcPr>
          <w:p w14:paraId="2DCCE9FC" w14:textId="77777777" w:rsidR="00882210" w:rsidRPr="00882210" w:rsidRDefault="00882210" w:rsidP="00AB066F">
            <w:pPr>
              <w:spacing w:line="240" w:lineRule="auto"/>
              <w:jc w:val="center"/>
              <w:rPr>
                <w:color w:val="000000" w:themeColor="text1"/>
                <w:sz w:val="22"/>
              </w:rPr>
            </w:pPr>
          </w:p>
        </w:tc>
        <w:tc>
          <w:tcPr>
            <w:tcW w:w="750" w:type="dxa"/>
            <w:vAlign w:val="center"/>
          </w:tcPr>
          <w:p w14:paraId="293922EB" w14:textId="77777777" w:rsidR="00882210" w:rsidRPr="00882210" w:rsidRDefault="00882210" w:rsidP="00AB066F">
            <w:pPr>
              <w:spacing w:line="240" w:lineRule="auto"/>
              <w:jc w:val="center"/>
              <w:rPr>
                <w:color w:val="000000" w:themeColor="text1"/>
                <w:sz w:val="22"/>
              </w:rPr>
            </w:pPr>
          </w:p>
        </w:tc>
        <w:tc>
          <w:tcPr>
            <w:tcW w:w="749" w:type="dxa"/>
            <w:vAlign w:val="center"/>
          </w:tcPr>
          <w:p w14:paraId="0FFD57F5" w14:textId="77777777" w:rsidR="00882210" w:rsidRPr="00882210" w:rsidRDefault="00882210" w:rsidP="00AB066F">
            <w:pPr>
              <w:spacing w:line="240" w:lineRule="auto"/>
              <w:jc w:val="center"/>
              <w:rPr>
                <w:color w:val="000000" w:themeColor="text1"/>
                <w:sz w:val="22"/>
              </w:rPr>
            </w:pPr>
          </w:p>
        </w:tc>
        <w:tc>
          <w:tcPr>
            <w:tcW w:w="749" w:type="dxa"/>
            <w:vAlign w:val="center"/>
          </w:tcPr>
          <w:p w14:paraId="05240988" w14:textId="77777777" w:rsidR="00882210" w:rsidRPr="00882210" w:rsidRDefault="00882210" w:rsidP="00AB066F">
            <w:pPr>
              <w:spacing w:line="240" w:lineRule="auto"/>
              <w:jc w:val="center"/>
              <w:rPr>
                <w:color w:val="000000" w:themeColor="text1"/>
                <w:sz w:val="22"/>
              </w:rPr>
            </w:pPr>
          </w:p>
        </w:tc>
        <w:tc>
          <w:tcPr>
            <w:tcW w:w="749" w:type="dxa"/>
            <w:vAlign w:val="center"/>
          </w:tcPr>
          <w:p w14:paraId="528E4A5F" w14:textId="77777777" w:rsidR="00882210" w:rsidRPr="00882210" w:rsidRDefault="00882210" w:rsidP="00AB066F">
            <w:pPr>
              <w:spacing w:line="240" w:lineRule="auto"/>
              <w:jc w:val="center"/>
              <w:rPr>
                <w:color w:val="000000" w:themeColor="text1"/>
                <w:sz w:val="22"/>
              </w:rPr>
            </w:pPr>
          </w:p>
        </w:tc>
        <w:tc>
          <w:tcPr>
            <w:tcW w:w="750" w:type="dxa"/>
            <w:vAlign w:val="center"/>
          </w:tcPr>
          <w:p w14:paraId="37C7FF8B" w14:textId="77777777" w:rsidR="00882210" w:rsidRPr="00882210" w:rsidRDefault="00882210" w:rsidP="00AB066F">
            <w:pPr>
              <w:spacing w:line="240" w:lineRule="auto"/>
              <w:jc w:val="center"/>
              <w:rPr>
                <w:color w:val="000000" w:themeColor="text1"/>
                <w:sz w:val="22"/>
              </w:rPr>
            </w:pPr>
          </w:p>
        </w:tc>
        <w:tc>
          <w:tcPr>
            <w:tcW w:w="749" w:type="dxa"/>
            <w:vAlign w:val="center"/>
          </w:tcPr>
          <w:p w14:paraId="0EA359F5" w14:textId="77777777" w:rsidR="00882210" w:rsidRPr="00882210" w:rsidRDefault="00882210" w:rsidP="00AB066F">
            <w:pPr>
              <w:spacing w:line="240" w:lineRule="auto"/>
              <w:jc w:val="center"/>
              <w:rPr>
                <w:color w:val="000000" w:themeColor="text1"/>
                <w:sz w:val="22"/>
              </w:rPr>
            </w:pPr>
          </w:p>
        </w:tc>
        <w:tc>
          <w:tcPr>
            <w:tcW w:w="749" w:type="dxa"/>
            <w:vAlign w:val="center"/>
          </w:tcPr>
          <w:p w14:paraId="2BBEB30B" w14:textId="77777777" w:rsidR="00882210" w:rsidRPr="00882210" w:rsidRDefault="00882210" w:rsidP="00AB066F">
            <w:pPr>
              <w:spacing w:line="240" w:lineRule="auto"/>
              <w:jc w:val="center"/>
              <w:rPr>
                <w:color w:val="000000" w:themeColor="text1"/>
                <w:sz w:val="22"/>
              </w:rPr>
            </w:pPr>
          </w:p>
        </w:tc>
        <w:tc>
          <w:tcPr>
            <w:tcW w:w="750" w:type="dxa"/>
            <w:vAlign w:val="center"/>
          </w:tcPr>
          <w:p w14:paraId="4DE778D3" w14:textId="77777777" w:rsidR="00882210" w:rsidRPr="00882210" w:rsidRDefault="00882210" w:rsidP="00AB066F">
            <w:pPr>
              <w:spacing w:line="240" w:lineRule="auto"/>
              <w:jc w:val="center"/>
              <w:rPr>
                <w:color w:val="000000" w:themeColor="text1"/>
                <w:sz w:val="22"/>
              </w:rPr>
            </w:pPr>
          </w:p>
        </w:tc>
      </w:tr>
      <w:tr w:rsidR="00A30BF8" w:rsidRPr="00882210" w14:paraId="59572855" w14:textId="77777777" w:rsidTr="00C82841">
        <w:trPr>
          <w:trHeight w:val="210"/>
        </w:trPr>
        <w:tc>
          <w:tcPr>
            <w:tcW w:w="491" w:type="dxa"/>
            <w:vAlign w:val="center"/>
          </w:tcPr>
          <w:p w14:paraId="44709788" w14:textId="77777777" w:rsidR="00882210" w:rsidRPr="00882210" w:rsidRDefault="00882210" w:rsidP="00AB066F">
            <w:pPr>
              <w:spacing w:line="240" w:lineRule="auto"/>
              <w:jc w:val="center"/>
              <w:rPr>
                <w:color w:val="000000" w:themeColor="text1"/>
                <w:sz w:val="22"/>
              </w:rPr>
            </w:pPr>
            <w:r w:rsidRPr="00882210">
              <w:rPr>
                <w:color w:val="000000" w:themeColor="text1"/>
                <w:sz w:val="22"/>
              </w:rPr>
              <w:t>3.</w:t>
            </w:r>
          </w:p>
        </w:tc>
        <w:tc>
          <w:tcPr>
            <w:tcW w:w="4395" w:type="dxa"/>
            <w:vAlign w:val="center"/>
            <w:hideMark/>
          </w:tcPr>
          <w:p w14:paraId="2E720E3B" w14:textId="77777777" w:rsidR="00882210" w:rsidRPr="00882210" w:rsidRDefault="00882210" w:rsidP="00AB066F">
            <w:pPr>
              <w:spacing w:line="240" w:lineRule="auto"/>
              <w:jc w:val="left"/>
              <w:rPr>
                <w:color w:val="000000" w:themeColor="text1"/>
                <w:sz w:val="22"/>
              </w:rPr>
            </w:pPr>
            <w:r w:rsidRPr="00882210">
              <w:rPr>
                <w:color w:val="000000" w:themeColor="text1"/>
                <w:sz w:val="22"/>
              </w:rPr>
              <w:t>acq_car5</w:t>
            </w:r>
          </w:p>
        </w:tc>
        <w:tc>
          <w:tcPr>
            <w:tcW w:w="749" w:type="dxa"/>
            <w:vAlign w:val="center"/>
            <w:hideMark/>
          </w:tcPr>
          <w:p w14:paraId="6898AE65"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.02</w:t>
            </w:r>
          </w:p>
        </w:tc>
        <w:tc>
          <w:tcPr>
            <w:tcW w:w="749" w:type="dxa"/>
            <w:vAlign w:val="center"/>
            <w:hideMark/>
          </w:tcPr>
          <w:p w14:paraId="4467450A" w14:textId="77777777" w:rsidR="00882210" w:rsidRPr="00882210" w:rsidRDefault="00882210" w:rsidP="00AB066F">
            <w:pPr>
              <w:spacing w:line="240" w:lineRule="auto"/>
              <w:jc w:val="center"/>
              <w:rPr>
                <w:color w:val="000000" w:themeColor="text1"/>
                <w:sz w:val="22"/>
              </w:rPr>
            </w:pPr>
            <w:r w:rsidRPr="00882210">
              <w:rPr>
                <w:color w:val="000000" w:themeColor="text1"/>
                <w:sz w:val="22"/>
              </w:rPr>
              <w:t>.96</w:t>
            </w:r>
          </w:p>
        </w:tc>
        <w:tc>
          <w:tcPr>
            <w:tcW w:w="749" w:type="dxa"/>
            <w:vAlign w:val="center"/>
            <w:hideMark/>
          </w:tcPr>
          <w:p w14:paraId="48D05D22"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w:t>
            </w:r>
          </w:p>
        </w:tc>
        <w:tc>
          <w:tcPr>
            <w:tcW w:w="750" w:type="dxa"/>
            <w:vAlign w:val="center"/>
          </w:tcPr>
          <w:p w14:paraId="7C91CCA5" w14:textId="77777777" w:rsidR="00882210" w:rsidRPr="00882210" w:rsidRDefault="00882210" w:rsidP="00AB066F">
            <w:pPr>
              <w:spacing w:line="240" w:lineRule="auto"/>
              <w:jc w:val="center"/>
              <w:rPr>
                <w:color w:val="000000" w:themeColor="text1"/>
                <w:sz w:val="22"/>
              </w:rPr>
            </w:pPr>
          </w:p>
        </w:tc>
        <w:tc>
          <w:tcPr>
            <w:tcW w:w="749" w:type="dxa"/>
            <w:vAlign w:val="center"/>
          </w:tcPr>
          <w:p w14:paraId="0064DA58" w14:textId="77777777" w:rsidR="00882210" w:rsidRPr="00882210" w:rsidRDefault="00882210" w:rsidP="00AB066F">
            <w:pPr>
              <w:spacing w:line="240" w:lineRule="auto"/>
              <w:jc w:val="center"/>
              <w:rPr>
                <w:color w:val="000000" w:themeColor="text1"/>
                <w:sz w:val="22"/>
              </w:rPr>
            </w:pPr>
          </w:p>
        </w:tc>
        <w:tc>
          <w:tcPr>
            <w:tcW w:w="749" w:type="dxa"/>
            <w:vAlign w:val="center"/>
          </w:tcPr>
          <w:p w14:paraId="381913F2" w14:textId="77777777" w:rsidR="00882210" w:rsidRPr="00882210" w:rsidRDefault="00882210" w:rsidP="00AB066F">
            <w:pPr>
              <w:spacing w:line="240" w:lineRule="auto"/>
              <w:jc w:val="center"/>
              <w:rPr>
                <w:color w:val="000000" w:themeColor="text1"/>
                <w:sz w:val="22"/>
              </w:rPr>
            </w:pPr>
          </w:p>
        </w:tc>
        <w:tc>
          <w:tcPr>
            <w:tcW w:w="750" w:type="dxa"/>
            <w:vAlign w:val="center"/>
          </w:tcPr>
          <w:p w14:paraId="351F0AAD" w14:textId="77777777" w:rsidR="00882210" w:rsidRPr="00882210" w:rsidRDefault="00882210" w:rsidP="00AB066F">
            <w:pPr>
              <w:spacing w:line="240" w:lineRule="auto"/>
              <w:jc w:val="center"/>
              <w:rPr>
                <w:color w:val="000000" w:themeColor="text1"/>
                <w:sz w:val="22"/>
              </w:rPr>
            </w:pPr>
          </w:p>
        </w:tc>
        <w:tc>
          <w:tcPr>
            <w:tcW w:w="749" w:type="dxa"/>
            <w:vAlign w:val="center"/>
          </w:tcPr>
          <w:p w14:paraId="02E955F5" w14:textId="77777777" w:rsidR="00882210" w:rsidRPr="00882210" w:rsidRDefault="00882210" w:rsidP="00AB066F">
            <w:pPr>
              <w:spacing w:line="240" w:lineRule="auto"/>
              <w:jc w:val="center"/>
              <w:rPr>
                <w:color w:val="000000" w:themeColor="text1"/>
                <w:sz w:val="22"/>
              </w:rPr>
            </w:pPr>
          </w:p>
        </w:tc>
        <w:tc>
          <w:tcPr>
            <w:tcW w:w="749" w:type="dxa"/>
            <w:vAlign w:val="center"/>
          </w:tcPr>
          <w:p w14:paraId="4C9359F1" w14:textId="77777777" w:rsidR="00882210" w:rsidRPr="00882210" w:rsidRDefault="00882210" w:rsidP="00AB066F">
            <w:pPr>
              <w:spacing w:line="240" w:lineRule="auto"/>
              <w:jc w:val="center"/>
              <w:rPr>
                <w:color w:val="000000" w:themeColor="text1"/>
                <w:sz w:val="22"/>
              </w:rPr>
            </w:pPr>
          </w:p>
        </w:tc>
        <w:tc>
          <w:tcPr>
            <w:tcW w:w="749" w:type="dxa"/>
            <w:vAlign w:val="center"/>
          </w:tcPr>
          <w:p w14:paraId="4BEE4666" w14:textId="77777777" w:rsidR="00882210" w:rsidRPr="00882210" w:rsidRDefault="00882210" w:rsidP="00AB066F">
            <w:pPr>
              <w:spacing w:line="240" w:lineRule="auto"/>
              <w:jc w:val="center"/>
              <w:rPr>
                <w:color w:val="000000" w:themeColor="text1"/>
                <w:sz w:val="22"/>
              </w:rPr>
            </w:pPr>
          </w:p>
        </w:tc>
        <w:tc>
          <w:tcPr>
            <w:tcW w:w="750" w:type="dxa"/>
            <w:vAlign w:val="center"/>
          </w:tcPr>
          <w:p w14:paraId="0F0F8B5A" w14:textId="77777777" w:rsidR="00882210" w:rsidRPr="00882210" w:rsidRDefault="00882210" w:rsidP="00AB066F">
            <w:pPr>
              <w:spacing w:line="240" w:lineRule="auto"/>
              <w:jc w:val="center"/>
              <w:rPr>
                <w:color w:val="000000" w:themeColor="text1"/>
                <w:sz w:val="22"/>
              </w:rPr>
            </w:pPr>
          </w:p>
        </w:tc>
        <w:tc>
          <w:tcPr>
            <w:tcW w:w="749" w:type="dxa"/>
            <w:vAlign w:val="center"/>
          </w:tcPr>
          <w:p w14:paraId="6261BC6E" w14:textId="77777777" w:rsidR="00882210" w:rsidRPr="00882210" w:rsidRDefault="00882210" w:rsidP="00AB066F">
            <w:pPr>
              <w:spacing w:line="240" w:lineRule="auto"/>
              <w:jc w:val="center"/>
              <w:rPr>
                <w:color w:val="000000" w:themeColor="text1"/>
                <w:sz w:val="22"/>
              </w:rPr>
            </w:pPr>
          </w:p>
        </w:tc>
        <w:tc>
          <w:tcPr>
            <w:tcW w:w="749" w:type="dxa"/>
            <w:vAlign w:val="center"/>
          </w:tcPr>
          <w:p w14:paraId="5A86C5C4" w14:textId="77777777" w:rsidR="00882210" w:rsidRPr="00882210" w:rsidRDefault="00882210" w:rsidP="00AB066F">
            <w:pPr>
              <w:spacing w:line="240" w:lineRule="auto"/>
              <w:jc w:val="center"/>
              <w:rPr>
                <w:color w:val="000000" w:themeColor="text1"/>
                <w:sz w:val="22"/>
              </w:rPr>
            </w:pPr>
          </w:p>
        </w:tc>
        <w:tc>
          <w:tcPr>
            <w:tcW w:w="750" w:type="dxa"/>
            <w:vAlign w:val="center"/>
          </w:tcPr>
          <w:p w14:paraId="7F5DC911" w14:textId="77777777" w:rsidR="00882210" w:rsidRPr="00882210" w:rsidRDefault="00882210" w:rsidP="00AB066F">
            <w:pPr>
              <w:spacing w:line="240" w:lineRule="auto"/>
              <w:jc w:val="center"/>
              <w:rPr>
                <w:color w:val="000000" w:themeColor="text1"/>
                <w:sz w:val="22"/>
              </w:rPr>
            </w:pPr>
          </w:p>
        </w:tc>
      </w:tr>
      <w:tr w:rsidR="00A30BF8" w:rsidRPr="00882210" w14:paraId="0C9EDD5C" w14:textId="77777777" w:rsidTr="00C82841">
        <w:trPr>
          <w:trHeight w:val="210"/>
        </w:trPr>
        <w:tc>
          <w:tcPr>
            <w:tcW w:w="491" w:type="dxa"/>
            <w:vAlign w:val="center"/>
          </w:tcPr>
          <w:p w14:paraId="7FB317E5" w14:textId="77777777" w:rsidR="00882210" w:rsidRPr="00882210" w:rsidRDefault="00882210" w:rsidP="00AB066F">
            <w:pPr>
              <w:spacing w:line="240" w:lineRule="auto"/>
              <w:jc w:val="center"/>
              <w:rPr>
                <w:color w:val="000000" w:themeColor="text1"/>
                <w:sz w:val="22"/>
              </w:rPr>
            </w:pPr>
            <w:r w:rsidRPr="00882210">
              <w:rPr>
                <w:color w:val="000000" w:themeColor="text1"/>
                <w:sz w:val="22"/>
              </w:rPr>
              <w:t>4.</w:t>
            </w:r>
          </w:p>
        </w:tc>
        <w:tc>
          <w:tcPr>
            <w:tcW w:w="4395" w:type="dxa"/>
            <w:vAlign w:val="center"/>
            <w:hideMark/>
          </w:tcPr>
          <w:p w14:paraId="14A8B64A" w14:textId="77777777" w:rsidR="00882210" w:rsidRPr="00882210" w:rsidRDefault="00882210" w:rsidP="00AB066F">
            <w:pPr>
              <w:spacing w:line="240" w:lineRule="auto"/>
              <w:jc w:val="left"/>
              <w:rPr>
                <w:color w:val="000000" w:themeColor="text1"/>
                <w:sz w:val="22"/>
              </w:rPr>
            </w:pPr>
            <w:r w:rsidRPr="00882210">
              <w:rPr>
                <w:color w:val="000000" w:themeColor="text1"/>
                <w:sz w:val="22"/>
              </w:rPr>
              <w:t>acq_car10</w:t>
            </w:r>
          </w:p>
        </w:tc>
        <w:tc>
          <w:tcPr>
            <w:tcW w:w="749" w:type="dxa"/>
            <w:vAlign w:val="center"/>
            <w:hideMark/>
          </w:tcPr>
          <w:p w14:paraId="2765DF5E"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.01</w:t>
            </w:r>
          </w:p>
        </w:tc>
        <w:tc>
          <w:tcPr>
            <w:tcW w:w="749" w:type="dxa"/>
            <w:vAlign w:val="center"/>
            <w:hideMark/>
          </w:tcPr>
          <w:p w14:paraId="0A36F29E" w14:textId="77777777" w:rsidR="00882210" w:rsidRPr="00882210" w:rsidRDefault="00882210" w:rsidP="00AB066F">
            <w:pPr>
              <w:spacing w:line="240" w:lineRule="auto"/>
              <w:jc w:val="center"/>
              <w:rPr>
                <w:color w:val="000000" w:themeColor="text1"/>
                <w:sz w:val="22"/>
              </w:rPr>
            </w:pPr>
            <w:r w:rsidRPr="00882210">
              <w:rPr>
                <w:color w:val="000000" w:themeColor="text1"/>
                <w:sz w:val="22"/>
              </w:rPr>
              <w:t>.94</w:t>
            </w:r>
          </w:p>
        </w:tc>
        <w:tc>
          <w:tcPr>
            <w:tcW w:w="749" w:type="dxa"/>
            <w:vAlign w:val="center"/>
            <w:hideMark/>
          </w:tcPr>
          <w:p w14:paraId="7906463A" w14:textId="77777777" w:rsidR="00882210" w:rsidRPr="00882210" w:rsidRDefault="00882210" w:rsidP="00AB066F">
            <w:pPr>
              <w:spacing w:line="240" w:lineRule="auto"/>
              <w:jc w:val="center"/>
              <w:rPr>
                <w:color w:val="000000" w:themeColor="text1"/>
                <w:sz w:val="22"/>
              </w:rPr>
            </w:pPr>
            <w:r w:rsidRPr="00882210">
              <w:rPr>
                <w:color w:val="000000" w:themeColor="text1"/>
                <w:sz w:val="22"/>
              </w:rPr>
              <w:t>.98</w:t>
            </w:r>
          </w:p>
        </w:tc>
        <w:tc>
          <w:tcPr>
            <w:tcW w:w="750" w:type="dxa"/>
            <w:vAlign w:val="center"/>
            <w:hideMark/>
          </w:tcPr>
          <w:p w14:paraId="00C10D12"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w:t>
            </w:r>
          </w:p>
        </w:tc>
        <w:tc>
          <w:tcPr>
            <w:tcW w:w="749" w:type="dxa"/>
            <w:vAlign w:val="center"/>
          </w:tcPr>
          <w:p w14:paraId="091F1188" w14:textId="77777777" w:rsidR="00882210" w:rsidRPr="00882210" w:rsidRDefault="00882210" w:rsidP="00AB066F">
            <w:pPr>
              <w:spacing w:line="240" w:lineRule="auto"/>
              <w:jc w:val="center"/>
              <w:rPr>
                <w:color w:val="000000" w:themeColor="text1"/>
                <w:sz w:val="22"/>
              </w:rPr>
            </w:pPr>
          </w:p>
        </w:tc>
        <w:tc>
          <w:tcPr>
            <w:tcW w:w="749" w:type="dxa"/>
            <w:vAlign w:val="center"/>
          </w:tcPr>
          <w:p w14:paraId="07F04569" w14:textId="77777777" w:rsidR="00882210" w:rsidRPr="00882210" w:rsidRDefault="00882210" w:rsidP="00AB066F">
            <w:pPr>
              <w:spacing w:line="240" w:lineRule="auto"/>
              <w:jc w:val="center"/>
              <w:rPr>
                <w:color w:val="000000" w:themeColor="text1"/>
                <w:sz w:val="22"/>
              </w:rPr>
            </w:pPr>
          </w:p>
        </w:tc>
        <w:tc>
          <w:tcPr>
            <w:tcW w:w="750" w:type="dxa"/>
            <w:vAlign w:val="center"/>
          </w:tcPr>
          <w:p w14:paraId="27A37233" w14:textId="77777777" w:rsidR="00882210" w:rsidRPr="00882210" w:rsidRDefault="00882210" w:rsidP="00AB066F">
            <w:pPr>
              <w:spacing w:line="240" w:lineRule="auto"/>
              <w:jc w:val="center"/>
              <w:rPr>
                <w:color w:val="000000" w:themeColor="text1"/>
                <w:sz w:val="22"/>
              </w:rPr>
            </w:pPr>
          </w:p>
        </w:tc>
        <w:tc>
          <w:tcPr>
            <w:tcW w:w="749" w:type="dxa"/>
            <w:vAlign w:val="center"/>
          </w:tcPr>
          <w:p w14:paraId="4460CE54" w14:textId="77777777" w:rsidR="00882210" w:rsidRPr="00882210" w:rsidRDefault="00882210" w:rsidP="00AB066F">
            <w:pPr>
              <w:spacing w:line="240" w:lineRule="auto"/>
              <w:jc w:val="center"/>
              <w:rPr>
                <w:color w:val="000000" w:themeColor="text1"/>
                <w:sz w:val="22"/>
              </w:rPr>
            </w:pPr>
          </w:p>
        </w:tc>
        <w:tc>
          <w:tcPr>
            <w:tcW w:w="749" w:type="dxa"/>
            <w:vAlign w:val="center"/>
          </w:tcPr>
          <w:p w14:paraId="50D84CC3" w14:textId="77777777" w:rsidR="00882210" w:rsidRPr="00882210" w:rsidRDefault="00882210" w:rsidP="00AB066F">
            <w:pPr>
              <w:spacing w:line="240" w:lineRule="auto"/>
              <w:jc w:val="center"/>
              <w:rPr>
                <w:color w:val="000000" w:themeColor="text1"/>
                <w:sz w:val="22"/>
              </w:rPr>
            </w:pPr>
          </w:p>
        </w:tc>
        <w:tc>
          <w:tcPr>
            <w:tcW w:w="749" w:type="dxa"/>
            <w:vAlign w:val="center"/>
          </w:tcPr>
          <w:p w14:paraId="1505A7B7" w14:textId="77777777" w:rsidR="00882210" w:rsidRPr="00882210" w:rsidRDefault="00882210" w:rsidP="00AB066F">
            <w:pPr>
              <w:spacing w:line="240" w:lineRule="auto"/>
              <w:jc w:val="center"/>
              <w:rPr>
                <w:color w:val="000000" w:themeColor="text1"/>
                <w:sz w:val="22"/>
              </w:rPr>
            </w:pPr>
          </w:p>
        </w:tc>
        <w:tc>
          <w:tcPr>
            <w:tcW w:w="750" w:type="dxa"/>
            <w:vAlign w:val="center"/>
          </w:tcPr>
          <w:p w14:paraId="14FFC6EA" w14:textId="77777777" w:rsidR="00882210" w:rsidRPr="00882210" w:rsidRDefault="00882210" w:rsidP="00AB066F">
            <w:pPr>
              <w:spacing w:line="240" w:lineRule="auto"/>
              <w:jc w:val="center"/>
              <w:rPr>
                <w:color w:val="000000" w:themeColor="text1"/>
                <w:sz w:val="22"/>
              </w:rPr>
            </w:pPr>
          </w:p>
        </w:tc>
        <w:tc>
          <w:tcPr>
            <w:tcW w:w="749" w:type="dxa"/>
            <w:vAlign w:val="center"/>
          </w:tcPr>
          <w:p w14:paraId="337EB1A9" w14:textId="77777777" w:rsidR="00882210" w:rsidRPr="00882210" w:rsidRDefault="00882210" w:rsidP="00AB066F">
            <w:pPr>
              <w:spacing w:line="240" w:lineRule="auto"/>
              <w:jc w:val="center"/>
              <w:rPr>
                <w:color w:val="000000" w:themeColor="text1"/>
                <w:sz w:val="22"/>
              </w:rPr>
            </w:pPr>
          </w:p>
        </w:tc>
        <w:tc>
          <w:tcPr>
            <w:tcW w:w="749" w:type="dxa"/>
            <w:vAlign w:val="center"/>
          </w:tcPr>
          <w:p w14:paraId="1E727225" w14:textId="77777777" w:rsidR="00882210" w:rsidRPr="00882210" w:rsidRDefault="00882210" w:rsidP="00AB066F">
            <w:pPr>
              <w:spacing w:line="240" w:lineRule="auto"/>
              <w:jc w:val="center"/>
              <w:rPr>
                <w:color w:val="000000" w:themeColor="text1"/>
                <w:sz w:val="22"/>
              </w:rPr>
            </w:pPr>
          </w:p>
        </w:tc>
        <w:tc>
          <w:tcPr>
            <w:tcW w:w="750" w:type="dxa"/>
            <w:vAlign w:val="center"/>
          </w:tcPr>
          <w:p w14:paraId="2791AF70" w14:textId="77777777" w:rsidR="00882210" w:rsidRPr="00882210" w:rsidRDefault="00882210" w:rsidP="00AB066F">
            <w:pPr>
              <w:spacing w:line="240" w:lineRule="auto"/>
              <w:jc w:val="center"/>
              <w:rPr>
                <w:color w:val="000000" w:themeColor="text1"/>
                <w:sz w:val="22"/>
              </w:rPr>
            </w:pPr>
          </w:p>
        </w:tc>
      </w:tr>
      <w:tr w:rsidR="00A30BF8" w:rsidRPr="00882210" w14:paraId="0200C024" w14:textId="77777777" w:rsidTr="00C82841">
        <w:trPr>
          <w:trHeight w:val="210"/>
        </w:trPr>
        <w:tc>
          <w:tcPr>
            <w:tcW w:w="491" w:type="dxa"/>
            <w:vAlign w:val="center"/>
          </w:tcPr>
          <w:p w14:paraId="459EC91F" w14:textId="77777777" w:rsidR="00882210" w:rsidRPr="00882210" w:rsidRDefault="00882210" w:rsidP="00AB066F">
            <w:pPr>
              <w:spacing w:line="240" w:lineRule="auto"/>
              <w:jc w:val="center"/>
              <w:rPr>
                <w:color w:val="000000" w:themeColor="text1"/>
                <w:sz w:val="22"/>
              </w:rPr>
            </w:pPr>
            <w:r w:rsidRPr="00882210">
              <w:rPr>
                <w:color w:val="000000" w:themeColor="text1"/>
                <w:sz w:val="22"/>
              </w:rPr>
              <w:t>5.</w:t>
            </w:r>
          </w:p>
        </w:tc>
        <w:tc>
          <w:tcPr>
            <w:tcW w:w="4395" w:type="dxa"/>
            <w:vAlign w:val="center"/>
            <w:hideMark/>
          </w:tcPr>
          <w:p w14:paraId="77968BA8" w14:textId="77777777" w:rsidR="00882210" w:rsidRPr="00882210" w:rsidRDefault="00882210" w:rsidP="00AB066F">
            <w:pPr>
              <w:spacing w:line="240" w:lineRule="auto"/>
              <w:jc w:val="left"/>
              <w:rPr>
                <w:color w:val="000000" w:themeColor="text1"/>
                <w:sz w:val="22"/>
              </w:rPr>
            </w:pPr>
            <w:r w:rsidRPr="00882210">
              <w:rPr>
                <w:color w:val="000000" w:themeColor="text1"/>
                <w:sz w:val="22"/>
              </w:rPr>
              <w:t>deal_car_weighted</w:t>
            </w:r>
          </w:p>
        </w:tc>
        <w:tc>
          <w:tcPr>
            <w:tcW w:w="749" w:type="dxa"/>
            <w:vAlign w:val="center"/>
            <w:hideMark/>
          </w:tcPr>
          <w:p w14:paraId="6578A20B"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.04</w:t>
            </w:r>
          </w:p>
        </w:tc>
        <w:tc>
          <w:tcPr>
            <w:tcW w:w="749" w:type="dxa"/>
            <w:vAlign w:val="center"/>
            <w:hideMark/>
          </w:tcPr>
          <w:p w14:paraId="5FED5D21" w14:textId="77777777" w:rsidR="00882210" w:rsidRPr="00882210" w:rsidRDefault="00882210" w:rsidP="00AB066F">
            <w:pPr>
              <w:spacing w:line="240" w:lineRule="auto"/>
              <w:jc w:val="center"/>
              <w:rPr>
                <w:color w:val="000000" w:themeColor="text1"/>
                <w:sz w:val="22"/>
              </w:rPr>
            </w:pPr>
            <w:r w:rsidRPr="00882210">
              <w:rPr>
                <w:color w:val="000000" w:themeColor="text1"/>
                <w:sz w:val="22"/>
              </w:rPr>
              <w:t>.98</w:t>
            </w:r>
          </w:p>
        </w:tc>
        <w:tc>
          <w:tcPr>
            <w:tcW w:w="749" w:type="dxa"/>
            <w:vAlign w:val="center"/>
            <w:hideMark/>
          </w:tcPr>
          <w:p w14:paraId="301AB2BA" w14:textId="77777777" w:rsidR="00882210" w:rsidRPr="00882210" w:rsidRDefault="00882210" w:rsidP="00AB066F">
            <w:pPr>
              <w:spacing w:line="240" w:lineRule="auto"/>
              <w:jc w:val="center"/>
              <w:rPr>
                <w:color w:val="000000" w:themeColor="text1"/>
                <w:sz w:val="22"/>
              </w:rPr>
            </w:pPr>
            <w:r w:rsidRPr="00882210">
              <w:rPr>
                <w:color w:val="000000" w:themeColor="text1"/>
                <w:sz w:val="22"/>
              </w:rPr>
              <w:t>.95</w:t>
            </w:r>
          </w:p>
        </w:tc>
        <w:tc>
          <w:tcPr>
            <w:tcW w:w="750" w:type="dxa"/>
            <w:vAlign w:val="center"/>
            <w:hideMark/>
          </w:tcPr>
          <w:p w14:paraId="0B474717" w14:textId="77777777" w:rsidR="00882210" w:rsidRPr="00882210" w:rsidRDefault="00882210" w:rsidP="00AB066F">
            <w:pPr>
              <w:spacing w:line="240" w:lineRule="auto"/>
              <w:jc w:val="center"/>
              <w:rPr>
                <w:color w:val="000000" w:themeColor="text1"/>
                <w:sz w:val="22"/>
              </w:rPr>
            </w:pPr>
            <w:r w:rsidRPr="00882210">
              <w:rPr>
                <w:color w:val="000000" w:themeColor="text1"/>
                <w:sz w:val="22"/>
              </w:rPr>
              <w:t>.92</w:t>
            </w:r>
          </w:p>
        </w:tc>
        <w:tc>
          <w:tcPr>
            <w:tcW w:w="749" w:type="dxa"/>
            <w:vAlign w:val="center"/>
            <w:hideMark/>
          </w:tcPr>
          <w:p w14:paraId="487EF5B4"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w:t>
            </w:r>
          </w:p>
        </w:tc>
        <w:tc>
          <w:tcPr>
            <w:tcW w:w="749" w:type="dxa"/>
            <w:vAlign w:val="center"/>
          </w:tcPr>
          <w:p w14:paraId="49A4C4A5" w14:textId="77777777" w:rsidR="00882210" w:rsidRPr="00882210" w:rsidRDefault="00882210" w:rsidP="00AB066F">
            <w:pPr>
              <w:spacing w:line="240" w:lineRule="auto"/>
              <w:jc w:val="center"/>
              <w:rPr>
                <w:color w:val="000000" w:themeColor="text1"/>
                <w:sz w:val="22"/>
              </w:rPr>
            </w:pPr>
          </w:p>
        </w:tc>
        <w:tc>
          <w:tcPr>
            <w:tcW w:w="750" w:type="dxa"/>
            <w:vAlign w:val="center"/>
          </w:tcPr>
          <w:p w14:paraId="5118C801" w14:textId="77777777" w:rsidR="00882210" w:rsidRPr="00882210" w:rsidRDefault="00882210" w:rsidP="00AB066F">
            <w:pPr>
              <w:spacing w:line="240" w:lineRule="auto"/>
              <w:jc w:val="center"/>
              <w:rPr>
                <w:color w:val="000000" w:themeColor="text1"/>
                <w:sz w:val="22"/>
              </w:rPr>
            </w:pPr>
          </w:p>
        </w:tc>
        <w:tc>
          <w:tcPr>
            <w:tcW w:w="749" w:type="dxa"/>
            <w:vAlign w:val="center"/>
          </w:tcPr>
          <w:p w14:paraId="3EBDB4F1" w14:textId="77777777" w:rsidR="00882210" w:rsidRPr="00882210" w:rsidRDefault="00882210" w:rsidP="00AB066F">
            <w:pPr>
              <w:spacing w:line="240" w:lineRule="auto"/>
              <w:jc w:val="center"/>
              <w:rPr>
                <w:color w:val="000000" w:themeColor="text1"/>
                <w:sz w:val="22"/>
              </w:rPr>
            </w:pPr>
          </w:p>
        </w:tc>
        <w:tc>
          <w:tcPr>
            <w:tcW w:w="749" w:type="dxa"/>
            <w:vAlign w:val="center"/>
          </w:tcPr>
          <w:p w14:paraId="0ED34E95" w14:textId="77777777" w:rsidR="00882210" w:rsidRPr="00882210" w:rsidRDefault="00882210" w:rsidP="00AB066F">
            <w:pPr>
              <w:spacing w:line="240" w:lineRule="auto"/>
              <w:jc w:val="center"/>
              <w:rPr>
                <w:color w:val="000000" w:themeColor="text1"/>
                <w:sz w:val="22"/>
              </w:rPr>
            </w:pPr>
          </w:p>
        </w:tc>
        <w:tc>
          <w:tcPr>
            <w:tcW w:w="749" w:type="dxa"/>
            <w:vAlign w:val="center"/>
          </w:tcPr>
          <w:p w14:paraId="5B7A531D" w14:textId="77777777" w:rsidR="00882210" w:rsidRPr="00882210" w:rsidRDefault="00882210" w:rsidP="00AB066F">
            <w:pPr>
              <w:spacing w:line="240" w:lineRule="auto"/>
              <w:jc w:val="center"/>
              <w:rPr>
                <w:color w:val="000000" w:themeColor="text1"/>
                <w:sz w:val="22"/>
              </w:rPr>
            </w:pPr>
          </w:p>
        </w:tc>
        <w:tc>
          <w:tcPr>
            <w:tcW w:w="750" w:type="dxa"/>
            <w:vAlign w:val="center"/>
          </w:tcPr>
          <w:p w14:paraId="7ED36715" w14:textId="77777777" w:rsidR="00882210" w:rsidRPr="00882210" w:rsidRDefault="00882210" w:rsidP="00AB066F">
            <w:pPr>
              <w:spacing w:line="240" w:lineRule="auto"/>
              <w:jc w:val="center"/>
              <w:rPr>
                <w:color w:val="000000" w:themeColor="text1"/>
                <w:sz w:val="22"/>
              </w:rPr>
            </w:pPr>
          </w:p>
        </w:tc>
        <w:tc>
          <w:tcPr>
            <w:tcW w:w="749" w:type="dxa"/>
            <w:vAlign w:val="center"/>
          </w:tcPr>
          <w:p w14:paraId="0F2691E2" w14:textId="77777777" w:rsidR="00882210" w:rsidRPr="00882210" w:rsidRDefault="00882210" w:rsidP="00AB066F">
            <w:pPr>
              <w:spacing w:line="240" w:lineRule="auto"/>
              <w:jc w:val="center"/>
              <w:rPr>
                <w:color w:val="000000" w:themeColor="text1"/>
                <w:sz w:val="22"/>
              </w:rPr>
            </w:pPr>
          </w:p>
        </w:tc>
        <w:tc>
          <w:tcPr>
            <w:tcW w:w="749" w:type="dxa"/>
            <w:vAlign w:val="center"/>
          </w:tcPr>
          <w:p w14:paraId="55B74B50" w14:textId="77777777" w:rsidR="00882210" w:rsidRPr="00882210" w:rsidRDefault="00882210" w:rsidP="00AB066F">
            <w:pPr>
              <w:spacing w:line="240" w:lineRule="auto"/>
              <w:jc w:val="center"/>
              <w:rPr>
                <w:color w:val="000000" w:themeColor="text1"/>
                <w:sz w:val="22"/>
              </w:rPr>
            </w:pPr>
          </w:p>
        </w:tc>
        <w:tc>
          <w:tcPr>
            <w:tcW w:w="750" w:type="dxa"/>
            <w:vAlign w:val="center"/>
          </w:tcPr>
          <w:p w14:paraId="73D12F73" w14:textId="77777777" w:rsidR="00882210" w:rsidRPr="00882210" w:rsidRDefault="00882210" w:rsidP="00AB066F">
            <w:pPr>
              <w:spacing w:line="240" w:lineRule="auto"/>
              <w:jc w:val="center"/>
              <w:rPr>
                <w:color w:val="000000" w:themeColor="text1"/>
                <w:sz w:val="22"/>
              </w:rPr>
            </w:pPr>
          </w:p>
        </w:tc>
      </w:tr>
      <w:tr w:rsidR="00A30BF8" w:rsidRPr="00882210" w14:paraId="0288CFC0" w14:textId="77777777" w:rsidTr="00C82841">
        <w:trPr>
          <w:trHeight w:val="210"/>
        </w:trPr>
        <w:tc>
          <w:tcPr>
            <w:tcW w:w="491" w:type="dxa"/>
            <w:vAlign w:val="center"/>
          </w:tcPr>
          <w:p w14:paraId="71D7C9A4" w14:textId="77777777" w:rsidR="00882210" w:rsidRPr="00882210" w:rsidRDefault="00882210" w:rsidP="00AB066F">
            <w:pPr>
              <w:spacing w:line="240" w:lineRule="auto"/>
              <w:jc w:val="center"/>
              <w:rPr>
                <w:color w:val="000000" w:themeColor="text1"/>
                <w:sz w:val="22"/>
              </w:rPr>
            </w:pPr>
            <w:r w:rsidRPr="00882210">
              <w:rPr>
                <w:color w:val="000000" w:themeColor="text1"/>
                <w:sz w:val="22"/>
              </w:rPr>
              <w:t>6.</w:t>
            </w:r>
          </w:p>
        </w:tc>
        <w:tc>
          <w:tcPr>
            <w:tcW w:w="4395" w:type="dxa"/>
            <w:vAlign w:val="center"/>
            <w:hideMark/>
          </w:tcPr>
          <w:p w14:paraId="7E5F8AFE" w14:textId="77777777" w:rsidR="00882210" w:rsidRPr="00882210" w:rsidRDefault="00882210" w:rsidP="00AB066F">
            <w:pPr>
              <w:spacing w:line="240" w:lineRule="auto"/>
              <w:jc w:val="left"/>
              <w:rPr>
                <w:color w:val="000000" w:themeColor="text1"/>
                <w:sz w:val="22"/>
              </w:rPr>
            </w:pPr>
            <w:r w:rsidRPr="00882210">
              <w:rPr>
                <w:color w:val="000000" w:themeColor="text1"/>
                <w:sz w:val="22"/>
              </w:rPr>
              <w:t>acq_sales_2yr_growth</w:t>
            </w:r>
          </w:p>
        </w:tc>
        <w:tc>
          <w:tcPr>
            <w:tcW w:w="749" w:type="dxa"/>
            <w:vAlign w:val="center"/>
            <w:hideMark/>
          </w:tcPr>
          <w:p w14:paraId="32643121"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-.17</w:t>
            </w:r>
          </w:p>
        </w:tc>
        <w:tc>
          <w:tcPr>
            <w:tcW w:w="749" w:type="dxa"/>
            <w:vAlign w:val="center"/>
            <w:hideMark/>
          </w:tcPr>
          <w:p w14:paraId="48BD8665"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-.11</w:t>
            </w:r>
          </w:p>
        </w:tc>
        <w:tc>
          <w:tcPr>
            <w:tcW w:w="749" w:type="dxa"/>
            <w:vAlign w:val="center"/>
            <w:hideMark/>
          </w:tcPr>
          <w:p w14:paraId="29D9AE81"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-.09</w:t>
            </w:r>
          </w:p>
        </w:tc>
        <w:tc>
          <w:tcPr>
            <w:tcW w:w="750" w:type="dxa"/>
            <w:vAlign w:val="center"/>
            <w:hideMark/>
          </w:tcPr>
          <w:p w14:paraId="1F084E3A"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-.09</w:t>
            </w:r>
          </w:p>
        </w:tc>
        <w:tc>
          <w:tcPr>
            <w:tcW w:w="749" w:type="dxa"/>
            <w:vAlign w:val="center"/>
            <w:hideMark/>
          </w:tcPr>
          <w:p w14:paraId="1CADC5DD"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-.10</w:t>
            </w:r>
          </w:p>
        </w:tc>
        <w:tc>
          <w:tcPr>
            <w:tcW w:w="749" w:type="dxa"/>
            <w:vAlign w:val="center"/>
            <w:hideMark/>
          </w:tcPr>
          <w:p w14:paraId="518C6B01"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w:t>
            </w:r>
          </w:p>
        </w:tc>
        <w:tc>
          <w:tcPr>
            <w:tcW w:w="750" w:type="dxa"/>
            <w:vAlign w:val="center"/>
          </w:tcPr>
          <w:p w14:paraId="12F1D64A" w14:textId="77777777" w:rsidR="00882210" w:rsidRPr="00882210" w:rsidRDefault="00882210" w:rsidP="00AB066F">
            <w:pPr>
              <w:spacing w:line="240" w:lineRule="auto"/>
              <w:jc w:val="center"/>
              <w:rPr>
                <w:color w:val="000000" w:themeColor="text1"/>
                <w:sz w:val="22"/>
              </w:rPr>
            </w:pPr>
          </w:p>
        </w:tc>
        <w:tc>
          <w:tcPr>
            <w:tcW w:w="749" w:type="dxa"/>
            <w:vAlign w:val="center"/>
          </w:tcPr>
          <w:p w14:paraId="62B68EF3" w14:textId="77777777" w:rsidR="00882210" w:rsidRPr="00882210" w:rsidRDefault="00882210" w:rsidP="00AB066F">
            <w:pPr>
              <w:spacing w:line="240" w:lineRule="auto"/>
              <w:jc w:val="center"/>
              <w:rPr>
                <w:color w:val="000000" w:themeColor="text1"/>
                <w:sz w:val="22"/>
              </w:rPr>
            </w:pPr>
          </w:p>
        </w:tc>
        <w:tc>
          <w:tcPr>
            <w:tcW w:w="749" w:type="dxa"/>
            <w:vAlign w:val="center"/>
          </w:tcPr>
          <w:p w14:paraId="1096F7B7" w14:textId="77777777" w:rsidR="00882210" w:rsidRPr="00882210" w:rsidRDefault="00882210" w:rsidP="00AB066F">
            <w:pPr>
              <w:spacing w:line="240" w:lineRule="auto"/>
              <w:jc w:val="center"/>
              <w:rPr>
                <w:color w:val="000000" w:themeColor="text1"/>
                <w:sz w:val="22"/>
              </w:rPr>
            </w:pPr>
          </w:p>
        </w:tc>
        <w:tc>
          <w:tcPr>
            <w:tcW w:w="749" w:type="dxa"/>
            <w:vAlign w:val="center"/>
          </w:tcPr>
          <w:p w14:paraId="0AA9EF7D" w14:textId="77777777" w:rsidR="00882210" w:rsidRPr="00882210" w:rsidRDefault="00882210" w:rsidP="00AB066F">
            <w:pPr>
              <w:spacing w:line="240" w:lineRule="auto"/>
              <w:jc w:val="center"/>
              <w:rPr>
                <w:color w:val="000000" w:themeColor="text1"/>
                <w:sz w:val="22"/>
              </w:rPr>
            </w:pPr>
          </w:p>
        </w:tc>
        <w:tc>
          <w:tcPr>
            <w:tcW w:w="750" w:type="dxa"/>
            <w:vAlign w:val="center"/>
          </w:tcPr>
          <w:p w14:paraId="3455573E" w14:textId="77777777" w:rsidR="00882210" w:rsidRPr="00882210" w:rsidRDefault="00882210" w:rsidP="00AB066F">
            <w:pPr>
              <w:spacing w:line="240" w:lineRule="auto"/>
              <w:jc w:val="center"/>
              <w:rPr>
                <w:color w:val="000000" w:themeColor="text1"/>
                <w:sz w:val="22"/>
              </w:rPr>
            </w:pPr>
          </w:p>
        </w:tc>
        <w:tc>
          <w:tcPr>
            <w:tcW w:w="749" w:type="dxa"/>
            <w:vAlign w:val="center"/>
          </w:tcPr>
          <w:p w14:paraId="4900AE47" w14:textId="77777777" w:rsidR="00882210" w:rsidRPr="00882210" w:rsidRDefault="00882210" w:rsidP="00AB066F">
            <w:pPr>
              <w:spacing w:line="240" w:lineRule="auto"/>
              <w:jc w:val="center"/>
              <w:rPr>
                <w:color w:val="000000" w:themeColor="text1"/>
                <w:sz w:val="22"/>
              </w:rPr>
            </w:pPr>
          </w:p>
        </w:tc>
        <w:tc>
          <w:tcPr>
            <w:tcW w:w="749" w:type="dxa"/>
            <w:vAlign w:val="center"/>
          </w:tcPr>
          <w:p w14:paraId="3A2AC1F2" w14:textId="77777777" w:rsidR="00882210" w:rsidRPr="00882210" w:rsidRDefault="00882210" w:rsidP="00AB066F">
            <w:pPr>
              <w:spacing w:line="240" w:lineRule="auto"/>
              <w:jc w:val="center"/>
              <w:rPr>
                <w:color w:val="000000" w:themeColor="text1"/>
                <w:sz w:val="22"/>
              </w:rPr>
            </w:pPr>
          </w:p>
        </w:tc>
        <w:tc>
          <w:tcPr>
            <w:tcW w:w="750" w:type="dxa"/>
            <w:vAlign w:val="center"/>
          </w:tcPr>
          <w:p w14:paraId="155F26D3" w14:textId="77777777" w:rsidR="00882210" w:rsidRPr="00882210" w:rsidRDefault="00882210" w:rsidP="00AB066F">
            <w:pPr>
              <w:spacing w:line="240" w:lineRule="auto"/>
              <w:jc w:val="center"/>
              <w:rPr>
                <w:color w:val="000000" w:themeColor="text1"/>
                <w:sz w:val="22"/>
              </w:rPr>
            </w:pPr>
          </w:p>
        </w:tc>
      </w:tr>
      <w:tr w:rsidR="00A30BF8" w:rsidRPr="00882210" w14:paraId="6763F145" w14:textId="77777777" w:rsidTr="00C82841">
        <w:trPr>
          <w:trHeight w:val="210"/>
        </w:trPr>
        <w:tc>
          <w:tcPr>
            <w:tcW w:w="491" w:type="dxa"/>
            <w:vAlign w:val="center"/>
          </w:tcPr>
          <w:p w14:paraId="5596B06C" w14:textId="77777777" w:rsidR="00882210" w:rsidRPr="00882210" w:rsidRDefault="00882210" w:rsidP="00AB066F">
            <w:pPr>
              <w:spacing w:line="240" w:lineRule="auto"/>
              <w:jc w:val="center"/>
              <w:rPr>
                <w:color w:val="000000" w:themeColor="text1"/>
                <w:sz w:val="22"/>
              </w:rPr>
            </w:pPr>
            <w:r w:rsidRPr="00882210">
              <w:rPr>
                <w:color w:val="000000" w:themeColor="text1"/>
                <w:sz w:val="22"/>
              </w:rPr>
              <w:t>7.</w:t>
            </w:r>
          </w:p>
        </w:tc>
        <w:tc>
          <w:tcPr>
            <w:tcW w:w="4395" w:type="dxa"/>
            <w:vAlign w:val="center"/>
            <w:hideMark/>
          </w:tcPr>
          <w:p w14:paraId="10FAF781" w14:textId="77777777" w:rsidR="00882210" w:rsidRPr="00882210" w:rsidRDefault="00882210" w:rsidP="00AB066F">
            <w:pPr>
              <w:spacing w:line="240" w:lineRule="auto"/>
              <w:jc w:val="left"/>
              <w:rPr>
                <w:color w:val="000000" w:themeColor="text1"/>
                <w:sz w:val="22"/>
              </w:rPr>
            </w:pPr>
            <w:r w:rsidRPr="00882210">
              <w:rPr>
                <w:color w:val="000000" w:themeColor="text1"/>
                <w:sz w:val="22"/>
              </w:rPr>
              <w:t>acq_sales_4yr_growth</w:t>
            </w:r>
          </w:p>
        </w:tc>
        <w:tc>
          <w:tcPr>
            <w:tcW w:w="749" w:type="dxa"/>
            <w:vAlign w:val="center"/>
            <w:hideMark/>
          </w:tcPr>
          <w:p w14:paraId="06F5D94C" w14:textId="77777777" w:rsidR="00882210" w:rsidRPr="00882210" w:rsidRDefault="00882210" w:rsidP="00AB066F">
            <w:pPr>
              <w:spacing w:line="240" w:lineRule="auto"/>
              <w:jc w:val="center"/>
              <w:rPr>
                <w:color w:val="000000" w:themeColor="text1"/>
                <w:sz w:val="22"/>
              </w:rPr>
            </w:pPr>
            <w:r w:rsidRPr="00882210">
              <w:rPr>
                <w:color w:val="000000" w:themeColor="text1"/>
                <w:sz w:val="22"/>
              </w:rPr>
              <w:t>-.21</w:t>
            </w:r>
          </w:p>
        </w:tc>
        <w:tc>
          <w:tcPr>
            <w:tcW w:w="749" w:type="dxa"/>
            <w:vAlign w:val="center"/>
            <w:hideMark/>
          </w:tcPr>
          <w:p w14:paraId="209DEC63"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-.14</w:t>
            </w:r>
          </w:p>
        </w:tc>
        <w:tc>
          <w:tcPr>
            <w:tcW w:w="749" w:type="dxa"/>
            <w:vAlign w:val="center"/>
            <w:hideMark/>
          </w:tcPr>
          <w:p w14:paraId="65825925"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-.13</w:t>
            </w:r>
          </w:p>
        </w:tc>
        <w:tc>
          <w:tcPr>
            <w:tcW w:w="750" w:type="dxa"/>
            <w:vAlign w:val="center"/>
            <w:hideMark/>
          </w:tcPr>
          <w:p w14:paraId="54A2CFB5"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-.12</w:t>
            </w:r>
          </w:p>
        </w:tc>
        <w:tc>
          <w:tcPr>
            <w:tcW w:w="749" w:type="dxa"/>
            <w:vAlign w:val="center"/>
            <w:hideMark/>
          </w:tcPr>
          <w:p w14:paraId="050748D8"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-.12</w:t>
            </w:r>
          </w:p>
        </w:tc>
        <w:tc>
          <w:tcPr>
            <w:tcW w:w="749" w:type="dxa"/>
            <w:vAlign w:val="center"/>
            <w:hideMark/>
          </w:tcPr>
          <w:p w14:paraId="03824424" w14:textId="77777777" w:rsidR="00882210" w:rsidRPr="00882210" w:rsidRDefault="00882210" w:rsidP="00AB066F">
            <w:pPr>
              <w:spacing w:line="240" w:lineRule="auto"/>
              <w:jc w:val="center"/>
              <w:rPr>
                <w:color w:val="000000" w:themeColor="text1"/>
                <w:sz w:val="22"/>
              </w:rPr>
            </w:pPr>
            <w:r w:rsidRPr="00882210">
              <w:rPr>
                <w:color w:val="000000" w:themeColor="text1"/>
                <w:sz w:val="22"/>
              </w:rPr>
              <w:t>.89</w:t>
            </w:r>
          </w:p>
        </w:tc>
        <w:tc>
          <w:tcPr>
            <w:tcW w:w="750" w:type="dxa"/>
            <w:vAlign w:val="center"/>
            <w:hideMark/>
          </w:tcPr>
          <w:p w14:paraId="377CB900"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w:t>
            </w:r>
          </w:p>
        </w:tc>
        <w:tc>
          <w:tcPr>
            <w:tcW w:w="749" w:type="dxa"/>
            <w:vAlign w:val="center"/>
          </w:tcPr>
          <w:p w14:paraId="46D1F703" w14:textId="77777777" w:rsidR="00882210" w:rsidRPr="00882210" w:rsidRDefault="00882210" w:rsidP="00AB066F">
            <w:pPr>
              <w:spacing w:line="240" w:lineRule="auto"/>
              <w:jc w:val="center"/>
              <w:rPr>
                <w:color w:val="000000" w:themeColor="text1"/>
                <w:sz w:val="22"/>
              </w:rPr>
            </w:pPr>
          </w:p>
        </w:tc>
        <w:tc>
          <w:tcPr>
            <w:tcW w:w="749" w:type="dxa"/>
            <w:vAlign w:val="center"/>
          </w:tcPr>
          <w:p w14:paraId="7FFE08E6" w14:textId="77777777" w:rsidR="00882210" w:rsidRPr="00882210" w:rsidRDefault="00882210" w:rsidP="00AB066F">
            <w:pPr>
              <w:spacing w:line="240" w:lineRule="auto"/>
              <w:jc w:val="center"/>
              <w:rPr>
                <w:color w:val="000000" w:themeColor="text1"/>
                <w:sz w:val="22"/>
              </w:rPr>
            </w:pPr>
          </w:p>
        </w:tc>
        <w:tc>
          <w:tcPr>
            <w:tcW w:w="749" w:type="dxa"/>
            <w:vAlign w:val="center"/>
          </w:tcPr>
          <w:p w14:paraId="4FA86573" w14:textId="77777777" w:rsidR="00882210" w:rsidRPr="00882210" w:rsidRDefault="00882210" w:rsidP="00AB066F">
            <w:pPr>
              <w:spacing w:line="240" w:lineRule="auto"/>
              <w:jc w:val="center"/>
              <w:rPr>
                <w:color w:val="000000" w:themeColor="text1"/>
                <w:sz w:val="22"/>
              </w:rPr>
            </w:pPr>
          </w:p>
        </w:tc>
        <w:tc>
          <w:tcPr>
            <w:tcW w:w="750" w:type="dxa"/>
            <w:vAlign w:val="center"/>
          </w:tcPr>
          <w:p w14:paraId="0A48DD66" w14:textId="77777777" w:rsidR="00882210" w:rsidRPr="00882210" w:rsidRDefault="00882210" w:rsidP="00AB066F">
            <w:pPr>
              <w:spacing w:line="240" w:lineRule="auto"/>
              <w:jc w:val="center"/>
              <w:rPr>
                <w:color w:val="000000" w:themeColor="text1"/>
                <w:sz w:val="22"/>
              </w:rPr>
            </w:pPr>
          </w:p>
        </w:tc>
        <w:tc>
          <w:tcPr>
            <w:tcW w:w="749" w:type="dxa"/>
            <w:vAlign w:val="center"/>
          </w:tcPr>
          <w:p w14:paraId="286245C2" w14:textId="77777777" w:rsidR="00882210" w:rsidRPr="00882210" w:rsidRDefault="00882210" w:rsidP="00AB066F">
            <w:pPr>
              <w:spacing w:line="240" w:lineRule="auto"/>
              <w:jc w:val="center"/>
              <w:rPr>
                <w:color w:val="000000" w:themeColor="text1"/>
                <w:sz w:val="22"/>
              </w:rPr>
            </w:pPr>
          </w:p>
        </w:tc>
        <w:tc>
          <w:tcPr>
            <w:tcW w:w="749" w:type="dxa"/>
            <w:vAlign w:val="center"/>
          </w:tcPr>
          <w:p w14:paraId="5D1AE3B0" w14:textId="77777777" w:rsidR="00882210" w:rsidRPr="00882210" w:rsidRDefault="00882210" w:rsidP="00AB066F">
            <w:pPr>
              <w:spacing w:line="240" w:lineRule="auto"/>
              <w:jc w:val="center"/>
              <w:rPr>
                <w:color w:val="000000" w:themeColor="text1"/>
                <w:sz w:val="22"/>
              </w:rPr>
            </w:pPr>
          </w:p>
        </w:tc>
        <w:tc>
          <w:tcPr>
            <w:tcW w:w="750" w:type="dxa"/>
            <w:vAlign w:val="center"/>
          </w:tcPr>
          <w:p w14:paraId="6B9DCA53" w14:textId="77777777" w:rsidR="00882210" w:rsidRPr="00882210" w:rsidRDefault="00882210" w:rsidP="00AB066F">
            <w:pPr>
              <w:spacing w:line="240" w:lineRule="auto"/>
              <w:jc w:val="center"/>
              <w:rPr>
                <w:color w:val="000000" w:themeColor="text1"/>
                <w:sz w:val="22"/>
              </w:rPr>
            </w:pPr>
          </w:p>
        </w:tc>
      </w:tr>
      <w:tr w:rsidR="00A30BF8" w:rsidRPr="00882210" w14:paraId="4DC54C18" w14:textId="77777777" w:rsidTr="00C82841">
        <w:trPr>
          <w:trHeight w:val="210"/>
        </w:trPr>
        <w:tc>
          <w:tcPr>
            <w:tcW w:w="491" w:type="dxa"/>
            <w:vAlign w:val="center"/>
          </w:tcPr>
          <w:p w14:paraId="002BCBFF" w14:textId="77777777" w:rsidR="00882210" w:rsidRPr="00882210" w:rsidRDefault="00882210" w:rsidP="00AB066F">
            <w:pPr>
              <w:spacing w:line="240" w:lineRule="auto"/>
              <w:jc w:val="center"/>
              <w:rPr>
                <w:color w:val="000000" w:themeColor="text1"/>
                <w:sz w:val="22"/>
              </w:rPr>
            </w:pPr>
            <w:r w:rsidRPr="00882210">
              <w:rPr>
                <w:color w:val="000000" w:themeColor="text1"/>
                <w:sz w:val="22"/>
              </w:rPr>
              <w:t>8.</w:t>
            </w:r>
          </w:p>
        </w:tc>
        <w:tc>
          <w:tcPr>
            <w:tcW w:w="4395" w:type="dxa"/>
            <w:vAlign w:val="center"/>
            <w:hideMark/>
          </w:tcPr>
          <w:p w14:paraId="2B3DA6A4" w14:textId="77777777" w:rsidR="00882210" w:rsidRPr="00882210" w:rsidRDefault="00882210" w:rsidP="00AB066F">
            <w:pPr>
              <w:spacing w:line="240" w:lineRule="auto"/>
              <w:jc w:val="left"/>
              <w:rPr>
                <w:color w:val="000000" w:themeColor="text1"/>
                <w:sz w:val="22"/>
              </w:rPr>
            </w:pPr>
            <w:r w:rsidRPr="00882210">
              <w:rPr>
                <w:color w:val="000000" w:themeColor="text1"/>
                <w:sz w:val="22"/>
              </w:rPr>
              <w:t>deal_premium_1day</w:t>
            </w:r>
          </w:p>
        </w:tc>
        <w:tc>
          <w:tcPr>
            <w:tcW w:w="749" w:type="dxa"/>
            <w:vAlign w:val="center"/>
            <w:hideMark/>
          </w:tcPr>
          <w:p w14:paraId="772EB379"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.14</w:t>
            </w:r>
          </w:p>
        </w:tc>
        <w:tc>
          <w:tcPr>
            <w:tcW w:w="749" w:type="dxa"/>
            <w:vAlign w:val="center"/>
            <w:hideMark/>
          </w:tcPr>
          <w:p w14:paraId="55A825A3"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-.07</w:t>
            </w:r>
          </w:p>
        </w:tc>
        <w:tc>
          <w:tcPr>
            <w:tcW w:w="749" w:type="dxa"/>
            <w:vAlign w:val="center"/>
            <w:hideMark/>
          </w:tcPr>
          <w:p w14:paraId="2EB8C1A5"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-.04</w:t>
            </w:r>
          </w:p>
        </w:tc>
        <w:tc>
          <w:tcPr>
            <w:tcW w:w="750" w:type="dxa"/>
            <w:vAlign w:val="center"/>
            <w:hideMark/>
          </w:tcPr>
          <w:p w14:paraId="00E9B235"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-.002</w:t>
            </w:r>
          </w:p>
        </w:tc>
        <w:tc>
          <w:tcPr>
            <w:tcW w:w="749" w:type="dxa"/>
            <w:vAlign w:val="center"/>
            <w:hideMark/>
          </w:tcPr>
          <w:p w14:paraId="206657E0"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-.08</w:t>
            </w:r>
          </w:p>
        </w:tc>
        <w:tc>
          <w:tcPr>
            <w:tcW w:w="749" w:type="dxa"/>
            <w:vAlign w:val="center"/>
            <w:hideMark/>
          </w:tcPr>
          <w:p w14:paraId="1145DDD5"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-.08</w:t>
            </w:r>
          </w:p>
        </w:tc>
        <w:tc>
          <w:tcPr>
            <w:tcW w:w="750" w:type="dxa"/>
            <w:vAlign w:val="center"/>
            <w:hideMark/>
          </w:tcPr>
          <w:p w14:paraId="405BEEDC"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-.09</w:t>
            </w:r>
          </w:p>
        </w:tc>
        <w:tc>
          <w:tcPr>
            <w:tcW w:w="749" w:type="dxa"/>
            <w:vAlign w:val="center"/>
            <w:hideMark/>
          </w:tcPr>
          <w:p w14:paraId="21E75224"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w:t>
            </w:r>
          </w:p>
        </w:tc>
        <w:tc>
          <w:tcPr>
            <w:tcW w:w="749" w:type="dxa"/>
            <w:vAlign w:val="center"/>
          </w:tcPr>
          <w:p w14:paraId="4246F390" w14:textId="77777777" w:rsidR="00882210" w:rsidRPr="00882210" w:rsidRDefault="00882210" w:rsidP="00AB066F">
            <w:pPr>
              <w:spacing w:line="240" w:lineRule="auto"/>
              <w:jc w:val="center"/>
              <w:rPr>
                <w:color w:val="000000" w:themeColor="text1"/>
                <w:sz w:val="22"/>
              </w:rPr>
            </w:pPr>
          </w:p>
        </w:tc>
        <w:tc>
          <w:tcPr>
            <w:tcW w:w="749" w:type="dxa"/>
            <w:vAlign w:val="center"/>
          </w:tcPr>
          <w:p w14:paraId="36FAB5E7" w14:textId="77777777" w:rsidR="00882210" w:rsidRPr="00882210" w:rsidRDefault="00882210" w:rsidP="00AB066F">
            <w:pPr>
              <w:spacing w:line="240" w:lineRule="auto"/>
              <w:jc w:val="center"/>
              <w:rPr>
                <w:color w:val="000000" w:themeColor="text1"/>
                <w:sz w:val="22"/>
              </w:rPr>
            </w:pPr>
          </w:p>
        </w:tc>
        <w:tc>
          <w:tcPr>
            <w:tcW w:w="750" w:type="dxa"/>
            <w:vAlign w:val="center"/>
          </w:tcPr>
          <w:p w14:paraId="4B21298C" w14:textId="77777777" w:rsidR="00882210" w:rsidRPr="00882210" w:rsidRDefault="00882210" w:rsidP="00AB066F">
            <w:pPr>
              <w:spacing w:line="240" w:lineRule="auto"/>
              <w:jc w:val="center"/>
              <w:rPr>
                <w:color w:val="000000" w:themeColor="text1"/>
                <w:sz w:val="22"/>
              </w:rPr>
            </w:pPr>
          </w:p>
        </w:tc>
        <w:tc>
          <w:tcPr>
            <w:tcW w:w="749" w:type="dxa"/>
            <w:vAlign w:val="center"/>
          </w:tcPr>
          <w:p w14:paraId="5243B667" w14:textId="77777777" w:rsidR="00882210" w:rsidRPr="00882210" w:rsidRDefault="00882210" w:rsidP="00AB066F">
            <w:pPr>
              <w:spacing w:line="240" w:lineRule="auto"/>
              <w:jc w:val="center"/>
              <w:rPr>
                <w:color w:val="000000" w:themeColor="text1"/>
                <w:sz w:val="22"/>
              </w:rPr>
            </w:pPr>
          </w:p>
        </w:tc>
        <w:tc>
          <w:tcPr>
            <w:tcW w:w="749" w:type="dxa"/>
            <w:vAlign w:val="center"/>
          </w:tcPr>
          <w:p w14:paraId="0AB95F65" w14:textId="77777777" w:rsidR="00882210" w:rsidRPr="00882210" w:rsidRDefault="00882210" w:rsidP="00AB066F">
            <w:pPr>
              <w:spacing w:line="240" w:lineRule="auto"/>
              <w:jc w:val="center"/>
              <w:rPr>
                <w:color w:val="000000" w:themeColor="text1"/>
                <w:sz w:val="22"/>
              </w:rPr>
            </w:pPr>
          </w:p>
        </w:tc>
        <w:tc>
          <w:tcPr>
            <w:tcW w:w="750" w:type="dxa"/>
            <w:vAlign w:val="center"/>
          </w:tcPr>
          <w:p w14:paraId="048D4E3B" w14:textId="77777777" w:rsidR="00882210" w:rsidRPr="00882210" w:rsidRDefault="00882210" w:rsidP="00AB066F">
            <w:pPr>
              <w:spacing w:line="240" w:lineRule="auto"/>
              <w:jc w:val="center"/>
              <w:rPr>
                <w:color w:val="000000" w:themeColor="text1"/>
                <w:sz w:val="22"/>
              </w:rPr>
            </w:pPr>
          </w:p>
        </w:tc>
      </w:tr>
      <w:tr w:rsidR="00A30BF8" w:rsidRPr="00882210" w14:paraId="2239AA40" w14:textId="77777777" w:rsidTr="00C82841">
        <w:trPr>
          <w:trHeight w:val="210"/>
        </w:trPr>
        <w:tc>
          <w:tcPr>
            <w:tcW w:w="491" w:type="dxa"/>
            <w:vAlign w:val="center"/>
          </w:tcPr>
          <w:p w14:paraId="2505087E" w14:textId="77777777" w:rsidR="00882210" w:rsidRPr="00882210" w:rsidRDefault="00882210" w:rsidP="00AB066F">
            <w:pPr>
              <w:spacing w:line="240" w:lineRule="auto"/>
              <w:jc w:val="center"/>
              <w:rPr>
                <w:color w:val="000000" w:themeColor="text1"/>
                <w:sz w:val="22"/>
              </w:rPr>
            </w:pPr>
            <w:r w:rsidRPr="00882210">
              <w:rPr>
                <w:color w:val="000000" w:themeColor="text1"/>
                <w:sz w:val="22"/>
              </w:rPr>
              <w:t>9.</w:t>
            </w:r>
          </w:p>
        </w:tc>
        <w:tc>
          <w:tcPr>
            <w:tcW w:w="4395" w:type="dxa"/>
            <w:vAlign w:val="center"/>
            <w:hideMark/>
          </w:tcPr>
          <w:p w14:paraId="4D238019" w14:textId="77777777" w:rsidR="00882210" w:rsidRPr="00882210" w:rsidRDefault="00882210" w:rsidP="00AB066F">
            <w:pPr>
              <w:spacing w:line="240" w:lineRule="auto"/>
              <w:jc w:val="left"/>
              <w:rPr>
                <w:color w:val="000000" w:themeColor="text1"/>
                <w:sz w:val="22"/>
              </w:rPr>
            </w:pPr>
            <w:r w:rsidRPr="00882210">
              <w:rPr>
                <w:color w:val="000000" w:themeColor="text1"/>
                <w:sz w:val="22"/>
              </w:rPr>
              <w:t>deal_premium_1week</w:t>
            </w:r>
          </w:p>
        </w:tc>
        <w:tc>
          <w:tcPr>
            <w:tcW w:w="749" w:type="dxa"/>
            <w:vAlign w:val="center"/>
            <w:hideMark/>
          </w:tcPr>
          <w:p w14:paraId="65F60D01"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.15</w:t>
            </w:r>
          </w:p>
        </w:tc>
        <w:tc>
          <w:tcPr>
            <w:tcW w:w="749" w:type="dxa"/>
            <w:vAlign w:val="center"/>
            <w:hideMark/>
          </w:tcPr>
          <w:p w14:paraId="2B5DDBF8"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-.09</w:t>
            </w:r>
          </w:p>
        </w:tc>
        <w:tc>
          <w:tcPr>
            <w:tcW w:w="749" w:type="dxa"/>
            <w:vAlign w:val="center"/>
            <w:hideMark/>
          </w:tcPr>
          <w:p w14:paraId="4ACC958E"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-.05</w:t>
            </w:r>
          </w:p>
        </w:tc>
        <w:tc>
          <w:tcPr>
            <w:tcW w:w="750" w:type="dxa"/>
            <w:vAlign w:val="center"/>
            <w:hideMark/>
          </w:tcPr>
          <w:p w14:paraId="259247F9"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-.01</w:t>
            </w:r>
          </w:p>
        </w:tc>
        <w:tc>
          <w:tcPr>
            <w:tcW w:w="749" w:type="dxa"/>
            <w:vAlign w:val="center"/>
            <w:hideMark/>
          </w:tcPr>
          <w:p w14:paraId="77DFD7B2"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-.11</w:t>
            </w:r>
          </w:p>
        </w:tc>
        <w:tc>
          <w:tcPr>
            <w:tcW w:w="749" w:type="dxa"/>
            <w:vAlign w:val="center"/>
            <w:hideMark/>
          </w:tcPr>
          <w:p w14:paraId="6162C95D"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-.03</w:t>
            </w:r>
          </w:p>
        </w:tc>
        <w:tc>
          <w:tcPr>
            <w:tcW w:w="750" w:type="dxa"/>
            <w:vAlign w:val="center"/>
            <w:hideMark/>
          </w:tcPr>
          <w:p w14:paraId="25D3DED0"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-.03</w:t>
            </w:r>
          </w:p>
        </w:tc>
        <w:tc>
          <w:tcPr>
            <w:tcW w:w="749" w:type="dxa"/>
            <w:vAlign w:val="center"/>
            <w:hideMark/>
          </w:tcPr>
          <w:p w14:paraId="4C1785DD" w14:textId="77777777" w:rsidR="00882210" w:rsidRPr="00882210" w:rsidRDefault="00882210" w:rsidP="00AB066F">
            <w:pPr>
              <w:spacing w:line="240" w:lineRule="auto"/>
              <w:jc w:val="center"/>
              <w:rPr>
                <w:color w:val="000000" w:themeColor="text1"/>
                <w:sz w:val="22"/>
              </w:rPr>
            </w:pPr>
            <w:r w:rsidRPr="00882210">
              <w:rPr>
                <w:color w:val="000000" w:themeColor="text1"/>
                <w:sz w:val="22"/>
              </w:rPr>
              <w:t>.97</w:t>
            </w:r>
          </w:p>
        </w:tc>
        <w:tc>
          <w:tcPr>
            <w:tcW w:w="749" w:type="dxa"/>
            <w:vAlign w:val="center"/>
            <w:hideMark/>
          </w:tcPr>
          <w:p w14:paraId="3D7740E2"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w:t>
            </w:r>
          </w:p>
        </w:tc>
        <w:tc>
          <w:tcPr>
            <w:tcW w:w="749" w:type="dxa"/>
            <w:vAlign w:val="center"/>
          </w:tcPr>
          <w:p w14:paraId="2300F086" w14:textId="77777777" w:rsidR="00882210" w:rsidRPr="00882210" w:rsidRDefault="00882210" w:rsidP="00AB066F">
            <w:pPr>
              <w:spacing w:line="240" w:lineRule="auto"/>
              <w:jc w:val="center"/>
              <w:rPr>
                <w:color w:val="000000" w:themeColor="text1"/>
                <w:sz w:val="22"/>
              </w:rPr>
            </w:pPr>
          </w:p>
        </w:tc>
        <w:tc>
          <w:tcPr>
            <w:tcW w:w="750" w:type="dxa"/>
            <w:vAlign w:val="center"/>
          </w:tcPr>
          <w:p w14:paraId="76181706" w14:textId="77777777" w:rsidR="00882210" w:rsidRPr="00882210" w:rsidRDefault="00882210" w:rsidP="00AB066F">
            <w:pPr>
              <w:spacing w:line="240" w:lineRule="auto"/>
              <w:jc w:val="center"/>
              <w:rPr>
                <w:color w:val="000000" w:themeColor="text1"/>
                <w:sz w:val="22"/>
              </w:rPr>
            </w:pPr>
          </w:p>
        </w:tc>
        <w:tc>
          <w:tcPr>
            <w:tcW w:w="749" w:type="dxa"/>
            <w:vAlign w:val="center"/>
          </w:tcPr>
          <w:p w14:paraId="153832EC" w14:textId="77777777" w:rsidR="00882210" w:rsidRPr="00882210" w:rsidRDefault="00882210" w:rsidP="00AB066F">
            <w:pPr>
              <w:spacing w:line="240" w:lineRule="auto"/>
              <w:jc w:val="center"/>
              <w:rPr>
                <w:color w:val="000000" w:themeColor="text1"/>
                <w:sz w:val="22"/>
              </w:rPr>
            </w:pPr>
          </w:p>
        </w:tc>
        <w:tc>
          <w:tcPr>
            <w:tcW w:w="749" w:type="dxa"/>
            <w:vAlign w:val="center"/>
          </w:tcPr>
          <w:p w14:paraId="28065763" w14:textId="77777777" w:rsidR="00882210" w:rsidRPr="00882210" w:rsidRDefault="00882210" w:rsidP="00AB066F">
            <w:pPr>
              <w:spacing w:line="240" w:lineRule="auto"/>
              <w:jc w:val="center"/>
              <w:rPr>
                <w:color w:val="000000" w:themeColor="text1"/>
                <w:sz w:val="22"/>
              </w:rPr>
            </w:pPr>
          </w:p>
        </w:tc>
        <w:tc>
          <w:tcPr>
            <w:tcW w:w="750" w:type="dxa"/>
            <w:vAlign w:val="center"/>
          </w:tcPr>
          <w:p w14:paraId="165327AA" w14:textId="77777777" w:rsidR="00882210" w:rsidRPr="00882210" w:rsidRDefault="00882210" w:rsidP="00AB066F">
            <w:pPr>
              <w:spacing w:line="240" w:lineRule="auto"/>
              <w:jc w:val="center"/>
              <w:rPr>
                <w:color w:val="000000" w:themeColor="text1"/>
                <w:sz w:val="22"/>
              </w:rPr>
            </w:pPr>
          </w:p>
        </w:tc>
      </w:tr>
      <w:tr w:rsidR="00A30BF8" w:rsidRPr="00882210" w14:paraId="67371543" w14:textId="77777777" w:rsidTr="00C82841">
        <w:trPr>
          <w:trHeight w:val="210"/>
        </w:trPr>
        <w:tc>
          <w:tcPr>
            <w:tcW w:w="491" w:type="dxa"/>
            <w:vAlign w:val="center"/>
          </w:tcPr>
          <w:p w14:paraId="1945236F"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10.</w:t>
            </w:r>
          </w:p>
        </w:tc>
        <w:tc>
          <w:tcPr>
            <w:tcW w:w="4395" w:type="dxa"/>
            <w:vAlign w:val="center"/>
            <w:hideMark/>
          </w:tcPr>
          <w:p w14:paraId="0C6D060F" w14:textId="77777777" w:rsidR="00882210" w:rsidRPr="00882210" w:rsidRDefault="00882210" w:rsidP="00AB066F">
            <w:pPr>
              <w:spacing w:line="240" w:lineRule="auto"/>
              <w:jc w:val="left"/>
              <w:rPr>
                <w:color w:val="000000" w:themeColor="text1"/>
                <w:sz w:val="22"/>
              </w:rPr>
            </w:pPr>
            <w:r w:rsidRPr="00882210">
              <w:rPr>
                <w:color w:val="000000" w:themeColor="text1"/>
                <w:sz w:val="22"/>
              </w:rPr>
              <w:t>deal_premium_1month</w:t>
            </w:r>
          </w:p>
        </w:tc>
        <w:tc>
          <w:tcPr>
            <w:tcW w:w="749" w:type="dxa"/>
            <w:vAlign w:val="center"/>
            <w:hideMark/>
          </w:tcPr>
          <w:p w14:paraId="4D8E31C9"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.17</w:t>
            </w:r>
          </w:p>
        </w:tc>
        <w:tc>
          <w:tcPr>
            <w:tcW w:w="749" w:type="dxa"/>
            <w:vAlign w:val="center"/>
            <w:hideMark/>
          </w:tcPr>
          <w:p w14:paraId="6318B8AB"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-.06</w:t>
            </w:r>
          </w:p>
        </w:tc>
        <w:tc>
          <w:tcPr>
            <w:tcW w:w="749" w:type="dxa"/>
            <w:vAlign w:val="center"/>
            <w:hideMark/>
          </w:tcPr>
          <w:p w14:paraId="4671715B"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-.03</w:t>
            </w:r>
          </w:p>
        </w:tc>
        <w:tc>
          <w:tcPr>
            <w:tcW w:w="750" w:type="dxa"/>
            <w:vAlign w:val="center"/>
            <w:hideMark/>
          </w:tcPr>
          <w:p w14:paraId="091685DB"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-.01</w:t>
            </w:r>
          </w:p>
        </w:tc>
        <w:tc>
          <w:tcPr>
            <w:tcW w:w="749" w:type="dxa"/>
            <w:vAlign w:val="center"/>
            <w:hideMark/>
          </w:tcPr>
          <w:p w14:paraId="4019D536"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-.08</w:t>
            </w:r>
          </w:p>
        </w:tc>
        <w:tc>
          <w:tcPr>
            <w:tcW w:w="749" w:type="dxa"/>
            <w:vAlign w:val="center"/>
            <w:hideMark/>
          </w:tcPr>
          <w:p w14:paraId="3A154A5D"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-.11</w:t>
            </w:r>
          </w:p>
        </w:tc>
        <w:tc>
          <w:tcPr>
            <w:tcW w:w="750" w:type="dxa"/>
            <w:vAlign w:val="center"/>
            <w:hideMark/>
          </w:tcPr>
          <w:p w14:paraId="5DD2B224"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-.15</w:t>
            </w:r>
          </w:p>
        </w:tc>
        <w:tc>
          <w:tcPr>
            <w:tcW w:w="749" w:type="dxa"/>
            <w:vAlign w:val="center"/>
            <w:hideMark/>
          </w:tcPr>
          <w:p w14:paraId="7708FF8B" w14:textId="77777777" w:rsidR="00882210" w:rsidRPr="00882210" w:rsidRDefault="00882210" w:rsidP="00AB066F">
            <w:pPr>
              <w:spacing w:line="240" w:lineRule="auto"/>
              <w:jc w:val="center"/>
              <w:rPr>
                <w:color w:val="000000" w:themeColor="text1"/>
                <w:sz w:val="22"/>
              </w:rPr>
            </w:pPr>
            <w:r w:rsidRPr="00882210">
              <w:rPr>
                <w:color w:val="000000" w:themeColor="text1"/>
                <w:sz w:val="22"/>
              </w:rPr>
              <w:t>.85</w:t>
            </w:r>
          </w:p>
        </w:tc>
        <w:tc>
          <w:tcPr>
            <w:tcW w:w="749" w:type="dxa"/>
            <w:vAlign w:val="center"/>
            <w:hideMark/>
          </w:tcPr>
          <w:p w14:paraId="2F4069FD" w14:textId="77777777" w:rsidR="00882210" w:rsidRPr="00882210" w:rsidRDefault="00882210" w:rsidP="00AB066F">
            <w:pPr>
              <w:spacing w:line="240" w:lineRule="auto"/>
              <w:jc w:val="center"/>
              <w:rPr>
                <w:color w:val="000000" w:themeColor="text1"/>
                <w:sz w:val="22"/>
              </w:rPr>
            </w:pPr>
            <w:r w:rsidRPr="00882210">
              <w:rPr>
                <w:color w:val="000000" w:themeColor="text1"/>
                <w:sz w:val="22"/>
              </w:rPr>
              <w:t>.87</w:t>
            </w:r>
          </w:p>
        </w:tc>
        <w:tc>
          <w:tcPr>
            <w:tcW w:w="749" w:type="dxa"/>
            <w:vAlign w:val="center"/>
            <w:hideMark/>
          </w:tcPr>
          <w:p w14:paraId="552ED75D"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w:t>
            </w:r>
          </w:p>
        </w:tc>
        <w:tc>
          <w:tcPr>
            <w:tcW w:w="750" w:type="dxa"/>
            <w:vAlign w:val="center"/>
          </w:tcPr>
          <w:p w14:paraId="0108FD6E" w14:textId="77777777" w:rsidR="00882210" w:rsidRPr="00882210" w:rsidRDefault="00882210" w:rsidP="00AB066F">
            <w:pPr>
              <w:spacing w:line="240" w:lineRule="auto"/>
              <w:jc w:val="center"/>
              <w:rPr>
                <w:color w:val="000000" w:themeColor="text1"/>
                <w:sz w:val="22"/>
              </w:rPr>
            </w:pPr>
          </w:p>
        </w:tc>
        <w:tc>
          <w:tcPr>
            <w:tcW w:w="749" w:type="dxa"/>
            <w:vAlign w:val="center"/>
          </w:tcPr>
          <w:p w14:paraId="50EF14FD" w14:textId="77777777" w:rsidR="00882210" w:rsidRPr="00882210" w:rsidRDefault="00882210" w:rsidP="00AB066F">
            <w:pPr>
              <w:spacing w:line="240" w:lineRule="auto"/>
              <w:jc w:val="center"/>
              <w:rPr>
                <w:color w:val="000000" w:themeColor="text1"/>
                <w:sz w:val="22"/>
              </w:rPr>
            </w:pPr>
          </w:p>
        </w:tc>
        <w:tc>
          <w:tcPr>
            <w:tcW w:w="749" w:type="dxa"/>
            <w:vAlign w:val="center"/>
          </w:tcPr>
          <w:p w14:paraId="7F05184E" w14:textId="77777777" w:rsidR="00882210" w:rsidRPr="00882210" w:rsidRDefault="00882210" w:rsidP="00AB066F">
            <w:pPr>
              <w:spacing w:line="240" w:lineRule="auto"/>
              <w:jc w:val="center"/>
              <w:rPr>
                <w:color w:val="000000" w:themeColor="text1"/>
                <w:sz w:val="22"/>
              </w:rPr>
            </w:pPr>
          </w:p>
        </w:tc>
        <w:tc>
          <w:tcPr>
            <w:tcW w:w="750" w:type="dxa"/>
            <w:vAlign w:val="center"/>
          </w:tcPr>
          <w:p w14:paraId="0182714F" w14:textId="77777777" w:rsidR="00882210" w:rsidRPr="00882210" w:rsidRDefault="00882210" w:rsidP="00AB066F">
            <w:pPr>
              <w:spacing w:line="240" w:lineRule="auto"/>
              <w:jc w:val="center"/>
              <w:rPr>
                <w:color w:val="000000" w:themeColor="text1"/>
                <w:sz w:val="22"/>
              </w:rPr>
            </w:pPr>
          </w:p>
        </w:tc>
      </w:tr>
      <w:tr w:rsidR="00A30BF8" w:rsidRPr="00882210" w14:paraId="7E12A462" w14:textId="77777777" w:rsidTr="00C82841">
        <w:trPr>
          <w:trHeight w:val="210"/>
        </w:trPr>
        <w:tc>
          <w:tcPr>
            <w:tcW w:w="491" w:type="dxa"/>
            <w:vAlign w:val="center"/>
          </w:tcPr>
          <w:p w14:paraId="47378D1F"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11.</w:t>
            </w:r>
          </w:p>
        </w:tc>
        <w:tc>
          <w:tcPr>
            <w:tcW w:w="4395" w:type="dxa"/>
            <w:vAlign w:val="center"/>
            <w:hideMark/>
          </w:tcPr>
          <w:p w14:paraId="392DB9AD" w14:textId="77777777" w:rsidR="00882210" w:rsidRPr="00882210" w:rsidRDefault="00882210" w:rsidP="00AB066F">
            <w:pPr>
              <w:spacing w:line="240" w:lineRule="auto"/>
              <w:jc w:val="left"/>
              <w:rPr>
                <w:color w:val="000000" w:themeColor="text1"/>
                <w:sz w:val="22"/>
              </w:rPr>
            </w:pPr>
            <w:r w:rsidRPr="00882210">
              <w:rPr>
                <w:color w:val="000000" w:themeColor="text1"/>
                <w:sz w:val="22"/>
              </w:rPr>
              <w:t>acq_2yr_patent_growth</w:t>
            </w:r>
          </w:p>
        </w:tc>
        <w:tc>
          <w:tcPr>
            <w:tcW w:w="749" w:type="dxa"/>
            <w:vAlign w:val="center"/>
            <w:hideMark/>
          </w:tcPr>
          <w:p w14:paraId="2A38EC67"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.04</w:t>
            </w:r>
          </w:p>
        </w:tc>
        <w:tc>
          <w:tcPr>
            <w:tcW w:w="749" w:type="dxa"/>
            <w:vAlign w:val="center"/>
            <w:hideMark/>
          </w:tcPr>
          <w:p w14:paraId="64D1FAFD"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-.01</w:t>
            </w:r>
          </w:p>
        </w:tc>
        <w:tc>
          <w:tcPr>
            <w:tcW w:w="749" w:type="dxa"/>
            <w:vAlign w:val="center"/>
            <w:hideMark/>
          </w:tcPr>
          <w:p w14:paraId="6696B85D"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-.03</w:t>
            </w:r>
          </w:p>
        </w:tc>
        <w:tc>
          <w:tcPr>
            <w:tcW w:w="750" w:type="dxa"/>
            <w:vAlign w:val="center"/>
            <w:hideMark/>
          </w:tcPr>
          <w:p w14:paraId="3F2BBCAC"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-.03</w:t>
            </w:r>
          </w:p>
        </w:tc>
        <w:tc>
          <w:tcPr>
            <w:tcW w:w="749" w:type="dxa"/>
            <w:vAlign w:val="center"/>
            <w:hideMark/>
          </w:tcPr>
          <w:p w14:paraId="0BF1FA1D"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-.01</w:t>
            </w:r>
          </w:p>
        </w:tc>
        <w:tc>
          <w:tcPr>
            <w:tcW w:w="749" w:type="dxa"/>
            <w:vAlign w:val="center"/>
            <w:hideMark/>
          </w:tcPr>
          <w:p w14:paraId="5D14E607"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.01</w:t>
            </w:r>
          </w:p>
        </w:tc>
        <w:tc>
          <w:tcPr>
            <w:tcW w:w="750" w:type="dxa"/>
            <w:vAlign w:val="center"/>
            <w:hideMark/>
          </w:tcPr>
          <w:p w14:paraId="05C97CED"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.06</w:t>
            </w:r>
          </w:p>
        </w:tc>
        <w:tc>
          <w:tcPr>
            <w:tcW w:w="749" w:type="dxa"/>
            <w:vAlign w:val="center"/>
            <w:hideMark/>
          </w:tcPr>
          <w:p w14:paraId="1DCA5688"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.04</w:t>
            </w:r>
          </w:p>
        </w:tc>
        <w:tc>
          <w:tcPr>
            <w:tcW w:w="749" w:type="dxa"/>
            <w:vAlign w:val="center"/>
            <w:hideMark/>
          </w:tcPr>
          <w:p w14:paraId="76666F5A"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.09</w:t>
            </w:r>
          </w:p>
        </w:tc>
        <w:tc>
          <w:tcPr>
            <w:tcW w:w="749" w:type="dxa"/>
            <w:vAlign w:val="center"/>
            <w:hideMark/>
          </w:tcPr>
          <w:p w14:paraId="52CAC8A1"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.08</w:t>
            </w:r>
          </w:p>
        </w:tc>
        <w:tc>
          <w:tcPr>
            <w:tcW w:w="750" w:type="dxa"/>
            <w:vAlign w:val="center"/>
            <w:hideMark/>
          </w:tcPr>
          <w:p w14:paraId="487FA8EC"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w:t>
            </w:r>
          </w:p>
        </w:tc>
        <w:tc>
          <w:tcPr>
            <w:tcW w:w="749" w:type="dxa"/>
            <w:vAlign w:val="center"/>
          </w:tcPr>
          <w:p w14:paraId="648036CE" w14:textId="77777777" w:rsidR="00882210" w:rsidRPr="00882210" w:rsidRDefault="00882210" w:rsidP="00AB066F">
            <w:pPr>
              <w:spacing w:line="240" w:lineRule="auto"/>
              <w:jc w:val="center"/>
              <w:rPr>
                <w:color w:val="000000" w:themeColor="text1"/>
                <w:sz w:val="22"/>
              </w:rPr>
            </w:pPr>
          </w:p>
        </w:tc>
        <w:tc>
          <w:tcPr>
            <w:tcW w:w="749" w:type="dxa"/>
            <w:vAlign w:val="center"/>
          </w:tcPr>
          <w:p w14:paraId="25C36B35" w14:textId="77777777" w:rsidR="00882210" w:rsidRPr="00882210" w:rsidRDefault="00882210" w:rsidP="00AB066F">
            <w:pPr>
              <w:spacing w:line="240" w:lineRule="auto"/>
              <w:jc w:val="center"/>
              <w:rPr>
                <w:color w:val="000000" w:themeColor="text1"/>
                <w:sz w:val="22"/>
              </w:rPr>
            </w:pPr>
          </w:p>
        </w:tc>
        <w:tc>
          <w:tcPr>
            <w:tcW w:w="750" w:type="dxa"/>
            <w:vAlign w:val="center"/>
          </w:tcPr>
          <w:p w14:paraId="54F49915" w14:textId="77777777" w:rsidR="00882210" w:rsidRPr="00882210" w:rsidRDefault="00882210" w:rsidP="00AB066F">
            <w:pPr>
              <w:spacing w:line="240" w:lineRule="auto"/>
              <w:jc w:val="center"/>
              <w:rPr>
                <w:color w:val="000000" w:themeColor="text1"/>
                <w:sz w:val="22"/>
              </w:rPr>
            </w:pPr>
          </w:p>
        </w:tc>
      </w:tr>
      <w:tr w:rsidR="00A30BF8" w:rsidRPr="00882210" w14:paraId="1CA709BB" w14:textId="77777777" w:rsidTr="00C82841">
        <w:trPr>
          <w:trHeight w:val="210"/>
        </w:trPr>
        <w:tc>
          <w:tcPr>
            <w:tcW w:w="491" w:type="dxa"/>
            <w:vAlign w:val="center"/>
          </w:tcPr>
          <w:p w14:paraId="2C3950B1"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12.</w:t>
            </w:r>
          </w:p>
        </w:tc>
        <w:tc>
          <w:tcPr>
            <w:tcW w:w="4395" w:type="dxa"/>
            <w:vAlign w:val="center"/>
            <w:hideMark/>
          </w:tcPr>
          <w:p w14:paraId="2DD97157" w14:textId="77777777" w:rsidR="00882210" w:rsidRPr="00882210" w:rsidRDefault="00882210" w:rsidP="00AB066F">
            <w:pPr>
              <w:spacing w:line="240" w:lineRule="auto"/>
              <w:jc w:val="left"/>
              <w:rPr>
                <w:color w:val="000000" w:themeColor="text1"/>
                <w:sz w:val="22"/>
              </w:rPr>
            </w:pPr>
            <w:r w:rsidRPr="00882210">
              <w:rPr>
                <w:color w:val="000000" w:themeColor="text1"/>
                <w:sz w:val="22"/>
              </w:rPr>
              <w:t>acq_2yr_npd_growth</w:t>
            </w:r>
          </w:p>
        </w:tc>
        <w:tc>
          <w:tcPr>
            <w:tcW w:w="749" w:type="dxa"/>
            <w:vAlign w:val="center"/>
            <w:hideMark/>
          </w:tcPr>
          <w:p w14:paraId="09DDE4AF"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.06</w:t>
            </w:r>
          </w:p>
        </w:tc>
        <w:tc>
          <w:tcPr>
            <w:tcW w:w="749" w:type="dxa"/>
            <w:vAlign w:val="center"/>
            <w:hideMark/>
          </w:tcPr>
          <w:p w14:paraId="209ACB64"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-.11</w:t>
            </w:r>
          </w:p>
        </w:tc>
        <w:tc>
          <w:tcPr>
            <w:tcW w:w="749" w:type="dxa"/>
            <w:vAlign w:val="center"/>
            <w:hideMark/>
          </w:tcPr>
          <w:p w14:paraId="6D798F8C"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-.06</w:t>
            </w:r>
          </w:p>
        </w:tc>
        <w:tc>
          <w:tcPr>
            <w:tcW w:w="750" w:type="dxa"/>
            <w:vAlign w:val="center"/>
            <w:hideMark/>
          </w:tcPr>
          <w:p w14:paraId="6B84CDFD"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-.05</w:t>
            </w:r>
          </w:p>
        </w:tc>
        <w:tc>
          <w:tcPr>
            <w:tcW w:w="749" w:type="dxa"/>
            <w:vAlign w:val="center"/>
            <w:hideMark/>
          </w:tcPr>
          <w:p w14:paraId="60DF64E9"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-.10</w:t>
            </w:r>
          </w:p>
        </w:tc>
        <w:tc>
          <w:tcPr>
            <w:tcW w:w="749" w:type="dxa"/>
            <w:vAlign w:val="center"/>
            <w:hideMark/>
          </w:tcPr>
          <w:p w14:paraId="752F1E2D"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.04</w:t>
            </w:r>
          </w:p>
        </w:tc>
        <w:tc>
          <w:tcPr>
            <w:tcW w:w="750" w:type="dxa"/>
            <w:vAlign w:val="center"/>
            <w:hideMark/>
          </w:tcPr>
          <w:p w14:paraId="2BA594E4"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.02</w:t>
            </w:r>
          </w:p>
        </w:tc>
        <w:tc>
          <w:tcPr>
            <w:tcW w:w="749" w:type="dxa"/>
            <w:vAlign w:val="center"/>
            <w:hideMark/>
          </w:tcPr>
          <w:p w14:paraId="0A4DC214"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-.12</w:t>
            </w:r>
          </w:p>
        </w:tc>
        <w:tc>
          <w:tcPr>
            <w:tcW w:w="749" w:type="dxa"/>
            <w:vAlign w:val="center"/>
            <w:hideMark/>
          </w:tcPr>
          <w:p w14:paraId="641B252C"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-.11</w:t>
            </w:r>
          </w:p>
        </w:tc>
        <w:tc>
          <w:tcPr>
            <w:tcW w:w="749" w:type="dxa"/>
            <w:vAlign w:val="center"/>
            <w:hideMark/>
          </w:tcPr>
          <w:p w14:paraId="006DF3C3"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-.11</w:t>
            </w:r>
          </w:p>
        </w:tc>
        <w:tc>
          <w:tcPr>
            <w:tcW w:w="750" w:type="dxa"/>
            <w:vAlign w:val="center"/>
            <w:hideMark/>
          </w:tcPr>
          <w:p w14:paraId="152D2D19"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-.08</w:t>
            </w:r>
          </w:p>
        </w:tc>
        <w:tc>
          <w:tcPr>
            <w:tcW w:w="749" w:type="dxa"/>
            <w:vAlign w:val="center"/>
            <w:hideMark/>
          </w:tcPr>
          <w:p w14:paraId="0127E6D6"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w:t>
            </w:r>
          </w:p>
        </w:tc>
        <w:tc>
          <w:tcPr>
            <w:tcW w:w="749" w:type="dxa"/>
            <w:vAlign w:val="center"/>
          </w:tcPr>
          <w:p w14:paraId="72CF5B0C" w14:textId="77777777" w:rsidR="00882210" w:rsidRPr="00882210" w:rsidRDefault="00882210" w:rsidP="00AB066F">
            <w:pPr>
              <w:spacing w:line="240" w:lineRule="auto"/>
              <w:jc w:val="center"/>
              <w:rPr>
                <w:color w:val="000000" w:themeColor="text1"/>
                <w:sz w:val="22"/>
              </w:rPr>
            </w:pPr>
          </w:p>
        </w:tc>
        <w:tc>
          <w:tcPr>
            <w:tcW w:w="750" w:type="dxa"/>
            <w:vAlign w:val="center"/>
          </w:tcPr>
          <w:p w14:paraId="17E4BF81" w14:textId="77777777" w:rsidR="00882210" w:rsidRPr="00882210" w:rsidRDefault="00882210" w:rsidP="00AB066F">
            <w:pPr>
              <w:spacing w:line="240" w:lineRule="auto"/>
              <w:jc w:val="center"/>
              <w:rPr>
                <w:color w:val="000000" w:themeColor="text1"/>
                <w:sz w:val="22"/>
              </w:rPr>
            </w:pPr>
          </w:p>
        </w:tc>
      </w:tr>
      <w:tr w:rsidR="00A30BF8" w:rsidRPr="00882210" w14:paraId="41608591" w14:textId="77777777" w:rsidTr="00C82841">
        <w:trPr>
          <w:trHeight w:val="210"/>
        </w:trPr>
        <w:tc>
          <w:tcPr>
            <w:tcW w:w="491" w:type="dxa"/>
            <w:vAlign w:val="center"/>
          </w:tcPr>
          <w:p w14:paraId="4F2D0E5E"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13.</w:t>
            </w:r>
          </w:p>
        </w:tc>
        <w:tc>
          <w:tcPr>
            <w:tcW w:w="4395" w:type="dxa"/>
            <w:vAlign w:val="center"/>
            <w:hideMark/>
          </w:tcPr>
          <w:p w14:paraId="0E8D1846" w14:textId="77777777" w:rsidR="00882210" w:rsidRPr="00882210" w:rsidRDefault="00882210" w:rsidP="00AB066F">
            <w:pPr>
              <w:spacing w:line="240" w:lineRule="auto"/>
              <w:jc w:val="left"/>
              <w:rPr>
                <w:color w:val="000000" w:themeColor="text1"/>
                <w:sz w:val="22"/>
              </w:rPr>
            </w:pPr>
            <w:r w:rsidRPr="00882210">
              <w:rPr>
                <w:color w:val="000000" w:themeColor="text1"/>
                <w:sz w:val="22"/>
              </w:rPr>
              <w:t>deal_value_ln</w:t>
            </w:r>
          </w:p>
        </w:tc>
        <w:tc>
          <w:tcPr>
            <w:tcW w:w="749" w:type="dxa"/>
            <w:vAlign w:val="center"/>
            <w:hideMark/>
          </w:tcPr>
          <w:p w14:paraId="55E8ED07"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-.19</w:t>
            </w:r>
          </w:p>
        </w:tc>
        <w:tc>
          <w:tcPr>
            <w:tcW w:w="749" w:type="dxa"/>
            <w:vAlign w:val="center"/>
            <w:hideMark/>
          </w:tcPr>
          <w:p w14:paraId="63D9F6D7"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.08</w:t>
            </w:r>
          </w:p>
        </w:tc>
        <w:tc>
          <w:tcPr>
            <w:tcW w:w="749" w:type="dxa"/>
            <w:vAlign w:val="center"/>
            <w:hideMark/>
          </w:tcPr>
          <w:p w14:paraId="3BDF7304"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.07</w:t>
            </w:r>
          </w:p>
        </w:tc>
        <w:tc>
          <w:tcPr>
            <w:tcW w:w="750" w:type="dxa"/>
            <w:vAlign w:val="center"/>
            <w:hideMark/>
          </w:tcPr>
          <w:p w14:paraId="064C434A"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.05</w:t>
            </w:r>
          </w:p>
        </w:tc>
        <w:tc>
          <w:tcPr>
            <w:tcW w:w="749" w:type="dxa"/>
            <w:vAlign w:val="center"/>
            <w:hideMark/>
          </w:tcPr>
          <w:p w14:paraId="36BE1166"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.06</w:t>
            </w:r>
          </w:p>
        </w:tc>
        <w:tc>
          <w:tcPr>
            <w:tcW w:w="749" w:type="dxa"/>
            <w:vAlign w:val="center"/>
            <w:hideMark/>
          </w:tcPr>
          <w:p w14:paraId="34AE53A4"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.11</w:t>
            </w:r>
          </w:p>
        </w:tc>
        <w:tc>
          <w:tcPr>
            <w:tcW w:w="750" w:type="dxa"/>
            <w:vAlign w:val="center"/>
            <w:hideMark/>
          </w:tcPr>
          <w:p w14:paraId="1ECB8F66"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.06</w:t>
            </w:r>
          </w:p>
        </w:tc>
        <w:tc>
          <w:tcPr>
            <w:tcW w:w="749" w:type="dxa"/>
            <w:vAlign w:val="center"/>
            <w:hideMark/>
          </w:tcPr>
          <w:p w14:paraId="02490736"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-.08</w:t>
            </w:r>
          </w:p>
        </w:tc>
        <w:tc>
          <w:tcPr>
            <w:tcW w:w="749" w:type="dxa"/>
            <w:vAlign w:val="center"/>
            <w:hideMark/>
          </w:tcPr>
          <w:p w14:paraId="46A65D36"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-.08</w:t>
            </w:r>
          </w:p>
        </w:tc>
        <w:tc>
          <w:tcPr>
            <w:tcW w:w="749" w:type="dxa"/>
            <w:vAlign w:val="center"/>
            <w:hideMark/>
          </w:tcPr>
          <w:p w14:paraId="7752BC1B"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-.09</w:t>
            </w:r>
          </w:p>
        </w:tc>
        <w:tc>
          <w:tcPr>
            <w:tcW w:w="750" w:type="dxa"/>
            <w:vAlign w:val="center"/>
            <w:hideMark/>
          </w:tcPr>
          <w:p w14:paraId="3C074056"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.06</w:t>
            </w:r>
          </w:p>
        </w:tc>
        <w:tc>
          <w:tcPr>
            <w:tcW w:w="749" w:type="dxa"/>
            <w:vAlign w:val="center"/>
            <w:hideMark/>
          </w:tcPr>
          <w:p w14:paraId="7D3BE5B3"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-.17</w:t>
            </w:r>
          </w:p>
        </w:tc>
        <w:tc>
          <w:tcPr>
            <w:tcW w:w="749" w:type="dxa"/>
            <w:vAlign w:val="center"/>
            <w:hideMark/>
          </w:tcPr>
          <w:p w14:paraId="7DE808A6"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w:t>
            </w:r>
          </w:p>
        </w:tc>
        <w:tc>
          <w:tcPr>
            <w:tcW w:w="750" w:type="dxa"/>
            <w:vAlign w:val="center"/>
          </w:tcPr>
          <w:p w14:paraId="49A0B5A0" w14:textId="77777777" w:rsidR="00882210" w:rsidRPr="00882210" w:rsidRDefault="00882210" w:rsidP="00AB066F">
            <w:pPr>
              <w:spacing w:line="240" w:lineRule="auto"/>
              <w:jc w:val="center"/>
              <w:rPr>
                <w:color w:val="000000" w:themeColor="text1"/>
                <w:sz w:val="22"/>
              </w:rPr>
            </w:pPr>
          </w:p>
        </w:tc>
      </w:tr>
      <w:tr w:rsidR="00A30BF8" w:rsidRPr="00882210" w14:paraId="0F6F62F2" w14:textId="77777777" w:rsidTr="00C82841">
        <w:trPr>
          <w:trHeight w:val="210"/>
        </w:trPr>
        <w:tc>
          <w:tcPr>
            <w:tcW w:w="491" w:type="dxa"/>
            <w:vAlign w:val="center"/>
          </w:tcPr>
          <w:p w14:paraId="2EF0D345"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14.</w:t>
            </w:r>
          </w:p>
        </w:tc>
        <w:tc>
          <w:tcPr>
            <w:tcW w:w="4395" w:type="dxa"/>
            <w:vAlign w:val="center"/>
            <w:hideMark/>
          </w:tcPr>
          <w:p w14:paraId="67E5DA14" w14:textId="77777777" w:rsidR="00882210" w:rsidRPr="00882210" w:rsidRDefault="00882210" w:rsidP="00AB066F">
            <w:pPr>
              <w:spacing w:line="240" w:lineRule="auto"/>
              <w:jc w:val="left"/>
              <w:rPr>
                <w:color w:val="000000" w:themeColor="text1"/>
                <w:sz w:val="22"/>
              </w:rPr>
            </w:pPr>
            <w:r w:rsidRPr="00882210">
              <w:rPr>
                <w:color w:val="000000" w:themeColor="text1"/>
                <w:sz w:val="22"/>
              </w:rPr>
              <w:t>deal_hofstede_distance</w:t>
            </w:r>
          </w:p>
        </w:tc>
        <w:tc>
          <w:tcPr>
            <w:tcW w:w="749" w:type="dxa"/>
            <w:vAlign w:val="center"/>
            <w:hideMark/>
          </w:tcPr>
          <w:p w14:paraId="77EC0D33"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-.02</w:t>
            </w:r>
          </w:p>
        </w:tc>
        <w:tc>
          <w:tcPr>
            <w:tcW w:w="749" w:type="dxa"/>
            <w:vAlign w:val="center"/>
            <w:hideMark/>
          </w:tcPr>
          <w:p w14:paraId="35C358DC"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-.02</w:t>
            </w:r>
          </w:p>
        </w:tc>
        <w:tc>
          <w:tcPr>
            <w:tcW w:w="749" w:type="dxa"/>
            <w:vAlign w:val="center"/>
            <w:hideMark/>
          </w:tcPr>
          <w:p w14:paraId="2234C92A"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.05</w:t>
            </w:r>
          </w:p>
        </w:tc>
        <w:tc>
          <w:tcPr>
            <w:tcW w:w="750" w:type="dxa"/>
            <w:vAlign w:val="center"/>
            <w:hideMark/>
          </w:tcPr>
          <w:p w14:paraId="5E16108B"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.06</w:t>
            </w:r>
          </w:p>
        </w:tc>
        <w:tc>
          <w:tcPr>
            <w:tcW w:w="749" w:type="dxa"/>
            <w:vAlign w:val="center"/>
            <w:hideMark/>
          </w:tcPr>
          <w:p w14:paraId="0F859EDB"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-.03</w:t>
            </w:r>
          </w:p>
        </w:tc>
        <w:tc>
          <w:tcPr>
            <w:tcW w:w="749" w:type="dxa"/>
            <w:vAlign w:val="center"/>
            <w:hideMark/>
          </w:tcPr>
          <w:p w14:paraId="142C02CA"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.004</w:t>
            </w:r>
          </w:p>
        </w:tc>
        <w:tc>
          <w:tcPr>
            <w:tcW w:w="750" w:type="dxa"/>
            <w:vAlign w:val="center"/>
            <w:hideMark/>
          </w:tcPr>
          <w:p w14:paraId="7773C0F1"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-.01</w:t>
            </w:r>
          </w:p>
        </w:tc>
        <w:tc>
          <w:tcPr>
            <w:tcW w:w="749" w:type="dxa"/>
            <w:vAlign w:val="center"/>
            <w:hideMark/>
          </w:tcPr>
          <w:p w14:paraId="2EBDDB48"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.05</w:t>
            </w:r>
          </w:p>
        </w:tc>
        <w:tc>
          <w:tcPr>
            <w:tcW w:w="749" w:type="dxa"/>
            <w:vAlign w:val="center"/>
            <w:hideMark/>
          </w:tcPr>
          <w:p w14:paraId="44922B34"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.04</w:t>
            </w:r>
          </w:p>
        </w:tc>
        <w:tc>
          <w:tcPr>
            <w:tcW w:w="749" w:type="dxa"/>
            <w:vAlign w:val="center"/>
            <w:hideMark/>
          </w:tcPr>
          <w:p w14:paraId="36903FC2"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.04</w:t>
            </w:r>
          </w:p>
        </w:tc>
        <w:tc>
          <w:tcPr>
            <w:tcW w:w="750" w:type="dxa"/>
            <w:vAlign w:val="center"/>
            <w:hideMark/>
          </w:tcPr>
          <w:p w14:paraId="56EAD575"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-.05</w:t>
            </w:r>
          </w:p>
        </w:tc>
        <w:tc>
          <w:tcPr>
            <w:tcW w:w="749" w:type="dxa"/>
            <w:vAlign w:val="center"/>
            <w:hideMark/>
          </w:tcPr>
          <w:p w14:paraId="0A0BDD7F"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-.04</w:t>
            </w:r>
          </w:p>
        </w:tc>
        <w:tc>
          <w:tcPr>
            <w:tcW w:w="749" w:type="dxa"/>
            <w:vAlign w:val="center"/>
            <w:hideMark/>
          </w:tcPr>
          <w:p w14:paraId="043D0B83"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-.01</w:t>
            </w:r>
          </w:p>
        </w:tc>
        <w:tc>
          <w:tcPr>
            <w:tcW w:w="750" w:type="dxa"/>
            <w:vAlign w:val="center"/>
            <w:hideMark/>
          </w:tcPr>
          <w:p w14:paraId="34EF40CF"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w:t>
            </w:r>
          </w:p>
        </w:tc>
      </w:tr>
      <w:tr w:rsidR="00A30BF8" w:rsidRPr="00882210" w14:paraId="02F9FEBF" w14:textId="77777777" w:rsidTr="00C82841">
        <w:trPr>
          <w:trHeight w:val="210"/>
        </w:trPr>
        <w:tc>
          <w:tcPr>
            <w:tcW w:w="491" w:type="dxa"/>
            <w:vAlign w:val="center"/>
          </w:tcPr>
          <w:p w14:paraId="3F3390DE"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15.</w:t>
            </w:r>
          </w:p>
        </w:tc>
        <w:tc>
          <w:tcPr>
            <w:tcW w:w="4395" w:type="dxa"/>
            <w:vAlign w:val="center"/>
            <w:hideMark/>
          </w:tcPr>
          <w:p w14:paraId="38495BE8" w14:textId="77777777" w:rsidR="00882210" w:rsidRPr="00882210" w:rsidRDefault="00882210" w:rsidP="00AB066F">
            <w:pPr>
              <w:spacing w:line="240" w:lineRule="auto"/>
              <w:jc w:val="left"/>
              <w:rPr>
                <w:color w:val="000000" w:themeColor="text1"/>
                <w:sz w:val="22"/>
              </w:rPr>
            </w:pPr>
            <w:r w:rsidRPr="00882210">
              <w:rPr>
                <w:color w:val="000000" w:themeColor="text1"/>
                <w:sz w:val="22"/>
              </w:rPr>
              <w:t>deal_all_cash_dummy</w:t>
            </w:r>
          </w:p>
        </w:tc>
        <w:tc>
          <w:tcPr>
            <w:tcW w:w="749" w:type="dxa"/>
            <w:vAlign w:val="center"/>
            <w:hideMark/>
          </w:tcPr>
          <w:p w14:paraId="7157A327" w14:textId="77777777" w:rsidR="00882210" w:rsidRPr="00882210" w:rsidRDefault="00882210" w:rsidP="00AB066F">
            <w:pPr>
              <w:spacing w:line="240" w:lineRule="auto"/>
              <w:jc w:val="center"/>
              <w:rPr>
                <w:color w:val="000000" w:themeColor="text1"/>
                <w:sz w:val="22"/>
              </w:rPr>
            </w:pPr>
            <w:r w:rsidRPr="00882210">
              <w:rPr>
                <w:color w:val="000000" w:themeColor="text1"/>
                <w:sz w:val="22"/>
              </w:rPr>
              <w:t>.26</w:t>
            </w:r>
          </w:p>
        </w:tc>
        <w:tc>
          <w:tcPr>
            <w:tcW w:w="749" w:type="dxa"/>
            <w:vAlign w:val="center"/>
            <w:hideMark/>
          </w:tcPr>
          <w:p w14:paraId="4A1B0122"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.03</w:t>
            </w:r>
          </w:p>
        </w:tc>
        <w:tc>
          <w:tcPr>
            <w:tcW w:w="749" w:type="dxa"/>
            <w:vAlign w:val="center"/>
            <w:hideMark/>
          </w:tcPr>
          <w:p w14:paraId="090759D6"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.04</w:t>
            </w:r>
          </w:p>
        </w:tc>
        <w:tc>
          <w:tcPr>
            <w:tcW w:w="750" w:type="dxa"/>
            <w:vAlign w:val="center"/>
            <w:hideMark/>
          </w:tcPr>
          <w:p w14:paraId="7A0E0A1B"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.05</w:t>
            </w:r>
          </w:p>
        </w:tc>
        <w:tc>
          <w:tcPr>
            <w:tcW w:w="749" w:type="dxa"/>
            <w:vAlign w:val="center"/>
            <w:hideMark/>
          </w:tcPr>
          <w:p w14:paraId="07A6A3D3"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.04</w:t>
            </w:r>
          </w:p>
        </w:tc>
        <w:tc>
          <w:tcPr>
            <w:tcW w:w="749" w:type="dxa"/>
            <w:vAlign w:val="center"/>
            <w:hideMark/>
          </w:tcPr>
          <w:p w14:paraId="1EE78C6D" w14:textId="77777777" w:rsidR="00882210" w:rsidRPr="00882210" w:rsidRDefault="00882210" w:rsidP="00AB066F">
            <w:pPr>
              <w:spacing w:line="240" w:lineRule="auto"/>
              <w:jc w:val="center"/>
              <w:rPr>
                <w:color w:val="000000" w:themeColor="text1"/>
                <w:sz w:val="22"/>
              </w:rPr>
            </w:pPr>
            <w:r w:rsidRPr="00882210">
              <w:rPr>
                <w:color w:val="000000" w:themeColor="text1"/>
                <w:sz w:val="22"/>
              </w:rPr>
              <w:t>-.25</w:t>
            </w:r>
          </w:p>
        </w:tc>
        <w:tc>
          <w:tcPr>
            <w:tcW w:w="750" w:type="dxa"/>
            <w:vAlign w:val="center"/>
            <w:hideMark/>
          </w:tcPr>
          <w:p w14:paraId="340302F9" w14:textId="77777777" w:rsidR="00882210" w:rsidRPr="00882210" w:rsidRDefault="00882210" w:rsidP="00AB066F">
            <w:pPr>
              <w:spacing w:line="240" w:lineRule="auto"/>
              <w:jc w:val="center"/>
              <w:rPr>
                <w:color w:val="000000" w:themeColor="text1"/>
                <w:sz w:val="22"/>
              </w:rPr>
            </w:pPr>
            <w:r w:rsidRPr="00882210">
              <w:rPr>
                <w:color w:val="000000" w:themeColor="text1"/>
                <w:sz w:val="22"/>
              </w:rPr>
              <w:t>-.20</w:t>
            </w:r>
          </w:p>
        </w:tc>
        <w:tc>
          <w:tcPr>
            <w:tcW w:w="749" w:type="dxa"/>
            <w:vAlign w:val="center"/>
            <w:hideMark/>
          </w:tcPr>
          <w:p w14:paraId="7295C7F8" w14:textId="77777777" w:rsidR="00882210" w:rsidRPr="00882210" w:rsidRDefault="00882210" w:rsidP="00AB066F">
            <w:pPr>
              <w:spacing w:line="240" w:lineRule="auto"/>
              <w:jc w:val="center"/>
              <w:rPr>
                <w:color w:val="000000" w:themeColor="text1"/>
                <w:sz w:val="22"/>
              </w:rPr>
            </w:pPr>
            <w:r w:rsidRPr="00882210">
              <w:rPr>
                <w:color w:val="000000" w:themeColor="text1"/>
                <w:sz w:val="22"/>
              </w:rPr>
              <w:t>.28</w:t>
            </w:r>
          </w:p>
        </w:tc>
        <w:tc>
          <w:tcPr>
            <w:tcW w:w="749" w:type="dxa"/>
            <w:vAlign w:val="center"/>
            <w:hideMark/>
          </w:tcPr>
          <w:p w14:paraId="77257A2A" w14:textId="77777777" w:rsidR="00882210" w:rsidRPr="00882210" w:rsidRDefault="00882210" w:rsidP="00AB066F">
            <w:pPr>
              <w:spacing w:line="240" w:lineRule="auto"/>
              <w:jc w:val="center"/>
              <w:rPr>
                <w:color w:val="000000" w:themeColor="text1"/>
                <w:sz w:val="22"/>
              </w:rPr>
            </w:pPr>
            <w:r w:rsidRPr="00882210">
              <w:rPr>
                <w:color w:val="000000" w:themeColor="text1"/>
                <w:sz w:val="22"/>
              </w:rPr>
              <w:t>.30</w:t>
            </w:r>
          </w:p>
        </w:tc>
        <w:tc>
          <w:tcPr>
            <w:tcW w:w="749" w:type="dxa"/>
            <w:vAlign w:val="center"/>
            <w:hideMark/>
          </w:tcPr>
          <w:p w14:paraId="73CC8DDF" w14:textId="77777777" w:rsidR="00882210" w:rsidRPr="00882210" w:rsidRDefault="00882210" w:rsidP="00AB066F">
            <w:pPr>
              <w:spacing w:line="240" w:lineRule="auto"/>
              <w:jc w:val="center"/>
              <w:rPr>
                <w:color w:val="000000" w:themeColor="text1"/>
                <w:sz w:val="22"/>
              </w:rPr>
            </w:pPr>
            <w:r w:rsidRPr="00882210">
              <w:rPr>
                <w:color w:val="000000" w:themeColor="text1"/>
                <w:sz w:val="22"/>
              </w:rPr>
              <w:t>.30</w:t>
            </w:r>
          </w:p>
        </w:tc>
        <w:tc>
          <w:tcPr>
            <w:tcW w:w="750" w:type="dxa"/>
            <w:vAlign w:val="center"/>
            <w:hideMark/>
          </w:tcPr>
          <w:p w14:paraId="096BA484"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.12</w:t>
            </w:r>
          </w:p>
        </w:tc>
        <w:tc>
          <w:tcPr>
            <w:tcW w:w="749" w:type="dxa"/>
            <w:vAlign w:val="center"/>
            <w:hideMark/>
          </w:tcPr>
          <w:p w14:paraId="01932337"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-.12</w:t>
            </w:r>
          </w:p>
        </w:tc>
        <w:tc>
          <w:tcPr>
            <w:tcW w:w="749" w:type="dxa"/>
            <w:vAlign w:val="center"/>
            <w:hideMark/>
          </w:tcPr>
          <w:p w14:paraId="04BA9E7F" w14:textId="77777777" w:rsidR="00882210" w:rsidRPr="00882210" w:rsidRDefault="00882210" w:rsidP="00AB066F">
            <w:pPr>
              <w:spacing w:line="240" w:lineRule="auto"/>
              <w:jc w:val="center"/>
              <w:rPr>
                <w:color w:val="000000" w:themeColor="text1"/>
                <w:sz w:val="22"/>
              </w:rPr>
            </w:pPr>
            <w:r w:rsidRPr="00882210">
              <w:rPr>
                <w:color w:val="000000" w:themeColor="text1"/>
                <w:sz w:val="22"/>
              </w:rPr>
              <w:t>-.31</w:t>
            </w:r>
          </w:p>
        </w:tc>
        <w:tc>
          <w:tcPr>
            <w:tcW w:w="750" w:type="dxa"/>
            <w:vAlign w:val="center"/>
            <w:hideMark/>
          </w:tcPr>
          <w:p w14:paraId="065F1362"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.12</w:t>
            </w:r>
          </w:p>
        </w:tc>
      </w:tr>
      <w:tr w:rsidR="00A30BF8" w:rsidRPr="00882210" w14:paraId="494EB949" w14:textId="77777777" w:rsidTr="00C82841">
        <w:trPr>
          <w:trHeight w:val="210"/>
        </w:trPr>
        <w:tc>
          <w:tcPr>
            <w:tcW w:w="491" w:type="dxa"/>
            <w:vAlign w:val="center"/>
          </w:tcPr>
          <w:p w14:paraId="4BAE951E"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16.</w:t>
            </w:r>
          </w:p>
        </w:tc>
        <w:tc>
          <w:tcPr>
            <w:tcW w:w="4395" w:type="dxa"/>
            <w:vAlign w:val="center"/>
            <w:hideMark/>
          </w:tcPr>
          <w:p w14:paraId="039B6E6E" w14:textId="77777777" w:rsidR="00882210" w:rsidRPr="00882210" w:rsidRDefault="00882210" w:rsidP="00AB066F">
            <w:pPr>
              <w:spacing w:line="240" w:lineRule="auto"/>
              <w:jc w:val="left"/>
              <w:rPr>
                <w:color w:val="000000" w:themeColor="text1"/>
                <w:sz w:val="22"/>
              </w:rPr>
            </w:pPr>
            <w:r w:rsidRPr="00882210">
              <w:rPr>
                <w:color w:val="000000" w:themeColor="text1"/>
                <w:sz w:val="22"/>
              </w:rPr>
              <w:t>deal_all_stock_dummy</w:t>
            </w:r>
          </w:p>
        </w:tc>
        <w:tc>
          <w:tcPr>
            <w:tcW w:w="749" w:type="dxa"/>
            <w:vAlign w:val="center"/>
            <w:hideMark/>
          </w:tcPr>
          <w:p w14:paraId="7CE823DC" w14:textId="77777777" w:rsidR="00882210" w:rsidRPr="00882210" w:rsidRDefault="00882210" w:rsidP="00AB066F">
            <w:pPr>
              <w:spacing w:line="240" w:lineRule="auto"/>
              <w:jc w:val="center"/>
              <w:rPr>
                <w:color w:val="000000" w:themeColor="text1"/>
                <w:sz w:val="22"/>
              </w:rPr>
            </w:pPr>
            <w:r w:rsidRPr="00882210">
              <w:rPr>
                <w:color w:val="000000" w:themeColor="text1"/>
                <w:sz w:val="22"/>
              </w:rPr>
              <w:t>-.21</w:t>
            </w:r>
          </w:p>
        </w:tc>
        <w:tc>
          <w:tcPr>
            <w:tcW w:w="749" w:type="dxa"/>
            <w:vAlign w:val="center"/>
            <w:hideMark/>
          </w:tcPr>
          <w:p w14:paraId="70B4AE13"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-.06</w:t>
            </w:r>
          </w:p>
        </w:tc>
        <w:tc>
          <w:tcPr>
            <w:tcW w:w="749" w:type="dxa"/>
            <w:vAlign w:val="center"/>
            <w:hideMark/>
          </w:tcPr>
          <w:p w14:paraId="5E86F22E"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-.07</w:t>
            </w:r>
          </w:p>
        </w:tc>
        <w:tc>
          <w:tcPr>
            <w:tcW w:w="750" w:type="dxa"/>
            <w:vAlign w:val="center"/>
            <w:hideMark/>
          </w:tcPr>
          <w:p w14:paraId="7A05C279"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-.08</w:t>
            </w:r>
          </w:p>
        </w:tc>
        <w:tc>
          <w:tcPr>
            <w:tcW w:w="749" w:type="dxa"/>
            <w:vAlign w:val="center"/>
            <w:hideMark/>
          </w:tcPr>
          <w:p w14:paraId="4A028E26"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-.07</w:t>
            </w:r>
          </w:p>
        </w:tc>
        <w:tc>
          <w:tcPr>
            <w:tcW w:w="749" w:type="dxa"/>
            <w:vAlign w:val="center"/>
            <w:hideMark/>
          </w:tcPr>
          <w:p w14:paraId="5F141AC0" w14:textId="77777777" w:rsidR="00882210" w:rsidRPr="00882210" w:rsidRDefault="00882210" w:rsidP="00AB066F">
            <w:pPr>
              <w:spacing w:line="240" w:lineRule="auto"/>
              <w:jc w:val="center"/>
              <w:rPr>
                <w:color w:val="000000" w:themeColor="text1"/>
                <w:sz w:val="22"/>
              </w:rPr>
            </w:pPr>
            <w:r w:rsidRPr="00882210">
              <w:rPr>
                <w:color w:val="000000" w:themeColor="text1"/>
                <w:sz w:val="22"/>
              </w:rPr>
              <w:t>.24</w:t>
            </w:r>
          </w:p>
        </w:tc>
        <w:tc>
          <w:tcPr>
            <w:tcW w:w="750" w:type="dxa"/>
            <w:vAlign w:val="center"/>
            <w:hideMark/>
          </w:tcPr>
          <w:p w14:paraId="21531483" w14:textId="77777777" w:rsidR="00882210" w:rsidRPr="00882210" w:rsidRDefault="00882210" w:rsidP="00AB066F">
            <w:pPr>
              <w:spacing w:line="240" w:lineRule="auto"/>
              <w:jc w:val="center"/>
              <w:rPr>
                <w:color w:val="000000" w:themeColor="text1"/>
                <w:sz w:val="22"/>
              </w:rPr>
            </w:pPr>
            <w:r w:rsidRPr="00882210">
              <w:rPr>
                <w:color w:val="000000" w:themeColor="text1"/>
                <w:sz w:val="22"/>
              </w:rPr>
              <w:t>.28</w:t>
            </w:r>
          </w:p>
        </w:tc>
        <w:tc>
          <w:tcPr>
            <w:tcW w:w="749" w:type="dxa"/>
            <w:vAlign w:val="center"/>
            <w:hideMark/>
          </w:tcPr>
          <w:p w14:paraId="0B46BA7D" w14:textId="77777777" w:rsidR="00882210" w:rsidRPr="00882210" w:rsidRDefault="00882210" w:rsidP="00AB066F">
            <w:pPr>
              <w:spacing w:line="240" w:lineRule="auto"/>
              <w:jc w:val="center"/>
              <w:rPr>
                <w:color w:val="000000" w:themeColor="text1"/>
                <w:sz w:val="22"/>
              </w:rPr>
            </w:pPr>
            <w:r w:rsidRPr="00882210">
              <w:rPr>
                <w:color w:val="000000" w:themeColor="text1"/>
                <w:sz w:val="22"/>
              </w:rPr>
              <w:t>-.22</w:t>
            </w:r>
          </w:p>
        </w:tc>
        <w:tc>
          <w:tcPr>
            <w:tcW w:w="749" w:type="dxa"/>
            <w:vAlign w:val="center"/>
            <w:hideMark/>
          </w:tcPr>
          <w:p w14:paraId="336CF92B" w14:textId="77777777" w:rsidR="00882210" w:rsidRPr="00882210" w:rsidRDefault="00882210" w:rsidP="00AB066F">
            <w:pPr>
              <w:spacing w:line="240" w:lineRule="auto"/>
              <w:jc w:val="center"/>
              <w:rPr>
                <w:color w:val="000000" w:themeColor="text1"/>
                <w:sz w:val="22"/>
              </w:rPr>
            </w:pPr>
            <w:r w:rsidRPr="00882210">
              <w:rPr>
                <w:color w:val="000000" w:themeColor="text1"/>
                <w:sz w:val="22"/>
              </w:rPr>
              <w:t>-.22</w:t>
            </w:r>
          </w:p>
        </w:tc>
        <w:tc>
          <w:tcPr>
            <w:tcW w:w="749" w:type="dxa"/>
            <w:vAlign w:val="center"/>
            <w:hideMark/>
          </w:tcPr>
          <w:p w14:paraId="769FC374" w14:textId="77777777" w:rsidR="00882210" w:rsidRPr="00882210" w:rsidRDefault="00882210" w:rsidP="00AB066F">
            <w:pPr>
              <w:spacing w:line="240" w:lineRule="auto"/>
              <w:jc w:val="center"/>
              <w:rPr>
                <w:color w:val="000000" w:themeColor="text1"/>
                <w:sz w:val="22"/>
              </w:rPr>
            </w:pPr>
            <w:r w:rsidRPr="00882210">
              <w:rPr>
                <w:color w:val="000000" w:themeColor="text1"/>
                <w:sz w:val="22"/>
              </w:rPr>
              <w:t>-.22</w:t>
            </w:r>
          </w:p>
        </w:tc>
        <w:tc>
          <w:tcPr>
            <w:tcW w:w="750" w:type="dxa"/>
            <w:vAlign w:val="center"/>
            <w:hideMark/>
          </w:tcPr>
          <w:p w14:paraId="6A1A3B5D"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-.05</w:t>
            </w:r>
          </w:p>
        </w:tc>
        <w:tc>
          <w:tcPr>
            <w:tcW w:w="749" w:type="dxa"/>
            <w:vAlign w:val="center"/>
            <w:hideMark/>
          </w:tcPr>
          <w:p w14:paraId="0B64534D"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.01</w:t>
            </w:r>
          </w:p>
        </w:tc>
        <w:tc>
          <w:tcPr>
            <w:tcW w:w="749" w:type="dxa"/>
            <w:vAlign w:val="center"/>
            <w:hideMark/>
          </w:tcPr>
          <w:p w14:paraId="22DC75C2"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.004</w:t>
            </w:r>
          </w:p>
        </w:tc>
        <w:tc>
          <w:tcPr>
            <w:tcW w:w="750" w:type="dxa"/>
            <w:vAlign w:val="center"/>
            <w:hideMark/>
          </w:tcPr>
          <w:p w14:paraId="7E9E6392"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-.12</w:t>
            </w:r>
          </w:p>
        </w:tc>
      </w:tr>
      <w:tr w:rsidR="00A30BF8" w:rsidRPr="00882210" w14:paraId="79EF9D1D" w14:textId="77777777" w:rsidTr="00C82841">
        <w:trPr>
          <w:trHeight w:val="210"/>
        </w:trPr>
        <w:tc>
          <w:tcPr>
            <w:tcW w:w="491" w:type="dxa"/>
            <w:vAlign w:val="center"/>
          </w:tcPr>
          <w:p w14:paraId="6C27026E"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17.</w:t>
            </w:r>
          </w:p>
        </w:tc>
        <w:tc>
          <w:tcPr>
            <w:tcW w:w="4395" w:type="dxa"/>
            <w:vAlign w:val="center"/>
            <w:hideMark/>
          </w:tcPr>
          <w:p w14:paraId="2F9518CB" w14:textId="77777777" w:rsidR="00882210" w:rsidRPr="00882210" w:rsidRDefault="00882210" w:rsidP="00AB066F">
            <w:pPr>
              <w:spacing w:line="240" w:lineRule="auto"/>
              <w:jc w:val="left"/>
              <w:rPr>
                <w:color w:val="000000" w:themeColor="text1"/>
                <w:sz w:val="22"/>
              </w:rPr>
            </w:pPr>
            <w:r w:rsidRPr="00882210">
              <w:rPr>
                <w:color w:val="000000" w:themeColor="text1"/>
                <w:sz w:val="22"/>
              </w:rPr>
              <w:t>deal_tenderoffer_dummy</w:t>
            </w:r>
          </w:p>
        </w:tc>
        <w:tc>
          <w:tcPr>
            <w:tcW w:w="749" w:type="dxa"/>
            <w:vAlign w:val="center"/>
            <w:hideMark/>
          </w:tcPr>
          <w:p w14:paraId="05E4EDB4" w14:textId="77777777" w:rsidR="00882210" w:rsidRPr="00882210" w:rsidRDefault="00882210" w:rsidP="00AB066F">
            <w:pPr>
              <w:spacing w:line="240" w:lineRule="auto"/>
              <w:jc w:val="center"/>
              <w:rPr>
                <w:color w:val="000000" w:themeColor="text1"/>
                <w:sz w:val="22"/>
              </w:rPr>
            </w:pPr>
            <w:r w:rsidRPr="00882210">
              <w:rPr>
                <w:color w:val="000000" w:themeColor="text1"/>
                <w:sz w:val="22"/>
              </w:rPr>
              <w:t>.21</w:t>
            </w:r>
          </w:p>
        </w:tc>
        <w:tc>
          <w:tcPr>
            <w:tcW w:w="749" w:type="dxa"/>
            <w:vAlign w:val="center"/>
            <w:hideMark/>
          </w:tcPr>
          <w:p w14:paraId="3A7FD095"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.02</w:t>
            </w:r>
          </w:p>
        </w:tc>
        <w:tc>
          <w:tcPr>
            <w:tcW w:w="749" w:type="dxa"/>
            <w:vAlign w:val="center"/>
            <w:hideMark/>
          </w:tcPr>
          <w:p w14:paraId="5471B4D3"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.02</w:t>
            </w:r>
          </w:p>
        </w:tc>
        <w:tc>
          <w:tcPr>
            <w:tcW w:w="750" w:type="dxa"/>
            <w:vAlign w:val="center"/>
            <w:hideMark/>
          </w:tcPr>
          <w:p w14:paraId="2932F48C"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.02</w:t>
            </w:r>
          </w:p>
        </w:tc>
        <w:tc>
          <w:tcPr>
            <w:tcW w:w="749" w:type="dxa"/>
            <w:vAlign w:val="center"/>
            <w:hideMark/>
          </w:tcPr>
          <w:p w14:paraId="22DC55EF"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.03</w:t>
            </w:r>
          </w:p>
        </w:tc>
        <w:tc>
          <w:tcPr>
            <w:tcW w:w="749" w:type="dxa"/>
            <w:vAlign w:val="center"/>
            <w:hideMark/>
          </w:tcPr>
          <w:p w14:paraId="79D978B4"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-.13</w:t>
            </w:r>
          </w:p>
        </w:tc>
        <w:tc>
          <w:tcPr>
            <w:tcW w:w="750" w:type="dxa"/>
            <w:vAlign w:val="center"/>
            <w:hideMark/>
          </w:tcPr>
          <w:p w14:paraId="26F88B27"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-.13</w:t>
            </w:r>
          </w:p>
        </w:tc>
        <w:tc>
          <w:tcPr>
            <w:tcW w:w="749" w:type="dxa"/>
            <w:vAlign w:val="center"/>
            <w:hideMark/>
          </w:tcPr>
          <w:p w14:paraId="27FF1117"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.13</w:t>
            </w:r>
          </w:p>
        </w:tc>
        <w:tc>
          <w:tcPr>
            <w:tcW w:w="749" w:type="dxa"/>
            <w:vAlign w:val="center"/>
            <w:hideMark/>
          </w:tcPr>
          <w:p w14:paraId="7F3F627D"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.12</w:t>
            </w:r>
          </w:p>
        </w:tc>
        <w:tc>
          <w:tcPr>
            <w:tcW w:w="749" w:type="dxa"/>
            <w:vAlign w:val="center"/>
            <w:hideMark/>
          </w:tcPr>
          <w:p w14:paraId="3DB24C06"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.17</w:t>
            </w:r>
          </w:p>
        </w:tc>
        <w:tc>
          <w:tcPr>
            <w:tcW w:w="750" w:type="dxa"/>
            <w:vAlign w:val="center"/>
            <w:hideMark/>
          </w:tcPr>
          <w:p w14:paraId="7C1B4A55"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-.06</w:t>
            </w:r>
          </w:p>
        </w:tc>
        <w:tc>
          <w:tcPr>
            <w:tcW w:w="749" w:type="dxa"/>
            <w:vAlign w:val="center"/>
            <w:hideMark/>
          </w:tcPr>
          <w:p w14:paraId="3DFF9C02"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.07</w:t>
            </w:r>
          </w:p>
        </w:tc>
        <w:tc>
          <w:tcPr>
            <w:tcW w:w="749" w:type="dxa"/>
            <w:vAlign w:val="center"/>
            <w:hideMark/>
          </w:tcPr>
          <w:p w14:paraId="1210DFC2"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-.14</w:t>
            </w:r>
          </w:p>
        </w:tc>
        <w:tc>
          <w:tcPr>
            <w:tcW w:w="750" w:type="dxa"/>
            <w:vAlign w:val="center"/>
            <w:hideMark/>
          </w:tcPr>
          <w:p w14:paraId="2C64BF96"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-.02</w:t>
            </w:r>
          </w:p>
        </w:tc>
      </w:tr>
      <w:tr w:rsidR="00A30BF8" w:rsidRPr="00882210" w14:paraId="187C83F5" w14:textId="77777777" w:rsidTr="00C82841">
        <w:trPr>
          <w:trHeight w:val="210"/>
        </w:trPr>
        <w:tc>
          <w:tcPr>
            <w:tcW w:w="491" w:type="dxa"/>
            <w:vAlign w:val="center"/>
          </w:tcPr>
          <w:p w14:paraId="786B4C3B"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18.</w:t>
            </w:r>
          </w:p>
        </w:tc>
        <w:tc>
          <w:tcPr>
            <w:tcW w:w="4395" w:type="dxa"/>
            <w:vAlign w:val="center"/>
            <w:hideMark/>
          </w:tcPr>
          <w:p w14:paraId="47586673" w14:textId="77777777" w:rsidR="00882210" w:rsidRPr="00882210" w:rsidRDefault="00882210" w:rsidP="00AB066F">
            <w:pPr>
              <w:spacing w:line="240" w:lineRule="auto"/>
              <w:jc w:val="left"/>
              <w:rPr>
                <w:color w:val="000000" w:themeColor="text1"/>
                <w:sz w:val="22"/>
              </w:rPr>
            </w:pPr>
            <w:r w:rsidRPr="00882210">
              <w:rPr>
                <w:color w:val="000000" w:themeColor="text1"/>
                <w:sz w:val="22"/>
              </w:rPr>
              <w:t>deal_friendly_dummy</w:t>
            </w:r>
          </w:p>
        </w:tc>
        <w:tc>
          <w:tcPr>
            <w:tcW w:w="749" w:type="dxa"/>
            <w:vAlign w:val="center"/>
            <w:hideMark/>
          </w:tcPr>
          <w:p w14:paraId="255F1CBA"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-.16</w:t>
            </w:r>
          </w:p>
        </w:tc>
        <w:tc>
          <w:tcPr>
            <w:tcW w:w="749" w:type="dxa"/>
            <w:vAlign w:val="center"/>
            <w:hideMark/>
          </w:tcPr>
          <w:p w14:paraId="4CDDC1F8"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.005</w:t>
            </w:r>
          </w:p>
        </w:tc>
        <w:tc>
          <w:tcPr>
            <w:tcW w:w="749" w:type="dxa"/>
            <w:vAlign w:val="center"/>
            <w:hideMark/>
          </w:tcPr>
          <w:p w14:paraId="72671BFC"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.01</w:t>
            </w:r>
          </w:p>
        </w:tc>
        <w:tc>
          <w:tcPr>
            <w:tcW w:w="750" w:type="dxa"/>
            <w:vAlign w:val="center"/>
            <w:hideMark/>
          </w:tcPr>
          <w:p w14:paraId="78A98B07"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.02</w:t>
            </w:r>
          </w:p>
        </w:tc>
        <w:tc>
          <w:tcPr>
            <w:tcW w:w="749" w:type="dxa"/>
            <w:vAlign w:val="center"/>
            <w:hideMark/>
          </w:tcPr>
          <w:p w14:paraId="1B478EBF"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-.02</w:t>
            </w:r>
          </w:p>
        </w:tc>
        <w:tc>
          <w:tcPr>
            <w:tcW w:w="749" w:type="dxa"/>
            <w:vAlign w:val="center"/>
            <w:hideMark/>
          </w:tcPr>
          <w:p w14:paraId="233BEAF6"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.04</w:t>
            </w:r>
          </w:p>
        </w:tc>
        <w:tc>
          <w:tcPr>
            <w:tcW w:w="750" w:type="dxa"/>
            <w:vAlign w:val="center"/>
            <w:hideMark/>
          </w:tcPr>
          <w:p w14:paraId="4CB1B456"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.01</w:t>
            </w:r>
          </w:p>
        </w:tc>
        <w:tc>
          <w:tcPr>
            <w:tcW w:w="749" w:type="dxa"/>
            <w:vAlign w:val="center"/>
            <w:hideMark/>
          </w:tcPr>
          <w:p w14:paraId="58602055"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.11</w:t>
            </w:r>
          </w:p>
        </w:tc>
        <w:tc>
          <w:tcPr>
            <w:tcW w:w="749" w:type="dxa"/>
            <w:vAlign w:val="center"/>
            <w:hideMark/>
          </w:tcPr>
          <w:p w14:paraId="7AC53597"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.11</w:t>
            </w:r>
          </w:p>
        </w:tc>
        <w:tc>
          <w:tcPr>
            <w:tcW w:w="749" w:type="dxa"/>
            <w:vAlign w:val="center"/>
            <w:hideMark/>
          </w:tcPr>
          <w:p w14:paraId="7AA5E474"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.12</w:t>
            </w:r>
          </w:p>
        </w:tc>
        <w:tc>
          <w:tcPr>
            <w:tcW w:w="750" w:type="dxa"/>
            <w:vAlign w:val="center"/>
            <w:hideMark/>
          </w:tcPr>
          <w:p w14:paraId="493A270F"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-.04</w:t>
            </w:r>
          </w:p>
        </w:tc>
        <w:tc>
          <w:tcPr>
            <w:tcW w:w="749" w:type="dxa"/>
            <w:vAlign w:val="center"/>
            <w:hideMark/>
          </w:tcPr>
          <w:p w14:paraId="56F93A19"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.05</w:t>
            </w:r>
          </w:p>
        </w:tc>
        <w:tc>
          <w:tcPr>
            <w:tcW w:w="749" w:type="dxa"/>
            <w:vAlign w:val="center"/>
            <w:hideMark/>
          </w:tcPr>
          <w:p w14:paraId="3236AE25"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-.03</w:t>
            </w:r>
          </w:p>
        </w:tc>
        <w:tc>
          <w:tcPr>
            <w:tcW w:w="750" w:type="dxa"/>
            <w:vAlign w:val="center"/>
            <w:hideMark/>
          </w:tcPr>
          <w:p w14:paraId="76C38BD8"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.04</w:t>
            </w:r>
          </w:p>
        </w:tc>
      </w:tr>
      <w:tr w:rsidR="00A30BF8" w:rsidRPr="00882210" w14:paraId="3FAD2B84" w14:textId="77777777" w:rsidTr="00C82841">
        <w:trPr>
          <w:trHeight w:val="210"/>
        </w:trPr>
        <w:tc>
          <w:tcPr>
            <w:tcW w:w="491" w:type="dxa"/>
            <w:vAlign w:val="center"/>
          </w:tcPr>
          <w:p w14:paraId="7BDF1F39"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19.</w:t>
            </w:r>
          </w:p>
        </w:tc>
        <w:tc>
          <w:tcPr>
            <w:tcW w:w="4395" w:type="dxa"/>
            <w:vAlign w:val="center"/>
            <w:hideMark/>
          </w:tcPr>
          <w:p w14:paraId="39BDCA04" w14:textId="77777777" w:rsidR="00882210" w:rsidRPr="00882210" w:rsidRDefault="00882210" w:rsidP="00AB066F">
            <w:pPr>
              <w:spacing w:line="240" w:lineRule="auto"/>
              <w:jc w:val="left"/>
              <w:rPr>
                <w:color w:val="000000" w:themeColor="text1"/>
                <w:sz w:val="22"/>
              </w:rPr>
            </w:pPr>
            <w:r w:rsidRPr="00882210">
              <w:rPr>
                <w:color w:val="000000" w:themeColor="text1"/>
                <w:sz w:val="22"/>
              </w:rPr>
              <w:t>deal_relatedness_dummy</w:t>
            </w:r>
          </w:p>
        </w:tc>
        <w:tc>
          <w:tcPr>
            <w:tcW w:w="749" w:type="dxa"/>
            <w:vAlign w:val="center"/>
            <w:hideMark/>
          </w:tcPr>
          <w:p w14:paraId="40FBBC1E"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-.01</w:t>
            </w:r>
          </w:p>
        </w:tc>
        <w:tc>
          <w:tcPr>
            <w:tcW w:w="749" w:type="dxa"/>
            <w:vAlign w:val="center"/>
            <w:hideMark/>
          </w:tcPr>
          <w:p w14:paraId="146C9B60"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.03</w:t>
            </w:r>
          </w:p>
        </w:tc>
        <w:tc>
          <w:tcPr>
            <w:tcW w:w="749" w:type="dxa"/>
            <w:vAlign w:val="center"/>
            <w:hideMark/>
          </w:tcPr>
          <w:p w14:paraId="25916880"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.03</w:t>
            </w:r>
          </w:p>
        </w:tc>
        <w:tc>
          <w:tcPr>
            <w:tcW w:w="750" w:type="dxa"/>
            <w:vAlign w:val="center"/>
            <w:hideMark/>
          </w:tcPr>
          <w:p w14:paraId="5662B9EF"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.04</w:t>
            </w:r>
          </w:p>
        </w:tc>
        <w:tc>
          <w:tcPr>
            <w:tcW w:w="749" w:type="dxa"/>
            <w:vAlign w:val="center"/>
            <w:hideMark/>
          </w:tcPr>
          <w:p w14:paraId="2483F1F3"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.02</w:t>
            </w:r>
          </w:p>
        </w:tc>
        <w:tc>
          <w:tcPr>
            <w:tcW w:w="749" w:type="dxa"/>
            <w:vAlign w:val="center"/>
            <w:hideMark/>
          </w:tcPr>
          <w:p w14:paraId="74E5AEDF"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-.07</w:t>
            </w:r>
          </w:p>
        </w:tc>
        <w:tc>
          <w:tcPr>
            <w:tcW w:w="750" w:type="dxa"/>
            <w:vAlign w:val="center"/>
            <w:hideMark/>
          </w:tcPr>
          <w:p w14:paraId="2A7298AD"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-.005</w:t>
            </w:r>
          </w:p>
        </w:tc>
        <w:tc>
          <w:tcPr>
            <w:tcW w:w="749" w:type="dxa"/>
            <w:vAlign w:val="center"/>
            <w:hideMark/>
          </w:tcPr>
          <w:p w14:paraId="0957DB79"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.09</w:t>
            </w:r>
          </w:p>
        </w:tc>
        <w:tc>
          <w:tcPr>
            <w:tcW w:w="749" w:type="dxa"/>
            <w:vAlign w:val="center"/>
            <w:hideMark/>
          </w:tcPr>
          <w:p w14:paraId="0A8B7465"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.07</w:t>
            </w:r>
          </w:p>
        </w:tc>
        <w:tc>
          <w:tcPr>
            <w:tcW w:w="749" w:type="dxa"/>
            <w:vAlign w:val="center"/>
            <w:hideMark/>
          </w:tcPr>
          <w:p w14:paraId="22FD0C74"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.11</w:t>
            </w:r>
          </w:p>
        </w:tc>
        <w:tc>
          <w:tcPr>
            <w:tcW w:w="750" w:type="dxa"/>
            <w:vAlign w:val="center"/>
            <w:hideMark/>
          </w:tcPr>
          <w:p w14:paraId="60D375BC"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-.13</w:t>
            </w:r>
          </w:p>
        </w:tc>
        <w:tc>
          <w:tcPr>
            <w:tcW w:w="749" w:type="dxa"/>
            <w:vAlign w:val="center"/>
            <w:hideMark/>
          </w:tcPr>
          <w:p w14:paraId="2B58A4F5"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-.06</w:t>
            </w:r>
          </w:p>
        </w:tc>
        <w:tc>
          <w:tcPr>
            <w:tcW w:w="749" w:type="dxa"/>
            <w:vAlign w:val="center"/>
            <w:hideMark/>
          </w:tcPr>
          <w:p w14:paraId="02BD27EB"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-.005</w:t>
            </w:r>
          </w:p>
        </w:tc>
        <w:tc>
          <w:tcPr>
            <w:tcW w:w="750" w:type="dxa"/>
            <w:vAlign w:val="center"/>
            <w:hideMark/>
          </w:tcPr>
          <w:p w14:paraId="2DB11ED7"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-.08</w:t>
            </w:r>
          </w:p>
        </w:tc>
      </w:tr>
      <w:tr w:rsidR="00A30BF8" w:rsidRPr="00882210" w14:paraId="7400270C" w14:textId="77777777" w:rsidTr="00C82841">
        <w:trPr>
          <w:trHeight w:val="210"/>
        </w:trPr>
        <w:tc>
          <w:tcPr>
            <w:tcW w:w="491" w:type="dxa"/>
            <w:vAlign w:val="center"/>
          </w:tcPr>
          <w:p w14:paraId="716B3507" w14:textId="77777777" w:rsidR="00882210" w:rsidRPr="00882210" w:rsidRDefault="00882210" w:rsidP="00AB066F">
            <w:pPr>
              <w:spacing w:line="240" w:lineRule="auto"/>
              <w:jc w:val="center"/>
              <w:rPr>
                <w:color w:val="000000" w:themeColor="text1"/>
                <w:sz w:val="22"/>
              </w:rPr>
            </w:pPr>
            <w:r w:rsidRPr="00882210">
              <w:rPr>
                <w:color w:val="000000" w:themeColor="text1"/>
                <w:sz w:val="22"/>
              </w:rPr>
              <w:t>20.</w:t>
            </w:r>
          </w:p>
        </w:tc>
        <w:tc>
          <w:tcPr>
            <w:tcW w:w="4395" w:type="dxa"/>
            <w:vAlign w:val="center"/>
            <w:hideMark/>
          </w:tcPr>
          <w:p w14:paraId="38DE31B9" w14:textId="77777777" w:rsidR="00882210" w:rsidRPr="00882210" w:rsidRDefault="00882210" w:rsidP="00AB066F">
            <w:pPr>
              <w:spacing w:line="240" w:lineRule="auto"/>
              <w:jc w:val="left"/>
              <w:rPr>
                <w:color w:val="000000" w:themeColor="text1"/>
                <w:sz w:val="22"/>
              </w:rPr>
            </w:pPr>
            <w:r w:rsidRPr="00882210">
              <w:rPr>
                <w:color w:val="000000" w:themeColor="text1"/>
                <w:sz w:val="22"/>
              </w:rPr>
              <w:t>acq_age</w:t>
            </w:r>
          </w:p>
        </w:tc>
        <w:tc>
          <w:tcPr>
            <w:tcW w:w="749" w:type="dxa"/>
            <w:vAlign w:val="center"/>
            <w:hideMark/>
          </w:tcPr>
          <w:p w14:paraId="3F265A80"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-.06</w:t>
            </w:r>
          </w:p>
        </w:tc>
        <w:tc>
          <w:tcPr>
            <w:tcW w:w="749" w:type="dxa"/>
            <w:vAlign w:val="center"/>
            <w:hideMark/>
          </w:tcPr>
          <w:p w14:paraId="3D6AC79A"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-.03</w:t>
            </w:r>
          </w:p>
        </w:tc>
        <w:tc>
          <w:tcPr>
            <w:tcW w:w="749" w:type="dxa"/>
            <w:vAlign w:val="center"/>
            <w:hideMark/>
          </w:tcPr>
          <w:p w14:paraId="44783663"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-.03</w:t>
            </w:r>
          </w:p>
        </w:tc>
        <w:tc>
          <w:tcPr>
            <w:tcW w:w="750" w:type="dxa"/>
            <w:vAlign w:val="center"/>
            <w:hideMark/>
          </w:tcPr>
          <w:p w14:paraId="52CB4CD4"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-.03</w:t>
            </w:r>
          </w:p>
        </w:tc>
        <w:tc>
          <w:tcPr>
            <w:tcW w:w="749" w:type="dxa"/>
            <w:vAlign w:val="center"/>
            <w:hideMark/>
          </w:tcPr>
          <w:p w14:paraId="5C4F4B30"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-.05</w:t>
            </w:r>
          </w:p>
        </w:tc>
        <w:tc>
          <w:tcPr>
            <w:tcW w:w="749" w:type="dxa"/>
            <w:vAlign w:val="center"/>
            <w:hideMark/>
          </w:tcPr>
          <w:p w14:paraId="69045909" w14:textId="77777777" w:rsidR="00882210" w:rsidRPr="00882210" w:rsidRDefault="00882210" w:rsidP="00AB066F">
            <w:pPr>
              <w:spacing w:line="240" w:lineRule="auto"/>
              <w:jc w:val="center"/>
              <w:rPr>
                <w:color w:val="000000" w:themeColor="text1"/>
                <w:sz w:val="22"/>
              </w:rPr>
            </w:pPr>
            <w:r w:rsidRPr="00882210">
              <w:rPr>
                <w:color w:val="000000" w:themeColor="text1"/>
                <w:sz w:val="22"/>
              </w:rPr>
              <w:t>-.26</w:t>
            </w:r>
          </w:p>
        </w:tc>
        <w:tc>
          <w:tcPr>
            <w:tcW w:w="750" w:type="dxa"/>
            <w:vAlign w:val="center"/>
            <w:hideMark/>
          </w:tcPr>
          <w:p w14:paraId="66D89DFC" w14:textId="77777777" w:rsidR="00882210" w:rsidRPr="00882210" w:rsidRDefault="00882210" w:rsidP="00AB066F">
            <w:pPr>
              <w:spacing w:line="240" w:lineRule="auto"/>
              <w:jc w:val="center"/>
              <w:rPr>
                <w:color w:val="000000" w:themeColor="text1"/>
                <w:sz w:val="22"/>
              </w:rPr>
            </w:pPr>
            <w:r w:rsidRPr="00882210">
              <w:rPr>
                <w:color w:val="000000" w:themeColor="text1"/>
                <w:sz w:val="22"/>
              </w:rPr>
              <w:t>-.37</w:t>
            </w:r>
          </w:p>
        </w:tc>
        <w:tc>
          <w:tcPr>
            <w:tcW w:w="749" w:type="dxa"/>
            <w:vAlign w:val="center"/>
            <w:hideMark/>
          </w:tcPr>
          <w:p w14:paraId="1F31C615"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-.01</w:t>
            </w:r>
          </w:p>
        </w:tc>
        <w:tc>
          <w:tcPr>
            <w:tcW w:w="749" w:type="dxa"/>
            <w:vAlign w:val="center"/>
            <w:hideMark/>
          </w:tcPr>
          <w:p w14:paraId="5388DEEE"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-.05</w:t>
            </w:r>
          </w:p>
        </w:tc>
        <w:tc>
          <w:tcPr>
            <w:tcW w:w="749" w:type="dxa"/>
            <w:vAlign w:val="center"/>
            <w:hideMark/>
          </w:tcPr>
          <w:p w14:paraId="44DD3F5B"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-.06</w:t>
            </w:r>
          </w:p>
        </w:tc>
        <w:tc>
          <w:tcPr>
            <w:tcW w:w="750" w:type="dxa"/>
            <w:vAlign w:val="center"/>
            <w:hideMark/>
          </w:tcPr>
          <w:p w14:paraId="76D4594D"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-.08</w:t>
            </w:r>
          </w:p>
        </w:tc>
        <w:tc>
          <w:tcPr>
            <w:tcW w:w="749" w:type="dxa"/>
            <w:vAlign w:val="center"/>
            <w:hideMark/>
          </w:tcPr>
          <w:p w14:paraId="4B72D79B"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-.05</w:t>
            </w:r>
          </w:p>
        </w:tc>
        <w:tc>
          <w:tcPr>
            <w:tcW w:w="749" w:type="dxa"/>
            <w:vAlign w:val="center"/>
            <w:hideMark/>
          </w:tcPr>
          <w:p w14:paraId="0FC6403C"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.15</w:t>
            </w:r>
          </w:p>
        </w:tc>
        <w:tc>
          <w:tcPr>
            <w:tcW w:w="750" w:type="dxa"/>
            <w:vAlign w:val="center"/>
            <w:hideMark/>
          </w:tcPr>
          <w:p w14:paraId="439AF8FE"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.08</w:t>
            </w:r>
          </w:p>
        </w:tc>
      </w:tr>
      <w:tr w:rsidR="00A30BF8" w:rsidRPr="00882210" w14:paraId="724557CF" w14:textId="77777777" w:rsidTr="00C82841">
        <w:trPr>
          <w:trHeight w:val="210"/>
        </w:trPr>
        <w:tc>
          <w:tcPr>
            <w:tcW w:w="491" w:type="dxa"/>
            <w:vAlign w:val="center"/>
          </w:tcPr>
          <w:p w14:paraId="44E6E56E" w14:textId="77777777" w:rsidR="00882210" w:rsidRPr="00882210" w:rsidRDefault="00882210" w:rsidP="00AB066F">
            <w:pPr>
              <w:spacing w:line="240" w:lineRule="auto"/>
              <w:jc w:val="center"/>
              <w:rPr>
                <w:color w:val="000000" w:themeColor="text1"/>
                <w:sz w:val="22"/>
              </w:rPr>
            </w:pPr>
            <w:r w:rsidRPr="00882210">
              <w:rPr>
                <w:color w:val="000000" w:themeColor="text1"/>
                <w:sz w:val="22"/>
              </w:rPr>
              <w:t>21.</w:t>
            </w:r>
          </w:p>
        </w:tc>
        <w:tc>
          <w:tcPr>
            <w:tcW w:w="4395" w:type="dxa"/>
            <w:vAlign w:val="center"/>
            <w:hideMark/>
          </w:tcPr>
          <w:p w14:paraId="68FC805B" w14:textId="77777777" w:rsidR="00882210" w:rsidRPr="00882210" w:rsidRDefault="00882210" w:rsidP="00AB066F">
            <w:pPr>
              <w:spacing w:line="240" w:lineRule="auto"/>
              <w:jc w:val="left"/>
              <w:rPr>
                <w:color w:val="000000" w:themeColor="text1"/>
                <w:sz w:val="22"/>
              </w:rPr>
            </w:pPr>
            <w:r w:rsidRPr="00882210">
              <w:rPr>
                <w:color w:val="000000" w:themeColor="text1"/>
                <w:sz w:val="22"/>
              </w:rPr>
              <w:t>acq_assets_lastyear_ln</w:t>
            </w:r>
          </w:p>
        </w:tc>
        <w:tc>
          <w:tcPr>
            <w:tcW w:w="749" w:type="dxa"/>
            <w:vAlign w:val="center"/>
            <w:hideMark/>
          </w:tcPr>
          <w:p w14:paraId="39D50344"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-.07</w:t>
            </w:r>
          </w:p>
        </w:tc>
        <w:tc>
          <w:tcPr>
            <w:tcW w:w="749" w:type="dxa"/>
            <w:vAlign w:val="center"/>
            <w:hideMark/>
          </w:tcPr>
          <w:p w14:paraId="3BEB2A3C"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.05</w:t>
            </w:r>
          </w:p>
        </w:tc>
        <w:tc>
          <w:tcPr>
            <w:tcW w:w="749" w:type="dxa"/>
            <w:vAlign w:val="center"/>
            <w:hideMark/>
          </w:tcPr>
          <w:p w14:paraId="47C0142A"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.04</w:t>
            </w:r>
          </w:p>
        </w:tc>
        <w:tc>
          <w:tcPr>
            <w:tcW w:w="750" w:type="dxa"/>
            <w:vAlign w:val="center"/>
            <w:hideMark/>
          </w:tcPr>
          <w:p w14:paraId="2ED27D54"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.02</w:t>
            </w:r>
          </w:p>
        </w:tc>
        <w:tc>
          <w:tcPr>
            <w:tcW w:w="749" w:type="dxa"/>
            <w:vAlign w:val="center"/>
            <w:hideMark/>
          </w:tcPr>
          <w:p w14:paraId="5C1ED2D6"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.04</w:t>
            </w:r>
          </w:p>
        </w:tc>
        <w:tc>
          <w:tcPr>
            <w:tcW w:w="749" w:type="dxa"/>
            <w:vAlign w:val="center"/>
            <w:hideMark/>
          </w:tcPr>
          <w:p w14:paraId="258B34FC" w14:textId="77777777" w:rsidR="00882210" w:rsidRPr="00882210" w:rsidRDefault="00882210" w:rsidP="00AB066F">
            <w:pPr>
              <w:spacing w:line="240" w:lineRule="auto"/>
              <w:jc w:val="center"/>
              <w:rPr>
                <w:color w:val="000000" w:themeColor="text1"/>
                <w:sz w:val="22"/>
              </w:rPr>
            </w:pPr>
            <w:r w:rsidRPr="00882210">
              <w:rPr>
                <w:color w:val="000000" w:themeColor="text1"/>
                <w:sz w:val="22"/>
              </w:rPr>
              <w:t>-.30</w:t>
            </w:r>
          </w:p>
        </w:tc>
        <w:tc>
          <w:tcPr>
            <w:tcW w:w="750" w:type="dxa"/>
            <w:vAlign w:val="center"/>
            <w:hideMark/>
          </w:tcPr>
          <w:p w14:paraId="687C67D5" w14:textId="77777777" w:rsidR="00882210" w:rsidRPr="00882210" w:rsidRDefault="00882210" w:rsidP="00AB066F">
            <w:pPr>
              <w:spacing w:line="240" w:lineRule="auto"/>
              <w:jc w:val="center"/>
              <w:rPr>
                <w:color w:val="000000" w:themeColor="text1"/>
                <w:sz w:val="22"/>
              </w:rPr>
            </w:pPr>
            <w:r w:rsidRPr="00882210">
              <w:rPr>
                <w:color w:val="000000" w:themeColor="text1"/>
                <w:sz w:val="22"/>
              </w:rPr>
              <w:t>-.39</w:t>
            </w:r>
          </w:p>
        </w:tc>
        <w:tc>
          <w:tcPr>
            <w:tcW w:w="749" w:type="dxa"/>
            <w:vAlign w:val="center"/>
            <w:hideMark/>
          </w:tcPr>
          <w:p w14:paraId="07A850BE"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.03</w:t>
            </w:r>
          </w:p>
        </w:tc>
        <w:tc>
          <w:tcPr>
            <w:tcW w:w="749" w:type="dxa"/>
            <w:vAlign w:val="center"/>
            <w:hideMark/>
          </w:tcPr>
          <w:p w14:paraId="5F2E2DE3"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.02</w:t>
            </w:r>
          </w:p>
        </w:tc>
        <w:tc>
          <w:tcPr>
            <w:tcW w:w="749" w:type="dxa"/>
            <w:vAlign w:val="center"/>
            <w:hideMark/>
          </w:tcPr>
          <w:p w14:paraId="09A34565"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.04</w:t>
            </w:r>
          </w:p>
        </w:tc>
        <w:tc>
          <w:tcPr>
            <w:tcW w:w="750" w:type="dxa"/>
            <w:vAlign w:val="center"/>
            <w:hideMark/>
          </w:tcPr>
          <w:p w14:paraId="57A9E4B2"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.08</w:t>
            </w:r>
          </w:p>
        </w:tc>
        <w:tc>
          <w:tcPr>
            <w:tcW w:w="749" w:type="dxa"/>
            <w:vAlign w:val="center"/>
            <w:hideMark/>
          </w:tcPr>
          <w:p w14:paraId="2BB75290"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-.15</w:t>
            </w:r>
          </w:p>
        </w:tc>
        <w:tc>
          <w:tcPr>
            <w:tcW w:w="749" w:type="dxa"/>
            <w:vAlign w:val="center"/>
            <w:hideMark/>
          </w:tcPr>
          <w:p w14:paraId="32E7263F" w14:textId="77777777" w:rsidR="00882210" w:rsidRPr="00882210" w:rsidRDefault="00882210" w:rsidP="00AB066F">
            <w:pPr>
              <w:spacing w:line="240" w:lineRule="auto"/>
              <w:jc w:val="center"/>
              <w:rPr>
                <w:color w:val="000000" w:themeColor="text1"/>
                <w:sz w:val="22"/>
              </w:rPr>
            </w:pPr>
            <w:r w:rsidRPr="00882210">
              <w:rPr>
                <w:color w:val="000000" w:themeColor="text1"/>
                <w:sz w:val="22"/>
              </w:rPr>
              <w:t>.62</w:t>
            </w:r>
          </w:p>
        </w:tc>
        <w:tc>
          <w:tcPr>
            <w:tcW w:w="750" w:type="dxa"/>
            <w:vAlign w:val="center"/>
            <w:hideMark/>
          </w:tcPr>
          <w:p w14:paraId="68B300BF"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-.03</w:t>
            </w:r>
          </w:p>
        </w:tc>
      </w:tr>
      <w:tr w:rsidR="00A30BF8" w:rsidRPr="00882210" w14:paraId="19344E28" w14:textId="77777777" w:rsidTr="00C82841">
        <w:trPr>
          <w:trHeight w:val="210"/>
        </w:trPr>
        <w:tc>
          <w:tcPr>
            <w:tcW w:w="491" w:type="dxa"/>
            <w:vAlign w:val="center"/>
          </w:tcPr>
          <w:p w14:paraId="69469071" w14:textId="77777777" w:rsidR="00882210" w:rsidRPr="00882210" w:rsidRDefault="00882210" w:rsidP="00AB066F">
            <w:pPr>
              <w:spacing w:line="240" w:lineRule="auto"/>
              <w:jc w:val="center"/>
              <w:rPr>
                <w:color w:val="000000" w:themeColor="text1"/>
                <w:sz w:val="22"/>
              </w:rPr>
            </w:pPr>
            <w:r w:rsidRPr="00882210">
              <w:rPr>
                <w:color w:val="000000" w:themeColor="text1"/>
                <w:sz w:val="22"/>
              </w:rPr>
              <w:t>22.</w:t>
            </w:r>
          </w:p>
        </w:tc>
        <w:tc>
          <w:tcPr>
            <w:tcW w:w="4395" w:type="dxa"/>
            <w:vAlign w:val="center"/>
            <w:hideMark/>
          </w:tcPr>
          <w:p w14:paraId="53201CC9" w14:textId="77777777" w:rsidR="00882210" w:rsidRPr="00882210" w:rsidRDefault="00882210" w:rsidP="00AB066F">
            <w:pPr>
              <w:spacing w:line="240" w:lineRule="auto"/>
              <w:jc w:val="left"/>
              <w:rPr>
                <w:color w:val="000000" w:themeColor="text1"/>
                <w:sz w:val="22"/>
              </w:rPr>
            </w:pPr>
            <w:r w:rsidRPr="00882210">
              <w:rPr>
                <w:color w:val="000000" w:themeColor="text1"/>
                <w:sz w:val="22"/>
              </w:rPr>
              <w:t>acq_roa_lastyear</w:t>
            </w:r>
          </w:p>
        </w:tc>
        <w:tc>
          <w:tcPr>
            <w:tcW w:w="749" w:type="dxa"/>
            <w:vAlign w:val="center"/>
            <w:hideMark/>
          </w:tcPr>
          <w:p w14:paraId="11FD2DC7"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.08</w:t>
            </w:r>
          </w:p>
        </w:tc>
        <w:tc>
          <w:tcPr>
            <w:tcW w:w="749" w:type="dxa"/>
            <w:vAlign w:val="center"/>
            <w:hideMark/>
          </w:tcPr>
          <w:p w14:paraId="38D1EE34"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-.07</w:t>
            </w:r>
          </w:p>
        </w:tc>
        <w:tc>
          <w:tcPr>
            <w:tcW w:w="749" w:type="dxa"/>
            <w:vAlign w:val="center"/>
            <w:hideMark/>
          </w:tcPr>
          <w:p w14:paraId="68AC2298"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-.06</w:t>
            </w:r>
          </w:p>
        </w:tc>
        <w:tc>
          <w:tcPr>
            <w:tcW w:w="750" w:type="dxa"/>
            <w:vAlign w:val="center"/>
            <w:hideMark/>
          </w:tcPr>
          <w:p w14:paraId="2EB81C07"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-.06</w:t>
            </w:r>
          </w:p>
        </w:tc>
        <w:tc>
          <w:tcPr>
            <w:tcW w:w="749" w:type="dxa"/>
            <w:vAlign w:val="center"/>
            <w:hideMark/>
          </w:tcPr>
          <w:p w14:paraId="68180737"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-.08</w:t>
            </w:r>
          </w:p>
        </w:tc>
        <w:tc>
          <w:tcPr>
            <w:tcW w:w="749" w:type="dxa"/>
            <w:vAlign w:val="center"/>
            <w:hideMark/>
          </w:tcPr>
          <w:p w14:paraId="7CD9BE8A" w14:textId="77777777" w:rsidR="00882210" w:rsidRPr="00882210" w:rsidRDefault="00882210" w:rsidP="00AB066F">
            <w:pPr>
              <w:spacing w:line="240" w:lineRule="auto"/>
              <w:jc w:val="center"/>
              <w:rPr>
                <w:color w:val="000000" w:themeColor="text1"/>
                <w:sz w:val="22"/>
              </w:rPr>
            </w:pPr>
            <w:r w:rsidRPr="00882210">
              <w:rPr>
                <w:color w:val="000000" w:themeColor="text1"/>
                <w:sz w:val="22"/>
              </w:rPr>
              <w:t>.53</w:t>
            </w:r>
          </w:p>
        </w:tc>
        <w:tc>
          <w:tcPr>
            <w:tcW w:w="750" w:type="dxa"/>
            <w:vAlign w:val="center"/>
            <w:hideMark/>
          </w:tcPr>
          <w:p w14:paraId="486FB41C" w14:textId="77777777" w:rsidR="00882210" w:rsidRPr="00882210" w:rsidRDefault="00882210" w:rsidP="00AB066F">
            <w:pPr>
              <w:spacing w:line="240" w:lineRule="auto"/>
              <w:jc w:val="center"/>
              <w:rPr>
                <w:color w:val="000000" w:themeColor="text1"/>
                <w:sz w:val="22"/>
              </w:rPr>
            </w:pPr>
            <w:r w:rsidRPr="00882210">
              <w:rPr>
                <w:color w:val="000000" w:themeColor="text1"/>
                <w:sz w:val="22"/>
              </w:rPr>
              <w:t>.45</w:t>
            </w:r>
          </w:p>
        </w:tc>
        <w:tc>
          <w:tcPr>
            <w:tcW w:w="749" w:type="dxa"/>
            <w:vAlign w:val="center"/>
            <w:hideMark/>
          </w:tcPr>
          <w:p w14:paraId="005D794E"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-.06</w:t>
            </w:r>
          </w:p>
        </w:tc>
        <w:tc>
          <w:tcPr>
            <w:tcW w:w="749" w:type="dxa"/>
            <w:vAlign w:val="center"/>
            <w:hideMark/>
          </w:tcPr>
          <w:p w14:paraId="1D0364BA"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-.02</w:t>
            </w:r>
          </w:p>
        </w:tc>
        <w:tc>
          <w:tcPr>
            <w:tcW w:w="749" w:type="dxa"/>
            <w:vAlign w:val="center"/>
            <w:hideMark/>
          </w:tcPr>
          <w:p w14:paraId="263C00AD"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-.04</w:t>
            </w:r>
          </w:p>
        </w:tc>
        <w:tc>
          <w:tcPr>
            <w:tcW w:w="750" w:type="dxa"/>
            <w:vAlign w:val="center"/>
            <w:hideMark/>
          </w:tcPr>
          <w:p w14:paraId="66F2AB30"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-.04</w:t>
            </w:r>
          </w:p>
        </w:tc>
        <w:tc>
          <w:tcPr>
            <w:tcW w:w="749" w:type="dxa"/>
            <w:vAlign w:val="center"/>
            <w:hideMark/>
          </w:tcPr>
          <w:p w14:paraId="069E2F13"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.02</w:t>
            </w:r>
          </w:p>
        </w:tc>
        <w:tc>
          <w:tcPr>
            <w:tcW w:w="749" w:type="dxa"/>
            <w:vAlign w:val="center"/>
            <w:hideMark/>
          </w:tcPr>
          <w:p w14:paraId="7D80AF2F"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.10</w:t>
            </w:r>
          </w:p>
        </w:tc>
        <w:tc>
          <w:tcPr>
            <w:tcW w:w="750" w:type="dxa"/>
            <w:vAlign w:val="center"/>
            <w:hideMark/>
          </w:tcPr>
          <w:p w14:paraId="4CCDA29F"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-.02</w:t>
            </w:r>
          </w:p>
        </w:tc>
      </w:tr>
      <w:tr w:rsidR="00A30BF8" w:rsidRPr="00882210" w14:paraId="2444B6C4" w14:textId="77777777" w:rsidTr="00C82841">
        <w:trPr>
          <w:trHeight w:val="210"/>
        </w:trPr>
        <w:tc>
          <w:tcPr>
            <w:tcW w:w="491" w:type="dxa"/>
            <w:vAlign w:val="center"/>
          </w:tcPr>
          <w:p w14:paraId="06A719D8" w14:textId="77777777" w:rsidR="00882210" w:rsidRPr="00882210" w:rsidRDefault="00882210" w:rsidP="00AB066F">
            <w:pPr>
              <w:spacing w:line="240" w:lineRule="auto"/>
              <w:jc w:val="center"/>
              <w:rPr>
                <w:color w:val="000000" w:themeColor="text1"/>
                <w:sz w:val="22"/>
              </w:rPr>
            </w:pPr>
            <w:r w:rsidRPr="00882210">
              <w:rPr>
                <w:color w:val="000000" w:themeColor="text1"/>
                <w:sz w:val="22"/>
              </w:rPr>
              <w:t>23.</w:t>
            </w:r>
          </w:p>
        </w:tc>
        <w:tc>
          <w:tcPr>
            <w:tcW w:w="4395" w:type="dxa"/>
            <w:vAlign w:val="center"/>
            <w:hideMark/>
          </w:tcPr>
          <w:p w14:paraId="5397279E" w14:textId="77777777" w:rsidR="00882210" w:rsidRPr="00882210" w:rsidRDefault="00882210" w:rsidP="00AB066F">
            <w:pPr>
              <w:spacing w:line="240" w:lineRule="auto"/>
              <w:jc w:val="left"/>
              <w:rPr>
                <w:color w:val="000000" w:themeColor="text1"/>
                <w:sz w:val="22"/>
              </w:rPr>
            </w:pPr>
            <w:r w:rsidRPr="00882210">
              <w:rPr>
                <w:color w:val="000000" w:themeColor="text1"/>
                <w:sz w:val="22"/>
              </w:rPr>
              <w:t>acq_industrygrowth</w:t>
            </w:r>
          </w:p>
        </w:tc>
        <w:tc>
          <w:tcPr>
            <w:tcW w:w="749" w:type="dxa"/>
            <w:vAlign w:val="center"/>
            <w:hideMark/>
          </w:tcPr>
          <w:p w14:paraId="68D7C26B"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.15</w:t>
            </w:r>
          </w:p>
        </w:tc>
        <w:tc>
          <w:tcPr>
            <w:tcW w:w="749" w:type="dxa"/>
            <w:vAlign w:val="center"/>
            <w:hideMark/>
          </w:tcPr>
          <w:p w14:paraId="384A83E6"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.08</w:t>
            </w:r>
          </w:p>
        </w:tc>
        <w:tc>
          <w:tcPr>
            <w:tcW w:w="749" w:type="dxa"/>
            <w:vAlign w:val="center"/>
            <w:hideMark/>
          </w:tcPr>
          <w:p w14:paraId="1DB2E027"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.09</w:t>
            </w:r>
          </w:p>
        </w:tc>
        <w:tc>
          <w:tcPr>
            <w:tcW w:w="750" w:type="dxa"/>
            <w:vAlign w:val="center"/>
            <w:hideMark/>
          </w:tcPr>
          <w:p w14:paraId="724E0A96"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.09</w:t>
            </w:r>
          </w:p>
        </w:tc>
        <w:tc>
          <w:tcPr>
            <w:tcW w:w="749" w:type="dxa"/>
            <w:vAlign w:val="center"/>
            <w:hideMark/>
          </w:tcPr>
          <w:p w14:paraId="36F91534"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.09</w:t>
            </w:r>
          </w:p>
        </w:tc>
        <w:tc>
          <w:tcPr>
            <w:tcW w:w="749" w:type="dxa"/>
            <w:vAlign w:val="center"/>
            <w:hideMark/>
          </w:tcPr>
          <w:p w14:paraId="0CAF3759"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.01</w:t>
            </w:r>
          </w:p>
        </w:tc>
        <w:tc>
          <w:tcPr>
            <w:tcW w:w="750" w:type="dxa"/>
            <w:vAlign w:val="center"/>
            <w:hideMark/>
          </w:tcPr>
          <w:p w14:paraId="38EB0170"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.01</w:t>
            </w:r>
          </w:p>
        </w:tc>
        <w:tc>
          <w:tcPr>
            <w:tcW w:w="749" w:type="dxa"/>
            <w:vAlign w:val="center"/>
            <w:hideMark/>
          </w:tcPr>
          <w:p w14:paraId="2AA2F0B1"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-.06</w:t>
            </w:r>
          </w:p>
        </w:tc>
        <w:tc>
          <w:tcPr>
            <w:tcW w:w="749" w:type="dxa"/>
            <w:vAlign w:val="center"/>
            <w:hideMark/>
          </w:tcPr>
          <w:p w14:paraId="47F88952"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-.06</w:t>
            </w:r>
          </w:p>
        </w:tc>
        <w:tc>
          <w:tcPr>
            <w:tcW w:w="749" w:type="dxa"/>
            <w:vAlign w:val="center"/>
            <w:hideMark/>
          </w:tcPr>
          <w:p w14:paraId="24B8F285"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-.06</w:t>
            </w:r>
          </w:p>
        </w:tc>
        <w:tc>
          <w:tcPr>
            <w:tcW w:w="750" w:type="dxa"/>
            <w:vAlign w:val="center"/>
            <w:hideMark/>
          </w:tcPr>
          <w:p w14:paraId="663CA916"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.004</w:t>
            </w:r>
          </w:p>
        </w:tc>
        <w:tc>
          <w:tcPr>
            <w:tcW w:w="749" w:type="dxa"/>
            <w:vAlign w:val="center"/>
            <w:hideMark/>
          </w:tcPr>
          <w:p w14:paraId="402FA9DA"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.07</w:t>
            </w:r>
          </w:p>
        </w:tc>
        <w:tc>
          <w:tcPr>
            <w:tcW w:w="749" w:type="dxa"/>
            <w:vAlign w:val="center"/>
            <w:hideMark/>
          </w:tcPr>
          <w:p w14:paraId="7F93E982"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.03</w:t>
            </w:r>
          </w:p>
        </w:tc>
        <w:tc>
          <w:tcPr>
            <w:tcW w:w="750" w:type="dxa"/>
            <w:vAlign w:val="center"/>
            <w:hideMark/>
          </w:tcPr>
          <w:p w14:paraId="68720DD8"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.15</w:t>
            </w:r>
          </w:p>
        </w:tc>
      </w:tr>
      <w:tr w:rsidR="00A30BF8" w:rsidRPr="00882210" w14:paraId="1D17E791" w14:textId="77777777" w:rsidTr="00C82841">
        <w:trPr>
          <w:trHeight w:val="210"/>
        </w:trPr>
        <w:tc>
          <w:tcPr>
            <w:tcW w:w="491" w:type="dxa"/>
            <w:vAlign w:val="center"/>
          </w:tcPr>
          <w:p w14:paraId="7B2451F2" w14:textId="77777777" w:rsidR="00882210" w:rsidRPr="00882210" w:rsidRDefault="00882210" w:rsidP="00AB066F">
            <w:pPr>
              <w:spacing w:line="240" w:lineRule="auto"/>
              <w:jc w:val="center"/>
              <w:rPr>
                <w:color w:val="000000" w:themeColor="text1"/>
                <w:sz w:val="22"/>
              </w:rPr>
            </w:pPr>
            <w:r w:rsidRPr="00882210">
              <w:rPr>
                <w:color w:val="000000" w:themeColor="text1"/>
                <w:sz w:val="22"/>
              </w:rPr>
              <w:t>24.</w:t>
            </w:r>
          </w:p>
        </w:tc>
        <w:tc>
          <w:tcPr>
            <w:tcW w:w="4395" w:type="dxa"/>
            <w:vAlign w:val="center"/>
            <w:hideMark/>
          </w:tcPr>
          <w:p w14:paraId="3B689B76" w14:textId="77777777" w:rsidR="00882210" w:rsidRPr="00882210" w:rsidRDefault="00882210" w:rsidP="00AB066F">
            <w:pPr>
              <w:spacing w:line="240" w:lineRule="auto"/>
              <w:jc w:val="left"/>
              <w:rPr>
                <w:color w:val="000000" w:themeColor="text1"/>
                <w:sz w:val="22"/>
              </w:rPr>
            </w:pPr>
            <w:r w:rsidRPr="00882210">
              <w:rPr>
                <w:color w:val="000000" w:themeColor="text1"/>
                <w:sz w:val="22"/>
              </w:rPr>
              <w:t>acq_dealexperience</w:t>
            </w:r>
          </w:p>
        </w:tc>
        <w:tc>
          <w:tcPr>
            <w:tcW w:w="749" w:type="dxa"/>
            <w:vAlign w:val="center"/>
            <w:hideMark/>
          </w:tcPr>
          <w:p w14:paraId="3720E319"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-.06</w:t>
            </w:r>
          </w:p>
        </w:tc>
        <w:tc>
          <w:tcPr>
            <w:tcW w:w="749" w:type="dxa"/>
            <w:vAlign w:val="center"/>
            <w:hideMark/>
          </w:tcPr>
          <w:p w14:paraId="03B4F8C6"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.13</w:t>
            </w:r>
          </w:p>
        </w:tc>
        <w:tc>
          <w:tcPr>
            <w:tcW w:w="749" w:type="dxa"/>
            <w:vAlign w:val="center"/>
            <w:hideMark/>
          </w:tcPr>
          <w:p w14:paraId="50B86A5E"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.10</w:t>
            </w:r>
          </w:p>
        </w:tc>
        <w:tc>
          <w:tcPr>
            <w:tcW w:w="750" w:type="dxa"/>
            <w:vAlign w:val="center"/>
            <w:hideMark/>
          </w:tcPr>
          <w:p w14:paraId="4DD578F5"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.10</w:t>
            </w:r>
          </w:p>
        </w:tc>
        <w:tc>
          <w:tcPr>
            <w:tcW w:w="749" w:type="dxa"/>
            <w:vAlign w:val="center"/>
            <w:hideMark/>
          </w:tcPr>
          <w:p w14:paraId="118E1C8F"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.13</w:t>
            </w:r>
          </w:p>
        </w:tc>
        <w:tc>
          <w:tcPr>
            <w:tcW w:w="749" w:type="dxa"/>
            <w:vAlign w:val="center"/>
            <w:hideMark/>
          </w:tcPr>
          <w:p w14:paraId="13EA4D5A"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-.12</w:t>
            </w:r>
          </w:p>
        </w:tc>
        <w:tc>
          <w:tcPr>
            <w:tcW w:w="750" w:type="dxa"/>
            <w:vAlign w:val="center"/>
            <w:hideMark/>
          </w:tcPr>
          <w:p w14:paraId="1EA64067"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-.12</w:t>
            </w:r>
          </w:p>
        </w:tc>
        <w:tc>
          <w:tcPr>
            <w:tcW w:w="749" w:type="dxa"/>
            <w:vAlign w:val="center"/>
            <w:hideMark/>
          </w:tcPr>
          <w:p w14:paraId="6B016690"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.03</w:t>
            </w:r>
          </w:p>
        </w:tc>
        <w:tc>
          <w:tcPr>
            <w:tcW w:w="749" w:type="dxa"/>
            <w:vAlign w:val="center"/>
            <w:hideMark/>
          </w:tcPr>
          <w:p w14:paraId="2FC89687"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.03</w:t>
            </w:r>
          </w:p>
        </w:tc>
        <w:tc>
          <w:tcPr>
            <w:tcW w:w="749" w:type="dxa"/>
            <w:vAlign w:val="center"/>
            <w:hideMark/>
          </w:tcPr>
          <w:p w14:paraId="3D438864"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.06</w:t>
            </w:r>
          </w:p>
        </w:tc>
        <w:tc>
          <w:tcPr>
            <w:tcW w:w="750" w:type="dxa"/>
            <w:vAlign w:val="center"/>
            <w:hideMark/>
          </w:tcPr>
          <w:p w14:paraId="62D44BE1"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-.06</w:t>
            </w:r>
          </w:p>
        </w:tc>
        <w:tc>
          <w:tcPr>
            <w:tcW w:w="749" w:type="dxa"/>
            <w:vAlign w:val="center"/>
            <w:hideMark/>
          </w:tcPr>
          <w:p w14:paraId="056FD1A1"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-.17</w:t>
            </w:r>
          </w:p>
        </w:tc>
        <w:tc>
          <w:tcPr>
            <w:tcW w:w="749" w:type="dxa"/>
            <w:vAlign w:val="center"/>
            <w:hideMark/>
          </w:tcPr>
          <w:p w14:paraId="2DC9CDA1" w14:textId="77777777" w:rsidR="00882210" w:rsidRPr="00882210" w:rsidRDefault="00882210" w:rsidP="00AB066F">
            <w:pPr>
              <w:spacing w:line="240" w:lineRule="auto"/>
              <w:jc w:val="center"/>
              <w:rPr>
                <w:color w:val="000000" w:themeColor="text1"/>
                <w:sz w:val="22"/>
              </w:rPr>
            </w:pPr>
            <w:r w:rsidRPr="00882210">
              <w:rPr>
                <w:color w:val="000000" w:themeColor="text1"/>
                <w:sz w:val="22"/>
              </w:rPr>
              <w:t>.26</w:t>
            </w:r>
          </w:p>
        </w:tc>
        <w:tc>
          <w:tcPr>
            <w:tcW w:w="750" w:type="dxa"/>
            <w:vAlign w:val="center"/>
            <w:hideMark/>
          </w:tcPr>
          <w:p w14:paraId="31E25F8C"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-.08</w:t>
            </w:r>
          </w:p>
        </w:tc>
      </w:tr>
      <w:tr w:rsidR="00A30BF8" w:rsidRPr="00882210" w14:paraId="08AA6DFB" w14:textId="77777777" w:rsidTr="00C82841">
        <w:trPr>
          <w:trHeight w:val="210"/>
        </w:trPr>
        <w:tc>
          <w:tcPr>
            <w:tcW w:w="491" w:type="dxa"/>
            <w:vAlign w:val="center"/>
          </w:tcPr>
          <w:p w14:paraId="391B5867" w14:textId="77777777" w:rsidR="00882210" w:rsidRPr="00882210" w:rsidRDefault="00882210" w:rsidP="00AB066F">
            <w:pPr>
              <w:spacing w:line="240" w:lineRule="auto"/>
              <w:jc w:val="center"/>
              <w:rPr>
                <w:color w:val="000000" w:themeColor="text1"/>
                <w:sz w:val="22"/>
              </w:rPr>
            </w:pPr>
            <w:r w:rsidRPr="00882210">
              <w:rPr>
                <w:color w:val="000000" w:themeColor="text1"/>
                <w:sz w:val="22"/>
              </w:rPr>
              <w:t>25.</w:t>
            </w:r>
          </w:p>
        </w:tc>
        <w:tc>
          <w:tcPr>
            <w:tcW w:w="4395" w:type="dxa"/>
            <w:vAlign w:val="center"/>
            <w:hideMark/>
          </w:tcPr>
          <w:p w14:paraId="691B4022" w14:textId="77777777" w:rsidR="00882210" w:rsidRPr="00882210" w:rsidRDefault="00882210" w:rsidP="00AB066F">
            <w:pPr>
              <w:spacing w:line="240" w:lineRule="auto"/>
              <w:jc w:val="left"/>
              <w:rPr>
                <w:color w:val="000000" w:themeColor="text1"/>
                <w:sz w:val="22"/>
              </w:rPr>
            </w:pPr>
            <w:r w:rsidRPr="00882210">
              <w:rPr>
                <w:color w:val="000000" w:themeColor="text1"/>
                <w:sz w:val="22"/>
              </w:rPr>
              <w:t>acq_rd_intensity</w:t>
            </w:r>
          </w:p>
        </w:tc>
        <w:tc>
          <w:tcPr>
            <w:tcW w:w="749" w:type="dxa"/>
            <w:vAlign w:val="center"/>
            <w:hideMark/>
          </w:tcPr>
          <w:p w14:paraId="55783496"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.04</w:t>
            </w:r>
          </w:p>
        </w:tc>
        <w:tc>
          <w:tcPr>
            <w:tcW w:w="749" w:type="dxa"/>
            <w:vAlign w:val="center"/>
            <w:hideMark/>
          </w:tcPr>
          <w:p w14:paraId="7F864F55"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-.04</w:t>
            </w:r>
          </w:p>
        </w:tc>
        <w:tc>
          <w:tcPr>
            <w:tcW w:w="749" w:type="dxa"/>
            <w:vAlign w:val="center"/>
            <w:hideMark/>
          </w:tcPr>
          <w:p w14:paraId="5E9E5ED9"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-.06</w:t>
            </w:r>
          </w:p>
        </w:tc>
        <w:tc>
          <w:tcPr>
            <w:tcW w:w="750" w:type="dxa"/>
            <w:vAlign w:val="center"/>
            <w:hideMark/>
          </w:tcPr>
          <w:p w14:paraId="7CA9851E"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-.05</w:t>
            </w:r>
          </w:p>
        </w:tc>
        <w:tc>
          <w:tcPr>
            <w:tcW w:w="749" w:type="dxa"/>
            <w:vAlign w:val="center"/>
            <w:hideMark/>
          </w:tcPr>
          <w:p w14:paraId="0E64CB62"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-.03</w:t>
            </w:r>
          </w:p>
        </w:tc>
        <w:tc>
          <w:tcPr>
            <w:tcW w:w="749" w:type="dxa"/>
            <w:vAlign w:val="center"/>
            <w:hideMark/>
          </w:tcPr>
          <w:p w14:paraId="4BDB2F44"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.19</w:t>
            </w:r>
          </w:p>
        </w:tc>
        <w:tc>
          <w:tcPr>
            <w:tcW w:w="750" w:type="dxa"/>
            <w:vAlign w:val="center"/>
            <w:hideMark/>
          </w:tcPr>
          <w:p w14:paraId="32B1142D" w14:textId="77777777" w:rsidR="00882210" w:rsidRPr="00882210" w:rsidRDefault="00882210" w:rsidP="00AB066F">
            <w:pPr>
              <w:spacing w:line="240" w:lineRule="auto"/>
              <w:jc w:val="center"/>
              <w:rPr>
                <w:color w:val="000000" w:themeColor="text1"/>
                <w:sz w:val="22"/>
              </w:rPr>
            </w:pPr>
            <w:r w:rsidRPr="00882210">
              <w:rPr>
                <w:color w:val="000000" w:themeColor="text1"/>
                <w:sz w:val="22"/>
              </w:rPr>
              <w:t>.23</w:t>
            </w:r>
          </w:p>
        </w:tc>
        <w:tc>
          <w:tcPr>
            <w:tcW w:w="749" w:type="dxa"/>
            <w:vAlign w:val="center"/>
            <w:hideMark/>
          </w:tcPr>
          <w:p w14:paraId="4E5FDF55"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.03</w:t>
            </w:r>
          </w:p>
        </w:tc>
        <w:tc>
          <w:tcPr>
            <w:tcW w:w="749" w:type="dxa"/>
            <w:vAlign w:val="center"/>
            <w:hideMark/>
          </w:tcPr>
          <w:p w14:paraId="4F07A9AD"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.07</w:t>
            </w:r>
          </w:p>
        </w:tc>
        <w:tc>
          <w:tcPr>
            <w:tcW w:w="749" w:type="dxa"/>
            <w:vAlign w:val="center"/>
            <w:hideMark/>
          </w:tcPr>
          <w:p w14:paraId="74053DF7"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.09</w:t>
            </w:r>
          </w:p>
        </w:tc>
        <w:tc>
          <w:tcPr>
            <w:tcW w:w="750" w:type="dxa"/>
            <w:vAlign w:val="center"/>
            <w:hideMark/>
          </w:tcPr>
          <w:p w14:paraId="0827310F"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.08</w:t>
            </w:r>
          </w:p>
        </w:tc>
        <w:tc>
          <w:tcPr>
            <w:tcW w:w="749" w:type="dxa"/>
            <w:vAlign w:val="center"/>
            <w:hideMark/>
          </w:tcPr>
          <w:p w14:paraId="6291B788"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-.07</w:t>
            </w:r>
          </w:p>
        </w:tc>
        <w:tc>
          <w:tcPr>
            <w:tcW w:w="749" w:type="dxa"/>
            <w:vAlign w:val="center"/>
            <w:hideMark/>
          </w:tcPr>
          <w:p w14:paraId="0B3AC742"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.05</w:t>
            </w:r>
          </w:p>
        </w:tc>
        <w:tc>
          <w:tcPr>
            <w:tcW w:w="750" w:type="dxa"/>
            <w:vAlign w:val="center"/>
            <w:hideMark/>
          </w:tcPr>
          <w:p w14:paraId="68FAE333"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-.09</w:t>
            </w:r>
          </w:p>
        </w:tc>
      </w:tr>
      <w:tr w:rsidR="00A30BF8" w:rsidRPr="00882210" w14:paraId="47E624FC" w14:textId="77777777" w:rsidTr="00C82841">
        <w:trPr>
          <w:trHeight w:val="210"/>
        </w:trPr>
        <w:tc>
          <w:tcPr>
            <w:tcW w:w="491" w:type="dxa"/>
            <w:vAlign w:val="center"/>
          </w:tcPr>
          <w:p w14:paraId="0D49FD5E" w14:textId="77777777" w:rsidR="00882210" w:rsidRPr="00882210" w:rsidRDefault="00882210" w:rsidP="00AB066F">
            <w:pPr>
              <w:spacing w:line="240" w:lineRule="auto"/>
              <w:jc w:val="center"/>
              <w:rPr>
                <w:color w:val="000000" w:themeColor="text1"/>
                <w:sz w:val="22"/>
              </w:rPr>
            </w:pPr>
            <w:r w:rsidRPr="00882210">
              <w:rPr>
                <w:color w:val="000000" w:themeColor="text1"/>
                <w:sz w:val="22"/>
              </w:rPr>
              <w:t>26.</w:t>
            </w:r>
          </w:p>
        </w:tc>
        <w:tc>
          <w:tcPr>
            <w:tcW w:w="4395" w:type="dxa"/>
            <w:vAlign w:val="center"/>
            <w:hideMark/>
          </w:tcPr>
          <w:p w14:paraId="6A89C80D" w14:textId="77777777" w:rsidR="00882210" w:rsidRPr="00882210" w:rsidRDefault="00882210" w:rsidP="00AB066F">
            <w:pPr>
              <w:spacing w:line="240" w:lineRule="auto"/>
              <w:jc w:val="left"/>
              <w:rPr>
                <w:color w:val="000000" w:themeColor="text1"/>
                <w:sz w:val="22"/>
              </w:rPr>
            </w:pPr>
            <w:r w:rsidRPr="00882210">
              <w:rPr>
                <w:color w:val="000000" w:themeColor="text1"/>
                <w:sz w:val="22"/>
              </w:rPr>
              <w:t>tar_age</w:t>
            </w:r>
          </w:p>
        </w:tc>
        <w:tc>
          <w:tcPr>
            <w:tcW w:w="749" w:type="dxa"/>
            <w:vAlign w:val="center"/>
            <w:hideMark/>
          </w:tcPr>
          <w:p w14:paraId="42CC90CF"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-.17</w:t>
            </w:r>
          </w:p>
        </w:tc>
        <w:tc>
          <w:tcPr>
            <w:tcW w:w="749" w:type="dxa"/>
            <w:vAlign w:val="center"/>
            <w:hideMark/>
          </w:tcPr>
          <w:p w14:paraId="3CDC393B"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-.10</w:t>
            </w:r>
          </w:p>
        </w:tc>
        <w:tc>
          <w:tcPr>
            <w:tcW w:w="749" w:type="dxa"/>
            <w:vAlign w:val="center"/>
            <w:hideMark/>
          </w:tcPr>
          <w:p w14:paraId="678C52B7"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-.10</w:t>
            </w:r>
          </w:p>
        </w:tc>
        <w:tc>
          <w:tcPr>
            <w:tcW w:w="750" w:type="dxa"/>
            <w:vAlign w:val="center"/>
            <w:hideMark/>
          </w:tcPr>
          <w:p w14:paraId="0D4E1EDC"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-.09</w:t>
            </w:r>
          </w:p>
        </w:tc>
        <w:tc>
          <w:tcPr>
            <w:tcW w:w="749" w:type="dxa"/>
            <w:vAlign w:val="center"/>
            <w:hideMark/>
          </w:tcPr>
          <w:p w14:paraId="09029260"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-.11</w:t>
            </w:r>
          </w:p>
        </w:tc>
        <w:tc>
          <w:tcPr>
            <w:tcW w:w="749" w:type="dxa"/>
            <w:vAlign w:val="center"/>
            <w:hideMark/>
          </w:tcPr>
          <w:p w14:paraId="42B6260C"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-.03</w:t>
            </w:r>
          </w:p>
        </w:tc>
        <w:tc>
          <w:tcPr>
            <w:tcW w:w="750" w:type="dxa"/>
            <w:vAlign w:val="center"/>
            <w:hideMark/>
          </w:tcPr>
          <w:p w14:paraId="60DE6489"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-.02</w:t>
            </w:r>
          </w:p>
        </w:tc>
        <w:tc>
          <w:tcPr>
            <w:tcW w:w="749" w:type="dxa"/>
            <w:vAlign w:val="center"/>
            <w:hideMark/>
          </w:tcPr>
          <w:p w14:paraId="4EC3D53A"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-.03</w:t>
            </w:r>
          </w:p>
        </w:tc>
        <w:tc>
          <w:tcPr>
            <w:tcW w:w="749" w:type="dxa"/>
            <w:vAlign w:val="center"/>
            <w:hideMark/>
          </w:tcPr>
          <w:p w14:paraId="49D7FCC5"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-.06</w:t>
            </w:r>
          </w:p>
        </w:tc>
        <w:tc>
          <w:tcPr>
            <w:tcW w:w="749" w:type="dxa"/>
            <w:vAlign w:val="center"/>
            <w:hideMark/>
          </w:tcPr>
          <w:p w14:paraId="7E08DE37"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-.05</w:t>
            </w:r>
          </w:p>
        </w:tc>
        <w:tc>
          <w:tcPr>
            <w:tcW w:w="750" w:type="dxa"/>
            <w:vAlign w:val="center"/>
            <w:hideMark/>
          </w:tcPr>
          <w:p w14:paraId="3541DD37"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-.07</w:t>
            </w:r>
          </w:p>
        </w:tc>
        <w:tc>
          <w:tcPr>
            <w:tcW w:w="749" w:type="dxa"/>
            <w:vAlign w:val="center"/>
            <w:hideMark/>
          </w:tcPr>
          <w:p w14:paraId="3AD05CED"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-.12</w:t>
            </w:r>
          </w:p>
        </w:tc>
        <w:tc>
          <w:tcPr>
            <w:tcW w:w="749" w:type="dxa"/>
            <w:vAlign w:val="center"/>
            <w:hideMark/>
          </w:tcPr>
          <w:p w14:paraId="6689B0AF"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.15</w:t>
            </w:r>
          </w:p>
        </w:tc>
        <w:tc>
          <w:tcPr>
            <w:tcW w:w="750" w:type="dxa"/>
            <w:vAlign w:val="center"/>
            <w:hideMark/>
          </w:tcPr>
          <w:p w14:paraId="4B4C1971"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.05</w:t>
            </w:r>
          </w:p>
        </w:tc>
      </w:tr>
      <w:tr w:rsidR="00A30BF8" w:rsidRPr="00882210" w14:paraId="4B6DBC8D" w14:textId="77777777" w:rsidTr="00C82841">
        <w:trPr>
          <w:trHeight w:val="210"/>
        </w:trPr>
        <w:tc>
          <w:tcPr>
            <w:tcW w:w="491" w:type="dxa"/>
            <w:vAlign w:val="center"/>
          </w:tcPr>
          <w:p w14:paraId="6325B50E" w14:textId="77777777" w:rsidR="00882210" w:rsidRPr="00882210" w:rsidRDefault="00882210" w:rsidP="00AB066F">
            <w:pPr>
              <w:spacing w:line="240" w:lineRule="auto"/>
              <w:jc w:val="center"/>
              <w:rPr>
                <w:color w:val="000000" w:themeColor="text1"/>
                <w:sz w:val="22"/>
              </w:rPr>
            </w:pPr>
            <w:r w:rsidRPr="00882210">
              <w:rPr>
                <w:color w:val="000000" w:themeColor="text1"/>
                <w:sz w:val="22"/>
              </w:rPr>
              <w:t>27.</w:t>
            </w:r>
          </w:p>
        </w:tc>
        <w:tc>
          <w:tcPr>
            <w:tcW w:w="4395" w:type="dxa"/>
            <w:vAlign w:val="center"/>
            <w:hideMark/>
          </w:tcPr>
          <w:p w14:paraId="389FCE4D" w14:textId="77777777" w:rsidR="00882210" w:rsidRPr="00882210" w:rsidRDefault="00882210" w:rsidP="00AB066F">
            <w:pPr>
              <w:spacing w:line="240" w:lineRule="auto"/>
              <w:jc w:val="left"/>
              <w:rPr>
                <w:color w:val="000000" w:themeColor="text1"/>
                <w:sz w:val="22"/>
              </w:rPr>
            </w:pPr>
            <w:r w:rsidRPr="00882210">
              <w:rPr>
                <w:color w:val="000000" w:themeColor="text1"/>
                <w:sz w:val="22"/>
              </w:rPr>
              <w:t>tar_assets_lastyear_ln</w:t>
            </w:r>
          </w:p>
        </w:tc>
        <w:tc>
          <w:tcPr>
            <w:tcW w:w="749" w:type="dxa"/>
            <w:vAlign w:val="center"/>
            <w:hideMark/>
          </w:tcPr>
          <w:p w14:paraId="65BA2F3F" w14:textId="77777777" w:rsidR="00882210" w:rsidRPr="00882210" w:rsidRDefault="00882210" w:rsidP="00AB066F">
            <w:pPr>
              <w:spacing w:line="240" w:lineRule="auto"/>
              <w:jc w:val="center"/>
              <w:rPr>
                <w:color w:val="000000" w:themeColor="text1"/>
                <w:sz w:val="22"/>
              </w:rPr>
            </w:pPr>
            <w:r w:rsidRPr="00882210">
              <w:rPr>
                <w:color w:val="000000" w:themeColor="text1"/>
                <w:sz w:val="22"/>
              </w:rPr>
              <w:t>-.26</w:t>
            </w:r>
          </w:p>
        </w:tc>
        <w:tc>
          <w:tcPr>
            <w:tcW w:w="749" w:type="dxa"/>
            <w:vAlign w:val="center"/>
            <w:hideMark/>
          </w:tcPr>
          <w:p w14:paraId="32B36478"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-.05</w:t>
            </w:r>
          </w:p>
        </w:tc>
        <w:tc>
          <w:tcPr>
            <w:tcW w:w="749" w:type="dxa"/>
            <w:vAlign w:val="center"/>
            <w:hideMark/>
          </w:tcPr>
          <w:p w14:paraId="27222E9B"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-.06</w:t>
            </w:r>
          </w:p>
        </w:tc>
        <w:tc>
          <w:tcPr>
            <w:tcW w:w="750" w:type="dxa"/>
            <w:vAlign w:val="center"/>
            <w:hideMark/>
          </w:tcPr>
          <w:p w14:paraId="6562B012"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-.08</w:t>
            </w:r>
          </w:p>
        </w:tc>
        <w:tc>
          <w:tcPr>
            <w:tcW w:w="749" w:type="dxa"/>
            <w:vAlign w:val="center"/>
            <w:hideMark/>
          </w:tcPr>
          <w:p w14:paraId="1609927C"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-.07</w:t>
            </w:r>
          </w:p>
        </w:tc>
        <w:tc>
          <w:tcPr>
            <w:tcW w:w="749" w:type="dxa"/>
            <w:vAlign w:val="center"/>
            <w:hideMark/>
          </w:tcPr>
          <w:p w14:paraId="084560C3"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.14</w:t>
            </w:r>
          </w:p>
        </w:tc>
        <w:tc>
          <w:tcPr>
            <w:tcW w:w="750" w:type="dxa"/>
            <w:vAlign w:val="center"/>
            <w:hideMark/>
          </w:tcPr>
          <w:p w14:paraId="689DD7C7"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.10</w:t>
            </w:r>
          </w:p>
        </w:tc>
        <w:tc>
          <w:tcPr>
            <w:tcW w:w="749" w:type="dxa"/>
            <w:vAlign w:val="center"/>
            <w:hideMark/>
          </w:tcPr>
          <w:p w14:paraId="0A6BDD50"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-.12</w:t>
            </w:r>
          </w:p>
        </w:tc>
        <w:tc>
          <w:tcPr>
            <w:tcW w:w="749" w:type="dxa"/>
            <w:vAlign w:val="center"/>
            <w:hideMark/>
          </w:tcPr>
          <w:p w14:paraId="67160EBE"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-.14</w:t>
            </w:r>
          </w:p>
        </w:tc>
        <w:tc>
          <w:tcPr>
            <w:tcW w:w="749" w:type="dxa"/>
            <w:vAlign w:val="center"/>
            <w:hideMark/>
          </w:tcPr>
          <w:p w14:paraId="54407034"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-.17</w:t>
            </w:r>
          </w:p>
        </w:tc>
        <w:tc>
          <w:tcPr>
            <w:tcW w:w="750" w:type="dxa"/>
            <w:vAlign w:val="center"/>
            <w:hideMark/>
          </w:tcPr>
          <w:p w14:paraId="471D6B48"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.04</w:t>
            </w:r>
          </w:p>
        </w:tc>
        <w:tc>
          <w:tcPr>
            <w:tcW w:w="749" w:type="dxa"/>
            <w:vAlign w:val="center"/>
            <w:hideMark/>
          </w:tcPr>
          <w:p w14:paraId="4EA994AE"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-.19</w:t>
            </w:r>
          </w:p>
        </w:tc>
        <w:tc>
          <w:tcPr>
            <w:tcW w:w="749" w:type="dxa"/>
            <w:vAlign w:val="center"/>
            <w:hideMark/>
          </w:tcPr>
          <w:p w14:paraId="5AB9A3C9" w14:textId="77777777" w:rsidR="00882210" w:rsidRPr="00882210" w:rsidRDefault="00882210" w:rsidP="00AB066F">
            <w:pPr>
              <w:spacing w:line="240" w:lineRule="auto"/>
              <w:jc w:val="center"/>
              <w:rPr>
                <w:color w:val="000000" w:themeColor="text1"/>
                <w:sz w:val="22"/>
              </w:rPr>
            </w:pPr>
            <w:r w:rsidRPr="00882210">
              <w:rPr>
                <w:color w:val="000000" w:themeColor="text1"/>
                <w:sz w:val="22"/>
              </w:rPr>
              <w:t>.77</w:t>
            </w:r>
          </w:p>
        </w:tc>
        <w:tc>
          <w:tcPr>
            <w:tcW w:w="750" w:type="dxa"/>
            <w:vAlign w:val="center"/>
            <w:hideMark/>
          </w:tcPr>
          <w:p w14:paraId="1ECD484A"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-.01</w:t>
            </w:r>
          </w:p>
        </w:tc>
      </w:tr>
      <w:tr w:rsidR="00A30BF8" w:rsidRPr="00882210" w14:paraId="10D75CA7" w14:textId="77777777" w:rsidTr="00C82841">
        <w:trPr>
          <w:trHeight w:val="210"/>
        </w:trPr>
        <w:tc>
          <w:tcPr>
            <w:tcW w:w="491" w:type="dxa"/>
            <w:vAlign w:val="center"/>
          </w:tcPr>
          <w:p w14:paraId="4BE7518D" w14:textId="77777777" w:rsidR="00882210" w:rsidRPr="00882210" w:rsidRDefault="00882210" w:rsidP="00AB066F">
            <w:pPr>
              <w:spacing w:line="240" w:lineRule="auto"/>
              <w:jc w:val="center"/>
              <w:rPr>
                <w:color w:val="000000" w:themeColor="text1"/>
                <w:sz w:val="22"/>
              </w:rPr>
            </w:pPr>
            <w:r w:rsidRPr="00882210">
              <w:rPr>
                <w:color w:val="000000" w:themeColor="text1"/>
                <w:sz w:val="22"/>
              </w:rPr>
              <w:t>28.</w:t>
            </w:r>
          </w:p>
        </w:tc>
        <w:tc>
          <w:tcPr>
            <w:tcW w:w="4395" w:type="dxa"/>
            <w:vAlign w:val="center"/>
            <w:hideMark/>
          </w:tcPr>
          <w:p w14:paraId="04307062" w14:textId="77777777" w:rsidR="00882210" w:rsidRPr="00882210" w:rsidRDefault="00882210" w:rsidP="00AB066F">
            <w:pPr>
              <w:spacing w:line="240" w:lineRule="auto"/>
              <w:jc w:val="left"/>
              <w:rPr>
                <w:color w:val="000000" w:themeColor="text1"/>
                <w:sz w:val="22"/>
              </w:rPr>
            </w:pPr>
            <w:r w:rsidRPr="00882210">
              <w:rPr>
                <w:color w:val="000000" w:themeColor="text1"/>
                <w:sz w:val="22"/>
              </w:rPr>
              <w:t>tar_roa_lastyear</w:t>
            </w:r>
          </w:p>
        </w:tc>
        <w:tc>
          <w:tcPr>
            <w:tcW w:w="749" w:type="dxa"/>
            <w:vAlign w:val="center"/>
            <w:hideMark/>
          </w:tcPr>
          <w:p w14:paraId="51541121"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-.13</w:t>
            </w:r>
          </w:p>
        </w:tc>
        <w:tc>
          <w:tcPr>
            <w:tcW w:w="749" w:type="dxa"/>
            <w:vAlign w:val="center"/>
            <w:hideMark/>
          </w:tcPr>
          <w:p w14:paraId="2121FB4D"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-.05</w:t>
            </w:r>
          </w:p>
        </w:tc>
        <w:tc>
          <w:tcPr>
            <w:tcW w:w="749" w:type="dxa"/>
            <w:vAlign w:val="center"/>
            <w:hideMark/>
          </w:tcPr>
          <w:p w14:paraId="2FB28A6C"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-.07</w:t>
            </w:r>
          </w:p>
        </w:tc>
        <w:tc>
          <w:tcPr>
            <w:tcW w:w="750" w:type="dxa"/>
            <w:vAlign w:val="center"/>
            <w:hideMark/>
          </w:tcPr>
          <w:p w14:paraId="6F7515B7"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-.05</w:t>
            </w:r>
          </w:p>
        </w:tc>
        <w:tc>
          <w:tcPr>
            <w:tcW w:w="749" w:type="dxa"/>
            <w:vAlign w:val="center"/>
            <w:hideMark/>
          </w:tcPr>
          <w:p w14:paraId="79CF0E6E"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-.06</w:t>
            </w:r>
          </w:p>
        </w:tc>
        <w:tc>
          <w:tcPr>
            <w:tcW w:w="749" w:type="dxa"/>
            <w:vAlign w:val="center"/>
            <w:hideMark/>
          </w:tcPr>
          <w:p w14:paraId="17698308"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-.01</w:t>
            </w:r>
          </w:p>
        </w:tc>
        <w:tc>
          <w:tcPr>
            <w:tcW w:w="750" w:type="dxa"/>
            <w:vAlign w:val="center"/>
            <w:hideMark/>
          </w:tcPr>
          <w:p w14:paraId="45D48121"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-.03</w:t>
            </w:r>
          </w:p>
        </w:tc>
        <w:tc>
          <w:tcPr>
            <w:tcW w:w="749" w:type="dxa"/>
            <w:vAlign w:val="center"/>
            <w:hideMark/>
          </w:tcPr>
          <w:p w14:paraId="046AA3D0"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-.14</w:t>
            </w:r>
          </w:p>
        </w:tc>
        <w:tc>
          <w:tcPr>
            <w:tcW w:w="749" w:type="dxa"/>
            <w:vAlign w:val="center"/>
            <w:hideMark/>
          </w:tcPr>
          <w:p w14:paraId="0A1B075B"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-.13</w:t>
            </w:r>
          </w:p>
        </w:tc>
        <w:tc>
          <w:tcPr>
            <w:tcW w:w="749" w:type="dxa"/>
            <w:vAlign w:val="center"/>
            <w:hideMark/>
          </w:tcPr>
          <w:p w14:paraId="49F5E8A7"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-.16</w:t>
            </w:r>
          </w:p>
        </w:tc>
        <w:tc>
          <w:tcPr>
            <w:tcW w:w="750" w:type="dxa"/>
            <w:vAlign w:val="center"/>
            <w:hideMark/>
          </w:tcPr>
          <w:p w14:paraId="79EB2A27"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.01</w:t>
            </w:r>
          </w:p>
        </w:tc>
        <w:tc>
          <w:tcPr>
            <w:tcW w:w="749" w:type="dxa"/>
            <w:vAlign w:val="center"/>
            <w:hideMark/>
          </w:tcPr>
          <w:p w14:paraId="4DBD120D"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-.02</w:t>
            </w:r>
          </w:p>
        </w:tc>
        <w:tc>
          <w:tcPr>
            <w:tcW w:w="749" w:type="dxa"/>
            <w:vAlign w:val="center"/>
            <w:hideMark/>
          </w:tcPr>
          <w:p w14:paraId="696A6E89"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.13</w:t>
            </w:r>
          </w:p>
        </w:tc>
        <w:tc>
          <w:tcPr>
            <w:tcW w:w="750" w:type="dxa"/>
            <w:vAlign w:val="center"/>
            <w:hideMark/>
          </w:tcPr>
          <w:p w14:paraId="331F7A9A"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-.01</w:t>
            </w:r>
          </w:p>
        </w:tc>
      </w:tr>
      <w:tr w:rsidR="00A30BF8" w:rsidRPr="00882210" w14:paraId="63B63124" w14:textId="77777777" w:rsidTr="00C82841">
        <w:trPr>
          <w:trHeight w:val="210"/>
        </w:trPr>
        <w:tc>
          <w:tcPr>
            <w:tcW w:w="491" w:type="dxa"/>
            <w:tcBorders>
              <w:bottom w:val="single" w:sz="4" w:space="0" w:color="auto"/>
            </w:tcBorders>
            <w:vAlign w:val="center"/>
          </w:tcPr>
          <w:p w14:paraId="310A1EBB" w14:textId="77777777" w:rsidR="00882210" w:rsidRPr="00882210" w:rsidRDefault="00882210" w:rsidP="00AB066F">
            <w:pPr>
              <w:spacing w:line="240" w:lineRule="auto"/>
              <w:jc w:val="center"/>
              <w:rPr>
                <w:color w:val="000000" w:themeColor="text1"/>
                <w:sz w:val="22"/>
              </w:rPr>
            </w:pPr>
            <w:r w:rsidRPr="00882210">
              <w:rPr>
                <w:color w:val="000000" w:themeColor="text1"/>
                <w:sz w:val="22"/>
              </w:rPr>
              <w:t>29.</w:t>
            </w:r>
          </w:p>
        </w:tc>
        <w:tc>
          <w:tcPr>
            <w:tcW w:w="4395" w:type="dxa"/>
            <w:tcBorders>
              <w:bottom w:val="single" w:sz="4" w:space="0" w:color="auto"/>
            </w:tcBorders>
            <w:vAlign w:val="center"/>
            <w:hideMark/>
          </w:tcPr>
          <w:p w14:paraId="6C49AEEB" w14:textId="77777777" w:rsidR="00882210" w:rsidRPr="00882210" w:rsidRDefault="00882210" w:rsidP="00AB066F">
            <w:pPr>
              <w:spacing w:line="240" w:lineRule="auto"/>
              <w:jc w:val="left"/>
              <w:rPr>
                <w:color w:val="000000" w:themeColor="text1"/>
                <w:sz w:val="22"/>
              </w:rPr>
            </w:pPr>
            <w:r w:rsidRPr="00882210">
              <w:rPr>
                <w:color w:val="000000" w:themeColor="text1"/>
                <w:sz w:val="22"/>
              </w:rPr>
              <w:t>tar_mbratio</w:t>
            </w:r>
          </w:p>
        </w:tc>
        <w:tc>
          <w:tcPr>
            <w:tcW w:w="749" w:type="dxa"/>
            <w:tcBorders>
              <w:bottom w:val="single" w:sz="4" w:space="0" w:color="auto"/>
            </w:tcBorders>
            <w:vAlign w:val="center"/>
            <w:hideMark/>
          </w:tcPr>
          <w:p w14:paraId="61C8560B"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.10</w:t>
            </w:r>
          </w:p>
        </w:tc>
        <w:tc>
          <w:tcPr>
            <w:tcW w:w="749" w:type="dxa"/>
            <w:tcBorders>
              <w:bottom w:val="single" w:sz="4" w:space="0" w:color="auto"/>
            </w:tcBorders>
            <w:vAlign w:val="center"/>
            <w:hideMark/>
          </w:tcPr>
          <w:p w14:paraId="5D99DAC2"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.04</w:t>
            </w:r>
          </w:p>
        </w:tc>
        <w:tc>
          <w:tcPr>
            <w:tcW w:w="749" w:type="dxa"/>
            <w:tcBorders>
              <w:bottom w:val="single" w:sz="4" w:space="0" w:color="auto"/>
            </w:tcBorders>
            <w:vAlign w:val="center"/>
            <w:hideMark/>
          </w:tcPr>
          <w:p w14:paraId="726A1A7E"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.05</w:t>
            </w:r>
          </w:p>
        </w:tc>
        <w:tc>
          <w:tcPr>
            <w:tcW w:w="750" w:type="dxa"/>
            <w:tcBorders>
              <w:bottom w:val="single" w:sz="4" w:space="0" w:color="auto"/>
            </w:tcBorders>
            <w:vAlign w:val="center"/>
            <w:hideMark/>
          </w:tcPr>
          <w:p w14:paraId="6B8741B1"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.04</w:t>
            </w:r>
          </w:p>
        </w:tc>
        <w:tc>
          <w:tcPr>
            <w:tcW w:w="749" w:type="dxa"/>
            <w:tcBorders>
              <w:bottom w:val="single" w:sz="4" w:space="0" w:color="auto"/>
            </w:tcBorders>
            <w:vAlign w:val="center"/>
            <w:hideMark/>
          </w:tcPr>
          <w:p w14:paraId="3EF00F1F"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.04</w:t>
            </w:r>
          </w:p>
        </w:tc>
        <w:tc>
          <w:tcPr>
            <w:tcW w:w="749" w:type="dxa"/>
            <w:tcBorders>
              <w:bottom w:val="single" w:sz="4" w:space="0" w:color="auto"/>
            </w:tcBorders>
            <w:vAlign w:val="center"/>
            <w:hideMark/>
          </w:tcPr>
          <w:p w14:paraId="1A8100CA"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-.02</w:t>
            </w:r>
          </w:p>
        </w:tc>
        <w:tc>
          <w:tcPr>
            <w:tcW w:w="750" w:type="dxa"/>
            <w:tcBorders>
              <w:bottom w:val="single" w:sz="4" w:space="0" w:color="auto"/>
            </w:tcBorders>
            <w:vAlign w:val="center"/>
            <w:hideMark/>
          </w:tcPr>
          <w:p w14:paraId="620807C4"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-.02</w:t>
            </w:r>
          </w:p>
        </w:tc>
        <w:tc>
          <w:tcPr>
            <w:tcW w:w="749" w:type="dxa"/>
            <w:tcBorders>
              <w:bottom w:val="single" w:sz="4" w:space="0" w:color="auto"/>
            </w:tcBorders>
            <w:vAlign w:val="center"/>
            <w:hideMark/>
          </w:tcPr>
          <w:p w14:paraId="691EE7DB"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-.02</w:t>
            </w:r>
          </w:p>
        </w:tc>
        <w:tc>
          <w:tcPr>
            <w:tcW w:w="749" w:type="dxa"/>
            <w:tcBorders>
              <w:bottom w:val="single" w:sz="4" w:space="0" w:color="auto"/>
            </w:tcBorders>
            <w:vAlign w:val="center"/>
            <w:hideMark/>
          </w:tcPr>
          <w:p w14:paraId="61B1ADD9"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.001</w:t>
            </w:r>
          </w:p>
        </w:tc>
        <w:tc>
          <w:tcPr>
            <w:tcW w:w="749" w:type="dxa"/>
            <w:tcBorders>
              <w:bottom w:val="single" w:sz="4" w:space="0" w:color="auto"/>
            </w:tcBorders>
            <w:vAlign w:val="center"/>
            <w:hideMark/>
          </w:tcPr>
          <w:p w14:paraId="7867503F"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.01</w:t>
            </w:r>
          </w:p>
        </w:tc>
        <w:tc>
          <w:tcPr>
            <w:tcW w:w="750" w:type="dxa"/>
            <w:tcBorders>
              <w:bottom w:val="single" w:sz="4" w:space="0" w:color="auto"/>
            </w:tcBorders>
            <w:vAlign w:val="center"/>
            <w:hideMark/>
          </w:tcPr>
          <w:p w14:paraId="2E7E68BD"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-.01</w:t>
            </w:r>
          </w:p>
        </w:tc>
        <w:tc>
          <w:tcPr>
            <w:tcW w:w="749" w:type="dxa"/>
            <w:tcBorders>
              <w:bottom w:val="single" w:sz="4" w:space="0" w:color="auto"/>
            </w:tcBorders>
            <w:vAlign w:val="center"/>
            <w:hideMark/>
          </w:tcPr>
          <w:p w14:paraId="4284EB35"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.10</w:t>
            </w:r>
          </w:p>
        </w:tc>
        <w:tc>
          <w:tcPr>
            <w:tcW w:w="749" w:type="dxa"/>
            <w:tcBorders>
              <w:bottom w:val="single" w:sz="4" w:space="0" w:color="auto"/>
            </w:tcBorders>
            <w:vAlign w:val="center"/>
            <w:hideMark/>
          </w:tcPr>
          <w:p w14:paraId="00403436" w14:textId="77777777" w:rsidR="00882210" w:rsidRPr="00882210" w:rsidRDefault="00882210" w:rsidP="00AB066F">
            <w:pPr>
              <w:spacing w:line="240" w:lineRule="auto"/>
              <w:jc w:val="center"/>
              <w:rPr>
                <w:color w:val="000000" w:themeColor="text1"/>
                <w:sz w:val="22"/>
              </w:rPr>
            </w:pPr>
            <w:r w:rsidRPr="00882210">
              <w:rPr>
                <w:color w:val="000000" w:themeColor="text1"/>
                <w:sz w:val="22"/>
              </w:rPr>
              <w:t>.12</w:t>
            </w:r>
          </w:p>
        </w:tc>
        <w:tc>
          <w:tcPr>
            <w:tcW w:w="750" w:type="dxa"/>
            <w:tcBorders>
              <w:bottom w:val="single" w:sz="4" w:space="0" w:color="auto"/>
            </w:tcBorders>
            <w:vAlign w:val="center"/>
            <w:hideMark/>
          </w:tcPr>
          <w:p w14:paraId="3A1FBAEF" w14:textId="77777777" w:rsidR="00882210" w:rsidRPr="00882210" w:rsidRDefault="00882210" w:rsidP="00AB066F">
            <w:pPr>
              <w:spacing w:line="240" w:lineRule="auto"/>
              <w:jc w:val="center"/>
              <w:rPr>
                <w:color w:val="000000" w:themeColor="text1"/>
                <w:sz w:val="22"/>
              </w:rPr>
            </w:pPr>
            <w:r w:rsidRPr="00882210">
              <w:rPr>
                <w:color w:val="000000" w:themeColor="text1"/>
                <w:sz w:val="22"/>
              </w:rPr>
              <w:t>-.02</w:t>
            </w:r>
          </w:p>
        </w:tc>
      </w:tr>
      <w:tr w:rsidR="003156EF" w:rsidRPr="00882210" w14:paraId="06376EC1" w14:textId="77777777" w:rsidTr="00C82841">
        <w:trPr>
          <w:trHeight w:val="186"/>
        </w:trPr>
        <w:tc>
          <w:tcPr>
            <w:tcW w:w="15376" w:type="dxa"/>
            <w:gridSpan w:val="16"/>
            <w:tcBorders>
              <w:top w:val="single" w:sz="4" w:space="0" w:color="auto"/>
            </w:tcBorders>
            <w:vAlign w:val="center"/>
          </w:tcPr>
          <w:p w14:paraId="5F882D1C" w14:textId="551648E9" w:rsidR="003156EF" w:rsidRPr="00882210" w:rsidRDefault="003156EF" w:rsidP="00AB066F">
            <w:pPr>
              <w:spacing w:line="240" w:lineRule="auto"/>
              <w:rPr>
                <w:color w:val="000000" w:themeColor="text1"/>
                <w:sz w:val="22"/>
                <w:lang w:val="en-US"/>
              </w:rPr>
            </w:pPr>
            <w:r w:rsidRPr="00882210">
              <w:rPr>
                <w:i/>
                <w:iCs/>
                <w:color w:val="000000" w:themeColor="text1"/>
                <w:sz w:val="22"/>
                <w:lang w:val="en-US"/>
              </w:rPr>
              <w:t>Note</w:t>
            </w:r>
            <w:r w:rsidRPr="00882210">
              <w:rPr>
                <w:color w:val="000000" w:themeColor="text1"/>
                <w:sz w:val="22"/>
                <w:lang w:val="en-US"/>
              </w:rPr>
              <w:t xml:space="preserve">. This table presents </w:t>
            </w:r>
            <w:r w:rsidR="00A30BF8" w:rsidRPr="00882210">
              <w:rPr>
                <w:color w:val="000000" w:themeColor="text1"/>
                <w:sz w:val="22"/>
                <w:lang w:val="en-US"/>
              </w:rPr>
              <w:t>correlations</w:t>
            </w:r>
            <w:r w:rsidR="00C82841">
              <w:rPr>
                <w:color w:val="000000" w:themeColor="text1"/>
                <w:sz w:val="22"/>
                <w:lang w:val="en-US"/>
              </w:rPr>
              <w:t xml:space="preserve"> coefficients </w:t>
            </w:r>
            <w:r w:rsidRPr="00882210">
              <w:rPr>
                <w:color w:val="000000" w:themeColor="text1"/>
                <w:sz w:val="22"/>
                <w:lang w:val="en-US"/>
              </w:rPr>
              <w:t xml:space="preserve">for the variables used in the main part of our analysis. </w:t>
            </w:r>
            <w:r w:rsidR="00C82841">
              <w:rPr>
                <w:color w:val="000000" w:themeColor="text1"/>
                <w:sz w:val="22"/>
                <w:lang w:val="en-US"/>
              </w:rPr>
              <w:t xml:space="preserve">A </w:t>
            </w:r>
            <w:r w:rsidRPr="00882210">
              <w:rPr>
                <w:color w:val="000000" w:themeColor="text1"/>
                <w:sz w:val="22"/>
                <w:lang w:val="en-US"/>
              </w:rPr>
              <w:t xml:space="preserve">variable description can be found in Appendix B. </w:t>
            </w:r>
          </w:p>
        </w:tc>
      </w:tr>
    </w:tbl>
    <w:p w14:paraId="2A326B33" w14:textId="77777777" w:rsidR="00FD009F" w:rsidRDefault="00FD009F">
      <w:pPr>
        <w:spacing w:after="160" w:line="259" w:lineRule="auto"/>
        <w:jc w:val="left"/>
        <w:rPr>
          <w:rStyle w:val="SchwacherVerweis"/>
          <w:rFonts w:eastAsiaTheme="majorEastAsia" w:cstheme="majorBidi"/>
          <w:b/>
          <w:caps/>
          <w:smallCaps w:val="0"/>
          <w:color w:val="auto"/>
          <w:szCs w:val="32"/>
          <w:lang w:val="en-US"/>
        </w:rPr>
      </w:pPr>
      <w:r>
        <w:rPr>
          <w:rStyle w:val="SchwacherVerweis"/>
          <w:smallCaps w:val="0"/>
          <w:color w:val="auto"/>
        </w:rPr>
        <w:br w:type="page"/>
      </w:r>
    </w:p>
    <w:p w14:paraId="71D4C1D4" w14:textId="4F81309A" w:rsidR="007E6AC7" w:rsidRPr="00D14819" w:rsidRDefault="007E6AC7" w:rsidP="007E6AC7">
      <w:pPr>
        <w:pStyle w:val="1fake"/>
        <w:rPr>
          <w:rStyle w:val="SchwacherVerweis"/>
          <w:smallCaps w:val="0"/>
          <w:color w:val="auto"/>
        </w:rPr>
      </w:pPr>
      <w:r w:rsidRPr="00D14819">
        <w:rPr>
          <w:rStyle w:val="SchwacherVerweis"/>
          <w:smallCaps w:val="0"/>
          <w:color w:val="auto"/>
        </w:rPr>
        <w:lastRenderedPageBreak/>
        <w:t>Table 4</w:t>
      </w:r>
      <w:r>
        <w:rPr>
          <w:rStyle w:val="SchwacherVerweis"/>
          <w:smallCaps w:val="0"/>
          <w:color w:val="auto"/>
        </w:rPr>
        <w:t xml:space="preserve"> (II)</w:t>
      </w:r>
    </w:p>
    <w:tbl>
      <w:tblPr>
        <w:tblW w:w="14175" w:type="dxa"/>
        <w:tblLayout w:type="fixed"/>
        <w:tblCellMar>
          <w:left w:w="11" w:type="dxa"/>
          <w:right w:w="11" w:type="dxa"/>
        </w:tblCellMar>
        <w:tblLook w:val="04A0" w:firstRow="1" w:lastRow="0" w:firstColumn="1" w:lastColumn="0" w:noHBand="0" w:noVBand="1"/>
      </w:tblPr>
      <w:tblGrid>
        <w:gridCol w:w="455"/>
        <w:gridCol w:w="4039"/>
        <w:gridCol w:w="646"/>
        <w:gridCol w:w="645"/>
        <w:gridCol w:w="646"/>
        <w:gridCol w:w="645"/>
        <w:gridCol w:w="645"/>
        <w:gridCol w:w="646"/>
        <w:gridCol w:w="645"/>
        <w:gridCol w:w="645"/>
        <w:gridCol w:w="646"/>
        <w:gridCol w:w="645"/>
        <w:gridCol w:w="645"/>
        <w:gridCol w:w="646"/>
        <w:gridCol w:w="645"/>
        <w:gridCol w:w="645"/>
        <w:gridCol w:w="646"/>
      </w:tblGrid>
      <w:tr w:rsidR="007E6AC7" w:rsidRPr="007E6AC7" w14:paraId="33B66CDF" w14:textId="77777777" w:rsidTr="00B6286E">
        <w:trPr>
          <w:trHeight w:val="210"/>
        </w:trPr>
        <w:tc>
          <w:tcPr>
            <w:tcW w:w="491" w:type="dxa"/>
            <w:tcBorders>
              <w:top w:val="single" w:sz="4" w:space="0" w:color="auto"/>
              <w:bottom w:val="single" w:sz="4" w:space="0" w:color="auto"/>
            </w:tcBorders>
            <w:vAlign w:val="center"/>
          </w:tcPr>
          <w:p w14:paraId="2008E91B" w14:textId="77777777" w:rsidR="00A30BF8" w:rsidRPr="007E6AC7" w:rsidRDefault="00A30BF8" w:rsidP="006F4762">
            <w:pPr>
              <w:spacing w:line="240" w:lineRule="auto"/>
              <w:jc w:val="center"/>
              <w:rPr>
                <w:b/>
                <w:bCs/>
                <w:color w:val="000000" w:themeColor="text1"/>
                <w:sz w:val="22"/>
              </w:rPr>
            </w:pPr>
            <w:r w:rsidRPr="007E6AC7">
              <w:rPr>
                <w:b/>
                <w:bCs/>
                <w:color w:val="000000" w:themeColor="text1"/>
                <w:sz w:val="22"/>
              </w:rPr>
              <w:t>#</w:t>
            </w:r>
          </w:p>
        </w:tc>
        <w:tc>
          <w:tcPr>
            <w:tcW w:w="4395" w:type="dxa"/>
            <w:tcBorders>
              <w:top w:val="single" w:sz="4" w:space="0" w:color="auto"/>
              <w:bottom w:val="single" w:sz="4" w:space="0" w:color="auto"/>
            </w:tcBorders>
            <w:vAlign w:val="center"/>
            <w:hideMark/>
          </w:tcPr>
          <w:p w14:paraId="10E37D77" w14:textId="77777777" w:rsidR="00A30BF8" w:rsidRPr="007E6AC7" w:rsidRDefault="00A30BF8" w:rsidP="006F4762">
            <w:pPr>
              <w:spacing w:line="240" w:lineRule="auto"/>
              <w:jc w:val="left"/>
              <w:rPr>
                <w:b/>
                <w:bCs/>
                <w:color w:val="000000" w:themeColor="text1"/>
                <w:sz w:val="22"/>
              </w:rPr>
            </w:pPr>
            <w:r w:rsidRPr="007E6AC7">
              <w:rPr>
                <w:b/>
                <w:bCs/>
                <w:color w:val="000000" w:themeColor="text1"/>
                <w:sz w:val="22"/>
              </w:rPr>
              <w:t>Variable</w:t>
            </w:r>
          </w:p>
        </w:tc>
        <w:tc>
          <w:tcPr>
            <w:tcW w:w="699" w:type="dxa"/>
            <w:tcBorders>
              <w:top w:val="single" w:sz="4" w:space="0" w:color="auto"/>
              <w:bottom w:val="single" w:sz="4" w:space="0" w:color="auto"/>
            </w:tcBorders>
            <w:vAlign w:val="center"/>
            <w:hideMark/>
          </w:tcPr>
          <w:p w14:paraId="2450EA89" w14:textId="77777777" w:rsidR="00A30BF8" w:rsidRPr="007E6AC7" w:rsidRDefault="00A30BF8" w:rsidP="006F4762">
            <w:pPr>
              <w:spacing w:line="240" w:lineRule="auto"/>
              <w:jc w:val="center"/>
              <w:rPr>
                <w:b/>
                <w:bCs/>
                <w:color w:val="000000" w:themeColor="text1"/>
                <w:sz w:val="22"/>
              </w:rPr>
            </w:pPr>
            <w:r w:rsidRPr="007E6AC7">
              <w:rPr>
                <w:b/>
                <w:bCs/>
                <w:color w:val="000000" w:themeColor="text1"/>
                <w:sz w:val="22"/>
              </w:rPr>
              <w:t>15</w:t>
            </w:r>
          </w:p>
        </w:tc>
        <w:tc>
          <w:tcPr>
            <w:tcW w:w="699" w:type="dxa"/>
            <w:tcBorders>
              <w:top w:val="single" w:sz="4" w:space="0" w:color="auto"/>
              <w:bottom w:val="single" w:sz="4" w:space="0" w:color="auto"/>
            </w:tcBorders>
            <w:vAlign w:val="center"/>
            <w:hideMark/>
          </w:tcPr>
          <w:p w14:paraId="4F426050" w14:textId="77777777" w:rsidR="00A30BF8" w:rsidRPr="007E6AC7" w:rsidRDefault="00A30BF8" w:rsidP="006F4762">
            <w:pPr>
              <w:spacing w:line="240" w:lineRule="auto"/>
              <w:jc w:val="center"/>
              <w:rPr>
                <w:b/>
                <w:bCs/>
                <w:color w:val="000000" w:themeColor="text1"/>
                <w:sz w:val="22"/>
              </w:rPr>
            </w:pPr>
            <w:r w:rsidRPr="007E6AC7">
              <w:rPr>
                <w:b/>
                <w:bCs/>
                <w:color w:val="000000" w:themeColor="text1"/>
                <w:sz w:val="22"/>
              </w:rPr>
              <w:t>16</w:t>
            </w:r>
          </w:p>
        </w:tc>
        <w:tc>
          <w:tcPr>
            <w:tcW w:w="700" w:type="dxa"/>
            <w:tcBorders>
              <w:top w:val="single" w:sz="4" w:space="0" w:color="auto"/>
              <w:bottom w:val="single" w:sz="4" w:space="0" w:color="auto"/>
            </w:tcBorders>
            <w:vAlign w:val="center"/>
            <w:hideMark/>
          </w:tcPr>
          <w:p w14:paraId="4075AF09" w14:textId="77777777" w:rsidR="00A30BF8" w:rsidRPr="007E6AC7" w:rsidRDefault="00A30BF8" w:rsidP="006F4762">
            <w:pPr>
              <w:spacing w:line="240" w:lineRule="auto"/>
              <w:jc w:val="center"/>
              <w:rPr>
                <w:b/>
                <w:bCs/>
                <w:color w:val="000000" w:themeColor="text1"/>
                <w:sz w:val="22"/>
              </w:rPr>
            </w:pPr>
            <w:r w:rsidRPr="007E6AC7">
              <w:rPr>
                <w:b/>
                <w:bCs/>
                <w:color w:val="000000" w:themeColor="text1"/>
                <w:sz w:val="22"/>
              </w:rPr>
              <w:t>17</w:t>
            </w:r>
          </w:p>
        </w:tc>
        <w:tc>
          <w:tcPr>
            <w:tcW w:w="699" w:type="dxa"/>
            <w:tcBorders>
              <w:top w:val="single" w:sz="4" w:space="0" w:color="auto"/>
              <w:bottom w:val="single" w:sz="4" w:space="0" w:color="auto"/>
            </w:tcBorders>
            <w:vAlign w:val="center"/>
            <w:hideMark/>
          </w:tcPr>
          <w:p w14:paraId="7DC8BB2A" w14:textId="77777777" w:rsidR="00A30BF8" w:rsidRPr="007E6AC7" w:rsidRDefault="00A30BF8" w:rsidP="006F4762">
            <w:pPr>
              <w:spacing w:line="240" w:lineRule="auto"/>
              <w:jc w:val="center"/>
              <w:rPr>
                <w:b/>
                <w:bCs/>
                <w:color w:val="000000" w:themeColor="text1"/>
                <w:sz w:val="22"/>
              </w:rPr>
            </w:pPr>
            <w:r w:rsidRPr="007E6AC7">
              <w:rPr>
                <w:b/>
                <w:bCs/>
                <w:color w:val="000000" w:themeColor="text1"/>
                <w:sz w:val="22"/>
              </w:rPr>
              <w:t>18</w:t>
            </w:r>
          </w:p>
        </w:tc>
        <w:tc>
          <w:tcPr>
            <w:tcW w:w="699" w:type="dxa"/>
            <w:tcBorders>
              <w:top w:val="single" w:sz="4" w:space="0" w:color="auto"/>
              <w:bottom w:val="single" w:sz="4" w:space="0" w:color="auto"/>
            </w:tcBorders>
            <w:vAlign w:val="center"/>
            <w:hideMark/>
          </w:tcPr>
          <w:p w14:paraId="18C144BA" w14:textId="77777777" w:rsidR="00A30BF8" w:rsidRPr="007E6AC7" w:rsidRDefault="00A30BF8" w:rsidP="006F4762">
            <w:pPr>
              <w:spacing w:line="240" w:lineRule="auto"/>
              <w:jc w:val="center"/>
              <w:rPr>
                <w:b/>
                <w:bCs/>
                <w:color w:val="000000" w:themeColor="text1"/>
                <w:sz w:val="22"/>
              </w:rPr>
            </w:pPr>
            <w:r w:rsidRPr="007E6AC7">
              <w:rPr>
                <w:b/>
                <w:bCs/>
                <w:color w:val="000000" w:themeColor="text1"/>
                <w:sz w:val="22"/>
              </w:rPr>
              <w:t>19</w:t>
            </w:r>
          </w:p>
        </w:tc>
        <w:tc>
          <w:tcPr>
            <w:tcW w:w="700" w:type="dxa"/>
            <w:tcBorders>
              <w:top w:val="single" w:sz="4" w:space="0" w:color="auto"/>
              <w:bottom w:val="single" w:sz="4" w:space="0" w:color="auto"/>
            </w:tcBorders>
            <w:vAlign w:val="center"/>
            <w:hideMark/>
          </w:tcPr>
          <w:p w14:paraId="497660D2" w14:textId="77777777" w:rsidR="00A30BF8" w:rsidRPr="007E6AC7" w:rsidRDefault="00A30BF8" w:rsidP="006F4762">
            <w:pPr>
              <w:spacing w:line="240" w:lineRule="auto"/>
              <w:jc w:val="center"/>
              <w:rPr>
                <w:b/>
                <w:bCs/>
                <w:color w:val="000000" w:themeColor="text1"/>
                <w:sz w:val="22"/>
              </w:rPr>
            </w:pPr>
            <w:r w:rsidRPr="007E6AC7">
              <w:rPr>
                <w:b/>
                <w:bCs/>
                <w:color w:val="000000" w:themeColor="text1"/>
                <w:sz w:val="22"/>
              </w:rPr>
              <w:t>20</w:t>
            </w:r>
          </w:p>
        </w:tc>
        <w:tc>
          <w:tcPr>
            <w:tcW w:w="699" w:type="dxa"/>
            <w:tcBorders>
              <w:top w:val="single" w:sz="4" w:space="0" w:color="auto"/>
              <w:bottom w:val="single" w:sz="4" w:space="0" w:color="auto"/>
            </w:tcBorders>
            <w:vAlign w:val="center"/>
            <w:hideMark/>
          </w:tcPr>
          <w:p w14:paraId="5D6D3C8B" w14:textId="77777777" w:rsidR="00A30BF8" w:rsidRPr="007E6AC7" w:rsidRDefault="00A30BF8" w:rsidP="006F4762">
            <w:pPr>
              <w:spacing w:line="240" w:lineRule="auto"/>
              <w:jc w:val="center"/>
              <w:rPr>
                <w:b/>
                <w:bCs/>
                <w:color w:val="000000" w:themeColor="text1"/>
                <w:sz w:val="22"/>
              </w:rPr>
            </w:pPr>
            <w:r w:rsidRPr="007E6AC7">
              <w:rPr>
                <w:b/>
                <w:bCs/>
                <w:color w:val="000000" w:themeColor="text1"/>
                <w:sz w:val="22"/>
              </w:rPr>
              <w:t>21</w:t>
            </w:r>
          </w:p>
        </w:tc>
        <w:tc>
          <w:tcPr>
            <w:tcW w:w="699" w:type="dxa"/>
            <w:tcBorders>
              <w:top w:val="single" w:sz="4" w:space="0" w:color="auto"/>
              <w:bottom w:val="single" w:sz="4" w:space="0" w:color="auto"/>
            </w:tcBorders>
            <w:vAlign w:val="center"/>
            <w:hideMark/>
          </w:tcPr>
          <w:p w14:paraId="42B87BAF" w14:textId="77777777" w:rsidR="00A30BF8" w:rsidRPr="007E6AC7" w:rsidRDefault="00A30BF8" w:rsidP="006F4762">
            <w:pPr>
              <w:spacing w:line="240" w:lineRule="auto"/>
              <w:jc w:val="center"/>
              <w:rPr>
                <w:b/>
                <w:bCs/>
                <w:color w:val="000000" w:themeColor="text1"/>
                <w:sz w:val="22"/>
              </w:rPr>
            </w:pPr>
            <w:r w:rsidRPr="007E6AC7">
              <w:rPr>
                <w:b/>
                <w:bCs/>
                <w:color w:val="000000" w:themeColor="text1"/>
                <w:sz w:val="22"/>
              </w:rPr>
              <w:t>22</w:t>
            </w:r>
          </w:p>
        </w:tc>
        <w:tc>
          <w:tcPr>
            <w:tcW w:w="700" w:type="dxa"/>
            <w:tcBorders>
              <w:top w:val="single" w:sz="4" w:space="0" w:color="auto"/>
              <w:bottom w:val="single" w:sz="4" w:space="0" w:color="auto"/>
            </w:tcBorders>
            <w:vAlign w:val="center"/>
            <w:hideMark/>
          </w:tcPr>
          <w:p w14:paraId="3A6DC496" w14:textId="77777777" w:rsidR="00A30BF8" w:rsidRPr="007E6AC7" w:rsidRDefault="00A30BF8" w:rsidP="006F4762">
            <w:pPr>
              <w:spacing w:line="240" w:lineRule="auto"/>
              <w:jc w:val="center"/>
              <w:rPr>
                <w:b/>
                <w:bCs/>
                <w:color w:val="000000" w:themeColor="text1"/>
                <w:sz w:val="22"/>
              </w:rPr>
            </w:pPr>
            <w:r w:rsidRPr="007E6AC7">
              <w:rPr>
                <w:b/>
                <w:bCs/>
                <w:color w:val="000000" w:themeColor="text1"/>
                <w:sz w:val="22"/>
              </w:rPr>
              <w:t>23</w:t>
            </w:r>
          </w:p>
        </w:tc>
        <w:tc>
          <w:tcPr>
            <w:tcW w:w="699" w:type="dxa"/>
            <w:tcBorders>
              <w:top w:val="single" w:sz="4" w:space="0" w:color="auto"/>
              <w:bottom w:val="single" w:sz="4" w:space="0" w:color="auto"/>
            </w:tcBorders>
            <w:vAlign w:val="center"/>
            <w:hideMark/>
          </w:tcPr>
          <w:p w14:paraId="201B8A6E" w14:textId="77777777" w:rsidR="00A30BF8" w:rsidRPr="007E6AC7" w:rsidRDefault="00A30BF8" w:rsidP="006F4762">
            <w:pPr>
              <w:spacing w:line="240" w:lineRule="auto"/>
              <w:jc w:val="center"/>
              <w:rPr>
                <w:b/>
                <w:bCs/>
                <w:color w:val="000000" w:themeColor="text1"/>
                <w:sz w:val="22"/>
              </w:rPr>
            </w:pPr>
            <w:r w:rsidRPr="007E6AC7">
              <w:rPr>
                <w:b/>
                <w:bCs/>
                <w:color w:val="000000" w:themeColor="text1"/>
                <w:sz w:val="22"/>
              </w:rPr>
              <w:t>24</w:t>
            </w:r>
          </w:p>
        </w:tc>
        <w:tc>
          <w:tcPr>
            <w:tcW w:w="699" w:type="dxa"/>
            <w:tcBorders>
              <w:top w:val="single" w:sz="4" w:space="0" w:color="auto"/>
              <w:bottom w:val="single" w:sz="4" w:space="0" w:color="auto"/>
            </w:tcBorders>
            <w:vAlign w:val="center"/>
            <w:hideMark/>
          </w:tcPr>
          <w:p w14:paraId="5B9A72EE" w14:textId="77777777" w:rsidR="00A30BF8" w:rsidRPr="007E6AC7" w:rsidRDefault="00A30BF8" w:rsidP="006F4762">
            <w:pPr>
              <w:spacing w:line="240" w:lineRule="auto"/>
              <w:jc w:val="center"/>
              <w:rPr>
                <w:b/>
                <w:bCs/>
                <w:color w:val="000000" w:themeColor="text1"/>
                <w:sz w:val="22"/>
              </w:rPr>
            </w:pPr>
            <w:r w:rsidRPr="007E6AC7">
              <w:rPr>
                <w:b/>
                <w:bCs/>
                <w:color w:val="000000" w:themeColor="text1"/>
                <w:sz w:val="22"/>
              </w:rPr>
              <w:t>25</w:t>
            </w:r>
          </w:p>
        </w:tc>
        <w:tc>
          <w:tcPr>
            <w:tcW w:w="700" w:type="dxa"/>
            <w:tcBorders>
              <w:top w:val="single" w:sz="4" w:space="0" w:color="auto"/>
              <w:bottom w:val="single" w:sz="4" w:space="0" w:color="auto"/>
            </w:tcBorders>
            <w:vAlign w:val="center"/>
            <w:hideMark/>
          </w:tcPr>
          <w:p w14:paraId="4F37ED8D" w14:textId="77777777" w:rsidR="00A30BF8" w:rsidRPr="007E6AC7" w:rsidRDefault="00A30BF8" w:rsidP="006F4762">
            <w:pPr>
              <w:spacing w:line="240" w:lineRule="auto"/>
              <w:jc w:val="center"/>
              <w:rPr>
                <w:b/>
                <w:bCs/>
                <w:color w:val="000000" w:themeColor="text1"/>
                <w:sz w:val="22"/>
              </w:rPr>
            </w:pPr>
            <w:r w:rsidRPr="007E6AC7">
              <w:rPr>
                <w:b/>
                <w:bCs/>
                <w:color w:val="000000" w:themeColor="text1"/>
                <w:sz w:val="22"/>
              </w:rPr>
              <w:t>26</w:t>
            </w:r>
          </w:p>
        </w:tc>
        <w:tc>
          <w:tcPr>
            <w:tcW w:w="699" w:type="dxa"/>
            <w:tcBorders>
              <w:top w:val="single" w:sz="4" w:space="0" w:color="auto"/>
              <w:bottom w:val="single" w:sz="4" w:space="0" w:color="auto"/>
            </w:tcBorders>
            <w:vAlign w:val="center"/>
            <w:hideMark/>
          </w:tcPr>
          <w:p w14:paraId="2FA112F0" w14:textId="77777777" w:rsidR="00A30BF8" w:rsidRPr="007E6AC7" w:rsidRDefault="00A30BF8" w:rsidP="006F4762">
            <w:pPr>
              <w:spacing w:line="240" w:lineRule="auto"/>
              <w:jc w:val="center"/>
              <w:rPr>
                <w:b/>
                <w:bCs/>
                <w:color w:val="000000" w:themeColor="text1"/>
                <w:sz w:val="22"/>
              </w:rPr>
            </w:pPr>
            <w:r w:rsidRPr="007E6AC7">
              <w:rPr>
                <w:b/>
                <w:bCs/>
                <w:color w:val="000000" w:themeColor="text1"/>
                <w:sz w:val="22"/>
              </w:rPr>
              <w:t>27</w:t>
            </w:r>
          </w:p>
        </w:tc>
        <w:tc>
          <w:tcPr>
            <w:tcW w:w="699" w:type="dxa"/>
            <w:tcBorders>
              <w:top w:val="single" w:sz="4" w:space="0" w:color="auto"/>
              <w:bottom w:val="single" w:sz="4" w:space="0" w:color="auto"/>
            </w:tcBorders>
            <w:vAlign w:val="center"/>
            <w:hideMark/>
          </w:tcPr>
          <w:p w14:paraId="51605D6C" w14:textId="77777777" w:rsidR="00A30BF8" w:rsidRPr="007E6AC7" w:rsidRDefault="00A30BF8" w:rsidP="006F4762">
            <w:pPr>
              <w:spacing w:line="240" w:lineRule="auto"/>
              <w:jc w:val="center"/>
              <w:rPr>
                <w:b/>
                <w:bCs/>
                <w:color w:val="000000" w:themeColor="text1"/>
                <w:sz w:val="22"/>
              </w:rPr>
            </w:pPr>
            <w:r w:rsidRPr="007E6AC7">
              <w:rPr>
                <w:b/>
                <w:bCs/>
                <w:color w:val="000000" w:themeColor="text1"/>
                <w:sz w:val="22"/>
              </w:rPr>
              <w:t>28</w:t>
            </w:r>
          </w:p>
        </w:tc>
        <w:tc>
          <w:tcPr>
            <w:tcW w:w="700" w:type="dxa"/>
            <w:tcBorders>
              <w:top w:val="single" w:sz="4" w:space="0" w:color="auto"/>
              <w:bottom w:val="single" w:sz="4" w:space="0" w:color="auto"/>
            </w:tcBorders>
            <w:vAlign w:val="center"/>
            <w:hideMark/>
          </w:tcPr>
          <w:p w14:paraId="78ECE913" w14:textId="77777777" w:rsidR="00A30BF8" w:rsidRPr="007E6AC7" w:rsidRDefault="00A30BF8" w:rsidP="006F4762">
            <w:pPr>
              <w:spacing w:line="240" w:lineRule="auto"/>
              <w:jc w:val="center"/>
              <w:rPr>
                <w:b/>
                <w:bCs/>
                <w:color w:val="000000" w:themeColor="text1"/>
                <w:sz w:val="22"/>
              </w:rPr>
            </w:pPr>
            <w:r w:rsidRPr="007E6AC7">
              <w:rPr>
                <w:b/>
                <w:bCs/>
                <w:color w:val="000000" w:themeColor="text1"/>
                <w:sz w:val="22"/>
              </w:rPr>
              <w:t>29</w:t>
            </w:r>
          </w:p>
        </w:tc>
      </w:tr>
      <w:tr w:rsidR="007E6AC7" w:rsidRPr="007E6AC7" w14:paraId="6F3B7CB3" w14:textId="77777777" w:rsidTr="00B6286E">
        <w:trPr>
          <w:trHeight w:val="210"/>
        </w:trPr>
        <w:tc>
          <w:tcPr>
            <w:tcW w:w="491" w:type="dxa"/>
            <w:tcBorders>
              <w:top w:val="single" w:sz="4" w:space="0" w:color="auto"/>
            </w:tcBorders>
            <w:vAlign w:val="center"/>
          </w:tcPr>
          <w:p w14:paraId="787B814C"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w:t>
            </w:r>
          </w:p>
        </w:tc>
        <w:tc>
          <w:tcPr>
            <w:tcW w:w="4395" w:type="dxa"/>
            <w:tcBorders>
              <w:top w:val="single" w:sz="4" w:space="0" w:color="auto"/>
            </w:tcBorders>
            <w:vAlign w:val="center"/>
            <w:hideMark/>
          </w:tcPr>
          <w:p w14:paraId="351C3C18" w14:textId="77777777" w:rsidR="00A30BF8" w:rsidRPr="007E6AC7" w:rsidRDefault="00A30BF8" w:rsidP="006F4762">
            <w:pPr>
              <w:spacing w:line="240" w:lineRule="auto"/>
              <w:jc w:val="left"/>
              <w:rPr>
                <w:color w:val="000000" w:themeColor="text1"/>
                <w:sz w:val="22"/>
              </w:rPr>
            </w:pPr>
            <w:r w:rsidRPr="007E6AC7">
              <w:rPr>
                <w:color w:val="000000" w:themeColor="text1"/>
                <w:sz w:val="22"/>
              </w:rPr>
              <w:t>deal_culturaldistance</w:t>
            </w:r>
          </w:p>
        </w:tc>
        <w:tc>
          <w:tcPr>
            <w:tcW w:w="699" w:type="dxa"/>
            <w:tcBorders>
              <w:top w:val="single" w:sz="4" w:space="0" w:color="auto"/>
            </w:tcBorders>
            <w:vAlign w:val="center"/>
          </w:tcPr>
          <w:p w14:paraId="3E303688" w14:textId="77777777" w:rsidR="00A30BF8" w:rsidRPr="007E6AC7" w:rsidRDefault="00A30BF8" w:rsidP="006F4762">
            <w:pPr>
              <w:spacing w:line="240" w:lineRule="auto"/>
              <w:jc w:val="center"/>
              <w:rPr>
                <w:color w:val="000000" w:themeColor="text1"/>
                <w:sz w:val="22"/>
              </w:rPr>
            </w:pPr>
          </w:p>
        </w:tc>
        <w:tc>
          <w:tcPr>
            <w:tcW w:w="699" w:type="dxa"/>
            <w:tcBorders>
              <w:top w:val="single" w:sz="4" w:space="0" w:color="auto"/>
            </w:tcBorders>
            <w:vAlign w:val="center"/>
          </w:tcPr>
          <w:p w14:paraId="5AA8D5F2" w14:textId="77777777" w:rsidR="00A30BF8" w:rsidRPr="007E6AC7" w:rsidRDefault="00A30BF8" w:rsidP="006F4762">
            <w:pPr>
              <w:spacing w:line="240" w:lineRule="auto"/>
              <w:jc w:val="center"/>
              <w:rPr>
                <w:color w:val="000000" w:themeColor="text1"/>
                <w:sz w:val="22"/>
              </w:rPr>
            </w:pPr>
          </w:p>
        </w:tc>
        <w:tc>
          <w:tcPr>
            <w:tcW w:w="700" w:type="dxa"/>
            <w:tcBorders>
              <w:top w:val="single" w:sz="4" w:space="0" w:color="auto"/>
            </w:tcBorders>
            <w:vAlign w:val="center"/>
          </w:tcPr>
          <w:p w14:paraId="1A249D40" w14:textId="77777777" w:rsidR="00A30BF8" w:rsidRPr="007E6AC7" w:rsidRDefault="00A30BF8" w:rsidP="006F4762">
            <w:pPr>
              <w:spacing w:line="240" w:lineRule="auto"/>
              <w:jc w:val="center"/>
              <w:rPr>
                <w:color w:val="000000" w:themeColor="text1"/>
                <w:sz w:val="22"/>
              </w:rPr>
            </w:pPr>
          </w:p>
        </w:tc>
        <w:tc>
          <w:tcPr>
            <w:tcW w:w="699" w:type="dxa"/>
            <w:tcBorders>
              <w:top w:val="single" w:sz="4" w:space="0" w:color="auto"/>
            </w:tcBorders>
            <w:vAlign w:val="center"/>
          </w:tcPr>
          <w:p w14:paraId="09B16F27" w14:textId="77777777" w:rsidR="00A30BF8" w:rsidRPr="007E6AC7" w:rsidRDefault="00A30BF8" w:rsidP="006F4762">
            <w:pPr>
              <w:spacing w:line="240" w:lineRule="auto"/>
              <w:jc w:val="center"/>
              <w:rPr>
                <w:color w:val="000000" w:themeColor="text1"/>
                <w:sz w:val="22"/>
              </w:rPr>
            </w:pPr>
          </w:p>
        </w:tc>
        <w:tc>
          <w:tcPr>
            <w:tcW w:w="699" w:type="dxa"/>
            <w:tcBorders>
              <w:top w:val="single" w:sz="4" w:space="0" w:color="auto"/>
            </w:tcBorders>
            <w:vAlign w:val="center"/>
          </w:tcPr>
          <w:p w14:paraId="7701E8E8" w14:textId="77777777" w:rsidR="00A30BF8" w:rsidRPr="007E6AC7" w:rsidRDefault="00A30BF8" w:rsidP="006F4762">
            <w:pPr>
              <w:spacing w:line="240" w:lineRule="auto"/>
              <w:jc w:val="center"/>
              <w:rPr>
                <w:color w:val="000000" w:themeColor="text1"/>
                <w:sz w:val="22"/>
              </w:rPr>
            </w:pPr>
          </w:p>
        </w:tc>
        <w:tc>
          <w:tcPr>
            <w:tcW w:w="700" w:type="dxa"/>
            <w:tcBorders>
              <w:top w:val="single" w:sz="4" w:space="0" w:color="auto"/>
            </w:tcBorders>
            <w:vAlign w:val="center"/>
          </w:tcPr>
          <w:p w14:paraId="1F50FFE6" w14:textId="77777777" w:rsidR="00A30BF8" w:rsidRPr="007E6AC7" w:rsidRDefault="00A30BF8" w:rsidP="006F4762">
            <w:pPr>
              <w:spacing w:line="240" w:lineRule="auto"/>
              <w:jc w:val="center"/>
              <w:rPr>
                <w:color w:val="000000" w:themeColor="text1"/>
                <w:sz w:val="22"/>
              </w:rPr>
            </w:pPr>
          </w:p>
        </w:tc>
        <w:tc>
          <w:tcPr>
            <w:tcW w:w="699" w:type="dxa"/>
            <w:tcBorders>
              <w:top w:val="single" w:sz="4" w:space="0" w:color="auto"/>
            </w:tcBorders>
            <w:vAlign w:val="center"/>
          </w:tcPr>
          <w:p w14:paraId="0175D886" w14:textId="77777777" w:rsidR="00A30BF8" w:rsidRPr="007E6AC7" w:rsidRDefault="00A30BF8" w:rsidP="006F4762">
            <w:pPr>
              <w:spacing w:line="240" w:lineRule="auto"/>
              <w:jc w:val="center"/>
              <w:rPr>
                <w:color w:val="000000" w:themeColor="text1"/>
                <w:sz w:val="22"/>
              </w:rPr>
            </w:pPr>
          </w:p>
        </w:tc>
        <w:tc>
          <w:tcPr>
            <w:tcW w:w="699" w:type="dxa"/>
            <w:tcBorders>
              <w:top w:val="single" w:sz="4" w:space="0" w:color="auto"/>
            </w:tcBorders>
            <w:vAlign w:val="center"/>
          </w:tcPr>
          <w:p w14:paraId="2100487A" w14:textId="77777777" w:rsidR="00A30BF8" w:rsidRPr="007E6AC7" w:rsidRDefault="00A30BF8" w:rsidP="006F4762">
            <w:pPr>
              <w:spacing w:line="240" w:lineRule="auto"/>
              <w:jc w:val="center"/>
              <w:rPr>
                <w:color w:val="000000" w:themeColor="text1"/>
                <w:sz w:val="22"/>
              </w:rPr>
            </w:pPr>
          </w:p>
        </w:tc>
        <w:tc>
          <w:tcPr>
            <w:tcW w:w="700" w:type="dxa"/>
            <w:tcBorders>
              <w:top w:val="single" w:sz="4" w:space="0" w:color="auto"/>
            </w:tcBorders>
            <w:vAlign w:val="center"/>
          </w:tcPr>
          <w:p w14:paraId="22E921DA" w14:textId="77777777" w:rsidR="00A30BF8" w:rsidRPr="007E6AC7" w:rsidRDefault="00A30BF8" w:rsidP="006F4762">
            <w:pPr>
              <w:spacing w:line="240" w:lineRule="auto"/>
              <w:jc w:val="center"/>
              <w:rPr>
                <w:color w:val="000000" w:themeColor="text1"/>
                <w:sz w:val="22"/>
              </w:rPr>
            </w:pPr>
          </w:p>
        </w:tc>
        <w:tc>
          <w:tcPr>
            <w:tcW w:w="699" w:type="dxa"/>
            <w:tcBorders>
              <w:top w:val="single" w:sz="4" w:space="0" w:color="auto"/>
            </w:tcBorders>
            <w:vAlign w:val="center"/>
          </w:tcPr>
          <w:p w14:paraId="64C469A5" w14:textId="77777777" w:rsidR="00A30BF8" w:rsidRPr="007E6AC7" w:rsidRDefault="00A30BF8" w:rsidP="006F4762">
            <w:pPr>
              <w:spacing w:line="240" w:lineRule="auto"/>
              <w:jc w:val="center"/>
              <w:rPr>
                <w:color w:val="000000" w:themeColor="text1"/>
                <w:sz w:val="22"/>
              </w:rPr>
            </w:pPr>
          </w:p>
        </w:tc>
        <w:tc>
          <w:tcPr>
            <w:tcW w:w="699" w:type="dxa"/>
            <w:tcBorders>
              <w:top w:val="single" w:sz="4" w:space="0" w:color="auto"/>
            </w:tcBorders>
            <w:vAlign w:val="center"/>
          </w:tcPr>
          <w:p w14:paraId="5E15BF09" w14:textId="77777777" w:rsidR="00A30BF8" w:rsidRPr="007E6AC7" w:rsidRDefault="00A30BF8" w:rsidP="006F4762">
            <w:pPr>
              <w:spacing w:line="240" w:lineRule="auto"/>
              <w:jc w:val="center"/>
              <w:rPr>
                <w:color w:val="000000" w:themeColor="text1"/>
                <w:sz w:val="22"/>
              </w:rPr>
            </w:pPr>
          </w:p>
        </w:tc>
        <w:tc>
          <w:tcPr>
            <w:tcW w:w="700" w:type="dxa"/>
            <w:tcBorders>
              <w:top w:val="single" w:sz="4" w:space="0" w:color="auto"/>
            </w:tcBorders>
            <w:vAlign w:val="center"/>
          </w:tcPr>
          <w:p w14:paraId="034EA792" w14:textId="77777777" w:rsidR="00A30BF8" w:rsidRPr="007E6AC7" w:rsidRDefault="00A30BF8" w:rsidP="006F4762">
            <w:pPr>
              <w:spacing w:line="240" w:lineRule="auto"/>
              <w:jc w:val="center"/>
              <w:rPr>
                <w:color w:val="000000" w:themeColor="text1"/>
                <w:sz w:val="22"/>
              </w:rPr>
            </w:pPr>
          </w:p>
        </w:tc>
        <w:tc>
          <w:tcPr>
            <w:tcW w:w="699" w:type="dxa"/>
            <w:tcBorders>
              <w:top w:val="single" w:sz="4" w:space="0" w:color="auto"/>
            </w:tcBorders>
            <w:vAlign w:val="center"/>
          </w:tcPr>
          <w:p w14:paraId="7B7F43B5" w14:textId="77777777" w:rsidR="00A30BF8" w:rsidRPr="007E6AC7" w:rsidRDefault="00A30BF8" w:rsidP="006F4762">
            <w:pPr>
              <w:spacing w:line="240" w:lineRule="auto"/>
              <w:jc w:val="center"/>
              <w:rPr>
                <w:color w:val="000000" w:themeColor="text1"/>
                <w:sz w:val="22"/>
              </w:rPr>
            </w:pPr>
          </w:p>
        </w:tc>
        <w:tc>
          <w:tcPr>
            <w:tcW w:w="699" w:type="dxa"/>
            <w:tcBorders>
              <w:top w:val="single" w:sz="4" w:space="0" w:color="auto"/>
            </w:tcBorders>
            <w:vAlign w:val="center"/>
          </w:tcPr>
          <w:p w14:paraId="5C557562" w14:textId="77777777" w:rsidR="00A30BF8" w:rsidRPr="007E6AC7" w:rsidRDefault="00A30BF8" w:rsidP="006F4762">
            <w:pPr>
              <w:spacing w:line="240" w:lineRule="auto"/>
              <w:jc w:val="center"/>
              <w:rPr>
                <w:color w:val="000000" w:themeColor="text1"/>
                <w:sz w:val="22"/>
              </w:rPr>
            </w:pPr>
          </w:p>
        </w:tc>
        <w:tc>
          <w:tcPr>
            <w:tcW w:w="700" w:type="dxa"/>
            <w:tcBorders>
              <w:top w:val="single" w:sz="4" w:space="0" w:color="auto"/>
            </w:tcBorders>
            <w:vAlign w:val="center"/>
          </w:tcPr>
          <w:p w14:paraId="55852078" w14:textId="77777777" w:rsidR="00A30BF8" w:rsidRPr="007E6AC7" w:rsidRDefault="00A30BF8" w:rsidP="006F4762">
            <w:pPr>
              <w:spacing w:line="240" w:lineRule="auto"/>
              <w:jc w:val="center"/>
              <w:rPr>
                <w:color w:val="000000" w:themeColor="text1"/>
                <w:sz w:val="22"/>
              </w:rPr>
            </w:pPr>
          </w:p>
        </w:tc>
      </w:tr>
      <w:tr w:rsidR="007E6AC7" w:rsidRPr="007E6AC7" w14:paraId="0D60AF0B" w14:textId="77777777" w:rsidTr="00B6286E">
        <w:trPr>
          <w:trHeight w:val="210"/>
        </w:trPr>
        <w:tc>
          <w:tcPr>
            <w:tcW w:w="491" w:type="dxa"/>
            <w:vAlign w:val="center"/>
          </w:tcPr>
          <w:p w14:paraId="582BC873" w14:textId="77777777" w:rsidR="00A30BF8" w:rsidRPr="007E6AC7" w:rsidRDefault="00A30BF8" w:rsidP="006F4762">
            <w:pPr>
              <w:spacing w:line="240" w:lineRule="auto"/>
              <w:jc w:val="center"/>
              <w:rPr>
                <w:color w:val="000000" w:themeColor="text1"/>
                <w:sz w:val="22"/>
              </w:rPr>
            </w:pPr>
            <w:r w:rsidRPr="007E6AC7">
              <w:rPr>
                <w:color w:val="000000" w:themeColor="text1"/>
                <w:sz w:val="22"/>
              </w:rPr>
              <w:t>2.</w:t>
            </w:r>
          </w:p>
        </w:tc>
        <w:tc>
          <w:tcPr>
            <w:tcW w:w="4395" w:type="dxa"/>
            <w:vAlign w:val="center"/>
            <w:hideMark/>
          </w:tcPr>
          <w:p w14:paraId="22B5D37F" w14:textId="77777777" w:rsidR="00A30BF8" w:rsidRPr="007E6AC7" w:rsidRDefault="00A30BF8" w:rsidP="006F4762">
            <w:pPr>
              <w:spacing w:line="240" w:lineRule="auto"/>
              <w:jc w:val="left"/>
              <w:rPr>
                <w:color w:val="000000" w:themeColor="text1"/>
                <w:sz w:val="22"/>
              </w:rPr>
            </w:pPr>
            <w:r w:rsidRPr="007E6AC7">
              <w:rPr>
                <w:color w:val="000000" w:themeColor="text1"/>
                <w:sz w:val="22"/>
              </w:rPr>
              <w:t>acq_car2</w:t>
            </w:r>
          </w:p>
        </w:tc>
        <w:tc>
          <w:tcPr>
            <w:tcW w:w="699" w:type="dxa"/>
            <w:vAlign w:val="center"/>
          </w:tcPr>
          <w:p w14:paraId="35B02F18" w14:textId="77777777" w:rsidR="00A30BF8" w:rsidRPr="007E6AC7" w:rsidRDefault="00A30BF8" w:rsidP="006F4762">
            <w:pPr>
              <w:spacing w:line="240" w:lineRule="auto"/>
              <w:jc w:val="center"/>
              <w:rPr>
                <w:color w:val="000000" w:themeColor="text1"/>
                <w:sz w:val="22"/>
              </w:rPr>
            </w:pPr>
          </w:p>
        </w:tc>
        <w:tc>
          <w:tcPr>
            <w:tcW w:w="699" w:type="dxa"/>
            <w:vAlign w:val="center"/>
          </w:tcPr>
          <w:p w14:paraId="430B87F5" w14:textId="77777777" w:rsidR="00A30BF8" w:rsidRPr="007E6AC7" w:rsidRDefault="00A30BF8" w:rsidP="006F4762">
            <w:pPr>
              <w:spacing w:line="240" w:lineRule="auto"/>
              <w:jc w:val="center"/>
              <w:rPr>
                <w:color w:val="000000" w:themeColor="text1"/>
                <w:sz w:val="22"/>
              </w:rPr>
            </w:pPr>
          </w:p>
        </w:tc>
        <w:tc>
          <w:tcPr>
            <w:tcW w:w="700" w:type="dxa"/>
            <w:vAlign w:val="center"/>
          </w:tcPr>
          <w:p w14:paraId="2C6B8C7C" w14:textId="77777777" w:rsidR="00A30BF8" w:rsidRPr="007E6AC7" w:rsidRDefault="00A30BF8" w:rsidP="006F4762">
            <w:pPr>
              <w:spacing w:line="240" w:lineRule="auto"/>
              <w:jc w:val="center"/>
              <w:rPr>
                <w:color w:val="000000" w:themeColor="text1"/>
                <w:sz w:val="22"/>
              </w:rPr>
            </w:pPr>
          </w:p>
        </w:tc>
        <w:tc>
          <w:tcPr>
            <w:tcW w:w="699" w:type="dxa"/>
            <w:vAlign w:val="center"/>
          </w:tcPr>
          <w:p w14:paraId="34F939A7" w14:textId="77777777" w:rsidR="00A30BF8" w:rsidRPr="007E6AC7" w:rsidRDefault="00A30BF8" w:rsidP="006F4762">
            <w:pPr>
              <w:spacing w:line="240" w:lineRule="auto"/>
              <w:jc w:val="center"/>
              <w:rPr>
                <w:color w:val="000000" w:themeColor="text1"/>
                <w:sz w:val="22"/>
              </w:rPr>
            </w:pPr>
          </w:p>
        </w:tc>
        <w:tc>
          <w:tcPr>
            <w:tcW w:w="699" w:type="dxa"/>
            <w:vAlign w:val="center"/>
          </w:tcPr>
          <w:p w14:paraId="582595E1" w14:textId="77777777" w:rsidR="00A30BF8" w:rsidRPr="007E6AC7" w:rsidRDefault="00A30BF8" w:rsidP="006F4762">
            <w:pPr>
              <w:spacing w:line="240" w:lineRule="auto"/>
              <w:jc w:val="center"/>
              <w:rPr>
                <w:color w:val="000000" w:themeColor="text1"/>
                <w:sz w:val="22"/>
              </w:rPr>
            </w:pPr>
          </w:p>
        </w:tc>
        <w:tc>
          <w:tcPr>
            <w:tcW w:w="700" w:type="dxa"/>
            <w:vAlign w:val="center"/>
          </w:tcPr>
          <w:p w14:paraId="34F3CD41" w14:textId="77777777" w:rsidR="00A30BF8" w:rsidRPr="007E6AC7" w:rsidRDefault="00A30BF8" w:rsidP="006F4762">
            <w:pPr>
              <w:spacing w:line="240" w:lineRule="auto"/>
              <w:jc w:val="center"/>
              <w:rPr>
                <w:color w:val="000000" w:themeColor="text1"/>
                <w:sz w:val="22"/>
              </w:rPr>
            </w:pPr>
          </w:p>
        </w:tc>
        <w:tc>
          <w:tcPr>
            <w:tcW w:w="699" w:type="dxa"/>
            <w:vAlign w:val="center"/>
          </w:tcPr>
          <w:p w14:paraId="0815FB67" w14:textId="77777777" w:rsidR="00A30BF8" w:rsidRPr="007E6AC7" w:rsidRDefault="00A30BF8" w:rsidP="006F4762">
            <w:pPr>
              <w:spacing w:line="240" w:lineRule="auto"/>
              <w:jc w:val="center"/>
              <w:rPr>
                <w:color w:val="000000" w:themeColor="text1"/>
                <w:sz w:val="22"/>
              </w:rPr>
            </w:pPr>
          </w:p>
        </w:tc>
        <w:tc>
          <w:tcPr>
            <w:tcW w:w="699" w:type="dxa"/>
            <w:vAlign w:val="center"/>
          </w:tcPr>
          <w:p w14:paraId="4E5A4827" w14:textId="77777777" w:rsidR="00A30BF8" w:rsidRPr="007E6AC7" w:rsidRDefault="00A30BF8" w:rsidP="006F4762">
            <w:pPr>
              <w:spacing w:line="240" w:lineRule="auto"/>
              <w:jc w:val="center"/>
              <w:rPr>
                <w:color w:val="000000" w:themeColor="text1"/>
                <w:sz w:val="22"/>
              </w:rPr>
            </w:pPr>
          </w:p>
        </w:tc>
        <w:tc>
          <w:tcPr>
            <w:tcW w:w="700" w:type="dxa"/>
            <w:vAlign w:val="center"/>
          </w:tcPr>
          <w:p w14:paraId="788EE0AC" w14:textId="77777777" w:rsidR="00A30BF8" w:rsidRPr="007E6AC7" w:rsidRDefault="00A30BF8" w:rsidP="006F4762">
            <w:pPr>
              <w:spacing w:line="240" w:lineRule="auto"/>
              <w:jc w:val="center"/>
              <w:rPr>
                <w:color w:val="000000" w:themeColor="text1"/>
                <w:sz w:val="22"/>
              </w:rPr>
            </w:pPr>
          </w:p>
        </w:tc>
        <w:tc>
          <w:tcPr>
            <w:tcW w:w="699" w:type="dxa"/>
            <w:vAlign w:val="center"/>
          </w:tcPr>
          <w:p w14:paraId="1C4E24E4" w14:textId="77777777" w:rsidR="00A30BF8" w:rsidRPr="007E6AC7" w:rsidRDefault="00A30BF8" w:rsidP="006F4762">
            <w:pPr>
              <w:spacing w:line="240" w:lineRule="auto"/>
              <w:jc w:val="center"/>
              <w:rPr>
                <w:color w:val="000000" w:themeColor="text1"/>
                <w:sz w:val="22"/>
              </w:rPr>
            </w:pPr>
          </w:p>
        </w:tc>
        <w:tc>
          <w:tcPr>
            <w:tcW w:w="699" w:type="dxa"/>
            <w:vAlign w:val="center"/>
          </w:tcPr>
          <w:p w14:paraId="7CEA02C9" w14:textId="77777777" w:rsidR="00A30BF8" w:rsidRPr="007E6AC7" w:rsidRDefault="00A30BF8" w:rsidP="006F4762">
            <w:pPr>
              <w:spacing w:line="240" w:lineRule="auto"/>
              <w:jc w:val="center"/>
              <w:rPr>
                <w:color w:val="000000" w:themeColor="text1"/>
                <w:sz w:val="22"/>
              </w:rPr>
            </w:pPr>
          </w:p>
        </w:tc>
        <w:tc>
          <w:tcPr>
            <w:tcW w:w="700" w:type="dxa"/>
            <w:vAlign w:val="center"/>
          </w:tcPr>
          <w:p w14:paraId="3879CF8F" w14:textId="77777777" w:rsidR="00A30BF8" w:rsidRPr="007E6AC7" w:rsidRDefault="00A30BF8" w:rsidP="006F4762">
            <w:pPr>
              <w:spacing w:line="240" w:lineRule="auto"/>
              <w:jc w:val="center"/>
              <w:rPr>
                <w:color w:val="000000" w:themeColor="text1"/>
                <w:sz w:val="22"/>
              </w:rPr>
            </w:pPr>
          </w:p>
        </w:tc>
        <w:tc>
          <w:tcPr>
            <w:tcW w:w="699" w:type="dxa"/>
            <w:vAlign w:val="center"/>
          </w:tcPr>
          <w:p w14:paraId="341C6236" w14:textId="77777777" w:rsidR="00A30BF8" w:rsidRPr="007E6AC7" w:rsidRDefault="00A30BF8" w:rsidP="006F4762">
            <w:pPr>
              <w:spacing w:line="240" w:lineRule="auto"/>
              <w:jc w:val="center"/>
              <w:rPr>
                <w:color w:val="000000" w:themeColor="text1"/>
                <w:sz w:val="22"/>
              </w:rPr>
            </w:pPr>
          </w:p>
        </w:tc>
        <w:tc>
          <w:tcPr>
            <w:tcW w:w="699" w:type="dxa"/>
            <w:vAlign w:val="center"/>
          </w:tcPr>
          <w:p w14:paraId="3FF09379" w14:textId="77777777" w:rsidR="00A30BF8" w:rsidRPr="007E6AC7" w:rsidRDefault="00A30BF8" w:rsidP="006F4762">
            <w:pPr>
              <w:spacing w:line="240" w:lineRule="auto"/>
              <w:jc w:val="center"/>
              <w:rPr>
                <w:color w:val="000000" w:themeColor="text1"/>
                <w:sz w:val="22"/>
              </w:rPr>
            </w:pPr>
          </w:p>
        </w:tc>
        <w:tc>
          <w:tcPr>
            <w:tcW w:w="700" w:type="dxa"/>
            <w:vAlign w:val="center"/>
          </w:tcPr>
          <w:p w14:paraId="0B566B57" w14:textId="77777777" w:rsidR="00A30BF8" w:rsidRPr="007E6AC7" w:rsidRDefault="00A30BF8" w:rsidP="006F4762">
            <w:pPr>
              <w:spacing w:line="240" w:lineRule="auto"/>
              <w:jc w:val="center"/>
              <w:rPr>
                <w:color w:val="000000" w:themeColor="text1"/>
                <w:sz w:val="22"/>
              </w:rPr>
            </w:pPr>
          </w:p>
        </w:tc>
      </w:tr>
      <w:tr w:rsidR="007E6AC7" w:rsidRPr="007E6AC7" w14:paraId="7A9B8251" w14:textId="77777777" w:rsidTr="00B6286E">
        <w:trPr>
          <w:trHeight w:val="210"/>
        </w:trPr>
        <w:tc>
          <w:tcPr>
            <w:tcW w:w="491" w:type="dxa"/>
            <w:vAlign w:val="center"/>
          </w:tcPr>
          <w:p w14:paraId="5127E295" w14:textId="77777777" w:rsidR="00A30BF8" w:rsidRPr="007E6AC7" w:rsidRDefault="00A30BF8" w:rsidP="006F4762">
            <w:pPr>
              <w:spacing w:line="240" w:lineRule="auto"/>
              <w:jc w:val="center"/>
              <w:rPr>
                <w:color w:val="000000" w:themeColor="text1"/>
                <w:sz w:val="22"/>
              </w:rPr>
            </w:pPr>
            <w:r w:rsidRPr="007E6AC7">
              <w:rPr>
                <w:color w:val="000000" w:themeColor="text1"/>
                <w:sz w:val="22"/>
              </w:rPr>
              <w:t>3.</w:t>
            </w:r>
          </w:p>
        </w:tc>
        <w:tc>
          <w:tcPr>
            <w:tcW w:w="4395" w:type="dxa"/>
            <w:vAlign w:val="center"/>
            <w:hideMark/>
          </w:tcPr>
          <w:p w14:paraId="022C40B4" w14:textId="77777777" w:rsidR="00A30BF8" w:rsidRPr="007E6AC7" w:rsidRDefault="00A30BF8" w:rsidP="006F4762">
            <w:pPr>
              <w:spacing w:line="240" w:lineRule="auto"/>
              <w:jc w:val="left"/>
              <w:rPr>
                <w:color w:val="000000" w:themeColor="text1"/>
                <w:sz w:val="22"/>
              </w:rPr>
            </w:pPr>
            <w:r w:rsidRPr="007E6AC7">
              <w:rPr>
                <w:color w:val="000000" w:themeColor="text1"/>
                <w:sz w:val="22"/>
              </w:rPr>
              <w:t>acq_car5</w:t>
            </w:r>
          </w:p>
        </w:tc>
        <w:tc>
          <w:tcPr>
            <w:tcW w:w="699" w:type="dxa"/>
            <w:vAlign w:val="center"/>
          </w:tcPr>
          <w:p w14:paraId="2B4F4159" w14:textId="77777777" w:rsidR="00A30BF8" w:rsidRPr="007E6AC7" w:rsidRDefault="00A30BF8" w:rsidP="006F4762">
            <w:pPr>
              <w:spacing w:line="240" w:lineRule="auto"/>
              <w:jc w:val="center"/>
              <w:rPr>
                <w:color w:val="000000" w:themeColor="text1"/>
                <w:sz w:val="22"/>
              </w:rPr>
            </w:pPr>
          </w:p>
        </w:tc>
        <w:tc>
          <w:tcPr>
            <w:tcW w:w="699" w:type="dxa"/>
            <w:vAlign w:val="center"/>
          </w:tcPr>
          <w:p w14:paraId="1A8ABA4B" w14:textId="77777777" w:rsidR="00A30BF8" w:rsidRPr="007E6AC7" w:rsidRDefault="00A30BF8" w:rsidP="006F4762">
            <w:pPr>
              <w:spacing w:line="240" w:lineRule="auto"/>
              <w:jc w:val="center"/>
              <w:rPr>
                <w:color w:val="000000" w:themeColor="text1"/>
                <w:sz w:val="22"/>
              </w:rPr>
            </w:pPr>
          </w:p>
        </w:tc>
        <w:tc>
          <w:tcPr>
            <w:tcW w:w="700" w:type="dxa"/>
            <w:vAlign w:val="center"/>
          </w:tcPr>
          <w:p w14:paraId="5719833F" w14:textId="77777777" w:rsidR="00A30BF8" w:rsidRPr="007E6AC7" w:rsidRDefault="00A30BF8" w:rsidP="006F4762">
            <w:pPr>
              <w:spacing w:line="240" w:lineRule="auto"/>
              <w:jc w:val="center"/>
              <w:rPr>
                <w:color w:val="000000" w:themeColor="text1"/>
                <w:sz w:val="22"/>
              </w:rPr>
            </w:pPr>
          </w:p>
        </w:tc>
        <w:tc>
          <w:tcPr>
            <w:tcW w:w="699" w:type="dxa"/>
            <w:vAlign w:val="center"/>
          </w:tcPr>
          <w:p w14:paraId="08CCE3FA" w14:textId="77777777" w:rsidR="00A30BF8" w:rsidRPr="007E6AC7" w:rsidRDefault="00A30BF8" w:rsidP="006F4762">
            <w:pPr>
              <w:spacing w:line="240" w:lineRule="auto"/>
              <w:jc w:val="center"/>
              <w:rPr>
                <w:color w:val="000000" w:themeColor="text1"/>
                <w:sz w:val="22"/>
              </w:rPr>
            </w:pPr>
          </w:p>
        </w:tc>
        <w:tc>
          <w:tcPr>
            <w:tcW w:w="699" w:type="dxa"/>
            <w:vAlign w:val="center"/>
          </w:tcPr>
          <w:p w14:paraId="3752AA5D" w14:textId="77777777" w:rsidR="00A30BF8" w:rsidRPr="007E6AC7" w:rsidRDefault="00A30BF8" w:rsidP="006F4762">
            <w:pPr>
              <w:spacing w:line="240" w:lineRule="auto"/>
              <w:jc w:val="center"/>
              <w:rPr>
                <w:color w:val="000000" w:themeColor="text1"/>
                <w:sz w:val="22"/>
              </w:rPr>
            </w:pPr>
          </w:p>
        </w:tc>
        <w:tc>
          <w:tcPr>
            <w:tcW w:w="700" w:type="dxa"/>
            <w:vAlign w:val="center"/>
          </w:tcPr>
          <w:p w14:paraId="795E82A1" w14:textId="77777777" w:rsidR="00A30BF8" w:rsidRPr="007E6AC7" w:rsidRDefault="00A30BF8" w:rsidP="006F4762">
            <w:pPr>
              <w:spacing w:line="240" w:lineRule="auto"/>
              <w:jc w:val="center"/>
              <w:rPr>
                <w:color w:val="000000" w:themeColor="text1"/>
                <w:sz w:val="22"/>
              </w:rPr>
            </w:pPr>
          </w:p>
        </w:tc>
        <w:tc>
          <w:tcPr>
            <w:tcW w:w="699" w:type="dxa"/>
            <w:vAlign w:val="center"/>
          </w:tcPr>
          <w:p w14:paraId="39C65A51" w14:textId="77777777" w:rsidR="00A30BF8" w:rsidRPr="007E6AC7" w:rsidRDefault="00A30BF8" w:rsidP="006F4762">
            <w:pPr>
              <w:spacing w:line="240" w:lineRule="auto"/>
              <w:jc w:val="center"/>
              <w:rPr>
                <w:color w:val="000000" w:themeColor="text1"/>
                <w:sz w:val="22"/>
              </w:rPr>
            </w:pPr>
          </w:p>
        </w:tc>
        <w:tc>
          <w:tcPr>
            <w:tcW w:w="699" w:type="dxa"/>
            <w:vAlign w:val="center"/>
          </w:tcPr>
          <w:p w14:paraId="0983AAC6" w14:textId="77777777" w:rsidR="00A30BF8" w:rsidRPr="007E6AC7" w:rsidRDefault="00A30BF8" w:rsidP="006F4762">
            <w:pPr>
              <w:spacing w:line="240" w:lineRule="auto"/>
              <w:jc w:val="center"/>
              <w:rPr>
                <w:color w:val="000000" w:themeColor="text1"/>
                <w:sz w:val="22"/>
              </w:rPr>
            </w:pPr>
          </w:p>
        </w:tc>
        <w:tc>
          <w:tcPr>
            <w:tcW w:w="700" w:type="dxa"/>
            <w:vAlign w:val="center"/>
          </w:tcPr>
          <w:p w14:paraId="1B3B1D23" w14:textId="77777777" w:rsidR="00A30BF8" w:rsidRPr="007E6AC7" w:rsidRDefault="00A30BF8" w:rsidP="006F4762">
            <w:pPr>
              <w:spacing w:line="240" w:lineRule="auto"/>
              <w:jc w:val="center"/>
              <w:rPr>
                <w:color w:val="000000" w:themeColor="text1"/>
                <w:sz w:val="22"/>
              </w:rPr>
            </w:pPr>
          </w:p>
        </w:tc>
        <w:tc>
          <w:tcPr>
            <w:tcW w:w="699" w:type="dxa"/>
            <w:vAlign w:val="center"/>
          </w:tcPr>
          <w:p w14:paraId="45D98BD3" w14:textId="77777777" w:rsidR="00A30BF8" w:rsidRPr="007E6AC7" w:rsidRDefault="00A30BF8" w:rsidP="006F4762">
            <w:pPr>
              <w:spacing w:line="240" w:lineRule="auto"/>
              <w:jc w:val="center"/>
              <w:rPr>
                <w:color w:val="000000" w:themeColor="text1"/>
                <w:sz w:val="22"/>
              </w:rPr>
            </w:pPr>
          </w:p>
        </w:tc>
        <w:tc>
          <w:tcPr>
            <w:tcW w:w="699" w:type="dxa"/>
            <w:vAlign w:val="center"/>
          </w:tcPr>
          <w:p w14:paraId="45D5FBC3" w14:textId="77777777" w:rsidR="00A30BF8" w:rsidRPr="007E6AC7" w:rsidRDefault="00A30BF8" w:rsidP="006F4762">
            <w:pPr>
              <w:spacing w:line="240" w:lineRule="auto"/>
              <w:jc w:val="center"/>
              <w:rPr>
                <w:color w:val="000000" w:themeColor="text1"/>
                <w:sz w:val="22"/>
              </w:rPr>
            </w:pPr>
          </w:p>
        </w:tc>
        <w:tc>
          <w:tcPr>
            <w:tcW w:w="700" w:type="dxa"/>
            <w:vAlign w:val="center"/>
          </w:tcPr>
          <w:p w14:paraId="3D284713" w14:textId="77777777" w:rsidR="00A30BF8" w:rsidRPr="007E6AC7" w:rsidRDefault="00A30BF8" w:rsidP="006F4762">
            <w:pPr>
              <w:spacing w:line="240" w:lineRule="auto"/>
              <w:jc w:val="center"/>
              <w:rPr>
                <w:color w:val="000000" w:themeColor="text1"/>
                <w:sz w:val="22"/>
              </w:rPr>
            </w:pPr>
          </w:p>
        </w:tc>
        <w:tc>
          <w:tcPr>
            <w:tcW w:w="699" w:type="dxa"/>
            <w:vAlign w:val="center"/>
          </w:tcPr>
          <w:p w14:paraId="4D3B7892" w14:textId="77777777" w:rsidR="00A30BF8" w:rsidRPr="007E6AC7" w:rsidRDefault="00A30BF8" w:rsidP="006F4762">
            <w:pPr>
              <w:spacing w:line="240" w:lineRule="auto"/>
              <w:jc w:val="center"/>
              <w:rPr>
                <w:color w:val="000000" w:themeColor="text1"/>
                <w:sz w:val="22"/>
              </w:rPr>
            </w:pPr>
          </w:p>
        </w:tc>
        <w:tc>
          <w:tcPr>
            <w:tcW w:w="699" w:type="dxa"/>
            <w:vAlign w:val="center"/>
          </w:tcPr>
          <w:p w14:paraId="7D8D5C9E" w14:textId="77777777" w:rsidR="00A30BF8" w:rsidRPr="007E6AC7" w:rsidRDefault="00A30BF8" w:rsidP="006F4762">
            <w:pPr>
              <w:spacing w:line="240" w:lineRule="auto"/>
              <w:jc w:val="center"/>
              <w:rPr>
                <w:color w:val="000000" w:themeColor="text1"/>
                <w:sz w:val="22"/>
              </w:rPr>
            </w:pPr>
          </w:p>
        </w:tc>
        <w:tc>
          <w:tcPr>
            <w:tcW w:w="700" w:type="dxa"/>
            <w:vAlign w:val="center"/>
          </w:tcPr>
          <w:p w14:paraId="33270299" w14:textId="77777777" w:rsidR="00A30BF8" w:rsidRPr="007E6AC7" w:rsidRDefault="00A30BF8" w:rsidP="006F4762">
            <w:pPr>
              <w:spacing w:line="240" w:lineRule="auto"/>
              <w:jc w:val="center"/>
              <w:rPr>
                <w:color w:val="000000" w:themeColor="text1"/>
                <w:sz w:val="22"/>
              </w:rPr>
            </w:pPr>
          </w:p>
        </w:tc>
      </w:tr>
      <w:tr w:rsidR="007E6AC7" w:rsidRPr="007E6AC7" w14:paraId="68A2E323" w14:textId="77777777" w:rsidTr="00B6286E">
        <w:trPr>
          <w:trHeight w:val="210"/>
        </w:trPr>
        <w:tc>
          <w:tcPr>
            <w:tcW w:w="491" w:type="dxa"/>
            <w:vAlign w:val="center"/>
          </w:tcPr>
          <w:p w14:paraId="3AE35C5B" w14:textId="77777777" w:rsidR="00A30BF8" w:rsidRPr="007E6AC7" w:rsidRDefault="00A30BF8" w:rsidP="006F4762">
            <w:pPr>
              <w:spacing w:line="240" w:lineRule="auto"/>
              <w:jc w:val="center"/>
              <w:rPr>
                <w:color w:val="000000" w:themeColor="text1"/>
                <w:sz w:val="22"/>
              </w:rPr>
            </w:pPr>
            <w:r w:rsidRPr="007E6AC7">
              <w:rPr>
                <w:color w:val="000000" w:themeColor="text1"/>
                <w:sz w:val="22"/>
              </w:rPr>
              <w:t>4.</w:t>
            </w:r>
          </w:p>
        </w:tc>
        <w:tc>
          <w:tcPr>
            <w:tcW w:w="4395" w:type="dxa"/>
            <w:vAlign w:val="center"/>
            <w:hideMark/>
          </w:tcPr>
          <w:p w14:paraId="3F5ADD82" w14:textId="77777777" w:rsidR="00A30BF8" w:rsidRPr="007E6AC7" w:rsidRDefault="00A30BF8" w:rsidP="006F4762">
            <w:pPr>
              <w:spacing w:line="240" w:lineRule="auto"/>
              <w:jc w:val="left"/>
              <w:rPr>
                <w:color w:val="000000" w:themeColor="text1"/>
                <w:sz w:val="22"/>
              </w:rPr>
            </w:pPr>
            <w:r w:rsidRPr="007E6AC7">
              <w:rPr>
                <w:color w:val="000000" w:themeColor="text1"/>
                <w:sz w:val="22"/>
              </w:rPr>
              <w:t>acq_car10</w:t>
            </w:r>
          </w:p>
        </w:tc>
        <w:tc>
          <w:tcPr>
            <w:tcW w:w="699" w:type="dxa"/>
            <w:vAlign w:val="center"/>
          </w:tcPr>
          <w:p w14:paraId="27CC5211" w14:textId="77777777" w:rsidR="00A30BF8" w:rsidRPr="007E6AC7" w:rsidRDefault="00A30BF8" w:rsidP="006F4762">
            <w:pPr>
              <w:spacing w:line="240" w:lineRule="auto"/>
              <w:jc w:val="center"/>
              <w:rPr>
                <w:color w:val="000000" w:themeColor="text1"/>
                <w:sz w:val="22"/>
              </w:rPr>
            </w:pPr>
          </w:p>
        </w:tc>
        <w:tc>
          <w:tcPr>
            <w:tcW w:w="699" w:type="dxa"/>
            <w:vAlign w:val="center"/>
          </w:tcPr>
          <w:p w14:paraId="64752081" w14:textId="77777777" w:rsidR="00A30BF8" w:rsidRPr="007E6AC7" w:rsidRDefault="00A30BF8" w:rsidP="006F4762">
            <w:pPr>
              <w:spacing w:line="240" w:lineRule="auto"/>
              <w:jc w:val="center"/>
              <w:rPr>
                <w:color w:val="000000" w:themeColor="text1"/>
                <w:sz w:val="22"/>
              </w:rPr>
            </w:pPr>
          </w:p>
        </w:tc>
        <w:tc>
          <w:tcPr>
            <w:tcW w:w="700" w:type="dxa"/>
            <w:vAlign w:val="center"/>
          </w:tcPr>
          <w:p w14:paraId="7C6CE165" w14:textId="77777777" w:rsidR="00A30BF8" w:rsidRPr="007E6AC7" w:rsidRDefault="00A30BF8" w:rsidP="006F4762">
            <w:pPr>
              <w:spacing w:line="240" w:lineRule="auto"/>
              <w:jc w:val="center"/>
              <w:rPr>
                <w:color w:val="000000" w:themeColor="text1"/>
                <w:sz w:val="22"/>
              </w:rPr>
            </w:pPr>
          </w:p>
        </w:tc>
        <w:tc>
          <w:tcPr>
            <w:tcW w:w="699" w:type="dxa"/>
            <w:vAlign w:val="center"/>
          </w:tcPr>
          <w:p w14:paraId="780FD0D4" w14:textId="77777777" w:rsidR="00A30BF8" w:rsidRPr="007E6AC7" w:rsidRDefault="00A30BF8" w:rsidP="006F4762">
            <w:pPr>
              <w:spacing w:line="240" w:lineRule="auto"/>
              <w:jc w:val="center"/>
              <w:rPr>
                <w:color w:val="000000" w:themeColor="text1"/>
                <w:sz w:val="22"/>
              </w:rPr>
            </w:pPr>
          </w:p>
        </w:tc>
        <w:tc>
          <w:tcPr>
            <w:tcW w:w="699" w:type="dxa"/>
            <w:vAlign w:val="center"/>
          </w:tcPr>
          <w:p w14:paraId="11CB6003" w14:textId="77777777" w:rsidR="00A30BF8" w:rsidRPr="007E6AC7" w:rsidRDefault="00A30BF8" w:rsidP="006F4762">
            <w:pPr>
              <w:spacing w:line="240" w:lineRule="auto"/>
              <w:jc w:val="center"/>
              <w:rPr>
                <w:color w:val="000000" w:themeColor="text1"/>
                <w:sz w:val="22"/>
              </w:rPr>
            </w:pPr>
          </w:p>
        </w:tc>
        <w:tc>
          <w:tcPr>
            <w:tcW w:w="700" w:type="dxa"/>
            <w:vAlign w:val="center"/>
          </w:tcPr>
          <w:p w14:paraId="422F0478" w14:textId="77777777" w:rsidR="00A30BF8" w:rsidRPr="007E6AC7" w:rsidRDefault="00A30BF8" w:rsidP="006F4762">
            <w:pPr>
              <w:spacing w:line="240" w:lineRule="auto"/>
              <w:jc w:val="center"/>
              <w:rPr>
                <w:color w:val="000000" w:themeColor="text1"/>
                <w:sz w:val="22"/>
              </w:rPr>
            </w:pPr>
          </w:p>
        </w:tc>
        <w:tc>
          <w:tcPr>
            <w:tcW w:w="699" w:type="dxa"/>
            <w:vAlign w:val="center"/>
          </w:tcPr>
          <w:p w14:paraId="20CB3DF9" w14:textId="77777777" w:rsidR="00A30BF8" w:rsidRPr="007E6AC7" w:rsidRDefault="00A30BF8" w:rsidP="006F4762">
            <w:pPr>
              <w:spacing w:line="240" w:lineRule="auto"/>
              <w:jc w:val="center"/>
              <w:rPr>
                <w:color w:val="000000" w:themeColor="text1"/>
                <w:sz w:val="22"/>
              </w:rPr>
            </w:pPr>
          </w:p>
        </w:tc>
        <w:tc>
          <w:tcPr>
            <w:tcW w:w="699" w:type="dxa"/>
            <w:vAlign w:val="center"/>
          </w:tcPr>
          <w:p w14:paraId="30152CC9" w14:textId="77777777" w:rsidR="00A30BF8" w:rsidRPr="007E6AC7" w:rsidRDefault="00A30BF8" w:rsidP="006F4762">
            <w:pPr>
              <w:spacing w:line="240" w:lineRule="auto"/>
              <w:jc w:val="center"/>
              <w:rPr>
                <w:color w:val="000000" w:themeColor="text1"/>
                <w:sz w:val="22"/>
              </w:rPr>
            </w:pPr>
          </w:p>
        </w:tc>
        <w:tc>
          <w:tcPr>
            <w:tcW w:w="700" w:type="dxa"/>
            <w:vAlign w:val="center"/>
          </w:tcPr>
          <w:p w14:paraId="3763DEC1" w14:textId="77777777" w:rsidR="00A30BF8" w:rsidRPr="007E6AC7" w:rsidRDefault="00A30BF8" w:rsidP="006F4762">
            <w:pPr>
              <w:spacing w:line="240" w:lineRule="auto"/>
              <w:jc w:val="center"/>
              <w:rPr>
                <w:color w:val="000000" w:themeColor="text1"/>
                <w:sz w:val="22"/>
              </w:rPr>
            </w:pPr>
          </w:p>
        </w:tc>
        <w:tc>
          <w:tcPr>
            <w:tcW w:w="699" w:type="dxa"/>
            <w:vAlign w:val="center"/>
          </w:tcPr>
          <w:p w14:paraId="0D6573C0" w14:textId="77777777" w:rsidR="00A30BF8" w:rsidRPr="007E6AC7" w:rsidRDefault="00A30BF8" w:rsidP="006F4762">
            <w:pPr>
              <w:spacing w:line="240" w:lineRule="auto"/>
              <w:jc w:val="center"/>
              <w:rPr>
                <w:color w:val="000000" w:themeColor="text1"/>
                <w:sz w:val="22"/>
              </w:rPr>
            </w:pPr>
          </w:p>
        </w:tc>
        <w:tc>
          <w:tcPr>
            <w:tcW w:w="699" w:type="dxa"/>
            <w:vAlign w:val="center"/>
          </w:tcPr>
          <w:p w14:paraId="081633DE" w14:textId="77777777" w:rsidR="00A30BF8" w:rsidRPr="007E6AC7" w:rsidRDefault="00A30BF8" w:rsidP="006F4762">
            <w:pPr>
              <w:spacing w:line="240" w:lineRule="auto"/>
              <w:jc w:val="center"/>
              <w:rPr>
                <w:color w:val="000000" w:themeColor="text1"/>
                <w:sz w:val="22"/>
              </w:rPr>
            </w:pPr>
          </w:p>
        </w:tc>
        <w:tc>
          <w:tcPr>
            <w:tcW w:w="700" w:type="dxa"/>
            <w:vAlign w:val="center"/>
          </w:tcPr>
          <w:p w14:paraId="56D07814" w14:textId="77777777" w:rsidR="00A30BF8" w:rsidRPr="007E6AC7" w:rsidRDefault="00A30BF8" w:rsidP="006F4762">
            <w:pPr>
              <w:spacing w:line="240" w:lineRule="auto"/>
              <w:jc w:val="center"/>
              <w:rPr>
                <w:color w:val="000000" w:themeColor="text1"/>
                <w:sz w:val="22"/>
              </w:rPr>
            </w:pPr>
          </w:p>
        </w:tc>
        <w:tc>
          <w:tcPr>
            <w:tcW w:w="699" w:type="dxa"/>
            <w:vAlign w:val="center"/>
          </w:tcPr>
          <w:p w14:paraId="169B8C75" w14:textId="77777777" w:rsidR="00A30BF8" w:rsidRPr="007E6AC7" w:rsidRDefault="00A30BF8" w:rsidP="006F4762">
            <w:pPr>
              <w:spacing w:line="240" w:lineRule="auto"/>
              <w:jc w:val="center"/>
              <w:rPr>
                <w:color w:val="000000" w:themeColor="text1"/>
                <w:sz w:val="22"/>
              </w:rPr>
            </w:pPr>
          </w:p>
        </w:tc>
        <w:tc>
          <w:tcPr>
            <w:tcW w:w="699" w:type="dxa"/>
            <w:vAlign w:val="center"/>
          </w:tcPr>
          <w:p w14:paraId="68681B46" w14:textId="77777777" w:rsidR="00A30BF8" w:rsidRPr="007E6AC7" w:rsidRDefault="00A30BF8" w:rsidP="006F4762">
            <w:pPr>
              <w:spacing w:line="240" w:lineRule="auto"/>
              <w:jc w:val="center"/>
              <w:rPr>
                <w:color w:val="000000" w:themeColor="text1"/>
                <w:sz w:val="22"/>
              </w:rPr>
            </w:pPr>
          </w:p>
        </w:tc>
        <w:tc>
          <w:tcPr>
            <w:tcW w:w="700" w:type="dxa"/>
            <w:vAlign w:val="center"/>
          </w:tcPr>
          <w:p w14:paraId="7CEB4429" w14:textId="77777777" w:rsidR="00A30BF8" w:rsidRPr="007E6AC7" w:rsidRDefault="00A30BF8" w:rsidP="006F4762">
            <w:pPr>
              <w:spacing w:line="240" w:lineRule="auto"/>
              <w:jc w:val="center"/>
              <w:rPr>
                <w:color w:val="000000" w:themeColor="text1"/>
                <w:sz w:val="22"/>
              </w:rPr>
            </w:pPr>
          </w:p>
        </w:tc>
      </w:tr>
      <w:tr w:rsidR="007E6AC7" w:rsidRPr="007E6AC7" w14:paraId="653BB80B" w14:textId="77777777" w:rsidTr="00B6286E">
        <w:trPr>
          <w:trHeight w:val="210"/>
        </w:trPr>
        <w:tc>
          <w:tcPr>
            <w:tcW w:w="491" w:type="dxa"/>
            <w:vAlign w:val="center"/>
          </w:tcPr>
          <w:p w14:paraId="4BF09480" w14:textId="77777777" w:rsidR="00A30BF8" w:rsidRPr="007E6AC7" w:rsidRDefault="00A30BF8" w:rsidP="006F4762">
            <w:pPr>
              <w:spacing w:line="240" w:lineRule="auto"/>
              <w:jc w:val="center"/>
              <w:rPr>
                <w:color w:val="000000" w:themeColor="text1"/>
                <w:sz w:val="22"/>
              </w:rPr>
            </w:pPr>
            <w:r w:rsidRPr="007E6AC7">
              <w:rPr>
                <w:color w:val="000000" w:themeColor="text1"/>
                <w:sz w:val="22"/>
              </w:rPr>
              <w:t>5.</w:t>
            </w:r>
          </w:p>
        </w:tc>
        <w:tc>
          <w:tcPr>
            <w:tcW w:w="4395" w:type="dxa"/>
            <w:vAlign w:val="center"/>
            <w:hideMark/>
          </w:tcPr>
          <w:p w14:paraId="677DC3B8" w14:textId="77777777" w:rsidR="00A30BF8" w:rsidRPr="007E6AC7" w:rsidRDefault="00A30BF8" w:rsidP="006F4762">
            <w:pPr>
              <w:spacing w:line="240" w:lineRule="auto"/>
              <w:jc w:val="left"/>
              <w:rPr>
                <w:color w:val="000000" w:themeColor="text1"/>
                <w:sz w:val="22"/>
              </w:rPr>
            </w:pPr>
            <w:r w:rsidRPr="007E6AC7">
              <w:rPr>
                <w:color w:val="000000" w:themeColor="text1"/>
                <w:sz w:val="22"/>
              </w:rPr>
              <w:t>deal_car_weighted</w:t>
            </w:r>
          </w:p>
        </w:tc>
        <w:tc>
          <w:tcPr>
            <w:tcW w:w="699" w:type="dxa"/>
            <w:vAlign w:val="center"/>
          </w:tcPr>
          <w:p w14:paraId="371EA163" w14:textId="77777777" w:rsidR="00A30BF8" w:rsidRPr="007E6AC7" w:rsidRDefault="00A30BF8" w:rsidP="006F4762">
            <w:pPr>
              <w:spacing w:line="240" w:lineRule="auto"/>
              <w:jc w:val="center"/>
              <w:rPr>
                <w:color w:val="000000" w:themeColor="text1"/>
                <w:sz w:val="22"/>
              </w:rPr>
            </w:pPr>
          </w:p>
        </w:tc>
        <w:tc>
          <w:tcPr>
            <w:tcW w:w="699" w:type="dxa"/>
            <w:vAlign w:val="center"/>
          </w:tcPr>
          <w:p w14:paraId="2D222204" w14:textId="77777777" w:rsidR="00A30BF8" w:rsidRPr="007E6AC7" w:rsidRDefault="00A30BF8" w:rsidP="006F4762">
            <w:pPr>
              <w:spacing w:line="240" w:lineRule="auto"/>
              <w:jc w:val="center"/>
              <w:rPr>
                <w:color w:val="000000" w:themeColor="text1"/>
                <w:sz w:val="22"/>
              </w:rPr>
            </w:pPr>
          </w:p>
        </w:tc>
        <w:tc>
          <w:tcPr>
            <w:tcW w:w="700" w:type="dxa"/>
            <w:vAlign w:val="center"/>
          </w:tcPr>
          <w:p w14:paraId="117FBF22" w14:textId="77777777" w:rsidR="00A30BF8" w:rsidRPr="007E6AC7" w:rsidRDefault="00A30BF8" w:rsidP="006F4762">
            <w:pPr>
              <w:spacing w:line="240" w:lineRule="auto"/>
              <w:jc w:val="center"/>
              <w:rPr>
                <w:color w:val="000000" w:themeColor="text1"/>
                <w:sz w:val="22"/>
              </w:rPr>
            </w:pPr>
          </w:p>
        </w:tc>
        <w:tc>
          <w:tcPr>
            <w:tcW w:w="699" w:type="dxa"/>
            <w:vAlign w:val="center"/>
          </w:tcPr>
          <w:p w14:paraId="6CD4405C" w14:textId="77777777" w:rsidR="00A30BF8" w:rsidRPr="007E6AC7" w:rsidRDefault="00A30BF8" w:rsidP="006F4762">
            <w:pPr>
              <w:spacing w:line="240" w:lineRule="auto"/>
              <w:jc w:val="center"/>
              <w:rPr>
                <w:color w:val="000000" w:themeColor="text1"/>
                <w:sz w:val="22"/>
              </w:rPr>
            </w:pPr>
          </w:p>
        </w:tc>
        <w:tc>
          <w:tcPr>
            <w:tcW w:w="699" w:type="dxa"/>
            <w:vAlign w:val="center"/>
          </w:tcPr>
          <w:p w14:paraId="25B5EE6D" w14:textId="77777777" w:rsidR="00A30BF8" w:rsidRPr="007E6AC7" w:rsidRDefault="00A30BF8" w:rsidP="006F4762">
            <w:pPr>
              <w:spacing w:line="240" w:lineRule="auto"/>
              <w:jc w:val="center"/>
              <w:rPr>
                <w:color w:val="000000" w:themeColor="text1"/>
                <w:sz w:val="22"/>
              </w:rPr>
            </w:pPr>
          </w:p>
        </w:tc>
        <w:tc>
          <w:tcPr>
            <w:tcW w:w="700" w:type="dxa"/>
            <w:vAlign w:val="center"/>
          </w:tcPr>
          <w:p w14:paraId="4F889FBE" w14:textId="77777777" w:rsidR="00A30BF8" w:rsidRPr="007E6AC7" w:rsidRDefault="00A30BF8" w:rsidP="006F4762">
            <w:pPr>
              <w:spacing w:line="240" w:lineRule="auto"/>
              <w:jc w:val="center"/>
              <w:rPr>
                <w:color w:val="000000" w:themeColor="text1"/>
                <w:sz w:val="22"/>
              </w:rPr>
            </w:pPr>
          </w:p>
        </w:tc>
        <w:tc>
          <w:tcPr>
            <w:tcW w:w="699" w:type="dxa"/>
            <w:vAlign w:val="center"/>
          </w:tcPr>
          <w:p w14:paraId="47651530" w14:textId="77777777" w:rsidR="00A30BF8" w:rsidRPr="007E6AC7" w:rsidRDefault="00A30BF8" w:rsidP="006F4762">
            <w:pPr>
              <w:spacing w:line="240" w:lineRule="auto"/>
              <w:jc w:val="center"/>
              <w:rPr>
                <w:color w:val="000000" w:themeColor="text1"/>
                <w:sz w:val="22"/>
              </w:rPr>
            </w:pPr>
          </w:p>
        </w:tc>
        <w:tc>
          <w:tcPr>
            <w:tcW w:w="699" w:type="dxa"/>
            <w:vAlign w:val="center"/>
          </w:tcPr>
          <w:p w14:paraId="0BEAB220" w14:textId="77777777" w:rsidR="00A30BF8" w:rsidRPr="007E6AC7" w:rsidRDefault="00A30BF8" w:rsidP="006F4762">
            <w:pPr>
              <w:spacing w:line="240" w:lineRule="auto"/>
              <w:jc w:val="center"/>
              <w:rPr>
                <w:color w:val="000000" w:themeColor="text1"/>
                <w:sz w:val="22"/>
              </w:rPr>
            </w:pPr>
          </w:p>
        </w:tc>
        <w:tc>
          <w:tcPr>
            <w:tcW w:w="700" w:type="dxa"/>
            <w:vAlign w:val="center"/>
          </w:tcPr>
          <w:p w14:paraId="45C02761" w14:textId="77777777" w:rsidR="00A30BF8" w:rsidRPr="007E6AC7" w:rsidRDefault="00A30BF8" w:rsidP="006F4762">
            <w:pPr>
              <w:spacing w:line="240" w:lineRule="auto"/>
              <w:jc w:val="center"/>
              <w:rPr>
                <w:color w:val="000000" w:themeColor="text1"/>
                <w:sz w:val="22"/>
              </w:rPr>
            </w:pPr>
          </w:p>
        </w:tc>
        <w:tc>
          <w:tcPr>
            <w:tcW w:w="699" w:type="dxa"/>
            <w:vAlign w:val="center"/>
          </w:tcPr>
          <w:p w14:paraId="77B37F17" w14:textId="77777777" w:rsidR="00A30BF8" w:rsidRPr="007E6AC7" w:rsidRDefault="00A30BF8" w:rsidP="006F4762">
            <w:pPr>
              <w:spacing w:line="240" w:lineRule="auto"/>
              <w:jc w:val="center"/>
              <w:rPr>
                <w:color w:val="000000" w:themeColor="text1"/>
                <w:sz w:val="22"/>
              </w:rPr>
            </w:pPr>
          </w:p>
        </w:tc>
        <w:tc>
          <w:tcPr>
            <w:tcW w:w="699" w:type="dxa"/>
            <w:vAlign w:val="center"/>
          </w:tcPr>
          <w:p w14:paraId="3C1F80CE" w14:textId="77777777" w:rsidR="00A30BF8" w:rsidRPr="007E6AC7" w:rsidRDefault="00A30BF8" w:rsidP="006F4762">
            <w:pPr>
              <w:spacing w:line="240" w:lineRule="auto"/>
              <w:jc w:val="center"/>
              <w:rPr>
                <w:color w:val="000000" w:themeColor="text1"/>
                <w:sz w:val="22"/>
              </w:rPr>
            </w:pPr>
          </w:p>
        </w:tc>
        <w:tc>
          <w:tcPr>
            <w:tcW w:w="700" w:type="dxa"/>
            <w:vAlign w:val="center"/>
          </w:tcPr>
          <w:p w14:paraId="1F9D2499" w14:textId="77777777" w:rsidR="00A30BF8" w:rsidRPr="007E6AC7" w:rsidRDefault="00A30BF8" w:rsidP="006F4762">
            <w:pPr>
              <w:spacing w:line="240" w:lineRule="auto"/>
              <w:jc w:val="center"/>
              <w:rPr>
                <w:color w:val="000000" w:themeColor="text1"/>
                <w:sz w:val="22"/>
              </w:rPr>
            </w:pPr>
          </w:p>
        </w:tc>
        <w:tc>
          <w:tcPr>
            <w:tcW w:w="699" w:type="dxa"/>
            <w:vAlign w:val="center"/>
          </w:tcPr>
          <w:p w14:paraId="6A91B92D" w14:textId="77777777" w:rsidR="00A30BF8" w:rsidRPr="007E6AC7" w:rsidRDefault="00A30BF8" w:rsidP="006F4762">
            <w:pPr>
              <w:spacing w:line="240" w:lineRule="auto"/>
              <w:jc w:val="center"/>
              <w:rPr>
                <w:color w:val="000000" w:themeColor="text1"/>
                <w:sz w:val="22"/>
              </w:rPr>
            </w:pPr>
          </w:p>
        </w:tc>
        <w:tc>
          <w:tcPr>
            <w:tcW w:w="699" w:type="dxa"/>
            <w:vAlign w:val="center"/>
          </w:tcPr>
          <w:p w14:paraId="7379EB01" w14:textId="77777777" w:rsidR="00A30BF8" w:rsidRPr="007E6AC7" w:rsidRDefault="00A30BF8" w:rsidP="006F4762">
            <w:pPr>
              <w:spacing w:line="240" w:lineRule="auto"/>
              <w:jc w:val="center"/>
              <w:rPr>
                <w:color w:val="000000" w:themeColor="text1"/>
                <w:sz w:val="22"/>
              </w:rPr>
            </w:pPr>
          </w:p>
        </w:tc>
        <w:tc>
          <w:tcPr>
            <w:tcW w:w="700" w:type="dxa"/>
            <w:vAlign w:val="center"/>
          </w:tcPr>
          <w:p w14:paraId="273988A4" w14:textId="77777777" w:rsidR="00A30BF8" w:rsidRPr="007E6AC7" w:rsidRDefault="00A30BF8" w:rsidP="006F4762">
            <w:pPr>
              <w:spacing w:line="240" w:lineRule="auto"/>
              <w:jc w:val="center"/>
              <w:rPr>
                <w:color w:val="000000" w:themeColor="text1"/>
                <w:sz w:val="22"/>
              </w:rPr>
            </w:pPr>
          </w:p>
        </w:tc>
      </w:tr>
      <w:tr w:rsidR="007E6AC7" w:rsidRPr="007E6AC7" w14:paraId="204E89F8" w14:textId="77777777" w:rsidTr="00B6286E">
        <w:trPr>
          <w:trHeight w:val="210"/>
        </w:trPr>
        <w:tc>
          <w:tcPr>
            <w:tcW w:w="491" w:type="dxa"/>
            <w:vAlign w:val="center"/>
          </w:tcPr>
          <w:p w14:paraId="3F106E3D" w14:textId="77777777" w:rsidR="00A30BF8" w:rsidRPr="007E6AC7" w:rsidRDefault="00A30BF8" w:rsidP="006F4762">
            <w:pPr>
              <w:spacing w:line="240" w:lineRule="auto"/>
              <w:jc w:val="center"/>
              <w:rPr>
                <w:color w:val="000000" w:themeColor="text1"/>
                <w:sz w:val="22"/>
              </w:rPr>
            </w:pPr>
            <w:r w:rsidRPr="007E6AC7">
              <w:rPr>
                <w:color w:val="000000" w:themeColor="text1"/>
                <w:sz w:val="22"/>
              </w:rPr>
              <w:t>6.</w:t>
            </w:r>
          </w:p>
        </w:tc>
        <w:tc>
          <w:tcPr>
            <w:tcW w:w="4395" w:type="dxa"/>
            <w:vAlign w:val="center"/>
            <w:hideMark/>
          </w:tcPr>
          <w:p w14:paraId="7461F7BE" w14:textId="77777777" w:rsidR="00A30BF8" w:rsidRPr="007E6AC7" w:rsidRDefault="00A30BF8" w:rsidP="006F4762">
            <w:pPr>
              <w:spacing w:line="240" w:lineRule="auto"/>
              <w:jc w:val="left"/>
              <w:rPr>
                <w:color w:val="000000" w:themeColor="text1"/>
                <w:sz w:val="22"/>
              </w:rPr>
            </w:pPr>
            <w:r w:rsidRPr="007E6AC7">
              <w:rPr>
                <w:color w:val="000000" w:themeColor="text1"/>
                <w:sz w:val="22"/>
              </w:rPr>
              <w:t>acq_sales_2yr_growth</w:t>
            </w:r>
          </w:p>
        </w:tc>
        <w:tc>
          <w:tcPr>
            <w:tcW w:w="699" w:type="dxa"/>
            <w:vAlign w:val="center"/>
          </w:tcPr>
          <w:p w14:paraId="11185DA7" w14:textId="77777777" w:rsidR="00A30BF8" w:rsidRPr="007E6AC7" w:rsidRDefault="00A30BF8" w:rsidP="006F4762">
            <w:pPr>
              <w:spacing w:line="240" w:lineRule="auto"/>
              <w:jc w:val="center"/>
              <w:rPr>
                <w:color w:val="000000" w:themeColor="text1"/>
                <w:sz w:val="22"/>
              </w:rPr>
            </w:pPr>
          </w:p>
        </w:tc>
        <w:tc>
          <w:tcPr>
            <w:tcW w:w="699" w:type="dxa"/>
            <w:vAlign w:val="center"/>
          </w:tcPr>
          <w:p w14:paraId="6ECD7D26" w14:textId="77777777" w:rsidR="00A30BF8" w:rsidRPr="007E6AC7" w:rsidRDefault="00A30BF8" w:rsidP="006F4762">
            <w:pPr>
              <w:spacing w:line="240" w:lineRule="auto"/>
              <w:jc w:val="center"/>
              <w:rPr>
                <w:color w:val="000000" w:themeColor="text1"/>
                <w:sz w:val="22"/>
              </w:rPr>
            </w:pPr>
          </w:p>
        </w:tc>
        <w:tc>
          <w:tcPr>
            <w:tcW w:w="700" w:type="dxa"/>
            <w:vAlign w:val="center"/>
          </w:tcPr>
          <w:p w14:paraId="5C46FE75" w14:textId="77777777" w:rsidR="00A30BF8" w:rsidRPr="007E6AC7" w:rsidRDefault="00A30BF8" w:rsidP="006F4762">
            <w:pPr>
              <w:spacing w:line="240" w:lineRule="auto"/>
              <w:jc w:val="center"/>
              <w:rPr>
                <w:color w:val="000000" w:themeColor="text1"/>
                <w:sz w:val="22"/>
              </w:rPr>
            </w:pPr>
          </w:p>
        </w:tc>
        <w:tc>
          <w:tcPr>
            <w:tcW w:w="699" w:type="dxa"/>
            <w:vAlign w:val="center"/>
          </w:tcPr>
          <w:p w14:paraId="2A9CBED3" w14:textId="77777777" w:rsidR="00A30BF8" w:rsidRPr="007E6AC7" w:rsidRDefault="00A30BF8" w:rsidP="006F4762">
            <w:pPr>
              <w:spacing w:line="240" w:lineRule="auto"/>
              <w:jc w:val="center"/>
              <w:rPr>
                <w:color w:val="000000" w:themeColor="text1"/>
                <w:sz w:val="22"/>
              </w:rPr>
            </w:pPr>
          </w:p>
        </w:tc>
        <w:tc>
          <w:tcPr>
            <w:tcW w:w="699" w:type="dxa"/>
            <w:vAlign w:val="center"/>
          </w:tcPr>
          <w:p w14:paraId="5A5162D7" w14:textId="77777777" w:rsidR="00A30BF8" w:rsidRPr="007E6AC7" w:rsidRDefault="00A30BF8" w:rsidP="006F4762">
            <w:pPr>
              <w:spacing w:line="240" w:lineRule="auto"/>
              <w:jc w:val="center"/>
              <w:rPr>
                <w:color w:val="000000" w:themeColor="text1"/>
                <w:sz w:val="22"/>
              </w:rPr>
            </w:pPr>
          </w:p>
        </w:tc>
        <w:tc>
          <w:tcPr>
            <w:tcW w:w="700" w:type="dxa"/>
            <w:vAlign w:val="center"/>
          </w:tcPr>
          <w:p w14:paraId="7F49C92A" w14:textId="77777777" w:rsidR="00A30BF8" w:rsidRPr="007E6AC7" w:rsidRDefault="00A30BF8" w:rsidP="006F4762">
            <w:pPr>
              <w:spacing w:line="240" w:lineRule="auto"/>
              <w:jc w:val="center"/>
              <w:rPr>
                <w:color w:val="000000" w:themeColor="text1"/>
                <w:sz w:val="22"/>
              </w:rPr>
            </w:pPr>
          </w:p>
        </w:tc>
        <w:tc>
          <w:tcPr>
            <w:tcW w:w="699" w:type="dxa"/>
            <w:vAlign w:val="center"/>
          </w:tcPr>
          <w:p w14:paraId="4CB74226" w14:textId="77777777" w:rsidR="00A30BF8" w:rsidRPr="007E6AC7" w:rsidRDefault="00A30BF8" w:rsidP="006F4762">
            <w:pPr>
              <w:spacing w:line="240" w:lineRule="auto"/>
              <w:jc w:val="center"/>
              <w:rPr>
                <w:color w:val="000000" w:themeColor="text1"/>
                <w:sz w:val="22"/>
              </w:rPr>
            </w:pPr>
          </w:p>
        </w:tc>
        <w:tc>
          <w:tcPr>
            <w:tcW w:w="699" w:type="dxa"/>
            <w:vAlign w:val="center"/>
          </w:tcPr>
          <w:p w14:paraId="2D71893E" w14:textId="77777777" w:rsidR="00A30BF8" w:rsidRPr="007E6AC7" w:rsidRDefault="00A30BF8" w:rsidP="006F4762">
            <w:pPr>
              <w:spacing w:line="240" w:lineRule="auto"/>
              <w:jc w:val="center"/>
              <w:rPr>
                <w:color w:val="000000" w:themeColor="text1"/>
                <w:sz w:val="22"/>
              </w:rPr>
            </w:pPr>
          </w:p>
        </w:tc>
        <w:tc>
          <w:tcPr>
            <w:tcW w:w="700" w:type="dxa"/>
            <w:vAlign w:val="center"/>
          </w:tcPr>
          <w:p w14:paraId="77AAD667" w14:textId="77777777" w:rsidR="00A30BF8" w:rsidRPr="007E6AC7" w:rsidRDefault="00A30BF8" w:rsidP="006F4762">
            <w:pPr>
              <w:spacing w:line="240" w:lineRule="auto"/>
              <w:jc w:val="center"/>
              <w:rPr>
                <w:color w:val="000000" w:themeColor="text1"/>
                <w:sz w:val="22"/>
              </w:rPr>
            </w:pPr>
          </w:p>
        </w:tc>
        <w:tc>
          <w:tcPr>
            <w:tcW w:w="699" w:type="dxa"/>
            <w:vAlign w:val="center"/>
          </w:tcPr>
          <w:p w14:paraId="6FF0272D" w14:textId="77777777" w:rsidR="00A30BF8" w:rsidRPr="007E6AC7" w:rsidRDefault="00A30BF8" w:rsidP="006F4762">
            <w:pPr>
              <w:spacing w:line="240" w:lineRule="auto"/>
              <w:jc w:val="center"/>
              <w:rPr>
                <w:color w:val="000000" w:themeColor="text1"/>
                <w:sz w:val="22"/>
              </w:rPr>
            </w:pPr>
          </w:p>
        </w:tc>
        <w:tc>
          <w:tcPr>
            <w:tcW w:w="699" w:type="dxa"/>
            <w:vAlign w:val="center"/>
          </w:tcPr>
          <w:p w14:paraId="6B1BC9A1" w14:textId="77777777" w:rsidR="00A30BF8" w:rsidRPr="007E6AC7" w:rsidRDefault="00A30BF8" w:rsidP="006F4762">
            <w:pPr>
              <w:spacing w:line="240" w:lineRule="auto"/>
              <w:jc w:val="center"/>
              <w:rPr>
                <w:color w:val="000000" w:themeColor="text1"/>
                <w:sz w:val="22"/>
              </w:rPr>
            </w:pPr>
          </w:p>
        </w:tc>
        <w:tc>
          <w:tcPr>
            <w:tcW w:w="700" w:type="dxa"/>
            <w:vAlign w:val="center"/>
          </w:tcPr>
          <w:p w14:paraId="24130F10" w14:textId="77777777" w:rsidR="00A30BF8" w:rsidRPr="007E6AC7" w:rsidRDefault="00A30BF8" w:rsidP="006F4762">
            <w:pPr>
              <w:spacing w:line="240" w:lineRule="auto"/>
              <w:jc w:val="center"/>
              <w:rPr>
                <w:color w:val="000000" w:themeColor="text1"/>
                <w:sz w:val="22"/>
              </w:rPr>
            </w:pPr>
          </w:p>
        </w:tc>
        <w:tc>
          <w:tcPr>
            <w:tcW w:w="699" w:type="dxa"/>
            <w:vAlign w:val="center"/>
          </w:tcPr>
          <w:p w14:paraId="0A35B01C" w14:textId="77777777" w:rsidR="00A30BF8" w:rsidRPr="007E6AC7" w:rsidRDefault="00A30BF8" w:rsidP="006F4762">
            <w:pPr>
              <w:spacing w:line="240" w:lineRule="auto"/>
              <w:jc w:val="center"/>
              <w:rPr>
                <w:color w:val="000000" w:themeColor="text1"/>
                <w:sz w:val="22"/>
              </w:rPr>
            </w:pPr>
          </w:p>
        </w:tc>
        <w:tc>
          <w:tcPr>
            <w:tcW w:w="699" w:type="dxa"/>
            <w:vAlign w:val="center"/>
          </w:tcPr>
          <w:p w14:paraId="48B1C6BD" w14:textId="77777777" w:rsidR="00A30BF8" w:rsidRPr="007E6AC7" w:rsidRDefault="00A30BF8" w:rsidP="006F4762">
            <w:pPr>
              <w:spacing w:line="240" w:lineRule="auto"/>
              <w:jc w:val="center"/>
              <w:rPr>
                <w:color w:val="000000" w:themeColor="text1"/>
                <w:sz w:val="22"/>
              </w:rPr>
            </w:pPr>
          </w:p>
        </w:tc>
        <w:tc>
          <w:tcPr>
            <w:tcW w:w="700" w:type="dxa"/>
            <w:vAlign w:val="center"/>
          </w:tcPr>
          <w:p w14:paraId="67220CB6" w14:textId="77777777" w:rsidR="00A30BF8" w:rsidRPr="007E6AC7" w:rsidRDefault="00A30BF8" w:rsidP="006F4762">
            <w:pPr>
              <w:spacing w:line="240" w:lineRule="auto"/>
              <w:jc w:val="center"/>
              <w:rPr>
                <w:color w:val="000000" w:themeColor="text1"/>
                <w:sz w:val="22"/>
              </w:rPr>
            </w:pPr>
          </w:p>
        </w:tc>
      </w:tr>
      <w:tr w:rsidR="007E6AC7" w:rsidRPr="007E6AC7" w14:paraId="27780C07" w14:textId="77777777" w:rsidTr="00B6286E">
        <w:trPr>
          <w:trHeight w:val="210"/>
        </w:trPr>
        <w:tc>
          <w:tcPr>
            <w:tcW w:w="491" w:type="dxa"/>
            <w:vAlign w:val="center"/>
          </w:tcPr>
          <w:p w14:paraId="000FBF7F" w14:textId="77777777" w:rsidR="00A30BF8" w:rsidRPr="007E6AC7" w:rsidRDefault="00A30BF8" w:rsidP="006F4762">
            <w:pPr>
              <w:spacing w:line="240" w:lineRule="auto"/>
              <w:jc w:val="center"/>
              <w:rPr>
                <w:color w:val="000000" w:themeColor="text1"/>
                <w:sz w:val="22"/>
              </w:rPr>
            </w:pPr>
            <w:r w:rsidRPr="007E6AC7">
              <w:rPr>
                <w:color w:val="000000" w:themeColor="text1"/>
                <w:sz w:val="22"/>
              </w:rPr>
              <w:t>7.</w:t>
            </w:r>
          </w:p>
        </w:tc>
        <w:tc>
          <w:tcPr>
            <w:tcW w:w="4395" w:type="dxa"/>
            <w:vAlign w:val="center"/>
            <w:hideMark/>
          </w:tcPr>
          <w:p w14:paraId="77321ACA" w14:textId="77777777" w:rsidR="00A30BF8" w:rsidRPr="007E6AC7" w:rsidRDefault="00A30BF8" w:rsidP="006F4762">
            <w:pPr>
              <w:spacing w:line="240" w:lineRule="auto"/>
              <w:jc w:val="left"/>
              <w:rPr>
                <w:color w:val="000000" w:themeColor="text1"/>
                <w:sz w:val="22"/>
              </w:rPr>
            </w:pPr>
            <w:r w:rsidRPr="007E6AC7">
              <w:rPr>
                <w:color w:val="000000" w:themeColor="text1"/>
                <w:sz w:val="22"/>
              </w:rPr>
              <w:t>acq_sales_4yr_growth</w:t>
            </w:r>
          </w:p>
        </w:tc>
        <w:tc>
          <w:tcPr>
            <w:tcW w:w="699" w:type="dxa"/>
            <w:vAlign w:val="center"/>
          </w:tcPr>
          <w:p w14:paraId="12D6AC23" w14:textId="77777777" w:rsidR="00A30BF8" w:rsidRPr="007E6AC7" w:rsidRDefault="00A30BF8" w:rsidP="006F4762">
            <w:pPr>
              <w:spacing w:line="240" w:lineRule="auto"/>
              <w:jc w:val="center"/>
              <w:rPr>
                <w:color w:val="000000" w:themeColor="text1"/>
                <w:sz w:val="22"/>
              </w:rPr>
            </w:pPr>
          </w:p>
        </w:tc>
        <w:tc>
          <w:tcPr>
            <w:tcW w:w="699" w:type="dxa"/>
            <w:vAlign w:val="center"/>
          </w:tcPr>
          <w:p w14:paraId="50967B3A" w14:textId="77777777" w:rsidR="00A30BF8" w:rsidRPr="007E6AC7" w:rsidRDefault="00A30BF8" w:rsidP="006F4762">
            <w:pPr>
              <w:spacing w:line="240" w:lineRule="auto"/>
              <w:jc w:val="center"/>
              <w:rPr>
                <w:color w:val="000000" w:themeColor="text1"/>
                <w:sz w:val="22"/>
              </w:rPr>
            </w:pPr>
          </w:p>
        </w:tc>
        <w:tc>
          <w:tcPr>
            <w:tcW w:w="700" w:type="dxa"/>
            <w:vAlign w:val="center"/>
          </w:tcPr>
          <w:p w14:paraId="380248F9" w14:textId="77777777" w:rsidR="00A30BF8" w:rsidRPr="007E6AC7" w:rsidRDefault="00A30BF8" w:rsidP="006F4762">
            <w:pPr>
              <w:spacing w:line="240" w:lineRule="auto"/>
              <w:jc w:val="center"/>
              <w:rPr>
                <w:color w:val="000000" w:themeColor="text1"/>
                <w:sz w:val="22"/>
              </w:rPr>
            </w:pPr>
          </w:p>
        </w:tc>
        <w:tc>
          <w:tcPr>
            <w:tcW w:w="699" w:type="dxa"/>
            <w:vAlign w:val="center"/>
          </w:tcPr>
          <w:p w14:paraId="4AB63752" w14:textId="77777777" w:rsidR="00A30BF8" w:rsidRPr="007E6AC7" w:rsidRDefault="00A30BF8" w:rsidP="006F4762">
            <w:pPr>
              <w:spacing w:line="240" w:lineRule="auto"/>
              <w:jc w:val="center"/>
              <w:rPr>
                <w:color w:val="000000" w:themeColor="text1"/>
                <w:sz w:val="22"/>
              </w:rPr>
            </w:pPr>
          </w:p>
        </w:tc>
        <w:tc>
          <w:tcPr>
            <w:tcW w:w="699" w:type="dxa"/>
            <w:vAlign w:val="center"/>
          </w:tcPr>
          <w:p w14:paraId="4B752DD7" w14:textId="77777777" w:rsidR="00A30BF8" w:rsidRPr="007E6AC7" w:rsidRDefault="00A30BF8" w:rsidP="006F4762">
            <w:pPr>
              <w:spacing w:line="240" w:lineRule="auto"/>
              <w:jc w:val="center"/>
              <w:rPr>
                <w:color w:val="000000" w:themeColor="text1"/>
                <w:sz w:val="22"/>
              </w:rPr>
            </w:pPr>
          </w:p>
        </w:tc>
        <w:tc>
          <w:tcPr>
            <w:tcW w:w="700" w:type="dxa"/>
            <w:vAlign w:val="center"/>
          </w:tcPr>
          <w:p w14:paraId="696C5DE8" w14:textId="77777777" w:rsidR="00A30BF8" w:rsidRPr="007E6AC7" w:rsidRDefault="00A30BF8" w:rsidP="006F4762">
            <w:pPr>
              <w:spacing w:line="240" w:lineRule="auto"/>
              <w:jc w:val="center"/>
              <w:rPr>
                <w:color w:val="000000" w:themeColor="text1"/>
                <w:sz w:val="22"/>
              </w:rPr>
            </w:pPr>
          </w:p>
        </w:tc>
        <w:tc>
          <w:tcPr>
            <w:tcW w:w="699" w:type="dxa"/>
            <w:vAlign w:val="center"/>
          </w:tcPr>
          <w:p w14:paraId="7D5B6E16" w14:textId="77777777" w:rsidR="00A30BF8" w:rsidRPr="007E6AC7" w:rsidRDefault="00A30BF8" w:rsidP="006F4762">
            <w:pPr>
              <w:spacing w:line="240" w:lineRule="auto"/>
              <w:jc w:val="center"/>
              <w:rPr>
                <w:color w:val="000000" w:themeColor="text1"/>
                <w:sz w:val="22"/>
              </w:rPr>
            </w:pPr>
          </w:p>
        </w:tc>
        <w:tc>
          <w:tcPr>
            <w:tcW w:w="699" w:type="dxa"/>
            <w:vAlign w:val="center"/>
          </w:tcPr>
          <w:p w14:paraId="379B35E8" w14:textId="77777777" w:rsidR="00A30BF8" w:rsidRPr="007E6AC7" w:rsidRDefault="00A30BF8" w:rsidP="006F4762">
            <w:pPr>
              <w:spacing w:line="240" w:lineRule="auto"/>
              <w:jc w:val="center"/>
              <w:rPr>
                <w:color w:val="000000" w:themeColor="text1"/>
                <w:sz w:val="22"/>
              </w:rPr>
            </w:pPr>
          </w:p>
        </w:tc>
        <w:tc>
          <w:tcPr>
            <w:tcW w:w="700" w:type="dxa"/>
            <w:vAlign w:val="center"/>
          </w:tcPr>
          <w:p w14:paraId="586FDF1E" w14:textId="77777777" w:rsidR="00A30BF8" w:rsidRPr="007E6AC7" w:rsidRDefault="00A30BF8" w:rsidP="006F4762">
            <w:pPr>
              <w:spacing w:line="240" w:lineRule="auto"/>
              <w:jc w:val="center"/>
              <w:rPr>
                <w:color w:val="000000" w:themeColor="text1"/>
                <w:sz w:val="22"/>
              </w:rPr>
            </w:pPr>
          </w:p>
        </w:tc>
        <w:tc>
          <w:tcPr>
            <w:tcW w:w="699" w:type="dxa"/>
            <w:vAlign w:val="center"/>
          </w:tcPr>
          <w:p w14:paraId="56CF79EF" w14:textId="77777777" w:rsidR="00A30BF8" w:rsidRPr="007E6AC7" w:rsidRDefault="00A30BF8" w:rsidP="006F4762">
            <w:pPr>
              <w:spacing w:line="240" w:lineRule="auto"/>
              <w:jc w:val="center"/>
              <w:rPr>
                <w:color w:val="000000" w:themeColor="text1"/>
                <w:sz w:val="22"/>
              </w:rPr>
            </w:pPr>
          </w:p>
        </w:tc>
        <w:tc>
          <w:tcPr>
            <w:tcW w:w="699" w:type="dxa"/>
            <w:vAlign w:val="center"/>
          </w:tcPr>
          <w:p w14:paraId="70859F36" w14:textId="77777777" w:rsidR="00A30BF8" w:rsidRPr="007E6AC7" w:rsidRDefault="00A30BF8" w:rsidP="006F4762">
            <w:pPr>
              <w:spacing w:line="240" w:lineRule="auto"/>
              <w:jc w:val="center"/>
              <w:rPr>
                <w:color w:val="000000" w:themeColor="text1"/>
                <w:sz w:val="22"/>
              </w:rPr>
            </w:pPr>
          </w:p>
        </w:tc>
        <w:tc>
          <w:tcPr>
            <w:tcW w:w="700" w:type="dxa"/>
            <w:vAlign w:val="center"/>
          </w:tcPr>
          <w:p w14:paraId="5139CF34" w14:textId="77777777" w:rsidR="00A30BF8" w:rsidRPr="007E6AC7" w:rsidRDefault="00A30BF8" w:rsidP="006F4762">
            <w:pPr>
              <w:spacing w:line="240" w:lineRule="auto"/>
              <w:jc w:val="center"/>
              <w:rPr>
                <w:color w:val="000000" w:themeColor="text1"/>
                <w:sz w:val="22"/>
              </w:rPr>
            </w:pPr>
          </w:p>
        </w:tc>
        <w:tc>
          <w:tcPr>
            <w:tcW w:w="699" w:type="dxa"/>
            <w:vAlign w:val="center"/>
          </w:tcPr>
          <w:p w14:paraId="31CEF002" w14:textId="77777777" w:rsidR="00A30BF8" w:rsidRPr="007E6AC7" w:rsidRDefault="00A30BF8" w:rsidP="006F4762">
            <w:pPr>
              <w:spacing w:line="240" w:lineRule="auto"/>
              <w:jc w:val="center"/>
              <w:rPr>
                <w:color w:val="000000" w:themeColor="text1"/>
                <w:sz w:val="22"/>
              </w:rPr>
            </w:pPr>
          </w:p>
        </w:tc>
        <w:tc>
          <w:tcPr>
            <w:tcW w:w="699" w:type="dxa"/>
            <w:vAlign w:val="center"/>
          </w:tcPr>
          <w:p w14:paraId="6ADA48B4" w14:textId="77777777" w:rsidR="00A30BF8" w:rsidRPr="007E6AC7" w:rsidRDefault="00A30BF8" w:rsidP="006F4762">
            <w:pPr>
              <w:spacing w:line="240" w:lineRule="auto"/>
              <w:jc w:val="center"/>
              <w:rPr>
                <w:color w:val="000000" w:themeColor="text1"/>
                <w:sz w:val="22"/>
              </w:rPr>
            </w:pPr>
          </w:p>
        </w:tc>
        <w:tc>
          <w:tcPr>
            <w:tcW w:w="700" w:type="dxa"/>
            <w:vAlign w:val="center"/>
          </w:tcPr>
          <w:p w14:paraId="53240246" w14:textId="77777777" w:rsidR="00A30BF8" w:rsidRPr="007E6AC7" w:rsidRDefault="00A30BF8" w:rsidP="006F4762">
            <w:pPr>
              <w:spacing w:line="240" w:lineRule="auto"/>
              <w:jc w:val="center"/>
              <w:rPr>
                <w:color w:val="000000" w:themeColor="text1"/>
                <w:sz w:val="22"/>
              </w:rPr>
            </w:pPr>
          </w:p>
        </w:tc>
      </w:tr>
      <w:tr w:rsidR="007E6AC7" w:rsidRPr="007E6AC7" w14:paraId="7A79653A" w14:textId="77777777" w:rsidTr="00B6286E">
        <w:trPr>
          <w:trHeight w:val="210"/>
        </w:trPr>
        <w:tc>
          <w:tcPr>
            <w:tcW w:w="491" w:type="dxa"/>
            <w:vAlign w:val="center"/>
          </w:tcPr>
          <w:p w14:paraId="43721ECB" w14:textId="77777777" w:rsidR="00A30BF8" w:rsidRPr="007E6AC7" w:rsidRDefault="00A30BF8" w:rsidP="006F4762">
            <w:pPr>
              <w:spacing w:line="240" w:lineRule="auto"/>
              <w:jc w:val="center"/>
              <w:rPr>
                <w:color w:val="000000" w:themeColor="text1"/>
                <w:sz w:val="22"/>
              </w:rPr>
            </w:pPr>
            <w:r w:rsidRPr="007E6AC7">
              <w:rPr>
                <w:color w:val="000000" w:themeColor="text1"/>
                <w:sz w:val="22"/>
              </w:rPr>
              <w:t>8.</w:t>
            </w:r>
          </w:p>
        </w:tc>
        <w:tc>
          <w:tcPr>
            <w:tcW w:w="4395" w:type="dxa"/>
            <w:vAlign w:val="center"/>
            <w:hideMark/>
          </w:tcPr>
          <w:p w14:paraId="0C1418B5" w14:textId="77777777" w:rsidR="00A30BF8" w:rsidRPr="007E6AC7" w:rsidRDefault="00A30BF8" w:rsidP="006F4762">
            <w:pPr>
              <w:spacing w:line="240" w:lineRule="auto"/>
              <w:jc w:val="left"/>
              <w:rPr>
                <w:color w:val="000000" w:themeColor="text1"/>
                <w:sz w:val="22"/>
              </w:rPr>
            </w:pPr>
            <w:r w:rsidRPr="007E6AC7">
              <w:rPr>
                <w:color w:val="000000" w:themeColor="text1"/>
                <w:sz w:val="22"/>
              </w:rPr>
              <w:t>deal_premium_1day</w:t>
            </w:r>
          </w:p>
        </w:tc>
        <w:tc>
          <w:tcPr>
            <w:tcW w:w="699" w:type="dxa"/>
            <w:vAlign w:val="center"/>
          </w:tcPr>
          <w:p w14:paraId="01A4303F" w14:textId="77777777" w:rsidR="00A30BF8" w:rsidRPr="007E6AC7" w:rsidRDefault="00A30BF8" w:rsidP="006F4762">
            <w:pPr>
              <w:spacing w:line="240" w:lineRule="auto"/>
              <w:jc w:val="center"/>
              <w:rPr>
                <w:color w:val="000000" w:themeColor="text1"/>
                <w:sz w:val="22"/>
              </w:rPr>
            </w:pPr>
          </w:p>
        </w:tc>
        <w:tc>
          <w:tcPr>
            <w:tcW w:w="699" w:type="dxa"/>
            <w:vAlign w:val="center"/>
          </w:tcPr>
          <w:p w14:paraId="12DB98C0" w14:textId="77777777" w:rsidR="00A30BF8" w:rsidRPr="007E6AC7" w:rsidRDefault="00A30BF8" w:rsidP="006F4762">
            <w:pPr>
              <w:spacing w:line="240" w:lineRule="auto"/>
              <w:jc w:val="center"/>
              <w:rPr>
                <w:color w:val="000000" w:themeColor="text1"/>
                <w:sz w:val="22"/>
              </w:rPr>
            </w:pPr>
          </w:p>
        </w:tc>
        <w:tc>
          <w:tcPr>
            <w:tcW w:w="700" w:type="dxa"/>
            <w:vAlign w:val="center"/>
          </w:tcPr>
          <w:p w14:paraId="0D7FADE5" w14:textId="77777777" w:rsidR="00A30BF8" w:rsidRPr="007E6AC7" w:rsidRDefault="00A30BF8" w:rsidP="006F4762">
            <w:pPr>
              <w:spacing w:line="240" w:lineRule="auto"/>
              <w:jc w:val="center"/>
              <w:rPr>
                <w:color w:val="000000" w:themeColor="text1"/>
                <w:sz w:val="22"/>
              </w:rPr>
            </w:pPr>
          </w:p>
        </w:tc>
        <w:tc>
          <w:tcPr>
            <w:tcW w:w="699" w:type="dxa"/>
            <w:vAlign w:val="center"/>
          </w:tcPr>
          <w:p w14:paraId="763EF0FF" w14:textId="77777777" w:rsidR="00A30BF8" w:rsidRPr="007E6AC7" w:rsidRDefault="00A30BF8" w:rsidP="006F4762">
            <w:pPr>
              <w:spacing w:line="240" w:lineRule="auto"/>
              <w:jc w:val="center"/>
              <w:rPr>
                <w:color w:val="000000" w:themeColor="text1"/>
                <w:sz w:val="22"/>
              </w:rPr>
            </w:pPr>
          </w:p>
        </w:tc>
        <w:tc>
          <w:tcPr>
            <w:tcW w:w="699" w:type="dxa"/>
            <w:vAlign w:val="center"/>
          </w:tcPr>
          <w:p w14:paraId="67B0596D" w14:textId="77777777" w:rsidR="00A30BF8" w:rsidRPr="007E6AC7" w:rsidRDefault="00A30BF8" w:rsidP="006F4762">
            <w:pPr>
              <w:spacing w:line="240" w:lineRule="auto"/>
              <w:jc w:val="center"/>
              <w:rPr>
                <w:color w:val="000000" w:themeColor="text1"/>
                <w:sz w:val="22"/>
              </w:rPr>
            </w:pPr>
          </w:p>
        </w:tc>
        <w:tc>
          <w:tcPr>
            <w:tcW w:w="700" w:type="dxa"/>
            <w:vAlign w:val="center"/>
          </w:tcPr>
          <w:p w14:paraId="73638EEC" w14:textId="77777777" w:rsidR="00A30BF8" w:rsidRPr="007E6AC7" w:rsidRDefault="00A30BF8" w:rsidP="006F4762">
            <w:pPr>
              <w:spacing w:line="240" w:lineRule="auto"/>
              <w:jc w:val="center"/>
              <w:rPr>
                <w:color w:val="000000" w:themeColor="text1"/>
                <w:sz w:val="22"/>
              </w:rPr>
            </w:pPr>
          </w:p>
        </w:tc>
        <w:tc>
          <w:tcPr>
            <w:tcW w:w="699" w:type="dxa"/>
            <w:vAlign w:val="center"/>
          </w:tcPr>
          <w:p w14:paraId="4D6EFC41" w14:textId="77777777" w:rsidR="00A30BF8" w:rsidRPr="007E6AC7" w:rsidRDefault="00A30BF8" w:rsidP="006F4762">
            <w:pPr>
              <w:spacing w:line="240" w:lineRule="auto"/>
              <w:jc w:val="center"/>
              <w:rPr>
                <w:color w:val="000000" w:themeColor="text1"/>
                <w:sz w:val="22"/>
              </w:rPr>
            </w:pPr>
          </w:p>
        </w:tc>
        <w:tc>
          <w:tcPr>
            <w:tcW w:w="699" w:type="dxa"/>
            <w:vAlign w:val="center"/>
          </w:tcPr>
          <w:p w14:paraId="35D021A8" w14:textId="77777777" w:rsidR="00A30BF8" w:rsidRPr="007E6AC7" w:rsidRDefault="00A30BF8" w:rsidP="006F4762">
            <w:pPr>
              <w:spacing w:line="240" w:lineRule="auto"/>
              <w:jc w:val="center"/>
              <w:rPr>
                <w:color w:val="000000" w:themeColor="text1"/>
                <w:sz w:val="22"/>
              </w:rPr>
            </w:pPr>
          </w:p>
        </w:tc>
        <w:tc>
          <w:tcPr>
            <w:tcW w:w="700" w:type="dxa"/>
            <w:vAlign w:val="center"/>
          </w:tcPr>
          <w:p w14:paraId="0CA7EDEB" w14:textId="77777777" w:rsidR="00A30BF8" w:rsidRPr="007E6AC7" w:rsidRDefault="00A30BF8" w:rsidP="006F4762">
            <w:pPr>
              <w:spacing w:line="240" w:lineRule="auto"/>
              <w:jc w:val="center"/>
              <w:rPr>
                <w:color w:val="000000" w:themeColor="text1"/>
                <w:sz w:val="22"/>
              </w:rPr>
            </w:pPr>
          </w:p>
        </w:tc>
        <w:tc>
          <w:tcPr>
            <w:tcW w:w="699" w:type="dxa"/>
            <w:vAlign w:val="center"/>
          </w:tcPr>
          <w:p w14:paraId="215F1994" w14:textId="77777777" w:rsidR="00A30BF8" w:rsidRPr="007E6AC7" w:rsidRDefault="00A30BF8" w:rsidP="006F4762">
            <w:pPr>
              <w:spacing w:line="240" w:lineRule="auto"/>
              <w:jc w:val="center"/>
              <w:rPr>
                <w:color w:val="000000" w:themeColor="text1"/>
                <w:sz w:val="22"/>
              </w:rPr>
            </w:pPr>
          </w:p>
        </w:tc>
        <w:tc>
          <w:tcPr>
            <w:tcW w:w="699" w:type="dxa"/>
            <w:vAlign w:val="center"/>
          </w:tcPr>
          <w:p w14:paraId="58650800" w14:textId="77777777" w:rsidR="00A30BF8" w:rsidRPr="007E6AC7" w:rsidRDefault="00A30BF8" w:rsidP="006F4762">
            <w:pPr>
              <w:spacing w:line="240" w:lineRule="auto"/>
              <w:jc w:val="center"/>
              <w:rPr>
                <w:color w:val="000000" w:themeColor="text1"/>
                <w:sz w:val="22"/>
              </w:rPr>
            </w:pPr>
          </w:p>
        </w:tc>
        <w:tc>
          <w:tcPr>
            <w:tcW w:w="700" w:type="dxa"/>
            <w:vAlign w:val="center"/>
          </w:tcPr>
          <w:p w14:paraId="36F0BB8C" w14:textId="77777777" w:rsidR="00A30BF8" w:rsidRPr="007E6AC7" w:rsidRDefault="00A30BF8" w:rsidP="006F4762">
            <w:pPr>
              <w:spacing w:line="240" w:lineRule="auto"/>
              <w:jc w:val="center"/>
              <w:rPr>
                <w:color w:val="000000" w:themeColor="text1"/>
                <w:sz w:val="22"/>
              </w:rPr>
            </w:pPr>
          </w:p>
        </w:tc>
        <w:tc>
          <w:tcPr>
            <w:tcW w:w="699" w:type="dxa"/>
            <w:vAlign w:val="center"/>
          </w:tcPr>
          <w:p w14:paraId="4C57B1A4" w14:textId="77777777" w:rsidR="00A30BF8" w:rsidRPr="007E6AC7" w:rsidRDefault="00A30BF8" w:rsidP="006F4762">
            <w:pPr>
              <w:spacing w:line="240" w:lineRule="auto"/>
              <w:jc w:val="center"/>
              <w:rPr>
                <w:color w:val="000000" w:themeColor="text1"/>
                <w:sz w:val="22"/>
              </w:rPr>
            </w:pPr>
          </w:p>
        </w:tc>
        <w:tc>
          <w:tcPr>
            <w:tcW w:w="699" w:type="dxa"/>
            <w:vAlign w:val="center"/>
          </w:tcPr>
          <w:p w14:paraId="5B46BADE" w14:textId="77777777" w:rsidR="00A30BF8" w:rsidRPr="007E6AC7" w:rsidRDefault="00A30BF8" w:rsidP="006F4762">
            <w:pPr>
              <w:spacing w:line="240" w:lineRule="auto"/>
              <w:jc w:val="center"/>
              <w:rPr>
                <w:color w:val="000000" w:themeColor="text1"/>
                <w:sz w:val="22"/>
              </w:rPr>
            </w:pPr>
          </w:p>
        </w:tc>
        <w:tc>
          <w:tcPr>
            <w:tcW w:w="700" w:type="dxa"/>
            <w:vAlign w:val="center"/>
          </w:tcPr>
          <w:p w14:paraId="437BABC4" w14:textId="77777777" w:rsidR="00A30BF8" w:rsidRPr="007E6AC7" w:rsidRDefault="00A30BF8" w:rsidP="006F4762">
            <w:pPr>
              <w:spacing w:line="240" w:lineRule="auto"/>
              <w:jc w:val="center"/>
              <w:rPr>
                <w:color w:val="000000" w:themeColor="text1"/>
                <w:sz w:val="22"/>
              </w:rPr>
            </w:pPr>
          </w:p>
        </w:tc>
      </w:tr>
      <w:tr w:rsidR="007E6AC7" w:rsidRPr="007E6AC7" w14:paraId="03DC4F97" w14:textId="77777777" w:rsidTr="00B6286E">
        <w:trPr>
          <w:trHeight w:val="210"/>
        </w:trPr>
        <w:tc>
          <w:tcPr>
            <w:tcW w:w="491" w:type="dxa"/>
            <w:vAlign w:val="center"/>
          </w:tcPr>
          <w:p w14:paraId="1E2D58E9" w14:textId="77777777" w:rsidR="00A30BF8" w:rsidRPr="007E6AC7" w:rsidRDefault="00A30BF8" w:rsidP="006F4762">
            <w:pPr>
              <w:spacing w:line="240" w:lineRule="auto"/>
              <w:jc w:val="center"/>
              <w:rPr>
                <w:color w:val="000000" w:themeColor="text1"/>
                <w:sz w:val="22"/>
              </w:rPr>
            </w:pPr>
            <w:r w:rsidRPr="007E6AC7">
              <w:rPr>
                <w:color w:val="000000" w:themeColor="text1"/>
                <w:sz w:val="22"/>
              </w:rPr>
              <w:t>9.</w:t>
            </w:r>
          </w:p>
        </w:tc>
        <w:tc>
          <w:tcPr>
            <w:tcW w:w="4395" w:type="dxa"/>
            <w:vAlign w:val="center"/>
            <w:hideMark/>
          </w:tcPr>
          <w:p w14:paraId="4CB8996B" w14:textId="77777777" w:rsidR="00A30BF8" w:rsidRPr="007E6AC7" w:rsidRDefault="00A30BF8" w:rsidP="006F4762">
            <w:pPr>
              <w:spacing w:line="240" w:lineRule="auto"/>
              <w:jc w:val="left"/>
              <w:rPr>
                <w:color w:val="000000" w:themeColor="text1"/>
                <w:sz w:val="22"/>
              </w:rPr>
            </w:pPr>
            <w:r w:rsidRPr="007E6AC7">
              <w:rPr>
                <w:color w:val="000000" w:themeColor="text1"/>
                <w:sz w:val="22"/>
              </w:rPr>
              <w:t>deal_premium_1week</w:t>
            </w:r>
          </w:p>
        </w:tc>
        <w:tc>
          <w:tcPr>
            <w:tcW w:w="699" w:type="dxa"/>
            <w:vAlign w:val="center"/>
          </w:tcPr>
          <w:p w14:paraId="5EED180A" w14:textId="77777777" w:rsidR="00A30BF8" w:rsidRPr="007E6AC7" w:rsidRDefault="00A30BF8" w:rsidP="006F4762">
            <w:pPr>
              <w:spacing w:line="240" w:lineRule="auto"/>
              <w:jc w:val="center"/>
              <w:rPr>
                <w:color w:val="000000" w:themeColor="text1"/>
                <w:sz w:val="22"/>
              </w:rPr>
            </w:pPr>
          </w:p>
        </w:tc>
        <w:tc>
          <w:tcPr>
            <w:tcW w:w="699" w:type="dxa"/>
            <w:vAlign w:val="center"/>
          </w:tcPr>
          <w:p w14:paraId="48C01AB0" w14:textId="77777777" w:rsidR="00A30BF8" w:rsidRPr="007E6AC7" w:rsidRDefault="00A30BF8" w:rsidP="006F4762">
            <w:pPr>
              <w:spacing w:line="240" w:lineRule="auto"/>
              <w:jc w:val="center"/>
              <w:rPr>
                <w:color w:val="000000" w:themeColor="text1"/>
                <w:sz w:val="22"/>
              </w:rPr>
            </w:pPr>
          </w:p>
        </w:tc>
        <w:tc>
          <w:tcPr>
            <w:tcW w:w="700" w:type="dxa"/>
            <w:vAlign w:val="center"/>
          </w:tcPr>
          <w:p w14:paraId="0CCCB0BA" w14:textId="77777777" w:rsidR="00A30BF8" w:rsidRPr="007E6AC7" w:rsidRDefault="00A30BF8" w:rsidP="006F4762">
            <w:pPr>
              <w:spacing w:line="240" w:lineRule="auto"/>
              <w:jc w:val="center"/>
              <w:rPr>
                <w:color w:val="000000" w:themeColor="text1"/>
                <w:sz w:val="22"/>
              </w:rPr>
            </w:pPr>
          </w:p>
        </w:tc>
        <w:tc>
          <w:tcPr>
            <w:tcW w:w="699" w:type="dxa"/>
            <w:vAlign w:val="center"/>
          </w:tcPr>
          <w:p w14:paraId="23A47A6E" w14:textId="77777777" w:rsidR="00A30BF8" w:rsidRPr="007E6AC7" w:rsidRDefault="00A30BF8" w:rsidP="006F4762">
            <w:pPr>
              <w:spacing w:line="240" w:lineRule="auto"/>
              <w:jc w:val="center"/>
              <w:rPr>
                <w:color w:val="000000" w:themeColor="text1"/>
                <w:sz w:val="22"/>
              </w:rPr>
            </w:pPr>
          </w:p>
        </w:tc>
        <w:tc>
          <w:tcPr>
            <w:tcW w:w="699" w:type="dxa"/>
            <w:vAlign w:val="center"/>
          </w:tcPr>
          <w:p w14:paraId="77F9A3E7" w14:textId="77777777" w:rsidR="00A30BF8" w:rsidRPr="007E6AC7" w:rsidRDefault="00A30BF8" w:rsidP="006F4762">
            <w:pPr>
              <w:spacing w:line="240" w:lineRule="auto"/>
              <w:jc w:val="center"/>
              <w:rPr>
                <w:color w:val="000000" w:themeColor="text1"/>
                <w:sz w:val="22"/>
              </w:rPr>
            </w:pPr>
          </w:p>
        </w:tc>
        <w:tc>
          <w:tcPr>
            <w:tcW w:w="700" w:type="dxa"/>
            <w:vAlign w:val="center"/>
          </w:tcPr>
          <w:p w14:paraId="3F11BBDF" w14:textId="77777777" w:rsidR="00A30BF8" w:rsidRPr="007E6AC7" w:rsidRDefault="00A30BF8" w:rsidP="006F4762">
            <w:pPr>
              <w:spacing w:line="240" w:lineRule="auto"/>
              <w:jc w:val="center"/>
              <w:rPr>
                <w:color w:val="000000" w:themeColor="text1"/>
                <w:sz w:val="22"/>
              </w:rPr>
            </w:pPr>
          </w:p>
        </w:tc>
        <w:tc>
          <w:tcPr>
            <w:tcW w:w="699" w:type="dxa"/>
            <w:vAlign w:val="center"/>
          </w:tcPr>
          <w:p w14:paraId="266123AB" w14:textId="77777777" w:rsidR="00A30BF8" w:rsidRPr="007E6AC7" w:rsidRDefault="00A30BF8" w:rsidP="006F4762">
            <w:pPr>
              <w:spacing w:line="240" w:lineRule="auto"/>
              <w:jc w:val="center"/>
              <w:rPr>
                <w:color w:val="000000" w:themeColor="text1"/>
                <w:sz w:val="22"/>
              </w:rPr>
            </w:pPr>
          </w:p>
        </w:tc>
        <w:tc>
          <w:tcPr>
            <w:tcW w:w="699" w:type="dxa"/>
            <w:vAlign w:val="center"/>
          </w:tcPr>
          <w:p w14:paraId="77A21FCC" w14:textId="77777777" w:rsidR="00A30BF8" w:rsidRPr="007E6AC7" w:rsidRDefault="00A30BF8" w:rsidP="006F4762">
            <w:pPr>
              <w:spacing w:line="240" w:lineRule="auto"/>
              <w:jc w:val="center"/>
              <w:rPr>
                <w:color w:val="000000" w:themeColor="text1"/>
                <w:sz w:val="22"/>
              </w:rPr>
            </w:pPr>
          </w:p>
        </w:tc>
        <w:tc>
          <w:tcPr>
            <w:tcW w:w="700" w:type="dxa"/>
            <w:vAlign w:val="center"/>
          </w:tcPr>
          <w:p w14:paraId="21AADCA8" w14:textId="77777777" w:rsidR="00A30BF8" w:rsidRPr="007E6AC7" w:rsidRDefault="00A30BF8" w:rsidP="006F4762">
            <w:pPr>
              <w:spacing w:line="240" w:lineRule="auto"/>
              <w:jc w:val="center"/>
              <w:rPr>
                <w:color w:val="000000" w:themeColor="text1"/>
                <w:sz w:val="22"/>
              </w:rPr>
            </w:pPr>
          </w:p>
        </w:tc>
        <w:tc>
          <w:tcPr>
            <w:tcW w:w="699" w:type="dxa"/>
            <w:vAlign w:val="center"/>
          </w:tcPr>
          <w:p w14:paraId="32DFE323" w14:textId="77777777" w:rsidR="00A30BF8" w:rsidRPr="007E6AC7" w:rsidRDefault="00A30BF8" w:rsidP="006F4762">
            <w:pPr>
              <w:spacing w:line="240" w:lineRule="auto"/>
              <w:jc w:val="center"/>
              <w:rPr>
                <w:color w:val="000000" w:themeColor="text1"/>
                <w:sz w:val="22"/>
              </w:rPr>
            </w:pPr>
          </w:p>
        </w:tc>
        <w:tc>
          <w:tcPr>
            <w:tcW w:w="699" w:type="dxa"/>
            <w:vAlign w:val="center"/>
          </w:tcPr>
          <w:p w14:paraId="521981D7" w14:textId="77777777" w:rsidR="00A30BF8" w:rsidRPr="007E6AC7" w:rsidRDefault="00A30BF8" w:rsidP="006F4762">
            <w:pPr>
              <w:spacing w:line="240" w:lineRule="auto"/>
              <w:jc w:val="center"/>
              <w:rPr>
                <w:color w:val="000000" w:themeColor="text1"/>
                <w:sz w:val="22"/>
              </w:rPr>
            </w:pPr>
          </w:p>
        </w:tc>
        <w:tc>
          <w:tcPr>
            <w:tcW w:w="700" w:type="dxa"/>
            <w:vAlign w:val="center"/>
          </w:tcPr>
          <w:p w14:paraId="379703ED" w14:textId="77777777" w:rsidR="00A30BF8" w:rsidRPr="007E6AC7" w:rsidRDefault="00A30BF8" w:rsidP="006F4762">
            <w:pPr>
              <w:spacing w:line="240" w:lineRule="auto"/>
              <w:jc w:val="center"/>
              <w:rPr>
                <w:color w:val="000000" w:themeColor="text1"/>
                <w:sz w:val="22"/>
              </w:rPr>
            </w:pPr>
          </w:p>
        </w:tc>
        <w:tc>
          <w:tcPr>
            <w:tcW w:w="699" w:type="dxa"/>
            <w:vAlign w:val="center"/>
          </w:tcPr>
          <w:p w14:paraId="377E6760" w14:textId="77777777" w:rsidR="00A30BF8" w:rsidRPr="007E6AC7" w:rsidRDefault="00A30BF8" w:rsidP="006F4762">
            <w:pPr>
              <w:spacing w:line="240" w:lineRule="auto"/>
              <w:jc w:val="center"/>
              <w:rPr>
                <w:color w:val="000000" w:themeColor="text1"/>
                <w:sz w:val="22"/>
              </w:rPr>
            </w:pPr>
          </w:p>
        </w:tc>
        <w:tc>
          <w:tcPr>
            <w:tcW w:w="699" w:type="dxa"/>
            <w:vAlign w:val="center"/>
          </w:tcPr>
          <w:p w14:paraId="0750A445" w14:textId="77777777" w:rsidR="00A30BF8" w:rsidRPr="007E6AC7" w:rsidRDefault="00A30BF8" w:rsidP="006F4762">
            <w:pPr>
              <w:spacing w:line="240" w:lineRule="auto"/>
              <w:jc w:val="center"/>
              <w:rPr>
                <w:color w:val="000000" w:themeColor="text1"/>
                <w:sz w:val="22"/>
              </w:rPr>
            </w:pPr>
          </w:p>
        </w:tc>
        <w:tc>
          <w:tcPr>
            <w:tcW w:w="700" w:type="dxa"/>
            <w:vAlign w:val="center"/>
          </w:tcPr>
          <w:p w14:paraId="3BBAAF1A" w14:textId="77777777" w:rsidR="00A30BF8" w:rsidRPr="007E6AC7" w:rsidRDefault="00A30BF8" w:rsidP="006F4762">
            <w:pPr>
              <w:spacing w:line="240" w:lineRule="auto"/>
              <w:jc w:val="center"/>
              <w:rPr>
                <w:color w:val="000000" w:themeColor="text1"/>
                <w:sz w:val="22"/>
              </w:rPr>
            </w:pPr>
          </w:p>
        </w:tc>
      </w:tr>
      <w:tr w:rsidR="007E6AC7" w:rsidRPr="007E6AC7" w14:paraId="2447054C" w14:textId="77777777" w:rsidTr="00B6286E">
        <w:trPr>
          <w:trHeight w:val="210"/>
        </w:trPr>
        <w:tc>
          <w:tcPr>
            <w:tcW w:w="491" w:type="dxa"/>
            <w:vAlign w:val="center"/>
          </w:tcPr>
          <w:p w14:paraId="35E610D9"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10.</w:t>
            </w:r>
          </w:p>
        </w:tc>
        <w:tc>
          <w:tcPr>
            <w:tcW w:w="4395" w:type="dxa"/>
            <w:vAlign w:val="center"/>
            <w:hideMark/>
          </w:tcPr>
          <w:p w14:paraId="56212920" w14:textId="77777777" w:rsidR="00A30BF8" w:rsidRPr="007E6AC7" w:rsidRDefault="00A30BF8" w:rsidP="006F4762">
            <w:pPr>
              <w:spacing w:line="240" w:lineRule="auto"/>
              <w:jc w:val="left"/>
              <w:rPr>
                <w:color w:val="000000" w:themeColor="text1"/>
                <w:sz w:val="22"/>
              </w:rPr>
            </w:pPr>
            <w:r w:rsidRPr="007E6AC7">
              <w:rPr>
                <w:color w:val="000000" w:themeColor="text1"/>
                <w:sz w:val="22"/>
              </w:rPr>
              <w:t>deal_premium_1month</w:t>
            </w:r>
          </w:p>
        </w:tc>
        <w:tc>
          <w:tcPr>
            <w:tcW w:w="699" w:type="dxa"/>
            <w:vAlign w:val="center"/>
          </w:tcPr>
          <w:p w14:paraId="0709A5E0" w14:textId="77777777" w:rsidR="00A30BF8" w:rsidRPr="007E6AC7" w:rsidRDefault="00A30BF8" w:rsidP="006F4762">
            <w:pPr>
              <w:spacing w:line="240" w:lineRule="auto"/>
              <w:jc w:val="center"/>
              <w:rPr>
                <w:color w:val="000000" w:themeColor="text1"/>
                <w:sz w:val="22"/>
              </w:rPr>
            </w:pPr>
          </w:p>
        </w:tc>
        <w:tc>
          <w:tcPr>
            <w:tcW w:w="699" w:type="dxa"/>
            <w:vAlign w:val="center"/>
          </w:tcPr>
          <w:p w14:paraId="182D3B9F" w14:textId="77777777" w:rsidR="00A30BF8" w:rsidRPr="007E6AC7" w:rsidRDefault="00A30BF8" w:rsidP="006F4762">
            <w:pPr>
              <w:spacing w:line="240" w:lineRule="auto"/>
              <w:jc w:val="center"/>
              <w:rPr>
                <w:color w:val="000000" w:themeColor="text1"/>
                <w:sz w:val="22"/>
              </w:rPr>
            </w:pPr>
          </w:p>
        </w:tc>
        <w:tc>
          <w:tcPr>
            <w:tcW w:w="700" w:type="dxa"/>
            <w:vAlign w:val="center"/>
          </w:tcPr>
          <w:p w14:paraId="1A5513E9" w14:textId="77777777" w:rsidR="00A30BF8" w:rsidRPr="007E6AC7" w:rsidRDefault="00A30BF8" w:rsidP="006F4762">
            <w:pPr>
              <w:spacing w:line="240" w:lineRule="auto"/>
              <w:jc w:val="center"/>
              <w:rPr>
                <w:color w:val="000000" w:themeColor="text1"/>
                <w:sz w:val="22"/>
              </w:rPr>
            </w:pPr>
          </w:p>
        </w:tc>
        <w:tc>
          <w:tcPr>
            <w:tcW w:w="699" w:type="dxa"/>
            <w:vAlign w:val="center"/>
          </w:tcPr>
          <w:p w14:paraId="4CE9A09E" w14:textId="77777777" w:rsidR="00A30BF8" w:rsidRPr="007E6AC7" w:rsidRDefault="00A30BF8" w:rsidP="006F4762">
            <w:pPr>
              <w:spacing w:line="240" w:lineRule="auto"/>
              <w:jc w:val="center"/>
              <w:rPr>
                <w:color w:val="000000" w:themeColor="text1"/>
                <w:sz w:val="22"/>
              </w:rPr>
            </w:pPr>
          </w:p>
        </w:tc>
        <w:tc>
          <w:tcPr>
            <w:tcW w:w="699" w:type="dxa"/>
            <w:vAlign w:val="center"/>
          </w:tcPr>
          <w:p w14:paraId="39C3B879" w14:textId="77777777" w:rsidR="00A30BF8" w:rsidRPr="007E6AC7" w:rsidRDefault="00A30BF8" w:rsidP="006F4762">
            <w:pPr>
              <w:spacing w:line="240" w:lineRule="auto"/>
              <w:jc w:val="center"/>
              <w:rPr>
                <w:color w:val="000000" w:themeColor="text1"/>
                <w:sz w:val="22"/>
              </w:rPr>
            </w:pPr>
          </w:p>
        </w:tc>
        <w:tc>
          <w:tcPr>
            <w:tcW w:w="700" w:type="dxa"/>
            <w:vAlign w:val="center"/>
          </w:tcPr>
          <w:p w14:paraId="2488C317" w14:textId="77777777" w:rsidR="00A30BF8" w:rsidRPr="007E6AC7" w:rsidRDefault="00A30BF8" w:rsidP="006F4762">
            <w:pPr>
              <w:spacing w:line="240" w:lineRule="auto"/>
              <w:jc w:val="center"/>
              <w:rPr>
                <w:color w:val="000000" w:themeColor="text1"/>
                <w:sz w:val="22"/>
              </w:rPr>
            </w:pPr>
          </w:p>
        </w:tc>
        <w:tc>
          <w:tcPr>
            <w:tcW w:w="699" w:type="dxa"/>
            <w:vAlign w:val="center"/>
          </w:tcPr>
          <w:p w14:paraId="2DB1079F" w14:textId="77777777" w:rsidR="00A30BF8" w:rsidRPr="007E6AC7" w:rsidRDefault="00A30BF8" w:rsidP="006F4762">
            <w:pPr>
              <w:spacing w:line="240" w:lineRule="auto"/>
              <w:jc w:val="center"/>
              <w:rPr>
                <w:color w:val="000000" w:themeColor="text1"/>
                <w:sz w:val="22"/>
              </w:rPr>
            </w:pPr>
          </w:p>
        </w:tc>
        <w:tc>
          <w:tcPr>
            <w:tcW w:w="699" w:type="dxa"/>
            <w:vAlign w:val="center"/>
          </w:tcPr>
          <w:p w14:paraId="7B7E366D" w14:textId="77777777" w:rsidR="00A30BF8" w:rsidRPr="007E6AC7" w:rsidRDefault="00A30BF8" w:rsidP="006F4762">
            <w:pPr>
              <w:spacing w:line="240" w:lineRule="auto"/>
              <w:jc w:val="center"/>
              <w:rPr>
                <w:color w:val="000000" w:themeColor="text1"/>
                <w:sz w:val="22"/>
              </w:rPr>
            </w:pPr>
          </w:p>
        </w:tc>
        <w:tc>
          <w:tcPr>
            <w:tcW w:w="700" w:type="dxa"/>
            <w:vAlign w:val="center"/>
          </w:tcPr>
          <w:p w14:paraId="33FAE15E" w14:textId="77777777" w:rsidR="00A30BF8" w:rsidRPr="007E6AC7" w:rsidRDefault="00A30BF8" w:rsidP="006F4762">
            <w:pPr>
              <w:spacing w:line="240" w:lineRule="auto"/>
              <w:jc w:val="center"/>
              <w:rPr>
                <w:color w:val="000000" w:themeColor="text1"/>
                <w:sz w:val="22"/>
              </w:rPr>
            </w:pPr>
          </w:p>
        </w:tc>
        <w:tc>
          <w:tcPr>
            <w:tcW w:w="699" w:type="dxa"/>
            <w:vAlign w:val="center"/>
          </w:tcPr>
          <w:p w14:paraId="3AA4B109" w14:textId="77777777" w:rsidR="00A30BF8" w:rsidRPr="007E6AC7" w:rsidRDefault="00A30BF8" w:rsidP="006F4762">
            <w:pPr>
              <w:spacing w:line="240" w:lineRule="auto"/>
              <w:jc w:val="center"/>
              <w:rPr>
                <w:color w:val="000000" w:themeColor="text1"/>
                <w:sz w:val="22"/>
              </w:rPr>
            </w:pPr>
          </w:p>
        </w:tc>
        <w:tc>
          <w:tcPr>
            <w:tcW w:w="699" w:type="dxa"/>
            <w:vAlign w:val="center"/>
          </w:tcPr>
          <w:p w14:paraId="5B287099" w14:textId="77777777" w:rsidR="00A30BF8" w:rsidRPr="007E6AC7" w:rsidRDefault="00A30BF8" w:rsidP="006F4762">
            <w:pPr>
              <w:spacing w:line="240" w:lineRule="auto"/>
              <w:jc w:val="center"/>
              <w:rPr>
                <w:color w:val="000000" w:themeColor="text1"/>
                <w:sz w:val="22"/>
              </w:rPr>
            </w:pPr>
          </w:p>
        </w:tc>
        <w:tc>
          <w:tcPr>
            <w:tcW w:w="700" w:type="dxa"/>
            <w:vAlign w:val="center"/>
          </w:tcPr>
          <w:p w14:paraId="39747E9D" w14:textId="77777777" w:rsidR="00A30BF8" w:rsidRPr="007E6AC7" w:rsidRDefault="00A30BF8" w:rsidP="006F4762">
            <w:pPr>
              <w:spacing w:line="240" w:lineRule="auto"/>
              <w:jc w:val="center"/>
              <w:rPr>
                <w:color w:val="000000" w:themeColor="text1"/>
                <w:sz w:val="22"/>
              </w:rPr>
            </w:pPr>
          </w:p>
        </w:tc>
        <w:tc>
          <w:tcPr>
            <w:tcW w:w="699" w:type="dxa"/>
            <w:vAlign w:val="center"/>
          </w:tcPr>
          <w:p w14:paraId="452A2F7E" w14:textId="77777777" w:rsidR="00A30BF8" w:rsidRPr="007E6AC7" w:rsidRDefault="00A30BF8" w:rsidP="006F4762">
            <w:pPr>
              <w:spacing w:line="240" w:lineRule="auto"/>
              <w:jc w:val="center"/>
              <w:rPr>
                <w:color w:val="000000" w:themeColor="text1"/>
                <w:sz w:val="22"/>
              </w:rPr>
            </w:pPr>
          </w:p>
        </w:tc>
        <w:tc>
          <w:tcPr>
            <w:tcW w:w="699" w:type="dxa"/>
            <w:vAlign w:val="center"/>
          </w:tcPr>
          <w:p w14:paraId="7E6CC22C" w14:textId="77777777" w:rsidR="00A30BF8" w:rsidRPr="007E6AC7" w:rsidRDefault="00A30BF8" w:rsidP="006F4762">
            <w:pPr>
              <w:spacing w:line="240" w:lineRule="auto"/>
              <w:jc w:val="center"/>
              <w:rPr>
                <w:color w:val="000000" w:themeColor="text1"/>
                <w:sz w:val="22"/>
              </w:rPr>
            </w:pPr>
          </w:p>
        </w:tc>
        <w:tc>
          <w:tcPr>
            <w:tcW w:w="700" w:type="dxa"/>
            <w:vAlign w:val="center"/>
          </w:tcPr>
          <w:p w14:paraId="2D62042D" w14:textId="77777777" w:rsidR="00A30BF8" w:rsidRPr="007E6AC7" w:rsidRDefault="00A30BF8" w:rsidP="006F4762">
            <w:pPr>
              <w:spacing w:line="240" w:lineRule="auto"/>
              <w:jc w:val="center"/>
              <w:rPr>
                <w:color w:val="000000" w:themeColor="text1"/>
                <w:sz w:val="22"/>
              </w:rPr>
            </w:pPr>
          </w:p>
        </w:tc>
      </w:tr>
      <w:tr w:rsidR="007E6AC7" w:rsidRPr="007E6AC7" w14:paraId="5DC6209B" w14:textId="77777777" w:rsidTr="00B6286E">
        <w:trPr>
          <w:trHeight w:val="210"/>
        </w:trPr>
        <w:tc>
          <w:tcPr>
            <w:tcW w:w="491" w:type="dxa"/>
            <w:vAlign w:val="center"/>
          </w:tcPr>
          <w:p w14:paraId="53A2EB02"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11.</w:t>
            </w:r>
          </w:p>
        </w:tc>
        <w:tc>
          <w:tcPr>
            <w:tcW w:w="4395" w:type="dxa"/>
            <w:vAlign w:val="center"/>
            <w:hideMark/>
          </w:tcPr>
          <w:p w14:paraId="2C1E809F" w14:textId="77777777" w:rsidR="00A30BF8" w:rsidRPr="007E6AC7" w:rsidRDefault="00A30BF8" w:rsidP="006F4762">
            <w:pPr>
              <w:spacing w:line="240" w:lineRule="auto"/>
              <w:jc w:val="left"/>
              <w:rPr>
                <w:color w:val="000000" w:themeColor="text1"/>
                <w:sz w:val="22"/>
              </w:rPr>
            </w:pPr>
            <w:r w:rsidRPr="007E6AC7">
              <w:rPr>
                <w:color w:val="000000" w:themeColor="text1"/>
                <w:sz w:val="22"/>
              </w:rPr>
              <w:t>acq_2yr_patent_growth</w:t>
            </w:r>
          </w:p>
        </w:tc>
        <w:tc>
          <w:tcPr>
            <w:tcW w:w="699" w:type="dxa"/>
            <w:vAlign w:val="center"/>
          </w:tcPr>
          <w:p w14:paraId="2A4579C6" w14:textId="77777777" w:rsidR="00A30BF8" w:rsidRPr="007E6AC7" w:rsidRDefault="00A30BF8" w:rsidP="006F4762">
            <w:pPr>
              <w:spacing w:line="240" w:lineRule="auto"/>
              <w:jc w:val="center"/>
              <w:rPr>
                <w:color w:val="000000" w:themeColor="text1"/>
                <w:sz w:val="22"/>
              </w:rPr>
            </w:pPr>
          </w:p>
        </w:tc>
        <w:tc>
          <w:tcPr>
            <w:tcW w:w="699" w:type="dxa"/>
            <w:vAlign w:val="center"/>
          </w:tcPr>
          <w:p w14:paraId="465D6929" w14:textId="77777777" w:rsidR="00A30BF8" w:rsidRPr="007E6AC7" w:rsidRDefault="00A30BF8" w:rsidP="006F4762">
            <w:pPr>
              <w:spacing w:line="240" w:lineRule="auto"/>
              <w:jc w:val="center"/>
              <w:rPr>
                <w:color w:val="000000" w:themeColor="text1"/>
                <w:sz w:val="22"/>
              </w:rPr>
            </w:pPr>
          </w:p>
        </w:tc>
        <w:tc>
          <w:tcPr>
            <w:tcW w:w="700" w:type="dxa"/>
            <w:vAlign w:val="center"/>
          </w:tcPr>
          <w:p w14:paraId="089827A2" w14:textId="77777777" w:rsidR="00A30BF8" w:rsidRPr="007E6AC7" w:rsidRDefault="00A30BF8" w:rsidP="006F4762">
            <w:pPr>
              <w:spacing w:line="240" w:lineRule="auto"/>
              <w:jc w:val="center"/>
              <w:rPr>
                <w:color w:val="000000" w:themeColor="text1"/>
                <w:sz w:val="22"/>
              </w:rPr>
            </w:pPr>
          </w:p>
        </w:tc>
        <w:tc>
          <w:tcPr>
            <w:tcW w:w="699" w:type="dxa"/>
            <w:vAlign w:val="center"/>
          </w:tcPr>
          <w:p w14:paraId="50352E3E" w14:textId="77777777" w:rsidR="00A30BF8" w:rsidRPr="007E6AC7" w:rsidRDefault="00A30BF8" w:rsidP="006F4762">
            <w:pPr>
              <w:spacing w:line="240" w:lineRule="auto"/>
              <w:jc w:val="center"/>
              <w:rPr>
                <w:color w:val="000000" w:themeColor="text1"/>
                <w:sz w:val="22"/>
              </w:rPr>
            </w:pPr>
          </w:p>
        </w:tc>
        <w:tc>
          <w:tcPr>
            <w:tcW w:w="699" w:type="dxa"/>
            <w:vAlign w:val="center"/>
          </w:tcPr>
          <w:p w14:paraId="233BE9CD" w14:textId="77777777" w:rsidR="00A30BF8" w:rsidRPr="007E6AC7" w:rsidRDefault="00A30BF8" w:rsidP="006F4762">
            <w:pPr>
              <w:spacing w:line="240" w:lineRule="auto"/>
              <w:jc w:val="center"/>
              <w:rPr>
                <w:color w:val="000000" w:themeColor="text1"/>
                <w:sz w:val="22"/>
              </w:rPr>
            </w:pPr>
          </w:p>
        </w:tc>
        <w:tc>
          <w:tcPr>
            <w:tcW w:w="700" w:type="dxa"/>
            <w:vAlign w:val="center"/>
          </w:tcPr>
          <w:p w14:paraId="4C8518D1" w14:textId="77777777" w:rsidR="00A30BF8" w:rsidRPr="007E6AC7" w:rsidRDefault="00A30BF8" w:rsidP="006F4762">
            <w:pPr>
              <w:spacing w:line="240" w:lineRule="auto"/>
              <w:jc w:val="center"/>
              <w:rPr>
                <w:color w:val="000000" w:themeColor="text1"/>
                <w:sz w:val="22"/>
              </w:rPr>
            </w:pPr>
          </w:p>
        </w:tc>
        <w:tc>
          <w:tcPr>
            <w:tcW w:w="699" w:type="dxa"/>
            <w:vAlign w:val="center"/>
          </w:tcPr>
          <w:p w14:paraId="2915DE5F" w14:textId="77777777" w:rsidR="00A30BF8" w:rsidRPr="007E6AC7" w:rsidRDefault="00A30BF8" w:rsidP="006F4762">
            <w:pPr>
              <w:spacing w:line="240" w:lineRule="auto"/>
              <w:jc w:val="center"/>
              <w:rPr>
                <w:color w:val="000000" w:themeColor="text1"/>
                <w:sz w:val="22"/>
              </w:rPr>
            </w:pPr>
          </w:p>
        </w:tc>
        <w:tc>
          <w:tcPr>
            <w:tcW w:w="699" w:type="dxa"/>
            <w:vAlign w:val="center"/>
          </w:tcPr>
          <w:p w14:paraId="4700B130" w14:textId="77777777" w:rsidR="00A30BF8" w:rsidRPr="007E6AC7" w:rsidRDefault="00A30BF8" w:rsidP="006F4762">
            <w:pPr>
              <w:spacing w:line="240" w:lineRule="auto"/>
              <w:jc w:val="center"/>
              <w:rPr>
                <w:color w:val="000000" w:themeColor="text1"/>
                <w:sz w:val="22"/>
              </w:rPr>
            </w:pPr>
          </w:p>
        </w:tc>
        <w:tc>
          <w:tcPr>
            <w:tcW w:w="700" w:type="dxa"/>
            <w:vAlign w:val="center"/>
          </w:tcPr>
          <w:p w14:paraId="009A4DA4" w14:textId="77777777" w:rsidR="00A30BF8" w:rsidRPr="007E6AC7" w:rsidRDefault="00A30BF8" w:rsidP="006F4762">
            <w:pPr>
              <w:spacing w:line="240" w:lineRule="auto"/>
              <w:jc w:val="center"/>
              <w:rPr>
                <w:color w:val="000000" w:themeColor="text1"/>
                <w:sz w:val="22"/>
              </w:rPr>
            </w:pPr>
          </w:p>
        </w:tc>
        <w:tc>
          <w:tcPr>
            <w:tcW w:w="699" w:type="dxa"/>
            <w:vAlign w:val="center"/>
          </w:tcPr>
          <w:p w14:paraId="3AA13FD4" w14:textId="77777777" w:rsidR="00A30BF8" w:rsidRPr="007E6AC7" w:rsidRDefault="00A30BF8" w:rsidP="006F4762">
            <w:pPr>
              <w:spacing w:line="240" w:lineRule="auto"/>
              <w:jc w:val="center"/>
              <w:rPr>
                <w:color w:val="000000" w:themeColor="text1"/>
                <w:sz w:val="22"/>
              </w:rPr>
            </w:pPr>
          </w:p>
        </w:tc>
        <w:tc>
          <w:tcPr>
            <w:tcW w:w="699" w:type="dxa"/>
            <w:vAlign w:val="center"/>
          </w:tcPr>
          <w:p w14:paraId="571A8B25" w14:textId="77777777" w:rsidR="00A30BF8" w:rsidRPr="007E6AC7" w:rsidRDefault="00A30BF8" w:rsidP="006F4762">
            <w:pPr>
              <w:spacing w:line="240" w:lineRule="auto"/>
              <w:jc w:val="center"/>
              <w:rPr>
                <w:color w:val="000000" w:themeColor="text1"/>
                <w:sz w:val="22"/>
              </w:rPr>
            </w:pPr>
          </w:p>
        </w:tc>
        <w:tc>
          <w:tcPr>
            <w:tcW w:w="700" w:type="dxa"/>
            <w:vAlign w:val="center"/>
          </w:tcPr>
          <w:p w14:paraId="3058FBA9" w14:textId="77777777" w:rsidR="00A30BF8" w:rsidRPr="007E6AC7" w:rsidRDefault="00A30BF8" w:rsidP="006F4762">
            <w:pPr>
              <w:spacing w:line="240" w:lineRule="auto"/>
              <w:jc w:val="center"/>
              <w:rPr>
                <w:color w:val="000000" w:themeColor="text1"/>
                <w:sz w:val="22"/>
              </w:rPr>
            </w:pPr>
          </w:p>
        </w:tc>
        <w:tc>
          <w:tcPr>
            <w:tcW w:w="699" w:type="dxa"/>
            <w:vAlign w:val="center"/>
          </w:tcPr>
          <w:p w14:paraId="60BB477A" w14:textId="77777777" w:rsidR="00A30BF8" w:rsidRPr="007E6AC7" w:rsidRDefault="00A30BF8" w:rsidP="006F4762">
            <w:pPr>
              <w:spacing w:line="240" w:lineRule="auto"/>
              <w:jc w:val="center"/>
              <w:rPr>
                <w:color w:val="000000" w:themeColor="text1"/>
                <w:sz w:val="22"/>
              </w:rPr>
            </w:pPr>
          </w:p>
        </w:tc>
        <w:tc>
          <w:tcPr>
            <w:tcW w:w="699" w:type="dxa"/>
            <w:vAlign w:val="center"/>
          </w:tcPr>
          <w:p w14:paraId="0BB1FF4C" w14:textId="77777777" w:rsidR="00A30BF8" w:rsidRPr="007E6AC7" w:rsidRDefault="00A30BF8" w:rsidP="006F4762">
            <w:pPr>
              <w:spacing w:line="240" w:lineRule="auto"/>
              <w:jc w:val="center"/>
              <w:rPr>
                <w:color w:val="000000" w:themeColor="text1"/>
                <w:sz w:val="22"/>
              </w:rPr>
            </w:pPr>
          </w:p>
        </w:tc>
        <w:tc>
          <w:tcPr>
            <w:tcW w:w="700" w:type="dxa"/>
            <w:vAlign w:val="center"/>
          </w:tcPr>
          <w:p w14:paraId="469BB045" w14:textId="77777777" w:rsidR="00A30BF8" w:rsidRPr="007E6AC7" w:rsidRDefault="00A30BF8" w:rsidP="006F4762">
            <w:pPr>
              <w:spacing w:line="240" w:lineRule="auto"/>
              <w:jc w:val="center"/>
              <w:rPr>
                <w:color w:val="000000" w:themeColor="text1"/>
                <w:sz w:val="22"/>
              </w:rPr>
            </w:pPr>
          </w:p>
        </w:tc>
      </w:tr>
      <w:tr w:rsidR="007E6AC7" w:rsidRPr="007E6AC7" w14:paraId="37DB2969" w14:textId="77777777" w:rsidTr="00B6286E">
        <w:trPr>
          <w:trHeight w:val="210"/>
        </w:trPr>
        <w:tc>
          <w:tcPr>
            <w:tcW w:w="491" w:type="dxa"/>
            <w:vAlign w:val="center"/>
          </w:tcPr>
          <w:p w14:paraId="14DDB679"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12.</w:t>
            </w:r>
          </w:p>
        </w:tc>
        <w:tc>
          <w:tcPr>
            <w:tcW w:w="4395" w:type="dxa"/>
            <w:vAlign w:val="center"/>
            <w:hideMark/>
          </w:tcPr>
          <w:p w14:paraId="18AE0378" w14:textId="77777777" w:rsidR="00A30BF8" w:rsidRPr="007E6AC7" w:rsidRDefault="00A30BF8" w:rsidP="006F4762">
            <w:pPr>
              <w:spacing w:line="240" w:lineRule="auto"/>
              <w:jc w:val="left"/>
              <w:rPr>
                <w:color w:val="000000" w:themeColor="text1"/>
                <w:sz w:val="22"/>
              </w:rPr>
            </w:pPr>
            <w:r w:rsidRPr="007E6AC7">
              <w:rPr>
                <w:color w:val="000000" w:themeColor="text1"/>
                <w:sz w:val="22"/>
              </w:rPr>
              <w:t>acq_2yr_npd_growth</w:t>
            </w:r>
          </w:p>
        </w:tc>
        <w:tc>
          <w:tcPr>
            <w:tcW w:w="699" w:type="dxa"/>
            <w:vAlign w:val="center"/>
          </w:tcPr>
          <w:p w14:paraId="5D8A309E" w14:textId="77777777" w:rsidR="00A30BF8" w:rsidRPr="007E6AC7" w:rsidRDefault="00A30BF8" w:rsidP="006F4762">
            <w:pPr>
              <w:spacing w:line="240" w:lineRule="auto"/>
              <w:jc w:val="center"/>
              <w:rPr>
                <w:color w:val="000000" w:themeColor="text1"/>
                <w:sz w:val="22"/>
              </w:rPr>
            </w:pPr>
          </w:p>
        </w:tc>
        <w:tc>
          <w:tcPr>
            <w:tcW w:w="699" w:type="dxa"/>
            <w:vAlign w:val="center"/>
          </w:tcPr>
          <w:p w14:paraId="19780879" w14:textId="77777777" w:rsidR="00A30BF8" w:rsidRPr="007E6AC7" w:rsidRDefault="00A30BF8" w:rsidP="006F4762">
            <w:pPr>
              <w:spacing w:line="240" w:lineRule="auto"/>
              <w:jc w:val="center"/>
              <w:rPr>
                <w:color w:val="000000" w:themeColor="text1"/>
                <w:sz w:val="22"/>
              </w:rPr>
            </w:pPr>
          </w:p>
        </w:tc>
        <w:tc>
          <w:tcPr>
            <w:tcW w:w="700" w:type="dxa"/>
            <w:vAlign w:val="center"/>
          </w:tcPr>
          <w:p w14:paraId="2CE9D317" w14:textId="77777777" w:rsidR="00A30BF8" w:rsidRPr="007E6AC7" w:rsidRDefault="00A30BF8" w:rsidP="006F4762">
            <w:pPr>
              <w:spacing w:line="240" w:lineRule="auto"/>
              <w:jc w:val="center"/>
              <w:rPr>
                <w:color w:val="000000" w:themeColor="text1"/>
                <w:sz w:val="22"/>
              </w:rPr>
            </w:pPr>
          </w:p>
        </w:tc>
        <w:tc>
          <w:tcPr>
            <w:tcW w:w="699" w:type="dxa"/>
            <w:vAlign w:val="center"/>
          </w:tcPr>
          <w:p w14:paraId="2153D7A0" w14:textId="77777777" w:rsidR="00A30BF8" w:rsidRPr="007E6AC7" w:rsidRDefault="00A30BF8" w:rsidP="006F4762">
            <w:pPr>
              <w:spacing w:line="240" w:lineRule="auto"/>
              <w:jc w:val="center"/>
              <w:rPr>
                <w:color w:val="000000" w:themeColor="text1"/>
                <w:sz w:val="22"/>
              </w:rPr>
            </w:pPr>
          </w:p>
        </w:tc>
        <w:tc>
          <w:tcPr>
            <w:tcW w:w="699" w:type="dxa"/>
            <w:vAlign w:val="center"/>
          </w:tcPr>
          <w:p w14:paraId="2883C66E" w14:textId="77777777" w:rsidR="00A30BF8" w:rsidRPr="007E6AC7" w:rsidRDefault="00A30BF8" w:rsidP="006F4762">
            <w:pPr>
              <w:spacing w:line="240" w:lineRule="auto"/>
              <w:jc w:val="center"/>
              <w:rPr>
                <w:color w:val="000000" w:themeColor="text1"/>
                <w:sz w:val="22"/>
              </w:rPr>
            </w:pPr>
          </w:p>
        </w:tc>
        <w:tc>
          <w:tcPr>
            <w:tcW w:w="700" w:type="dxa"/>
            <w:vAlign w:val="center"/>
          </w:tcPr>
          <w:p w14:paraId="6260315E" w14:textId="77777777" w:rsidR="00A30BF8" w:rsidRPr="007E6AC7" w:rsidRDefault="00A30BF8" w:rsidP="006F4762">
            <w:pPr>
              <w:spacing w:line="240" w:lineRule="auto"/>
              <w:jc w:val="center"/>
              <w:rPr>
                <w:color w:val="000000" w:themeColor="text1"/>
                <w:sz w:val="22"/>
              </w:rPr>
            </w:pPr>
          </w:p>
        </w:tc>
        <w:tc>
          <w:tcPr>
            <w:tcW w:w="699" w:type="dxa"/>
            <w:vAlign w:val="center"/>
          </w:tcPr>
          <w:p w14:paraId="1F52C0F6" w14:textId="77777777" w:rsidR="00A30BF8" w:rsidRPr="007E6AC7" w:rsidRDefault="00A30BF8" w:rsidP="006F4762">
            <w:pPr>
              <w:spacing w:line="240" w:lineRule="auto"/>
              <w:jc w:val="center"/>
              <w:rPr>
                <w:color w:val="000000" w:themeColor="text1"/>
                <w:sz w:val="22"/>
              </w:rPr>
            </w:pPr>
          </w:p>
        </w:tc>
        <w:tc>
          <w:tcPr>
            <w:tcW w:w="699" w:type="dxa"/>
            <w:vAlign w:val="center"/>
          </w:tcPr>
          <w:p w14:paraId="44C160BA" w14:textId="77777777" w:rsidR="00A30BF8" w:rsidRPr="007E6AC7" w:rsidRDefault="00A30BF8" w:rsidP="006F4762">
            <w:pPr>
              <w:spacing w:line="240" w:lineRule="auto"/>
              <w:jc w:val="center"/>
              <w:rPr>
                <w:color w:val="000000" w:themeColor="text1"/>
                <w:sz w:val="22"/>
              </w:rPr>
            </w:pPr>
          </w:p>
        </w:tc>
        <w:tc>
          <w:tcPr>
            <w:tcW w:w="700" w:type="dxa"/>
            <w:vAlign w:val="center"/>
          </w:tcPr>
          <w:p w14:paraId="49A8A4B9" w14:textId="77777777" w:rsidR="00A30BF8" w:rsidRPr="007E6AC7" w:rsidRDefault="00A30BF8" w:rsidP="006F4762">
            <w:pPr>
              <w:spacing w:line="240" w:lineRule="auto"/>
              <w:jc w:val="center"/>
              <w:rPr>
                <w:color w:val="000000" w:themeColor="text1"/>
                <w:sz w:val="22"/>
              </w:rPr>
            </w:pPr>
          </w:p>
        </w:tc>
        <w:tc>
          <w:tcPr>
            <w:tcW w:w="699" w:type="dxa"/>
            <w:vAlign w:val="center"/>
          </w:tcPr>
          <w:p w14:paraId="65C42F49" w14:textId="77777777" w:rsidR="00A30BF8" w:rsidRPr="007E6AC7" w:rsidRDefault="00A30BF8" w:rsidP="006F4762">
            <w:pPr>
              <w:spacing w:line="240" w:lineRule="auto"/>
              <w:jc w:val="center"/>
              <w:rPr>
                <w:color w:val="000000" w:themeColor="text1"/>
                <w:sz w:val="22"/>
              </w:rPr>
            </w:pPr>
          </w:p>
        </w:tc>
        <w:tc>
          <w:tcPr>
            <w:tcW w:w="699" w:type="dxa"/>
            <w:vAlign w:val="center"/>
          </w:tcPr>
          <w:p w14:paraId="3256FACE" w14:textId="77777777" w:rsidR="00A30BF8" w:rsidRPr="007E6AC7" w:rsidRDefault="00A30BF8" w:rsidP="006F4762">
            <w:pPr>
              <w:spacing w:line="240" w:lineRule="auto"/>
              <w:jc w:val="center"/>
              <w:rPr>
                <w:color w:val="000000" w:themeColor="text1"/>
                <w:sz w:val="22"/>
              </w:rPr>
            </w:pPr>
          </w:p>
        </w:tc>
        <w:tc>
          <w:tcPr>
            <w:tcW w:w="700" w:type="dxa"/>
            <w:vAlign w:val="center"/>
          </w:tcPr>
          <w:p w14:paraId="4DE09145" w14:textId="77777777" w:rsidR="00A30BF8" w:rsidRPr="007E6AC7" w:rsidRDefault="00A30BF8" w:rsidP="006F4762">
            <w:pPr>
              <w:spacing w:line="240" w:lineRule="auto"/>
              <w:jc w:val="center"/>
              <w:rPr>
                <w:color w:val="000000" w:themeColor="text1"/>
                <w:sz w:val="22"/>
              </w:rPr>
            </w:pPr>
          </w:p>
        </w:tc>
        <w:tc>
          <w:tcPr>
            <w:tcW w:w="699" w:type="dxa"/>
            <w:vAlign w:val="center"/>
          </w:tcPr>
          <w:p w14:paraId="3B31D524" w14:textId="77777777" w:rsidR="00A30BF8" w:rsidRPr="007E6AC7" w:rsidRDefault="00A30BF8" w:rsidP="006F4762">
            <w:pPr>
              <w:spacing w:line="240" w:lineRule="auto"/>
              <w:jc w:val="center"/>
              <w:rPr>
                <w:color w:val="000000" w:themeColor="text1"/>
                <w:sz w:val="22"/>
              </w:rPr>
            </w:pPr>
          </w:p>
        </w:tc>
        <w:tc>
          <w:tcPr>
            <w:tcW w:w="699" w:type="dxa"/>
            <w:vAlign w:val="center"/>
          </w:tcPr>
          <w:p w14:paraId="01CA8E17" w14:textId="77777777" w:rsidR="00A30BF8" w:rsidRPr="007E6AC7" w:rsidRDefault="00A30BF8" w:rsidP="006F4762">
            <w:pPr>
              <w:spacing w:line="240" w:lineRule="auto"/>
              <w:jc w:val="center"/>
              <w:rPr>
                <w:color w:val="000000" w:themeColor="text1"/>
                <w:sz w:val="22"/>
              </w:rPr>
            </w:pPr>
          </w:p>
        </w:tc>
        <w:tc>
          <w:tcPr>
            <w:tcW w:w="700" w:type="dxa"/>
            <w:vAlign w:val="center"/>
          </w:tcPr>
          <w:p w14:paraId="52B9AAD2" w14:textId="77777777" w:rsidR="00A30BF8" w:rsidRPr="007E6AC7" w:rsidRDefault="00A30BF8" w:rsidP="006F4762">
            <w:pPr>
              <w:spacing w:line="240" w:lineRule="auto"/>
              <w:jc w:val="center"/>
              <w:rPr>
                <w:color w:val="000000" w:themeColor="text1"/>
                <w:sz w:val="22"/>
              </w:rPr>
            </w:pPr>
          </w:p>
        </w:tc>
      </w:tr>
      <w:tr w:rsidR="007E6AC7" w:rsidRPr="007E6AC7" w14:paraId="1BE653FB" w14:textId="77777777" w:rsidTr="00B6286E">
        <w:trPr>
          <w:trHeight w:val="210"/>
        </w:trPr>
        <w:tc>
          <w:tcPr>
            <w:tcW w:w="491" w:type="dxa"/>
            <w:vAlign w:val="center"/>
          </w:tcPr>
          <w:p w14:paraId="6DD079EF"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13.</w:t>
            </w:r>
          </w:p>
        </w:tc>
        <w:tc>
          <w:tcPr>
            <w:tcW w:w="4395" w:type="dxa"/>
            <w:vAlign w:val="center"/>
            <w:hideMark/>
          </w:tcPr>
          <w:p w14:paraId="71E2A907" w14:textId="77777777" w:rsidR="00A30BF8" w:rsidRPr="007E6AC7" w:rsidRDefault="00A30BF8" w:rsidP="006F4762">
            <w:pPr>
              <w:spacing w:line="240" w:lineRule="auto"/>
              <w:jc w:val="left"/>
              <w:rPr>
                <w:color w:val="000000" w:themeColor="text1"/>
                <w:sz w:val="22"/>
              </w:rPr>
            </w:pPr>
            <w:r w:rsidRPr="007E6AC7">
              <w:rPr>
                <w:color w:val="000000" w:themeColor="text1"/>
                <w:sz w:val="22"/>
              </w:rPr>
              <w:t>deal_value_ln</w:t>
            </w:r>
          </w:p>
        </w:tc>
        <w:tc>
          <w:tcPr>
            <w:tcW w:w="699" w:type="dxa"/>
            <w:vAlign w:val="center"/>
          </w:tcPr>
          <w:p w14:paraId="12A5A8F9" w14:textId="77777777" w:rsidR="00A30BF8" w:rsidRPr="007E6AC7" w:rsidRDefault="00A30BF8" w:rsidP="006F4762">
            <w:pPr>
              <w:spacing w:line="240" w:lineRule="auto"/>
              <w:jc w:val="center"/>
              <w:rPr>
                <w:color w:val="000000" w:themeColor="text1"/>
                <w:sz w:val="22"/>
              </w:rPr>
            </w:pPr>
          </w:p>
        </w:tc>
        <w:tc>
          <w:tcPr>
            <w:tcW w:w="699" w:type="dxa"/>
            <w:vAlign w:val="center"/>
          </w:tcPr>
          <w:p w14:paraId="78501153" w14:textId="77777777" w:rsidR="00A30BF8" w:rsidRPr="007E6AC7" w:rsidRDefault="00A30BF8" w:rsidP="006F4762">
            <w:pPr>
              <w:spacing w:line="240" w:lineRule="auto"/>
              <w:jc w:val="center"/>
              <w:rPr>
                <w:color w:val="000000" w:themeColor="text1"/>
                <w:sz w:val="22"/>
              </w:rPr>
            </w:pPr>
          </w:p>
        </w:tc>
        <w:tc>
          <w:tcPr>
            <w:tcW w:w="700" w:type="dxa"/>
            <w:vAlign w:val="center"/>
          </w:tcPr>
          <w:p w14:paraId="32B59830" w14:textId="77777777" w:rsidR="00A30BF8" w:rsidRPr="007E6AC7" w:rsidRDefault="00A30BF8" w:rsidP="006F4762">
            <w:pPr>
              <w:spacing w:line="240" w:lineRule="auto"/>
              <w:jc w:val="center"/>
              <w:rPr>
                <w:color w:val="000000" w:themeColor="text1"/>
                <w:sz w:val="22"/>
              </w:rPr>
            </w:pPr>
          </w:p>
        </w:tc>
        <w:tc>
          <w:tcPr>
            <w:tcW w:w="699" w:type="dxa"/>
            <w:vAlign w:val="center"/>
          </w:tcPr>
          <w:p w14:paraId="7B9C26CD" w14:textId="77777777" w:rsidR="00A30BF8" w:rsidRPr="007E6AC7" w:rsidRDefault="00A30BF8" w:rsidP="006F4762">
            <w:pPr>
              <w:spacing w:line="240" w:lineRule="auto"/>
              <w:jc w:val="center"/>
              <w:rPr>
                <w:color w:val="000000" w:themeColor="text1"/>
                <w:sz w:val="22"/>
              </w:rPr>
            </w:pPr>
          </w:p>
        </w:tc>
        <w:tc>
          <w:tcPr>
            <w:tcW w:w="699" w:type="dxa"/>
            <w:vAlign w:val="center"/>
          </w:tcPr>
          <w:p w14:paraId="30897D9C" w14:textId="77777777" w:rsidR="00A30BF8" w:rsidRPr="007E6AC7" w:rsidRDefault="00A30BF8" w:rsidP="006F4762">
            <w:pPr>
              <w:spacing w:line="240" w:lineRule="auto"/>
              <w:jc w:val="center"/>
              <w:rPr>
                <w:color w:val="000000" w:themeColor="text1"/>
                <w:sz w:val="22"/>
              </w:rPr>
            </w:pPr>
          </w:p>
        </w:tc>
        <w:tc>
          <w:tcPr>
            <w:tcW w:w="700" w:type="dxa"/>
            <w:vAlign w:val="center"/>
          </w:tcPr>
          <w:p w14:paraId="25A49C52" w14:textId="77777777" w:rsidR="00A30BF8" w:rsidRPr="007E6AC7" w:rsidRDefault="00A30BF8" w:rsidP="006F4762">
            <w:pPr>
              <w:spacing w:line="240" w:lineRule="auto"/>
              <w:jc w:val="center"/>
              <w:rPr>
                <w:color w:val="000000" w:themeColor="text1"/>
                <w:sz w:val="22"/>
              </w:rPr>
            </w:pPr>
          </w:p>
        </w:tc>
        <w:tc>
          <w:tcPr>
            <w:tcW w:w="699" w:type="dxa"/>
            <w:vAlign w:val="center"/>
          </w:tcPr>
          <w:p w14:paraId="370DB6AE" w14:textId="77777777" w:rsidR="00A30BF8" w:rsidRPr="007E6AC7" w:rsidRDefault="00A30BF8" w:rsidP="006F4762">
            <w:pPr>
              <w:spacing w:line="240" w:lineRule="auto"/>
              <w:jc w:val="center"/>
              <w:rPr>
                <w:color w:val="000000" w:themeColor="text1"/>
                <w:sz w:val="22"/>
              </w:rPr>
            </w:pPr>
          </w:p>
        </w:tc>
        <w:tc>
          <w:tcPr>
            <w:tcW w:w="699" w:type="dxa"/>
            <w:vAlign w:val="center"/>
          </w:tcPr>
          <w:p w14:paraId="2425F03A" w14:textId="77777777" w:rsidR="00A30BF8" w:rsidRPr="007E6AC7" w:rsidRDefault="00A30BF8" w:rsidP="006F4762">
            <w:pPr>
              <w:spacing w:line="240" w:lineRule="auto"/>
              <w:jc w:val="center"/>
              <w:rPr>
                <w:color w:val="000000" w:themeColor="text1"/>
                <w:sz w:val="22"/>
              </w:rPr>
            </w:pPr>
          </w:p>
        </w:tc>
        <w:tc>
          <w:tcPr>
            <w:tcW w:w="700" w:type="dxa"/>
            <w:vAlign w:val="center"/>
          </w:tcPr>
          <w:p w14:paraId="5E7DB1B1" w14:textId="77777777" w:rsidR="00A30BF8" w:rsidRPr="007E6AC7" w:rsidRDefault="00A30BF8" w:rsidP="006F4762">
            <w:pPr>
              <w:spacing w:line="240" w:lineRule="auto"/>
              <w:jc w:val="center"/>
              <w:rPr>
                <w:color w:val="000000" w:themeColor="text1"/>
                <w:sz w:val="22"/>
              </w:rPr>
            </w:pPr>
          </w:p>
        </w:tc>
        <w:tc>
          <w:tcPr>
            <w:tcW w:w="699" w:type="dxa"/>
            <w:vAlign w:val="center"/>
          </w:tcPr>
          <w:p w14:paraId="1716BE3A" w14:textId="77777777" w:rsidR="00A30BF8" w:rsidRPr="007E6AC7" w:rsidRDefault="00A30BF8" w:rsidP="006F4762">
            <w:pPr>
              <w:spacing w:line="240" w:lineRule="auto"/>
              <w:jc w:val="center"/>
              <w:rPr>
                <w:color w:val="000000" w:themeColor="text1"/>
                <w:sz w:val="22"/>
              </w:rPr>
            </w:pPr>
          </w:p>
        </w:tc>
        <w:tc>
          <w:tcPr>
            <w:tcW w:w="699" w:type="dxa"/>
            <w:vAlign w:val="center"/>
          </w:tcPr>
          <w:p w14:paraId="5E8C7243" w14:textId="77777777" w:rsidR="00A30BF8" w:rsidRPr="007E6AC7" w:rsidRDefault="00A30BF8" w:rsidP="006F4762">
            <w:pPr>
              <w:spacing w:line="240" w:lineRule="auto"/>
              <w:jc w:val="center"/>
              <w:rPr>
                <w:color w:val="000000" w:themeColor="text1"/>
                <w:sz w:val="22"/>
              </w:rPr>
            </w:pPr>
          </w:p>
        </w:tc>
        <w:tc>
          <w:tcPr>
            <w:tcW w:w="700" w:type="dxa"/>
            <w:vAlign w:val="center"/>
          </w:tcPr>
          <w:p w14:paraId="4D086136" w14:textId="77777777" w:rsidR="00A30BF8" w:rsidRPr="007E6AC7" w:rsidRDefault="00A30BF8" w:rsidP="006F4762">
            <w:pPr>
              <w:spacing w:line="240" w:lineRule="auto"/>
              <w:jc w:val="center"/>
              <w:rPr>
                <w:color w:val="000000" w:themeColor="text1"/>
                <w:sz w:val="22"/>
              </w:rPr>
            </w:pPr>
          </w:p>
        </w:tc>
        <w:tc>
          <w:tcPr>
            <w:tcW w:w="699" w:type="dxa"/>
            <w:vAlign w:val="center"/>
          </w:tcPr>
          <w:p w14:paraId="55862B88" w14:textId="77777777" w:rsidR="00A30BF8" w:rsidRPr="007E6AC7" w:rsidRDefault="00A30BF8" w:rsidP="006F4762">
            <w:pPr>
              <w:spacing w:line="240" w:lineRule="auto"/>
              <w:jc w:val="center"/>
              <w:rPr>
                <w:color w:val="000000" w:themeColor="text1"/>
                <w:sz w:val="22"/>
              </w:rPr>
            </w:pPr>
          </w:p>
        </w:tc>
        <w:tc>
          <w:tcPr>
            <w:tcW w:w="699" w:type="dxa"/>
            <w:vAlign w:val="center"/>
          </w:tcPr>
          <w:p w14:paraId="1740F539" w14:textId="77777777" w:rsidR="00A30BF8" w:rsidRPr="007E6AC7" w:rsidRDefault="00A30BF8" w:rsidP="006F4762">
            <w:pPr>
              <w:spacing w:line="240" w:lineRule="auto"/>
              <w:jc w:val="center"/>
              <w:rPr>
                <w:color w:val="000000" w:themeColor="text1"/>
                <w:sz w:val="22"/>
              </w:rPr>
            </w:pPr>
          </w:p>
        </w:tc>
        <w:tc>
          <w:tcPr>
            <w:tcW w:w="700" w:type="dxa"/>
            <w:vAlign w:val="center"/>
          </w:tcPr>
          <w:p w14:paraId="320C4601" w14:textId="77777777" w:rsidR="00A30BF8" w:rsidRPr="007E6AC7" w:rsidRDefault="00A30BF8" w:rsidP="006F4762">
            <w:pPr>
              <w:spacing w:line="240" w:lineRule="auto"/>
              <w:jc w:val="center"/>
              <w:rPr>
                <w:color w:val="000000" w:themeColor="text1"/>
                <w:sz w:val="22"/>
              </w:rPr>
            </w:pPr>
          </w:p>
        </w:tc>
      </w:tr>
      <w:tr w:rsidR="007E6AC7" w:rsidRPr="007E6AC7" w14:paraId="767E8974" w14:textId="77777777" w:rsidTr="00B6286E">
        <w:trPr>
          <w:trHeight w:val="210"/>
        </w:trPr>
        <w:tc>
          <w:tcPr>
            <w:tcW w:w="491" w:type="dxa"/>
            <w:vAlign w:val="center"/>
          </w:tcPr>
          <w:p w14:paraId="6E307FD3"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14.</w:t>
            </w:r>
          </w:p>
        </w:tc>
        <w:tc>
          <w:tcPr>
            <w:tcW w:w="4395" w:type="dxa"/>
            <w:vAlign w:val="center"/>
            <w:hideMark/>
          </w:tcPr>
          <w:p w14:paraId="55A4B1F8" w14:textId="77777777" w:rsidR="00A30BF8" w:rsidRPr="007E6AC7" w:rsidRDefault="00A30BF8" w:rsidP="006F4762">
            <w:pPr>
              <w:spacing w:line="240" w:lineRule="auto"/>
              <w:jc w:val="left"/>
              <w:rPr>
                <w:color w:val="000000" w:themeColor="text1"/>
                <w:sz w:val="22"/>
              </w:rPr>
            </w:pPr>
            <w:r w:rsidRPr="007E6AC7">
              <w:rPr>
                <w:color w:val="000000" w:themeColor="text1"/>
                <w:sz w:val="22"/>
              </w:rPr>
              <w:t>deal_hofstede_distance</w:t>
            </w:r>
          </w:p>
        </w:tc>
        <w:tc>
          <w:tcPr>
            <w:tcW w:w="699" w:type="dxa"/>
            <w:vAlign w:val="center"/>
          </w:tcPr>
          <w:p w14:paraId="319E6A72" w14:textId="77777777" w:rsidR="00A30BF8" w:rsidRPr="007E6AC7" w:rsidRDefault="00A30BF8" w:rsidP="006F4762">
            <w:pPr>
              <w:spacing w:line="240" w:lineRule="auto"/>
              <w:jc w:val="center"/>
              <w:rPr>
                <w:color w:val="000000" w:themeColor="text1"/>
                <w:sz w:val="22"/>
              </w:rPr>
            </w:pPr>
          </w:p>
        </w:tc>
        <w:tc>
          <w:tcPr>
            <w:tcW w:w="699" w:type="dxa"/>
            <w:vAlign w:val="center"/>
          </w:tcPr>
          <w:p w14:paraId="2566692A" w14:textId="77777777" w:rsidR="00A30BF8" w:rsidRPr="007E6AC7" w:rsidRDefault="00A30BF8" w:rsidP="006F4762">
            <w:pPr>
              <w:spacing w:line="240" w:lineRule="auto"/>
              <w:jc w:val="center"/>
              <w:rPr>
                <w:color w:val="000000" w:themeColor="text1"/>
                <w:sz w:val="22"/>
              </w:rPr>
            </w:pPr>
          </w:p>
        </w:tc>
        <w:tc>
          <w:tcPr>
            <w:tcW w:w="700" w:type="dxa"/>
            <w:vAlign w:val="center"/>
          </w:tcPr>
          <w:p w14:paraId="64DD2A40" w14:textId="77777777" w:rsidR="00A30BF8" w:rsidRPr="007E6AC7" w:rsidRDefault="00A30BF8" w:rsidP="006F4762">
            <w:pPr>
              <w:spacing w:line="240" w:lineRule="auto"/>
              <w:jc w:val="center"/>
              <w:rPr>
                <w:color w:val="000000" w:themeColor="text1"/>
                <w:sz w:val="22"/>
              </w:rPr>
            </w:pPr>
          </w:p>
        </w:tc>
        <w:tc>
          <w:tcPr>
            <w:tcW w:w="699" w:type="dxa"/>
            <w:vAlign w:val="center"/>
          </w:tcPr>
          <w:p w14:paraId="13AAC9B8" w14:textId="77777777" w:rsidR="00A30BF8" w:rsidRPr="007E6AC7" w:rsidRDefault="00A30BF8" w:rsidP="006F4762">
            <w:pPr>
              <w:spacing w:line="240" w:lineRule="auto"/>
              <w:jc w:val="center"/>
              <w:rPr>
                <w:color w:val="000000" w:themeColor="text1"/>
                <w:sz w:val="22"/>
              </w:rPr>
            </w:pPr>
          </w:p>
        </w:tc>
        <w:tc>
          <w:tcPr>
            <w:tcW w:w="699" w:type="dxa"/>
            <w:vAlign w:val="center"/>
          </w:tcPr>
          <w:p w14:paraId="1A0963F9" w14:textId="77777777" w:rsidR="00A30BF8" w:rsidRPr="007E6AC7" w:rsidRDefault="00A30BF8" w:rsidP="006F4762">
            <w:pPr>
              <w:spacing w:line="240" w:lineRule="auto"/>
              <w:jc w:val="center"/>
              <w:rPr>
                <w:color w:val="000000" w:themeColor="text1"/>
                <w:sz w:val="22"/>
              </w:rPr>
            </w:pPr>
          </w:p>
        </w:tc>
        <w:tc>
          <w:tcPr>
            <w:tcW w:w="700" w:type="dxa"/>
            <w:vAlign w:val="center"/>
          </w:tcPr>
          <w:p w14:paraId="754D0FE9" w14:textId="77777777" w:rsidR="00A30BF8" w:rsidRPr="007E6AC7" w:rsidRDefault="00A30BF8" w:rsidP="006F4762">
            <w:pPr>
              <w:spacing w:line="240" w:lineRule="auto"/>
              <w:jc w:val="center"/>
              <w:rPr>
                <w:color w:val="000000" w:themeColor="text1"/>
                <w:sz w:val="22"/>
              </w:rPr>
            </w:pPr>
          </w:p>
        </w:tc>
        <w:tc>
          <w:tcPr>
            <w:tcW w:w="699" w:type="dxa"/>
            <w:vAlign w:val="center"/>
          </w:tcPr>
          <w:p w14:paraId="28685049" w14:textId="77777777" w:rsidR="00A30BF8" w:rsidRPr="007E6AC7" w:rsidRDefault="00A30BF8" w:rsidP="006F4762">
            <w:pPr>
              <w:spacing w:line="240" w:lineRule="auto"/>
              <w:jc w:val="center"/>
              <w:rPr>
                <w:color w:val="000000" w:themeColor="text1"/>
                <w:sz w:val="22"/>
              </w:rPr>
            </w:pPr>
          </w:p>
        </w:tc>
        <w:tc>
          <w:tcPr>
            <w:tcW w:w="699" w:type="dxa"/>
            <w:vAlign w:val="center"/>
          </w:tcPr>
          <w:p w14:paraId="44DCD710" w14:textId="77777777" w:rsidR="00A30BF8" w:rsidRPr="007E6AC7" w:rsidRDefault="00A30BF8" w:rsidP="006F4762">
            <w:pPr>
              <w:spacing w:line="240" w:lineRule="auto"/>
              <w:jc w:val="center"/>
              <w:rPr>
                <w:color w:val="000000" w:themeColor="text1"/>
                <w:sz w:val="22"/>
              </w:rPr>
            </w:pPr>
          </w:p>
        </w:tc>
        <w:tc>
          <w:tcPr>
            <w:tcW w:w="700" w:type="dxa"/>
            <w:vAlign w:val="center"/>
          </w:tcPr>
          <w:p w14:paraId="673352C8" w14:textId="77777777" w:rsidR="00A30BF8" w:rsidRPr="007E6AC7" w:rsidRDefault="00A30BF8" w:rsidP="006F4762">
            <w:pPr>
              <w:spacing w:line="240" w:lineRule="auto"/>
              <w:jc w:val="center"/>
              <w:rPr>
                <w:color w:val="000000" w:themeColor="text1"/>
                <w:sz w:val="22"/>
              </w:rPr>
            </w:pPr>
          </w:p>
        </w:tc>
        <w:tc>
          <w:tcPr>
            <w:tcW w:w="699" w:type="dxa"/>
            <w:vAlign w:val="center"/>
          </w:tcPr>
          <w:p w14:paraId="36FBB7EB" w14:textId="77777777" w:rsidR="00A30BF8" w:rsidRPr="007E6AC7" w:rsidRDefault="00A30BF8" w:rsidP="006F4762">
            <w:pPr>
              <w:spacing w:line="240" w:lineRule="auto"/>
              <w:jc w:val="center"/>
              <w:rPr>
                <w:color w:val="000000" w:themeColor="text1"/>
                <w:sz w:val="22"/>
              </w:rPr>
            </w:pPr>
          </w:p>
        </w:tc>
        <w:tc>
          <w:tcPr>
            <w:tcW w:w="699" w:type="dxa"/>
            <w:vAlign w:val="center"/>
          </w:tcPr>
          <w:p w14:paraId="71CB9679" w14:textId="77777777" w:rsidR="00A30BF8" w:rsidRPr="007E6AC7" w:rsidRDefault="00A30BF8" w:rsidP="006F4762">
            <w:pPr>
              <w:spacing w:line="240" w:lineRule="auto"/>
              <w:jc w:val="center"/>
              <w:rPr>
                <w:color w:val="000000" w:themeColor="text1"/>
                <w:sz w:val="22"/>
              </w:rPr>
            </w:pPr>
          </w:p>
        </w:tc>
        <w:tc>
          <w:tcPr>
            <w:tcW w:w="700" w:type="dxa"/>
            <w:vAlign w:val="center"/>
          </w:tcPr>
          <w:p w14:paraId="2A589393" w14:textId="77777777" w:rsidR="00A30BF8" w:rsidRPr="007E6AC7" w:rsidRDefault="00A30BF8" w:rsidP="006F4762">
            <w:pPr>
              <w:spacing w:line="240" w:lineRule="auto"/>
              <w:jc w:val="center"/>
              <w:rPr>
                <w:color w:val="000000" w:themeColor="text1"/>
                <w:sz w:val="22"/>
              </w:rPr>
            </w:pPr>
          </w:p>
        </w:tc>
        <w:tc>
          <w:tcPr>
            <w:tcW w:w="699" w:type="dxa"/>
            <w:vAlign w:val="center"/>
          </w:tcPr>
          <w:p w14:paraId="23222C5F" w14:textId="77777777" w:rsidR="00A30BF8" w:rsidRPr="007E6AC7" w:rsidRDefault="00A30BF8" w:rsidP="006F4762">
            <w:pPr>
              <w:spacing w:line="240" w:lineRule="auto"/>
              <w:jc w:val="center"/>
              <w:rPr>
                <w:color w:val="000000" w:themeColor="text1"/>
                <w:sz w:val="22"/>
              </w:rPr>
            </w:pPr>
          </w:p>
        </w:tc>
        <w:tc>
          <w:tcPr>
            <w:tcW w:w="699" w:type="dxa"/>
            <w:vAlign w:val="center"/>
          </w:tcPr>
          <w:p w14:paraId="710CF44D" w14:textId="77777777" w:rsidR="00A30BF8" w:rsidRPr="007E6AC7" w:rsidRDefault="00A30BF8" w:rsidP="006F4762">
            <w:pPr>
              <w:spacing w:line="240" w:lineRule="auto"/>
              <w:jc w:val="center"/>
              <w:rPr>
                <w:color w:val="000000" w:themeColor="text1"/>
                <w:sz w:val="22"/>
              </w:rPr>
            </w:pPr>
          </w:p>
        </w:tc>
        <w:tc>
          <w:tcPr>
            <w:tcW w:w="700" w:type="dxa"/>
            <w:vAlign w:val="center"/>
          </w:tcPr>
          <w:p w14:paraId="19052C3B" w14:textId="77777777" w:rsidR="00A30BF8" w:rsidRPr="007E6AC7" w:rsidRDefault="00A30BF8" w:rsidP="006F4762">
            <w:pPr>
              <w:spacing w:line="240" w:lineRule="auto"/>
              <w:jc w:val="center"/>
              <w:rPr>
                <w:color w:val="000000" w:themeColor="text1"/>
                <w:sz w:val="22"/>
              </w:rPr>
            </w:pPr>
          </w:p>
        </w:tc>
      </w:tr>
      <w:tr w:rsidR="007E6AC7" w:rsidRPr="007E6AC7" w14:paraId="33B5DA16" w14:textId="77777777" w:rsidTr="00B6286E">
        <w:trPr>
          <w:trHeight w:val="210"/>
        </w:trPr>
        <w:tc>
          <w:tcPr>
            <w:tcW w:w="491" w:type="dxa"/>
            <w:vAlign w:val="center"/>
          </w:tcPr>
          <w:p w14:paraId="6F6C25EB"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15.</w:t>
            </w:r>
          </w:p>
        </w:tc>
        <w:tc>
          <w:tcPr>
            <w:tcW w:w="4395" w:type="dxa"/>
            <w:vAlign w:val="center"/>
            <w:hideMark/>
          </w:tcPr>
          <w:p w14:paraId="22F78F1A" w14:textId="77777777" w:rsidR="00A30BF8" w:rsidRPr="007E6AC7" w:rsidRDefault="00A30BF8" w:rsidP="006F4762">
            <w:pPr>
              <w:spacing w:line="240" w:lineRule="auto"/>
              <w:jc w:val="left"/>
              <w:rPr>
                <w:color w:val="000000" w:themeColor="text1"/>
                <w:sz w:val="22"/>
              </w:rPr>
            </w:pPr>
            <w:r w:rsidRPr="007E6AC7">
              <w:rPr>
                <w:color w:val="000000" w:themeColor="text1"/>
                <w:sz w:val="22"/>
              </w:rPr>
              <w:t>deal_all_cash_dummy</w:t>
            </w:r>
          </w:p>
        </w:tc>
        <w:tc>
          <w:tcPr>
            <w:tcW w:w="699" w:type="dxa"/>
            <w:vAlign w:val="center"/>
            <w:hideMark/>
          </w:tcPr>
          <w:p w14:paraId="10335C4E"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w:t>
            </w:r>
          </w:p>
        </w:tc>
        <w:tc>
          <w:tcPr>
            <w:tcW w:w="699" w:type="dxa"/>
            <w:vAlign w:val="center"/>
          </w:tcPr>
          <w:p w14:paraId="1D68D848" w14:textId="77777777" w:rsidR="00A30BF8" w:rsidRPr="007E6AC7" w:rsidRDefault="00A30BF8" w:rsidP="006F4762">
            <w:pPr>
              <w:spacing w:line="240" w:lineRule="auto"/>
              <w:jc w:val="center"/>
              <w:rPr>
                <w:color w:val="000000" w:themeColor="text1"/>
                <w:sz w:val="22"/>
              </w:rPr>
            </w:pPr>
          </w:p>
        </w:tc>
        <w:tc>
          <w:tcPr>
            <w:tcW w:w="700" w:type="dxa"/>
            <w:vAlign w:val="center"/>
          </w:tcPr>
          <w:p w14:paraId="5A3E019F" w14:textId="77777777" w:rsidR="00A30BF8" w:rsidRPr="007E6AC7" w:rsidRDefault="00A30BF8" w:rsidP="006F4762">
            <w:pPr>
              <w:spacing w:line="240" w:lineRule="auto"/>
              <w:jc w:val="center"/>
              <w:rPr>
                <w:color w:val="000000" w:themeColor="text1"/>
                <w:sz w:val="22"/>
              </w:rPr>
            </w:pPr>
          </w:p>
        </w:tc>
        <w:tc>
          <w:tcPr>
            <w:tcW w:w="699" w:type="dxa"/>
            <w:vAlign w:val="center"/>
          </w:tcPr>
          <w:p w14:paraId="17D104D6" w14:textId="77777777" w:rsidR="00A30BF8" w:rsidRPr="007E6AC7" w:rsidRDefault="00A30BF8" w:rsidP="006F4762">
            <w:pPr>
              <w:spacing w:line="240" w:lineRule="auto"/>
              <w:jc w:val="center"/>
              <w:rPr>
                <w:color w:val="000000" w:themeColor="text1"/>
                <w:sz w:val="22"/>
              </w:rPr>
            </w:pPr>
          </w:p>
        </w:tc>
        <w:tc>
          <w:tcPr>
            <w:tcW w:w="699" w:type="dxa"/>
            <w:vAlign w:val="center"/>
          </w:tcPr>
          <w:p w14:paraId="48B33193" w14:textId="77777777" w:rsidR="00A30BF8" w:rsidRPr="007E6AC7" w:rsidRDefault="00A30BF8" w:rsidP="006F4762">
            <w:pPr>
              <w:spacing w:line="240" w:lineRule="auto"/>
              <w:jc w:val="center"/>
              <w:rPr>
                <w:color w:val="000000" w:themeColor="text1"/>
                <w:sz w:val="22"/>
              </w:rPr>
            </w:pPr>
          </w:p>
        </w:tc>
        <w:tc>
          <w:tcPr>
            <w:tcW w:w="700" w:type="dxa"/>
            <w:vAlign w:val="center"/>
          </w:tcPr>
          <w:p w14:paraId="1D81B836" w14:textId="77777777" w:rsidR="00A30BF8" w:rsidRPr="007E6AC7" w:rsidRDefault="00A30BF8" w:rsidP="006F4762">
            <w:pPr>
              <w:spacing w:line="240" w:lineRule="auto"/>
              <w:jc w:val="center"/>
              <w:rPr>
                <w:color w:val="000000" w:themeColor="text1"/>
                <w:sz w:val="22"/>
              </w:rPr>
            </w:pPr>
          </w:p>
        </w:tc>
        <w:tc>
          <w:tcPr>
            <w:tcW w:w="699" w:type="dxa"/>
            <w:vAlign w:val="center"/>
          </w:tcPr>
          <w:p w14:paraId="1484A0FF" w14:textId="77777777" w:rsidR="00A30BF8" w:rsidRPr="007E6AC7" w:rsidRDefault="00A30BF8" w:rsidP="006F4762">
            <w:pPr>
              <w:spacing w:line="240" w:lineRule="auto"/>
              <w:jc w:val="center"/>
              <w:rPr>
                <w:color w:val="000000" w:themeColor="text1"/>
                <w:sz w:val="22"/>
              </w:rPr>
            </w:pPr>
          </w:p>
        </w:tc>
        <w:tc>
          <w:tcPr>
            <w:tcW w:w="699" w:type="dxa"/>
            <w:vAlign w:val="center"/>
          </w:tcPr>
          <w:p w14:paraId="3F212503" w14:textId="77777777" w:rsidR="00A30BF8" w:rsidRPr="007E6AC7" w:rsidRDefault="00A30BF8" w:rsidP="006F4762">
            <w:pPr>
              <w:spacing w:line="240" w:lineRule="auto"/>
              <w:jc w:val="center"/>
              <w:rPr>
                <w:color w:val="000000" w:themeColor="text1"/>
                <w:sz w:val="22"/>
              </w:rPr>
            </w:pPr>
          </w:p>
        </w:tc>
        <w:tc>
          <w:tcPr>
            <w:tcW w:w="700" w:type="dxa"/>
            <w:vAlign w:val="center"/>
          </w:tcPr>
          <w:p w14:paraId="7595BDC7" w14:textId="77777777" w:rsidR="00A30BF8" w:rsidRPr="007E6AC7" w:rsidRDefault="00A30BF8" w:rsidP="006F4762">
            <w:pPr>
              <w:spacing w:line="240" w:lineRule="auto"/>
              <w:jc w:val="center"/>
              <w:rPr>
                <w:color w:val="000000" w:themeColor="text1"/>
                <w:sz w:val="22"/>
              </w:rPr>
            </w:pPr>
          </w:p>
        </w:tc>
        <w:tc>
          <w:tcPr>
            <w:tcW w:w="699" w:type="dxa"/>
            <w:vAlign w:val="center"/>
          </w:tcPr>
          <w:p w14:paraId="0C9E6565" w14:textId="77777777" w:rsidR="00A30BF8" w:rsidRPr="007E6AC7" w:rsidRDefault="00A30BF8" w:rsidP="006F4762">
            <w:pPr>
              <w:spacing w:line="240" w:lineRule="auto"/>
              <w:jc w:val="center"/>
              <w:rPr>
                <w:color w:val="000000" w:themeColor="text1"/>
                <w:sz w:val="22"/>
              </w:rPr>
            </w:pPr>
          </w:p>
        </w:tc>
        <w:tc>
          <w:tcPr>
            <w:tcW w:w="699" w:type="dxa"/>
            <w:vAlign w:val="center"/>
          </w:tcPr>
          <w:p w14:paraId="33A48EF6" w14:textId="77777777" w:rsidR="00A30BF8" w:rsidRPr="007E6AC7" w:rsidRDefault="00A30BF8" w:rsidP="006F4762">
            <w:pPr>
              <w:spacing w:line="240" w:lineRule="auto"/>
              <w:jc w:val="center"/>
              <w:rPr>
                <w:color w:val="000000" w:themeColor="text1"/>
                <w:sz w:val="22"/>
              </w:rPr>
            </w:pPr>
          </w:p>
        </w:tc>
        <w:tc>
          <w:tcPr>
            <w:tcW w:w="700" w:type="dxa"/>
            <w:vAlign w:val="center"/>
          </w:tcPr>
          <w:p w14:paraId="4B0D40D8" w14:textId="77777777" w:rsidR="00A30BF8" w:rsidRPr="007E6AC7" w:rsidRDefault="00A30BF8" w:rsidP="006F4762">
            <w:pPr>
              <w:spacing w:line="240" w:lineRule="auto"/>
              <w:jc w:val="center"/>
              <w:rPr>
                <w:color w:val="000000" w:themeColor="text1"/>
                <w:sz w:val="22"/>
              </w:rPr>
            </w:pPr>
          </w:p>
        </w:tc>
        <w:tc>
          <w:tcPr>
            <w:tcW w:w="699" w:type="dxa"/>
            <w:vAlign w:val="center"/>
          </w:tcPr>
          <w:p w14:paraId="567D7143" w14:textId="77777777" w:rsidR="00A30BF8" w:rsidRPr="007E6AC7" w:rsidRDefault="00A30BF8" w:rsidP="006F4762">
            <w:pPr>
              <w:spacing w:line="240" w:lineRule="auto"/>
              <w:jc w:val="center"/>
              <w:rPr>
                <w:color w:val="000000" w:themeColor="text1"/>
                <w:sz w:val="22"/>
              </w:rPr>
            </w:pPr>
          </w:p>
        </w:tc>
        <w:tc>
          <w:tcPr>
            <w:tcW w:w="699" w:type="dxa"/>
            <w:vAlign w:val="center"/>
          </w:tcPr>
          <w:p w14:paraId="256F0C88" w14:textId="77777777" w:rsidR="00A30BF8" w:rsidRPr="007E6AC7" w:rsidRDefault="00A30BF8" w:rsidP="006F4762">
            <w:pPr>
              <w:spacing w:line="240" w:lineRule="auto"/>
              <w:jc w:val="center"/>
              <w:rPr>
                <w:color w:val="000000" w:themeColor="text1"/>
                <w:sz w:val="22"/>
              </w:rPr>
            </w:pPr>
          </w:p>
        </w:tc>
        <w:tc>
          <w:tcPr>
            <w:tcW w:w="700" w:type="dxa"/>
            <w:vAlign w:val="center"/>
          </w:tcPr>
          <w:p w14:paraId="3040742E" w14:textId="77777777" w:rsidR="00A30BF8" w:rsidRPr="007E6AC7" w:rsidRDefault="00A30BF8" w:rsidP="006F4762">
            <w:pPr>
              <w:spacing w:line="240" w:lineRule="auto"/>
              <w:jc w:val="center"/>
              <w:rPr>
                <w:color w:val="000000" w:themeColor="text1"/>
                <w:sz w:val="22"/>
              </w:rPr>
            </w:pPr>
          </w:p>
        </w:tc>
      </w:tr>
      <w:tr w:rsidR="007E6AC7" w:rsidRPr="007E6AC7" w14:paraId="445C70D7" w14:textId="77777777" w:rsidTr="00B6286E">
        <w:trPr>
          <w:trHeight w:val="210"/>
        </w:trPr>
        <w:tc>
          <w:tcPr>
            <w:tcW w:w="491" w:type="dxa"/>
            <w:vAlign w:val="center"/>
          </w:tcPr>
          <w:p w14:paraId="627C3B82"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16.</w:t>
            </w:r>
          </w:p>
        </w:tc>
        <w:tc>
          <w:tcPr>
            <w:tcW w:w="4395" w:type="dxa"/>
            <w:vAlign w:val="center"/>
            <w:hideMark/>
          </w:tcPr>
          <w:p w14:paraId="5303C8EF" w14:textId="77777777" w:rsidR="00A30BF8" w:rsidRPr="007E6AC7" w:rsidRDefault="00A30BF8" w:rsidP="006F4762">
            <w:pPr>
              <w:spacing w:line="240" w:lineRule="auto"/>
              <w:jc w:val="left"/>
              <w:rPr>
                <w:color w:val="000000" w:themeColor="text1"/>
                <w:sz w:val="22"/>
              </w:rPr>
            </w:pPr>
            <w:r w:rsidRPr="007E6AC7">
              <w:rPr>
                <w:color w:val="000000" w:themeColor="text1"/>
                <w:sz w:val="22"/>
              </w:rPr>
              <w:t>deal_all_stock_dummy</w:t>
            </w:r>
          </w:p>
        </w:tc>
        <w:tc>
          <w:tcPr>
            <w:tcW w:w="699" w:type="dxa"/>
            <w:vAlign w:val="center"/>
            <w:hideMark/>
          </w:tcPr>
          <w:p w14:paraId="51C1877E" w14:textId="77777777" w:rsidR="00A30BF8" w:rsidRPr="007E6AC7" w:rsidRDefault="00A30BF8" w:rsidP="006F4762">
            <w:pPr>
              <w:spacing w:line="240" w:lineRule="auto"/>
              <w:jc w:val="center"/>
              <w:rPr>
                <w:color w:val="000000" w:themeColor="text1"/>
                <w:sz w:val="22"/>
              </w:rPr>
            </w:pPr>
            <w:r w:rsidRPr="007E6AC7">
              <w:rPr>
                <w:color w:val="000000" w:themeColor="text1"/>
                <w:sz w:val="22"/>
              </w:rPr>
              <w:t>-.40</w:t>
            </w:r>
          </w:p>
        </w:tc>
        <w:tc>
          <w:tcPr>
            <w:tcW w:w="699" w:type="dxa"/>
            <w:vAlign w:val="center"/>
            <w:hideMark/>
          </w:tcPr>
          <w:p w14:paraId="0877C052"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w:t>
            </w:r>
          </w:p>
        </w:tc>
        <w:tc>
          <w:tcPr>
            <w:tcW w:w="700" w:type="dxa"/>
            <w:vAlign w:val="center"/>
          </w:tcPr>
          <w:p w14:paraId="7519D191" w14:textId="77777777" w:rsidR="00A30BF8" w:rsidRPr="007E6AC7" w:rsidRDefault="00A30BF8" w:rsidP="006F4762">
            <w:pPr>
              <w:spacing w:line="240" w:lineRule="auto"/>
              <w:jc w:val="center"/>
              <w:rPr>
                <w:color w:val="000000" w:themeColor="text1"/>
                <w:sz w:val="22"/>
              </w:rPr>
            </w:pPr>
          </w:p>
        </w:tc>
        <w:tc>
          <w:tcPr>
            <w:tcW w:w="699" w:type="dxa"/>
            <w:vAlign w:val="center"/>
          </w:tcPr>
          <w:p w14:paraId="7A89A853" w14:textId="77777777" w:rsidR="00A30BF8" w:rsidRPr="007E6AC7" w:rsidRDefault="00A30BF8" w:rsidP="006F4762">
            <w:pPr>
              <w:spacing w:line="240" w:lineRule="auto"/>
              <w:jc w:val="center"/>
              <w:rPr>
                <w:color w:val="000000" w:themeColor="text1"/>
                <w:sz w:val="22"/>
              </w:rPr>
            </w:pPr>
          </w:p>
        </w:tc>
        <w:tc>
          <w:tcPr>
            <w:tcW w:w="699" w:type="dxa"/>
            <w:vAlign w:val="center"/>
          </w:tcPr>
          <w:p w14:paraId="0E0B73B6" w14:textId="77777777" w:rsidR="00A30BF8" w:rsidRPr="007E6AC7" w:rsidRDefault="00A30BF8" w:rsidP="006F4762">
            <w:pPr>
              <w:spacing w:line="240" w:lineRule="auto"/>
              <w:jc w:val="center"/>
              <w:rPr>
                <w:color w:val="000000" w:themeColor="text1"/>
                <w:sz w:val="22"/>
              </w:rPr>
            </w:pPr>
          </w:p>
        </w:tc>
        <w:tc>
          <w:tcPr>
            <w:tcW w:w="700" w:type="dxa"/>
            <w:vAlign w:val="center"/>
          </w:tcPr>
          <w:p w14:paraId="6862D4D2" w14:textId="77777777" w:rsidR="00A30BF8" w:rsidRPr="007E6AC7" w:rsidRDefault="00A30BF8" w:rsidP="006F4762">
            <w:pPr>
              <w:spacing w:line="240" w:lineRule="auto"/>
              <w:jc w:val="center"/>
              <w:rPr>
                <w:color w:val="000000" w:themeColor="text1"/>
                <w:sz w:val="22"/>
              </w:rPr>
            </w:pPr>
          </w:p>
        </w:tc>
        <w:tc>
          <w:tcPr>
            <w:tcW w:w="699" w:type="dxa"/>
            <w:vAlign w:val="center"/>
          </w:tcPr>
          <w:p w14:paraId="328B75F9" w14:textId="77777777" w:rsidR="00A30BF8" w:rsidRPr="007E6AC7" w:rsidRDefault="00A30BF8" w:rsidP="006F4762">
            <w:pPr>
              <w:spacing w:line="240" w:lineRule="auto"/>
              <w:jc w:val="center"/>
              <w:rPr>
                <w:color w:val="000000" w:themeColor="text1"/>
                <w:sz w:val="22"/>
              </w:rPr>
            </w:pPr>
          </w:p>
        </w:tc>
        <w:tc>
          <w:tcPr>
            <w:tcW w:w="699" w:type="dxa"/>
            <w:vAlign w:val="center"/>
          </w:tcPr>
          <w:p w14:paraId="2B39AAB3" w14:textId="77777777" w:rsidR="00A30BF8" w:rsidRPr="007E6AC7" w:rsidRDefault="00A30BF8" w:rsidP="006F4762">
            <w:pPr>
              <w:spacing w:line="240" w:lineRule="auto"/>
              <w:jc w:val="center"/>
              <w:rPr>
                <w:color w:val="000000" w:themeColor="text1"/>
                <w:sz w:val="22"/>
              </w:rPr>
            </w:pPr>
          </w:p>
        </w:tc>
        <w:tc>
          <w:tcPr>
            <w:tcW w:w="700" w:type="dxa"/>
            <w:vAlign w:val="center"/>
          </w:tcPr>
          <w:p w14:paraId="5E565550" w14:textId="77777777" w:rsidR="00A30BF8" w:rsidRPr="007E6AC7" w:rsidRDefault="00A30BF8" w:rsidP="006F4762">
            <w:pPr>
              <w:spacing w:line="240" w:lineRule="auto"/>
              <w:jc w:val="center"/>
              <w:rPr>
                <w:color w:val="000000" w:themeColor="text1"/>
                <w:sz w:val="22"/>
              </w:rPr>
            </w:pPr>
          </w:p>
        </w:tc>
        <w:tc>
          <w:tcPr>
            <w:tcW w:w="699" w:type="dxa"/>
            <w:vAlign w:val="center"/>
          </w:tcPr>
          <w:p w14:paraId="3113D86C" w14:textId="77777777" w:rsidR="00A30BF8" w:rsidRPr="007E6AC7" w:rsidRDefault="00A30BF8" w:rsidP="006F4762">
            <w:pPr>
              <w:spacing w:line="240" w:lineRule="auto"/>
              <w:jc w:val="center"/>
              <w:rPr>
                <w:color w:val="000000" w:themeColor="text1"/>
                <w:sz w:val="22"/>
              </w:rPr>
            </w:pPr>
          </w:p>
        </w:tc>
        <w:tc>
          <w:tcPr>
            <w:tcW w:w="699" w:type="dxa"/>
            <w:vAlign w:val="center"/>
          </w:tcPr>
          <w:p w14:paraId="61627276" w14:textId="77777777" w:rsidR="00A30BF8" w:rsidRPr="007E6AC7" w:rsidRDefault="00A30BF8" w:rsidP="006F4762">
            <w:pPr>
              <w:spacing w:line="240" w:lineRule="auto"/>
              <w:jc w:val="center"/>
              <w:rPr>
                <w:color w:val="000000" w:themeColor="text1"/>
                <w:sz w:val="22"/>
              </w:rPr>
            </w:pPr>
          </w:p>
        </w:tc>
        <w:tc>
          <w:tcPr>
            <w:tcW w:w="700" w:type="dxa"/>
            <w:vAlign w:val="center"/>
          </w:tcPr>
          <w:p w14:paraId="18CE00CC" w14:textId="77777777" w:rsidR="00A30BF8" w:rsidRPr="007E6AC7" w:rsidRDefault="00A30BF8" w:rsidP="006F4762">
            <w:pPr>
              <w:spacing w:line="240" w:lineRule="auto"/>
              <w:jc w:val="center"/>
              <w:rPr>
                <w:color w:val="000000" w:themeColor="text1"/>
                <w:sz w:val="22"/>
              </w:rPr>
            </w:pPr>
          </w:p>
        </w:tc>
        <w:tc>
          <w:tcPr>
            <w:tcW w:w="699" w:type="dxa"/>
            <w:vAlign w:val="center"/>
          </w:tcPr>
          <w:p w14:paraId="3201431D" w14:textId="77777777" w:rsidR="00A30BF8" w:rsidRPr="007E6AC7" w:rsidRDefault="00A30BF8" w:rsidP="006F4762">
            <w:pPr>
              <w:spacing w:line="240" w:lineRule="auto"/>
              <w:jc w:val="center"/>
              <w:rPr>
                <w:color w:val="000000" w:themeColor="text1"/>
                <w:sz w:val="22"/>
              </w:rPr>
            </w:pPr>
          </w:p>
        </w:tc>
        <w:tc>
          <w:tcPr>
            <w:tcW w:w="699" w:type="dxa"/>
            <w:vAlign w:val="center"/>
          </w:tcPr>
          <w:p w14:paraId="7578816E" w14:textId="77777777" w:rsidR="00A30BF8" w:rsidRPr="007E6AC7" w:rsidRDefault="00A30BF8" w:rsidP="006F4762">
            <w:pPr>
              <w:spacing w:line="240" w:lineRule="auto"/>
              <w:jc w:val="center"/>
              <w:rPr>
                <w:color w:val="000000" w:themeColor="text1"/>
                <w:sz w:val="22"/>
              </w:rPr>
            </w:pPr>
          </w:p>
        </w:tc>
        <w:tc>
          <w:tcPr>
            <w:tcW w:w="700" w:type="dxa"/>
            <w:vAlign w:val="center"/>
          </w:tcPr>
          <w:p w14:paraId="2B0A4742" w14:textId="77777777" w:rsidR="00A30BF8" w:rsidRPr="007E6AC7" w:rsidRDefault="00A30BF8" w:rsidP="006F4762">
            <w:pPr>
              <w:spacing w:line="240" w:lineRule="auto"/>
              <w:jc w:val="center"/>
              <w:rPr>
                <w:color w:val="000000" w:themeColor="text1"/>
                <w:sz w:val="22"/>
              </w:rPr>
            </w:pPr>
          </w:p>
        </w:tc>
      </w:tr>
      <w:tr w:rsidR="007E6AC7" w:rsidRPr="007E6AC7" w14:paraId="04604F00" w14:textId="77777777" w:rsidTr="00B6286E">
        <w:trPr>
          <w:trHeight w:val="210"/>
        </w:trPr>
        <w:tc>
          <w:tcPr>
            <w:tcW w:w="491" w:type="dxa"/>
            <w:vAlign w:val="center"/>
          </w:tcPr>
          <w:p w14:paraId="2961B4FC"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17.</w:t>
            </w:r>
          </w:p>
        </w:tc>
        <w:tc>
          <w:tcPr>
            <w:tcW w:w="4395" w:type="dxa"/>
            <w:vAlign w:val="center"/>
            <w:hideMark/>
          </w:tcPr>
          <w:p w14:paraId="2468E8F6" w14:textId="77777777" w:rsidR="00A30BF8" w:rsidRPr="007E6AC7" w:rsidRDefault="00A30BF8" w:rsidP="006F4762">
            <w:pPr>
              <w:spacing w:line="240" w:lineRule="auto"/>
              <w:jc w:val="left"/>
              <w:rPr>
                <w:color w:val="000000" w:themeColor="text1"/>
                <w:sz w:val="22"/>
              </w:rPr>
            </w:pPr>
            <w:r w:rsidRPr="007E6AC7">
              <w:rPr>
                <w:color w:val="000000" w:themeColor="text1"/>
                <w:sz w:val="22"/>
              </w:rPr>
              <w:t>deal_tenderoffer_dummy</w:t>
            </w:r>
          </w:p>
        </w:tc>
        <w:tc>
          <w:tcPr>
            <w:tcW w:w="699" w:type="dxa"/>
            <w:vAlign w:val="center"/>
            <w:hideMark/>
          </w:tcPr>
          <w:p w14:paraId="6F929A2A" w14:textId="77777777" w:rsidR="00A30BF8" w:rsidRPr="007E6AC7" w:rsidRDefault="00A30BF8" w:rsidP="006F4762">
            <w:pPr>
              <w:spacing w:line="240" w:lineRule="auto"/>
              <w:jc w:val="center"/>
              <w:rPr>
                <w:color w:val="000000" w:themeColor="text1"/>
                <w:sz w:val="22"/>
              </w:rPr>
            </w:pPr>
            <w:r w:rsidRPr="007E6AC7">
              <w:rPr>
                <w:color w:val="000000" w:themeColor="text1"/>
                <w:sz w:val="22"/>
              </w:rPr>
              <w:t>.35</w:t>
            </w:r>
          </w:p>
        </w:tc>
        <w:tc>
          <w:tcPr>
            <w:tcW w:w="699" w:type="dxa"/>
            <w:vAlign w:val="center"/>
            <w:hideMark/>
          </w:tcPr>
          <w:p w14:paraId="663127BB" w14:textId="77777777" w:rsidR="00A30BF8" w:rsidRPr="007E6AC7" w:rsidRDefault="00A30BF8" w:rsidP="006F4762">
            <w:pPr>
              <w:spacing w:line="240" w:lineRule="auto"/>
              <w:jc w:val="center"/>
              <w:rPr>
                <w:color w:val="000000" w:themeColor="text1"/>
                <w:sz w:val="22"/>
              </w:rPr>
            </w:pPr>
            <w:r w:rsidRPr="007E6AC7">
              <w:rPr>
                <w:color w:val="000000" w:themeColor="text1"/>
                <w:sz w:val="22"/>
              </w:rPr>
              <w:t>-.20</w:t>
            </w:r>
          </w:p>
        </w:tc>
        <w:tc>
          <w:tcPr>
            <w:tcW w:w="700" w:type="dxa"/>
            <w:vAlign w:val="center"/>
            <w:hideMark/>
          </w:tcPr>
          <w:p w14:paraId="06CE0F1F"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w:t>
            </w:r>
          </w:p>
        </w:tc>
        <w:tc>
          <w:tcPr>
            <w:tcW w:w="699" w:type="dxa"/>
            <w:vAlign w:val="center"/>
          </w:tcPr>
          <w:p w14:paraId="2A26D81A" w14:textId="77777777" w:rsidR="00A30BF8" w:rsidRPr="007E6AC7" w:rsidRDefault="00A30BF8" w:rsidP="006F4762">
            <w:pPr>
              <w:spacing w:line="240" w:lineRule="auto"/>
              <w:jc w:val="center"/>
              <w:rPr>
                <w:color w:val="000000" w:themeColor="text1"/>
                <w:sz w:val="22"/>
              </w:rPr>
            </w:pPr>
          </w:p>
        </w:tc>
        <w:tc>
          <w:tcPr>
            <w:tcW w:w="699" w:type="dxa"/>
            <w:vAlign w:val="center"/>
          </w:tcPr>
          <w:p w14:paraId="2F3D2DFF" w14:textId="77777777" w:rsidR="00A30BF8" w:rsidRPr="007E6AC7" w:rsidRDefault="00A30BF8" w:rsidP="006F4762">
            <w:pPr>
              <w:spacing w:line="240" w:lineRule="auto"/>
              <w:jc w:val="center"/>
              <w:rPr>
                <w:color w:val="000000" w:themeColor="text1"/>
                <w:sz w:val="22"/>
              </w:rPr>
            </w:pPr>
          </w:p>
        </w:tc>
        <w:tc>
          <w:tcPr>
            <w:tcW w:w="700" w:type="dxa"/>
            <w:vAlign w:val="center"/>
          </w:tcPr>
          <w:p w14:paraId="591A4D3A" w14:textId="77777777" w:rsidR="00A30BF8" w:rsidRPr="007E6AC7" w:rsidRDefault="00A30BF8" w:rsidP="006F4762">
            <w:pPr>
              <w:spacing w:line="240" w:lineRule="auto"/>
              <w:jc w:val="center"/>
              <w:rPr>
                <w:color w:val="000000" w:themeColor="text1"/>
                <w:sz w:val="22"/>
              </w:rPr>
            </w:pPr>
          </w:p>
        </w:tc>
        <w:tc>
          <w:tcPr>
            <w:tcW w:w="699" w:type="dxa"/>
            <w:vAlign w:val="center"/>
          </w:tcPr>
          <w:p w14:paraId="61118FBF" w14:textId="77777777" w:rsidR="00A30BF8" w:rsidRPr="007E6AC7" w:rsidRDefault="00A30BF8" w:rsidP="006F4762">
            <w:pPr>
              <w:spacing w:line="240" w:lineRule="auto"/>
              <w:jc w:val="center"/>
              <w:rPr>
                <w:color w:val="000000" w:themeColor="text1"/>
                <w:sz w:val="22"/>
              </w:rPr>
            </w:pPr>
          </w:p>
        </w:tc>
        <w:tc>
          <w:tcPr>
            <w:tcW w:w="699" w:type="dxa"/>
            <w:vAlign w:val="center"/>
          </w:tcPr>
          <w:p w14:paraId="79C47EE1" w14:textId="77777777" w:rsidR="00A30BF8" w:rsidRPr="007E6AC7" w:rsidRDefault="00A30BF8" w:rsidP="006F4762">
            <w:pPr>
              <w:spacing w:line="240" w:lineRule="auto"/>
              <w:jc w:val="center"/>
              <w:rPr>
                <w:color w:val="000000" w:themeColor="text1"/>
                <w:sz w:val="22"/>
              </w:rPr>
            </w:pPr>
          </w:p>
        </w:tc>
        <w:tc>
          <w:tcPr>
            <w:tcW w:w="700" w:type="dxa"/>
            <w:vAlign w:val="center"/>
          </w:tcPr>
          <w:p w14:paraId="02447E8B" w14:textId="77777777" w:rsidR="00A30BF8" w:rsidRPr="007E6AC7" w:rsidRDefault="00A30BF8" w:rsidP="006F4762">
            <w:pPr>
              <w:spacing w:line="240" w:lineRule="auto"/>
              <w:jc w:val="center"/>
              <w:rPr>
                <w:color w:val="000000" w:themeColor="text1"/>
                <w:sz w:val="22"/>
              </w:rPr>
            </w:pPr>
          </w:p>
        </w:tc>
        <w:tc>
          <w:tcPr>
            <w:tcW w:w="699" w:type="dxa"/>
            <w:vAlign w:val="center"/>
          </w:tcPr>
          <w:p w14:paraId="18B75744" w14:textId="77777777" w:rsidR="00A30BF8" w:rsidRPr="007E6AC7" w:rsidRDefault="00A30BF8" w:rsidP="006F4762">
            <w:pPr>
              <w:spacing w:line="240" w:lineRule="auto"/>
              <w:jc w:val="center"/>
              <w:rPr>
                <w:color w:val="000000" w:themeColor="text1"/>
                <w:sz w:val="22"/>
              </w:rPr>
            </w:pPr>
          </w:p>
        </w:tc>
        <w:tc>
          <w:tcPr>
            <w:tcW w:w="699" w:type="dxa"/>
            <w:vAlign w:val="center"/>
          </w:tcPr>
          <w:p w14:paraId="4C9B8B18" w14:textId="77777777" w:rsidR="00A30BF8" w:rsidRPr="007E6AC7" w:rsidRDefault="00A30BF8" w:rsidP="006F4762">
            <w:pPr>
              <w:spacing w:line="240" w:lineRule="auto"/>
              <w:jc w:val="center"/>
              <w:rPr>
                <w:color w:val="000000" w:themeColor="text1"/>
                <w:sz w:val="22"/>
              </w:rPr>
            </w:pPr>
          </w:p>
        </w:tc>
        <w:tc>
          <w:tcPr>
            <w:tcW w:w="700" w:type="dxa"/>
            <w:vAlign w:val="center"/>
          </w:tcPr>
          <w:p w14:paraId="0633FBD4" w14:textId="77777777" w:rsidR="00A30BF8" w:rsidRPr="007E6AC7" w:rsidRDefault="00A30BF8" w:rsidP="006F4762">
            <w:pPr>
              <w:spacing w:line="240" w:lineRule="auto"/>
              <w:jc w:val="center"/>
              <w:rPr>
                <w:color w:val="000000" w:themeColor="text1"/>
                <w:sz w:val="22"/>
              </w:rPr>
            </w:pPr>
          </w:p>
        </w:tc>
        <w:tc>
          <w:tcPr>
            <w:tcW w:w="699" w:type="dxa"/>
            <w:vAlign w:val="center"/>
          </w:tcPr>
          <w:p w14:paraId="13509AE8" w14:textId="77777777" w:rsidR="00A30BF8" w:rsidRPr="007E6AC7" w:rsidRDefault="00A30BF8" w:rsidP="006F4762">
            <w:pPr>
              <w:spacing w:line="240" w:lineRule="auto"/>
              <w:jc w:val="center"/>
              <w:rPr>
                <w:color w:val="000000" w:themeColor="text1"/>
                <w:sz w:val="22"/>
              </w:rPr>
            </w:pPr>
          </w:p>
        </w:tc>
        <w:tc>
          <w:tcPr>
            <w:tcW w:w="699" w:type="dxa"/>
            <w:vAlign w:val="center"/>
          </w:tcPr>
          <w:p w14:paraId="1653742D" w14:textId="77777777" w:rsidR="00A30BF8" w:rsidRPr="007E6AC7" w:rsidRDefault="00A30BF8" w:rsidP="006F4762">
            <w:pPr>
              <w:spacing w:line="240" w:lineRule="auto"/>
              <w:jc w:val="center"/>
              <w:rPr>
                <w:color w:val="000000" w:themeColor="text1"/>
                <w:sz w:val="22"/>
              </w:rPr>
            </w:pPr>
          </w:p>
        </w:tc>
        <w:tc>
          <w:tcPr>
            <w:tcW w:w="700" w:type="dxa"/>
            <w:vAlign w:val="center"/>
          </w:tcPr>
          <w:p w14:paraId="1A9C972D" w14:textId="77777777" w:rsidR="00A30BF8" w:rsidRPr="007E6AC7" w:rsidRDefault="00A30BF8" w:rsidP="006F4762">
            <w:pPr>
              <w:spacing w:line="240" w:lineRule="auto"/>
              <w:jc w:val="center"/>
              <w:rPr>
                <w:color w:val="000000" w:themeColor="text1"/>
                <w:sz w:val="22"/>
              </w:rPr>
            </w:pPr>
          </w:p>
        </w:tc>
      </w:tr>
      <w:tr w:rsidR="007E6AC7" w:rsidRPr="007E6AC7" w14:paraId="6417A4F4" w14:textId="77777777" w:rsidTr="00B6286E">
        <w:trPr>
          <w:trHeight w:val="210"/>
        </w:trPr>
        <w:tc>
          <w:tcPr>
            <w:tcW w:w="491" w:type="dxa"/>
            <w:vAlign w:val="center"/>
          </w:tcPr>
          <w:p w14:paraId="7DC36892"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18.</w:t>
            </w:r>
          </w:p>
        </w:tc>
        <w:tc>
          <w:tcPr>
            <w:tcW w:w="4395" w:type="dxa"/>
            <w:vAlign w:val="center"/>
            <w:hideMark/>
          </w:tcPr>
          <w:p w14:paraId="4C8FA45F" w14:textId="77777777" w:rsidR="00A30BF8" w:rsidRPr="007E6AC7" w:rsidRDefault="00A30BF8" w:rsidP="006F4762">
            <w:pPr>
              <w:spacing w:line="240" w:lineRule="auto"/>
              <w:jc w:val="left"/>
              <w:rPr>
                <w:color w:val="000000" w:themeColor="text1"/>
                <w:sz w:val="22"/>
              </w:rPr>
            </w:pPr>
            <w:r w:rsidRPr="007E6AC7">
              <w:rPr>
                <w:color w:val="000000" w:themeColor="text1"/>
                <w:sz w:val="22"/>
              </w:rPr>
              <w:t>deal_friendly_dummy</w:t>
            </w:r>
          </w:p>
        </w:tc>
        <w:tc>
          <w:tcPr>
            <w:tcW w:w="699" w:type="dxa"/>
            <w:vAlign w:val="center"/>
            <w:hideMark/>
          </w:tcPr>
          <w:p w14:paraId="7CFF6D97"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-.005</w:t>
            </w:r>
          </w:p>
        </w:tc>
        <w:tc>
          <w:tcPr>
            <w:tcW w:w="699" w:type="dxa"/>
            <w:vAlign w:val="center"/>
            <w:hideMark/>
          </w:tcPr>
          <w:p w14:paraId="6E1C3410"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.04</w:t>
            </w:r>
          </w:p>
        </w:tc>
        <w:tc>
          <w:tcPr>
            <w:tcW w:w="700" w:type="dxa"/>
            <w:vAlign w:val="center"/>
            <w:hideMark/>
          </w:tcPr>
          <w:p w14:paraId="4B062D8B"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.04</w:t>
            </w:r>
          </w:p>
        </w:tc>
        <w:tc>
          <w:tcPr>
            <w:tcW w:w="699" w:type="dxa"/>
            <w:vAlign w:val="center"/>
            <w:hideMark/>
          </w:tcPr>
          <w:p w14:paraId="470DFE58"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w:t>
            </w:r>
          </w:p>
        </w:tc>
        <w:tc>
          <w:tcPr>
            <w:tcW w:w="699" w:type="dxa"/>
            <w:vAlign w:val="center"/>
          </w:tcPr>
          <w:p w14:paraId="7EE34F6E" w14:textId="77777777" w:rsidR="00A30BF8" w:rsidRPr="007E6AC7" w:rsidRDefault="00A30BF8" w:rsidP="006F4762">
            <w:pPr>
              <w:spacing w:line="240" w:lineRule="auto"/>
              <w:jc w:val="center"/>
              <w:rPr>
                <w:color w:val="000000" w:themeColor="text1"/>
                <w:sz w:val="22"/>
              </w:rPr>
            </w:pPr>
          </w:p>
        </w:tc>
        <w:tc>
          <w:tcPr>
            <w:tcW w:w="700" w:type="dxa"/>
            <w:vAlign w:val="center"/>
          </w:tcPr>
          <w:p w14:paraId="716B2A84" w14:textId="77777777" w:rsidR="00A30BF8" w:rsidRPr="007E6AC7" w:rsidRDefault="00A30BF8" w:rsidP="006F4762">
            <w:pPr>
              <w:spacing w:line="240" w:lineRule="auto"/>
              <w:jc w:val="center"/>
              <w:rPr>
                <w:color w:val="000000" w:themeColor="text1"/>
                <w:sz w:val="22"/>
              </w:rPr>
            </w:pPr>
          </w:p>
        </w:tc>
        <w:tc>
          <w:tcPr>
            <w:tcW w:w="699" w:type="dxa"/>
            <w:vAlign w:val="center"/>
          </w:tcPr>
          <w:p w14:paraId="374AF806" w14:textId="77777777" w:rsidR="00A30BF8" w:rsidRPr="007E6AC7" w:rsidRDefault="00A30BF8" w:rsidP="006F4762">
            <w:pPr>
              <w:spacing w:line="240" w:lineRule="auto"/>
              <w:jc w:val="center"/>
              <w:rPr>
                <w:color w:val="000000" w:themeColor="text1"/>
                <w:sz w:val="22"/>
              </w:rPr>
            </w:pPr>
          </w:p>
        </w:tc>
        <w:tc>
          <w:tcPr>
            <w:tcW w:w="699" w:type="dxa"/>
            <w:vAlign w:val="center"/>
          </w:tcPr>
          <w:p w14:paraId="5219D193" w14:textId="77777777" w:rsidR="00A30BF8" w:rsidRPr="007E6AC7" w:rsidRDefault="00A30BF8" w:rsidP="006F4762">
            <w:pPr>
              <w:spacing w:line="240" w:lineRule="auto"/>
              <w:jc w:val="center"/>
              <w:rPr>
                <w:color w:val="000000" w:themeColor="text1"/>
                <w:sz w:val="22"/>
              </w:rPr>
            </w:pPr>
          </w:p>
        </w:tc>
        <w:tc>
          <w:tcPr>
            <w:tcW w:w="700" w:type="dxa"/>
            <w:vAlign w:val="center"/>
          </w:tcPr>
          <w:p w14:paraId="4389D49C" w14:textId="77777777" w:rsidR="00A30BF8" w:rsidRPr="007E6AC7" w:rsidRDefault="00A30BF8" w:rsidP="006F4762">
            <w:pPr>
              <w:spacing w:line="240" w:lineRule="auto"/>
              <w:jc w:val="center"/>
              <w:rPr>
                <w:color w:val="000000" w:themeColor="text1"/>
                <w:sz w:val="22"/>
              </w:rPr>
            </w:pPr>
          </w:p>
        </w:tc>
        <w:tc>
          <w:tcPr>
            <w:tcW w:w="699" w:type="dxa"/>
            <w:vAlign w:val="center"/>
          </w:tcPr>
          <w:p w14:paraId="19AE4735" w14:textId="77777777" w:rsidR="00A30BF8" w:rsidRPr="007E6AC7" w:rsidRDefault="00A30BF8" w:rsidP="006F4762">
            <w:pPr>
              <w:spacing w:line="240" w:lineRule="auto"/>
              <w:jc w:val="center"/>
              <w:rPr>
                <w:color w:val="000000" w:themeColor="text1"/>
                <w:sz w:val="22"/>
              </w:rPr>
            </w:pPr>
          </w:p>
        </w:tc>
        <w:tc>
          <w:tcPr>
            <w:tcW w:w="699" w:type="dxa"/>
            <w:vAlign w:val="center"/>
          </w:tcPr>
          <w:p w14:paraId="4DEE6A42" w14:textId="77777777" w:rsidR="00A30BF8" w:rsidRPr="007E6AC7" w:rsidRDefault="00A30BF8" w:rsidP="006F4762">
            <w:pPr>
              <w:spacing w:line="240" w:lineRule="auto"/>
              <w:jc w:val="center"/>
              <w:rPr>
                <w:color w:val="000000" w:themeColor="text1"/>
                <w:sz w:val="22"/>
              </w:rPr>
            </w:pPr>
          </w:p>
        </w:tc>
        <w:tc>
          <w:tcPr>
            <w:tcW w:w="700" w:type="dxa"/>
            <w:vAlign w:val="center"/>
          </w:tcPr>
          <w:p w14:paraId="4E6F540C" w14:textId="77777777" w:rsidR="00A30BF8" w:rsidRPr="007E6AC7" w:rsidRDefault="00A30BF8" w:rsidP="006F4762">
            <w:pPr>
              <w:spacing w:line="240" w:lineRule="auto"/>
              <w:jc w:val="center"/>
              <w:rPr>
                <w:color w:val="000000" w:themeColor="text1"/>
                <w:sz w:val="22"/>
              </w:rPr>
            </w:pPr>
          </w:p>
        </w:tc>
        <w:tc>
          <w:tcPr>
            <w:tcW w:w="699" w:type="dxa"/>
            <w:vAlign w:val="center"/>
          </w:tcPr>
          <w:p w14:paraId="1FF823AF" w14:textId="77777777" w:rsidR="00A30BF8" w:rsidRPr="007E6AC7" w:rsidRDefault="00A30BF8" w:rsidP="006F4762">
            <w:pPr>
              <w:spacing w:line="240" w:lineRule="auto"/>
              <w:jc w:val="center"/>
              <w:rPr>
                <w:color w:val="000000" w:themeColor="text1"/>
                <w:sz w:val="22"/>
              </w:rPr>
            </w:pPr>
          </w:p>
        </w:tc>
        <w:tc>
          <w:tcPr>
            <w:tcW w:w="699" w:type="dxa"/>
            <w:vAlign w:val="center"/>
          </w:tcPr>
          <w:p w14:paraId="0D7DA374" w14:textId="77777777" w:rsidR="00A30BF8" w:rsidRPr="007E6AC7" w:rsidRDefault="00A30BF8" w:rsidP="006F4762">
            <w:pPr>
              <w:spacing w:line="240" w:lineRule="auto"/>
              <w:jc w:val="center"/>
              <w:rPr>
                <w:color w:val="000000" w:themeColor="text1"/>
                <w:sz w:val="22"/>
              </w:rPr>
            </w:pPr>
          </w:p>
        </w:tc>
        <w:tc>
          <w:tcPr>
            <w:tcW w:w="700" w:type="dxa"/>
            <w:vAlign w:val="center"/>
          </w:tcPr>
          <w:p w14:paraId="27F4596E" w14:textId="77777777" w:rsidR="00A30BF8" w:rsidRPr="007E6AC7" w:rsidRDefault="00A30BF8" w:rsidP="006F4762">
            <w:pPr>
              <w:spacing w:line="240" w:lineRule="auto"/>
              <w:jc w:val="center"/>
              <w:rPr>
                <w:color w:val="000000" w:themeColor="text1"/>
                <w:sz w:val="22"/>
              </w:rPr>
            </w:pPr>
          </w:p>
        </w:tc>
      </w:tr>
      <w:tr w:rsidR="007E6AC7" w:rsidRPr="007E6AC7" w14:paraId="50F074D6" w14:textId="77777777" w:rsidTr="00B6286E">
        <w:trPr>
          <w:trHeight w:val="210"/>
        </w:trPr>
        <w:tc>
          <w:tcPr>
            <w:tcW w:w="491" w:type="dxa"/>
            <w:vAlign w:val="center"/>
          </w:tcPr>
          <w:p w14:paraId="7A20163B"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19.</w:t>
            </w:r>
          </w:p>
        </w:tc>
        <w:tc>
          <w:tcPr>
            <w:tcW w:w="4395" w:type="dxa"/>
            <w:vAlign w:val="center"/>
            <w:hideMark/>
          </w:tcPr>
          <w:p w14:paraId="3C01BD5C" w14:textId="77777777" w:rsidR="00A30BF8" w:rsidRPr="007E6AC7" w:rsidRDefault="00A30BF8" w:rsidP="006F4762">
            <w:pPr>
              <w:spacing w:line="240" w:lineRule="auto"/>
              <w:jc w:val="left"/>
              <w:rPr>
                <w:color w:val="000000" w:themeColor="text1"/>
                <w:sz w:val="22"/>
              </w:rPr>
            </w:pPr>
            <w:r w:rsidRPr="007E6AC7">
              <w:rPr>
                <w:color w:val="000000" w:themeColor="text1"/>
                <w:sz w:val="22"/>
              </w:rPr>
              <w:t>deal_relatedness_dummy</w:t>
            </w:r>
          </w:p>
        </w:tc>
        <w:tc>
          <w:tcPr>
            <w:tcW w:w="699" w:type="dxa"/>
            <w:vAlign w:val="center"/>
            <w:hideMark/>
          </w:tcPr>
          <w:p w14:paraId="7725B003"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-.09</w:t>
            </w:r>
          </w:p>
        </w:tc>
        <w:tc>
          <w:tcPr>
            <w:tcW w:w="699" w:type="dxa"/>
            <w:vAlign w:val="center"/>
            <w:hideMark/>
          </w:tcPr>
          <w:p w14:paraId="7BDE6A1B"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.14</w:t>
            </w:r>
          </w:p>
        </w:tc>
        <w:tc>
          <w:tcPr>
            <w:tcW w:w="700" w:type="dxa"/>
            <w:vAlign w:val="center"/>
            <w:hideMark/>
          </w:tcPr>
          <w:p w14:paraId="1E999A4D"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.13</w:t>
            </w:r>
          </w:p>
        </w:tc>
        <w:tc>
          <w:tcPr>
            <w:tcW w:w="699" w:type="dxa"/>
            <w:vAlign w:val="center"/>
            <w:hideMark/>
          </w:tcPr>
          <w:p w14:paraId="05C145A2"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.04</w:t>
            </w:r>
          </w:p>
        </w:tc>
        <w:tc>
          <w:tcPr>
            <w:tcW w:w="699" w:type="dxa"/>
            <w:vAlign w:val="center"/>
            <w:hideMark/>
          </w:tcPr>
          <w:p w14:paraId="6298FA2B"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w:t>
            </w:r>
          </w:p>
        </w:tc>
        <w:tc>
          <w:tcPr>
            <w:tcW w:w="700" w:type="dxa"/>
            <w:vAlign w:val="center"/>
          </w:tcPr>
          <w:p w14:paraId="21C224CE" w14:textId="77777777" w:rsidR="00A30BF8" w:rsidRPr="007E6AC7" w:rsidRDefault="00A30BF8" w:rsidP="006F4762">
            <w:pPr>
              <w:spacing w:line="240" w:lineRule="auto"/>
              <w:jc w:val="center"/>
              <w:rPr>
                <w:color w:val="000000" w:themeColor="text1"/>
                <w:sz w:val="22"/>
              </w:rPr>
            </w:pPr>
          </w:p>
        </w:tc>
        <w:tc>
          <w:tcPr>
            <w:tcW w:w="699" w:type="dxa"/>
            <w:vAlign w:val="center"/>
          </w:tcPr>
          <w:p w14:paraId="300ABCDE" w14:textId="77777777" w:rsidR="00A30BF8" w:rsidRPr="007E6AC7" w:rsidRDefault="00A30BF8" w:rsidP="006F4762">
            <w:pPr>
              <w:spacing w:line="240" w:lineRule="auto"/>
              <w:jc w:val="center"/>
              <w:rPr>
                <w:color w:val="000000" w:themeColor="text1"/>
                <w:sz w:val="22"/>
              </w:rPr>
            </w:pPr>
          </w:p>
        </w:tc>
        <w:tc>
          <w:tcPr>
            <w:tcW w:w="699" w:type="dxa"/>
            <w:vAlign w:val="center"/>
          </w:tcPr>
          <w:p w14:paraId="26FC55CF" w14:textId="77777777" w:rsidR="00A30BF8" w:rsidRPr="007E6AC7" w:rsidRDefault="00A30BF8" w:rsidP="006F4762">
            <w:pPr>
              <w:spacing w:line="240" w:lineRule="auto"/>
              <w:jc w:val="center"/>
              <w:rPr>
                <w:color w:val="000000" w:themeColor="text1"/>
                <w:sz w:val="22"/>
              </w:rPr>
            </w:pPr>
          </w:p>
        </w:tc>
        <w:tc>
          <w:tcPr>
            <w:tcW w:w="700" w:type="dxa"/>
            <w:vAlign w:val="center"/>
          </w:tcPr>
          <w:p w14:paraId="3974B2C7" w14:textId="77777777" w:rsidR="00A30BF8" w:rsidRPr="007E6AC7" w:rsidRDefault="00A30BF8" w:rsidP="006F4762">
            <w:pPr>
              <w:spacing w:line="240" w:lineRule="auto"/>
              <w:jc w:val="center"/>
              <w:rPr>
                <w:color w:val="000000" w:themeColor="text1"/>
                <w:sz w:val="22"/>
              </w:rPr>
            </w:pPr>
          </w:p>
        </w:tc>
        <w:tc>
          <w:tcPr>
            <w:tcW w:w="699" w:type="dxa"/>
            <w:vAlign w:val="center"/>
          </w:tcPr>
          <w:p w14:paraId="4CFB4832" w14:textId="77777777" w:rsidR="00A30BF8" w:rsidRPr="007E6AC7" w:rsidRDefault="00A30BF8" w:rsidP="006F4762">
            <w:pPr>
              <w:spacing w:line="240" w:lineRule="auto"/>
              <w:jc w:val="center"/>
              <w:rPr>
                <w:color w:val="000000" w:themeColor="text1"/>
                <w:sz w:val="22"/>
              </w:rPr>
            </w:pPr>
          </w:p>
        </w:tc>
        <w:tc>
          <w:tcPr>
            <w:tcW w:w="699" w:type="dxa"/>
            <w:vAlign w:val="center"/>
          </w:tcPr>
          <w:p w14:paraId="5F0D8014" w14:textId="77777777" w:rsidR="00A30BF8" w:rsidRPr="007E6AC7" w:rsidRDefault="00A30BF8" w:rsidP="006F4762">
            <w:pPr>
              <w:spacing w:line="240" w:lineRule="auto"/>
              <w:jc w:val="center"/>
              <w:rPr>
                <w:color w:val="000000" w:themeColor="text1"/>
                <w:sz w:val="22"/>
              </w:rPr>
            </w:pPr>
          </w:p>
        </w:tc>
        <w:tc>
          <w:tcPr>
            <w:tcW w:w="700" w:type="dxa"/>
            <w:vAlign w:val="center"/>
          </w:tcPr>
          <w:p w14:paraId="23F757E8" w14:textId="77777777" w:rsidR="00A30BF8" w:rsidRPr="007E6AC7" w:rsidRDefault="00A30BF8" w:rsidP="006F4762">
            <w:pPr>
              <w:spacing w:line="240" w:lineRule="auto"/>
              <w:jc w:val="center"/>
              <w:rPr>
                <w:color w:val="000000" w:themeColor="text1"/>
                <w:sz w:val="22"/>
              </w:rPr>
            </w:pPr>
          </w:p>
        </w:tc>
        <w:tc>
          <w:tcPr>
            <w:tcW w:w="699" w:type="dxa"/>
            <w:vAlign w:val="center"/>
          </w:tcPr>
          <w:p w14:paraId="62F4348C" w14:textId="77777777" w:rsidR="00A30BF8" w:rsidRPr="007E6AC7" w:rsidRDefault="00A30BF8" w:rsidP="006F4762">
            <w:pPr>
              <w:spacing w:line="240" w:lineRule="auto"/>
              <w:jc w:val="center"/>
              <w:rPr>
                <w:color w:val="000000" w:themeColor="text1"/>
                <w:sz w:val="22"/>
              </w:rPr>
            </w:pPr>
          </w:p>
        </w:tc>
        <w:tc>
          <w:tcPr>
            <w:tcW w:w="699" w:type="dxa"/>
            <w:vAlign w:val="center"/>
          </w:tcPr>
          <w:p w14:paraId="4D90D3D2" w14:textId="77777777" w:rsidR="00A30BF8" w:rsidRPr="007E6AC7" w:rsidRDefault="00A30BF8" w:rsidP="006F4762">
            <w:pPr>
              <w:spacing w:line="240" w:lineRule="auto"/>
              <w:jc w:val="center"/>
              <w:rPr>
                <w:color w:val="000000" w:themeColor="text1"/>
                <w:sz w:val="22"/>
              </w:rPr>
            </w:pPr>
          </w:p>
        </w:tc>
        <w:tc>
          <w:tcPr>
            <w:tcW w:w="700" w:type="dxa"/>
            <w:vAlign w:val="center"/>
          </w:tcPr>
          <w:p w14:paraId="481B0DE2" w14:textId="77777777" w:rsidR="00A30BF8" w:rsidRPr="007E6AC7" w:rsidRDefault="00A30BF8" w:rsidP="006F4762">
            <w:pPr>
              <w:spacing w:line="240" w:lineRule="auto"/>
              <w:jc w:val="center"/>
              <w:rPr>
                <w:color w:val="000000" w:themeColor="text1"/>
                <w:sz w:val="22"/>
              </w:rPr>
            </w:pPr>
          </w:p>
        </w:tc>
      </w:tr>
      <w:tr w:rsidR="007E6AC7" w:rsidRPr="007E6AC7" w14:paraId="4CE46C53" w14:textId="77777777" w:rsidTr="00B6286E">
        <w:trPr>
          <w:trHeight w:val="210"/>
        </w:trPr>
        <w:tc>
          <w:tcPr>
            <w:tcW w:w="491" w:type="dxa"/>
            <w:vAlign w:val="center"/>
          </w:tcPr>
          <w:p w14:paraId="33BF1880" w14:textId="77777777" w:rsidR="00A30BF8" w:rsidRPr="007E6AC7" w:rsidRDefault="00A30BF8" w:rsidP="006F4762">
            <w:pPr>
              <w:spacing w:line="240" w:lineRule="auto"/>
              <w:jc w:val="center"/>
              <w:rPr>
                <w:color w:val="000000" w:themeColor="text1"/>
                <w:sz w:val="22"/>
              </w:rPr>
            </w:pPr>
            <w:r w:rsidRPr="007E6AC7">
              <w:rPr>
                <w:color w:val="000000" w:themeColor="text1"/>
                <w:sz w:val="22"/>
              </w:rPr>
              <w:t>20.</w:t>
            </w:r>
          </w:p>
        </w:tc>
        <w:tc>
          <w:tcPr>
            <w:tcW w:w="4395" w:type="dxa"/>
            <w:vAlign w:val="center"/>
            <w:hideMark/>
          </w:tcPr>
          <w:p w14:paraId="451BA969" w14:textId="77777777" w:rsidR="00A30BF8" w:rsidRPr="007E6AC7" w:rsidRDefault="00A30BF8" w:rsidP="006F4762">
            <w:pPr>
              <w:spacing w:line="240" w:lineRule="auto"/>
              <w:jc w:val="left"/>
              <w:rPr>
                <w:color w:val="000000" w:themeColor="text1"/>
                <w:sz w:val="22"/>
              </w:rPr>
            </w:pPr>
            <w:r w:rsidRPr="007E6AC7">
              <w:rPr>
                <w:color w:val="000000" w:themeColor="text1"/>
                <w:sz w:val="22"/>
              </w:rPr>
              <w:t>acq_age</w:t>
            </w:r>
          </w:p>
        </w:tc>
        <w:tc>
          <w:tcPr>
            <w:tcW w:w="699" w:type="dxa"/>
            <w:vAlign w:val="center"/>
            <w:hideMark/>
          </w:tcPr>
          <w:p w14:paraId="72217708"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-.12</w:t>
            </w:r>
          </w:p>
        </w:tc>
        <w:tc>
          <w:tcPr>
            <w:tcW w:w="699" w:type="dxa"/>
            <w:vAlign w:val="center"/>
            <w:hideMark/>
          </w:tcPr>
          <w:p w14:paraId="08E06652"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-.002</w:t>
            </w:r>
          </w:p>
        </w:tc>
        <w:tc>
          <w:tcPr>
            <w:tcW w:w="700" w:type="dxa"/>
            <w:vAlign w:val="center"/>
            <w:hideMark/>
          </w:tcPr>
          <w:p w14:paraId="23C2075F"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-.18</w:t>
            </w:r>
          </w:p>
        </w:tc>
        <w:tc>
          <w:tcPr>
            <w:tcW w:w="699" w:type="dxa"/>
            <w:vAlign w:val="center"/>
            <w:hideMark/>
          </w:tcPr>
          <w:p w14:paraId="65A18819"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-.05</w:t>
            </w:r>
          </w:p>
        </w:tc>
        <w:tc>
          <w:tcPr>
            <w:tcW w:w="699" w:type="dxa"/>
            <w:vAlign w:val="center"/>
            <w:hideMark/>
          </w:tcPr>
          <w:p w14:paraId="00EF16F4"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.005</w:t>
            </w:r>
          </w:p>
        </w:tc>
        <w:tc>
          <w:tcPr>
            <w:tcW w:w="700" w:type="dxa"/>
            <w:vAlign w:val="center"/>
            <w:hideMark/>
          </w:tcPr>
          <w:p w14:paraId="6F504962"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w:t>
            </w:r>
          </w:p>
        </w:tc>
        <w:tc>
          <w:tcPr>
            <w:tcW w:w="699" w:type="dxa"/>
            <w:vAlign w:val="center"/>
          </w:tcPr>
          <w:p w14:paraId="761C1E06" w14:textId="77777777" w:rsidR="00A30BF8" w:rsidRPr="007E6AC7" w:rsidRDefault="00A30BF8" w:rsidP="006F4762">
            <w:pPr>
              <w:spacing w:line="240" w:lineRule="auto"/>
              <w:jc w:val="center"/>
              <w:rPr>
                <w:color w:val="000000" w:themeColor="text1"/>
                <w:sz w:val="22"/>
              </w:rPr>
            </w:pPr>
          </w:p>
        </w:tc>
        <w:tc>
          <w:tcPr>
            <w:tcW w:w="699" w:type="dxa"/>
            <w:vAlign w:val="center"/>
          </w:tcPr>
          <w:p w14:paraId="2FB8C770" w14:textId="77777777" w:rsidR="00A30BF8" w:rsidRPr="007E6AC7" w:rsidRDefault="00A30BF8" w:rsidP="006F4762">
            <w:pPr>
              <w:spacing w:line="240" w:lineRule="auto"/>
              <w:jc w:val="center"/>
              <w:rPr>
                <w:color w:val="000000" w:themeColor="text1"/>
                <w:sz w:val="22"/>
              </w:rPr>
            </w:pPr>
          </w:p>
        </w:tc>
        <w:tc>
          <w:tcPr>
            <w:tcW w:w="700" w:type="dxa"/>
            <w:vAlign w:val="center"/>
          </w:tcPr>
          <w:p w14:paraId="5EC7E5E2" w14:textId="77777777" w:rsidR="00A30BF8" w:rsidRPr="007E6AC7" w:rsidRDefault="00A30BF8" w:rsidP="006F4762">
            <w:pPr>
              <w:spacing w:line="240" w:lineRule="auto"/>
              <w:jc w:val="center"/>
              <w:rPr>
                <w:color w:val="000000" w:themeColor="text1"/>
                <w:sz w:val="22"/>
              </w:rPr>
            </w:pPr>
          </w:p>
        </w:tc>
        <w:tc>
          <w:tcPr>
            <w:tcW w:w="699" w:type="dxa"/>
            <w:vAlign w:val="center"/>
          </w:tcPr>
          <w:p w14:paraId="35CAF2E8" w14:textId="77777777" w:rsidR="00A30BF8" w:rsidRPr="007E6AC7" w:rsidRDefault="00A30BF8" w:rsidP="006F4762">
            <w:pPr>
              <w:spacing w:line="240" w:lineRule="auto"/>
              <w:jc w:val="center"/>
              <w:rPr>
                <w:color w:val="000000" w:themeColor="text1"/>
                <w:sz w:val="22"/>
              </w:rPr>
            </w:pPr>
          </w:p>
        </w:tc>
        <w:tc>
          <w:tcPr>
            <w:tcW w:w="699" w:type="dxa"/>
            <w:vAlign w:val="center"/>
          </w:tcPr>
          <w:p w14:paraId="45D58606" w14:textId="77777777" w:rsidR="00A30BF8" w:rsidRPr="007E6AC7" w:rsidRDefault="00A30BF8" w:rsidP="006F4762">
            <w:pPr>
              <w:spacing w:line="240" w:lineRule="auto"/>
              <w:jc w:val="center"/>
              <w:rPr>
                <w:color w:val="000000" w:themeColor="text1"/>
                <w:sz w:val="22"/>
              </w:rPr>
            </w:pPr>
          </w:p>
        </w:tc>
        <w:tc>
          <w:tcPr>
            <w:tcW w:w="700" w:type="dxa"/>
            <w:vAlign w:val="center"/>
          </w:tcPr>
          <w:p w14:paraId="2B83628E" w14:textId="77777777" w:rsidR="00A30BF8" w:rsidRPr="007E6AC7" w:rsidRDefault="00A30BF8" w:rsidP="006F4762">
            <w:pPr>
              <w:spacing w:line="240" w:lineRule="auto"/>
              <w:jc w:val="center"/>
              <w:rPr>
                <w:color w:val="000000" w:themeColor="text1"/>
                <w:sz w:val="22"/>
              </w:rPr>
            </w:pPr>
          </w:p>
        </w:tc>
        <w:tc>
          <w:tcPr>
            <w:tcW w:w="699" w:type="dxa"/>
            <w:vAlign w:val="center"/>
          </w:tcPr>
          <w:p w14:paraId="6A68BB46" w14:textId="77777777" w:rsidR="00A30BF8" w:rsidRPr="007E6AC7" w:rsidRDefault="00A30BF8" w:rsidP="006F4762">
            <w:pPr>
              <w:spacing w:line="240" w:lineRule="auto"/>
              <w:jc w:val="center"/>
              <w:rPr>
                <w:color w:val="000000" w:themeColor="text1"/>
                <w:sz w:val="22"/>
              </w:rPr>
            </w:pPr>
          </w:p>
        </w:tc>
        <w:tc>
          <w:tcPr>
            <w:tcW w:w="699" w:type="dxa"/>
            <w:vAlign w:val="center"/>
          </w:tcPr>
          <w:p w14:paraId="4EE55687" w14:textId="77777777" w:rsidR="00A30BF8" w:rsidRPr="007E6AC7" w:rsidRDefault="00A30BF8" w:rsidP="006F4762">
            <w:pPr>
              <w:spacing w:line="240" w:lineRule="auto"/>
              <w:jc w:val="center"/>
              <w:rPr>
                <w:color w:val="000000" w:themeColor="text1"/>
                <w:sz w:val="22"/>
              </w:rPr>
            </w:pPr>
          </w:p>
        </w:tc>
        <w:tc>
          <w:tcPr>
            <w:tcW w:w="700" w:type="dxa"/>
            <w:vAlign w:val="center"/>
          </w:tcPr>
          <w:p w14:paraId="4F355AAD" w14:textId="77777777" w:rsidR="00A30BF8" w:rsidRPr="007E6AC7" w:rsidRDefault="00A30BF8" w:rsidP="006F4762">
            <w:pPr>
              <w:spacing w:line="240" w:lineRule="auto"/>
              <w:jc w:val="center"/>
              <w:rPr>
                <w:color w:val="000000" w:themeColor="text1"/>
                <w:sz w:val="22"/>
              </w:rPr>
            </w:pPr>
          </w:p>
        </w:tc>
      </w:tr>
      <w:tr w:rsidR="007E6AC7" w:rsidRPr="007E6AC7" w14:paraId="0B5C6ADC" w14:textId="77777777" w:rsidTr="00B6286E">
        <w:trPr>
          <w:trHeight w:val="210"/>
        </w:trPr>
        <w:tc>
          <w:tcPr>
            <w:tcW w:w="491" w:type="dxa"/>
            <w:vAlign w:val="center"/>
          </w:tcPr>
          <w:p w14:paraId="721C7EF2" w14:textId="77777777" w:rsidR="00A30BF8" w:rsidRPr="007E6AC7" w:rsidRDefault="00A30BF8" w:rsidP="006F4762">
            <w:pPr>
              <w:spacing w:line="240" w:lineRule="auto"/>
              <w:jc w:val="center"/>
              <w:rPr>
                <w:color w:val="000000" w:themeColor="text1"/>
                <w:sz w:val="22"/>
              </w:rPr>
            </w:pPr>
            <w:r w:rsidRPr="007E6AC7">
              <w:rPr>
                <w:color w:val="000000" w:themeColor="text1"/>
                <w:sz w:val="22"/>
              </w:rPr>
              <w:t>21.</w:t>
            </w:r>
          </w:p>
        </w:tc>
        <w:tc>
          <w:tcPr>
            <w:tcW w:w="4395" w:type="dxa"/>
            <w:vAlign w:val="center"/>
            <w:hideMark/>
          </w:tcPr>
          <w:p w14:paraId="4A3EFF1A" w14:textId="77777777" w:rsidR="00A30BF8" w:rsidRPr="007E6AC7" w:rsidRDefault="00A30BF8" w:rsidP="006F4762">
            <w:pPr>
              <w:spacing w:line="240" w:lineRule="auto"/>
              <w:jc w:val="left"/>
              <w:rPr>
                <w:color w:val="000000" w:themeColor="text1"/>
                <w:sz w:val="22"/>
              </w:rPr>
            </w:pPr>
            <w:r w:rsidRPr="007E6AC7">
              <w:rPr>
                <w:color w:val="000000" w:themeColor="text1"/>
                <w:sz w:val="22"/>
              </w:rPr>
              <w:t>acq_assets_lastyear_ln</w:t>
            </w:r>
          </w:p>
        </w:tc>
        <w:tc>
          <w:tcPr>
            <w:tcW w:w="699" w:type="dxa"/>
            <w:vAlign w:val="center"/>
            <w:hideMark/>
          </w:tcPr>
          <w:p w14:paraId="4EBAF2EB"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.02</w:t>
            </w:r>
          </w:p>
        </w:tc>
        <w:tc>
          <w:tcPr>
            <w:tcW w:w="699" w:type="dxa"/>
            <w:vAlign w:val="center"/>
            <w:hideMark/>
          </w:tcPr>
          <w:p w14:paraId="75060A91"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.004</w:t>
            </w:r>
          </w:p>
        </w:tc>
        <w:tc>
          <w:tcPr>
            <w:tcW w:w="700" w:type="dxa"/>
            <w:vAlign w:val="center"/>
            <w:hideMark/>
          </w:tcPr>
          <w:p w14:paraId="03D05DC8"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-.06</w:t>
            </w:r>
          </w:p>
        </w:tc>
        <w:tc>
          <w:tcPr>
            <w:tcW w:w="699" w:type="dxa"/>
            <w:vAlign w:val="center"/>
            <w:hideMark/>
          </w:tcPr>
          <w:p w14:paraId="6BAA73EE"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.01</w:t>
            </w:r>
          </w:p>
        </w:tc>
        <w:tc>
          <w:tcPr>
            <w:tcW w:w="699" w:type="dxa"/>
            <w:vAlign w:val="center"/>
            <w:hideMark/>
          </w:tcPr>
          <w:p w14:paraId="052E6D19"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-.09</w:t>
            </w:r>
          </w:p>
        </w:tc>
        <w:tc>
          <w:tcPr>
            <w:tcW w:w="700" w:type="dxa"/>
            <w:vAlign w:val="center"/>
            <w:hideMark/>
          </w:tcPr>
          <w:p w14:paraId="611C0077" w14:textId="77777777" w:rsidR="00A30BF8" w:rsidRPr="007E6AC7" w:rsidRDefault="00A30BF8" w:rsidP="006F4762">
            <w:pPr>
              <w:spacing w:line="240" w:lineRule="auto"/>
              <w:jc w:val="center"/>
              <w:rPr>
                <w:color w:val="000000" w:themeColor="text1"/>
                <w:sz w:val="22"/>
              </w:rPr>
            </w:pPr>
            <w:r w:rsidRPr="007E6AC7">
              <w:rPr>
                <w:color w:val="000000" w:themeColor="text1"/>
                <w:sz w:val="22"/>
              </w:rPr>
              <w:t>.27</w:t>
            </w:r>
          </w:p>
        </w:tc>
        <w:tc>
          <w:tcPr>
            <w:tcW w:w="699" w:type="dxa"/>
            <w:vAlign w:val="center"/>
            <w:hideMark/>
          </w:tcPr>
          <w:p w14:paraId="0A4AD1C4"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w:t>
            </w:r>
          </w:p>
        </w:tc>
        <w:tc>
          <w:tcPr>
            <w:tcW w:w="699" w:type="dxa"/>
            <w:vAlign w:val="center"/>
          </w:tcPr>
          <w:p w14:paraId="735DFB55" w14:textId="77777777" w:rsidR="00A30BF8" w:rsidRPr="007E6AC7" w:rsidRDefault="00A30BF8" w:rsidP="006F4762">
            <w:pPr>
              <w:spacing w:line="240" w:lineRule="auto"/>
              <w:jc w:val="center"/>
              <w:rPr>
                <w:color w:val="000000" w:themeColor="text1"/>
                <w:sz w:val="22"/>
              </w:rPr>
            </w:pPr>
          </w:p>
        </w:tc>
        <w:tc>
          <w:tcPr>
            <w:tcW w:w="700" w:type="dxa"/>
            <w:vAlign w:val="center"/>
          </w:tcPr>
          <w:p w14:paraId="777FCF61" w14:textId="77777777" w:rsidR="00A30BF8" w:rsidRPr="007E6AC7" w:rsidRDefault="00A30BF8" w:rsidP="006F4762">
            <w:pPr>
              <w:spacing w:line="240" w:lineRule="auto"/>
              <w:jc w:val="center"/>
              <w:rPr>
                <w:color w:val="000000" w:themeColor="text1"/>
                <w:sz w:val="22"/>
              </w:rPr>
            </w:pPr>
          </w:p>
        </w:tc>
        <w:tc>
          <w:tcPr>
            <w:tcW w:w="699" w:type="dxa"/>
            <w:vAlign w:val="center"/>
          </w:tcPr>
          <w:p w14:paraId="7D43C4D4" w14:textId="77777777" w:rsidR="00A30BF8" w:rsidRPr="007E6AC7" w:rsidRDefault="00A30BF8" w:rsidP="006F4762">
            <w:pPr>
              <w:spacing w:line="240" w:lineRule="auto"/>
              <w:jc w:val="center"/>
              <w:rPr>
                <w:color w:val="000000" w:themeColor="text1"/>
                <w:sz w:val="22"/>
              </w:rPr>
            </w:pPr>
          </w:p>
        </w:tc>
        <w:tc>
          <w:tcPr>
            <w:tcW w:w="699" w:type="dxa"/>
            <w:vAlign w:val="center"/>
          </w:tcPr>
          <w:p w14:paraId="2BE2FE51" w14:textId="77777777" w:rsidR="00A30BF8" w:rsidRPr="007E6AC7" w:rsidRDefault="00A30BF8" w:rsidP="006F4762">
            <w:pPr>
              <w:spacing w:line="240" w:lineRule="auto"/>
              <w:jc w:val="center"/>
              <w:rPr>
                <w:color w:val="000000" w:themeColor="text1"/>
                <w:sz w:val="22"/>
              </w:rPr>
            </w:pPr>
          </w:p>
        </w:tc>
        <w:tc>
          <w:tcPr>
            <w:tcW w:w="700" w:type="dxa"/>
            <w:vAlign w:val="center"/>
          </w:tcPr>
          <w:p w14:paraId="3E43224C" w14:textId="77777777" w:rsidR="00A30BF8" w:rsidRPr="007E6AC7" w:rsidRDefault="00A30BF8" w:rsidP="006F4762">
            <w:pPr>
              <w:spacing w:line="240" w:lineRule="auto"/>
              <w:jc w:val="center"/>
              <w:rPr>
                <w:color w:val="000000" w:themeColor="text1"/>
                <w:sz w:val="22"/>
              </w:rPr>
            </w:pPr>
          </w:p>
        </w:tc>
        <w:tc>
          <w:tcPr>
            <w:tcW w:w="699" w:type="dxa"/>
            <w:vAlign w:val="center"/>
          </w:tcPr>
          <w:p w14:paraId="30879248" w14:textId="77777777" w:rsidR="00A30BF8" w:rsidRPr="007E6AC7" w:rsidRDefault="00A30BF8" w:rsidP="006F4762">
            <w:pPr>
              <w:spacing w:line="240" w:lineRule="auto"/>
              <w:jc w:val="center"/>
              <w:rPr>
                <w:color w:val="000000" w:themeColor="text1"/>
                <w:sz w:val="22"/>
              </w:rPr>
            </w:pPr>
          </w:p>
        </w:tc>
        <w:tc>
          <w:tcPr>
            <w:tcW w:w="699" w:type="dxa"/>
            <w:vAlign w:val="center"/>
          </w:tcPr>
          <w:p w14:paraId="5C03915F" w14:textId="77777777" w:rsidR="00A30BF8" w:rsidRPr="007E6AC7" w:rsidRDefault="00A30BF8" w:rsidP="006F4762">
            <w:pPr>
              <w:spacing w:line="240" w:lineRule="auto"/>
              <w:jc w:val="center"/>
              <w:rPr>
                <w:color w:val="000000" w:themeColor="text1"/>
                <w:sz w:val="22"/>
              </w:rPr>
            </w:pPr>
          </w:p>
        </w:tc>
        <w:tc>
          <w:tcPr>
            <w:tcW w:w="700" w:type="dxa"/>
            <w:vAlign w:val="center"/>
          </w:tcPr>
          <w:p w14:paraId="0FECD2B7" w14:textId="77777777" w:rsidR="00A30BF8" w:rsidRPr="007E6AC7" w:rsidRDefault="00A30BF8" w:rsidP="006F4762">
            <w:pPr>
              <w:spacing w:line="240" w:lineRule="auto"/>
              <w:jc w:val="center"/>
              <w:rPr>
                <w:color w:val="000000" w:themeColor="text1"/>
                <w:sz w:val="22"/>
              </w:rPr>
            </w:pPr>
          </w:p>
        </w:tc>
      </w:tr>
      <w:tr w:rsidR="007E6AC7" w:rsidRPr="007E6AC7" w14:paraId="24D6DDBE" w14:textId="77777777" w:rsidTr="00B6286E">
        <w:trPr>
          <w:trHeight w:val="210"/>
        </w:trPr>
        <w:tc>
          <w:tcPr>
            <w:tcW w:w="491" w:type="dxa"/>
            <w:vAlign w:val="center"/>
          </w:tcPr>
          <w:p w14:paraId="737C2C1F" w14:textId="77777777" w:rsidR="00A30BF8" w:rsidRPr="007E6AC7" w:rsidRDefault="00A30BF8" w:rsidP="006F4762">
            <w:pPr>
              <w:spacing w:line="240" w:lineRule="auto"/>
              <w:jc w:val="center"/>
              <w:rPr>
                <w:color w:val="000000" w:themeColor="text1"/>
                <w:sz w:val="22"/>
              </w:rPr>
            </w:pPr>
            <w:r w:rsidRPr="007E6AC7">
              <w:rPr>
                <w:color w:val="000000" w:themeColor="text1"/>
                <w:sz w:val="22"/>
              </w:rPr>
              <w:t>22.</w:t>
            </w:r>
          </w:p>
        </w:tc>
        <w:tc>
          <w:tcPr>
            <w:tcW w:w="4395" w:type="dxa"/>
            <w:vAlign w:val="center"/>
            <w:hideMark/>
          </w:tcPr>
          <w:p w14:paraId="7DB595EC" w14:textId="77777777" w:rsidR="00A30BF8" w:rsidRPr="007E6AC7" w:rsidRDefault="00A30BF8" w:rsidP="006F4762">
            <w:pPr>
              <w:spacing w:line="240" w:lineRule="auto"/>
              <w:jc w:val="left"/>
              <w:rPr>
                <w:color w:val="000000" w:themeColor="text1"/>
                <w:sz w:val="22"/>
              </w:rPr>
            </w:pPr>
            <w:r w:rsidRPr="007E6AC7">
              <w:rPr>
                <w:color w:val="000000" w:themeColor="text1"/>
                <w:sz w:val="22"/>
              </w:rPr>
              <w:t>acq_roa_lastyear</w:t>
            </w:r>
          </w:p>
        </w:tc>
        <w:tc>
          <w:tcPr>
            <w:tcW w:w="699" w:type="dxa"/>
            <w:vAlign w:val="center"/>
            <w:hideMark/>
          </w:tcPr>
          <w:p w14:paraId="302652AB"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-.17</w:t>
            </w:r>
          </w:p>
        </w:tc>
        <w:tc>
          <w:tcPr>
            <w:tcW w:w="699" w:type="dxa"/>
            <w:vAlign w:val="center"/>
            <w:hideMark/>
          </w:tcPr>
          <w:p w14:paraId="493E48C1"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.05</w:t>
            </w:r>
          </w:p>
        </w:tc>
        <w:tc>
          <w:tcPr>
            <w:tcW w:w="700" w:type="dxa"/>
            <w:vAlign w:val="center"/>
            <w:hideMark/>
          </w:tcPr>
          <w:p w14:paraId="7579FDC2"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-.06</w:t>
            </w:r>
          </w:p>
        </w:tc>
        <w:tc>
          <w:tcPr>
            <w:tcW w:w="699" w:type="dxa"/>
            <w:vAlign w:val="center"/>
            <w:hideMark/>
          </w:tcPr>
          <w:p w14:paraId="64090006"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.02</w:t>
            </w:r>
          </w:p>
        </w:tc>
        <w:tc>
          <w:tcPr>
            <w:tcW w:w="699" w:type="dxa"/>
            <w:vAlign w:val="center"/>
            <w:hideMark/>
          </w:tcPr>
          <w:p w14:paraId="4852CC75"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-.05</w:t>
            </w:r>
          </w:p>
        </w:tc>
        <w:tc>
          <w:tcPr>
            <w:tcW w:w="700" w:type="dxa"/>
            <w:vAlign w:val="center"/>
            <w:hideMark/>
          </w:tcPr>
          <w:p w14:paraId="2B7A7C06"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-.13</w:t>
            </w:r>
          </w:p>
        </w:tc>
        <w:tc>
          <w:tcPr>
            <w:tcW w:w="699" w:type="dxa"/>
            <w:vAlign w:val="center"/>
            <w:hideMark/>
          </w:tcPr>
          <w:p w14:paraId="14F4ABA7" w14:textId="77777777" w:rsidR="00A30BF8" w:rsidRPr="007E6AC7" w:rsidRDefault="00A30BF8" w:rsidP="006F4762">
            <w:pPr>
              <w:spacing w:line="240" w:lineRule="auto"/>
              <w:jc w:val="center"/>
              <w:rPr>
                <w:color w:val="000000" w:themeColor="text1"/>
                <w:sz w:val="22"/>
              </w:rPr>
            </w:pPr>
            <w:r w:rsidRPr="007E6AC7">
              <w:rPr>
                <w:color w:val="000000" w:themeColor="text1"/>
                <w:sz w:val="22"/>
              </w:rPr>
              <w:t>-.23</w:t>
            </w:r>
          </w:p>
        </w:tc>
        <w:tc>
          <w:tcPr>
            <w:tcW w:w="699" w:type="dxa"/>
            <w:vAlign w:val="center"/>
            <w:hideMark/>
          </w:tcPr>
          <w:p w14:paraId="0969E55C"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w:t>
            </w:r>
          </w:p>
        </w:tc>
        <w:tc>
          <w:tcPr>
            <w:tcW w:w="700" w:type="dxa"/>
            <w:vAlign w:val="center"/>
          </w:tcPr>
          <w:p w14:paraId="3E90BD09" w14:textId="77777777" w:rsidR="00A30BF8" w:rsidRPr="007E6AC7" w:rsidRDefault="00A30BF8" w:rsidP="006F4762">
            <w:pPr>
              <w:spacing w:line="240" w:lineRule="auto"/>
              <w:jc w:val="center"/>
              <w:rPr>
                <w:color w:val="000000" w:themeColor="text1"/>
                <w:sz w:val="22"/>
              </w:rPr>
            </w:pPr>
          </w:p>
        </w:tc>
        <w:tc>
          <w:tcPr>
            <w:tcW w:w="699" w:type="dxa"/>
            <w:vAlign w:val="center"/>
          </w:tcPr>
          <w:p w14:paraId="51B0C81A" w14:textId="77777777" w:rsidR="00A30BF8" w:rsidRPr="007E6AC7" w:rsidRDefault="00A30BF8" w:rsidP="006F4762">
            <w:pPr>
              <w:spacing w:line="240" w:lineRule="auto"/>
              <w:jc w:val="center"/>
              <w:rPr>
                <w:color w:val="000000" w:themeColor="text1"/>
                <w:sz w:val="22"/>
              </w:rPr>
            </w:pPr>
          </w:p>
        </w:tc>
        <w:tc>
          <w:tcPr>
            <w:tcW w:w="699" w:type="dxa"/>
            <w:vAlign w:val="center"/>
          </w:tcPr>
          <w:p w14:paraId="05F97261" w14:textId="77777777" w:rsidR="00A30BF8" w:rsidRPr="007E6AC7" w:rsidRDefault="00A30BF8" w:rsidP="006F4762">
            <w:pPr>
              <w:spacing w:line="240" w:lineRule="auto"/>
              <w:jc w:val="center"/>
              <w:rPr>
                <w:color w:val="000000" w:themeColor="text1"/>
                <w:sz w:val="22"/>
              </w:rPr>
            </w:pPr>
          </w:p>
        </w:tc>
        <w:tc>
          <w:tcPr>
            <w:tcW w:w="700" w:type="dxa"/>
            <w:vAlign w:val="center"/>
          </w:tcPr>
          <w:p w14:paraId="4DA59A0D" w14:textId="77777777" w:rsidR="00A30BF8" w:rsidRPr="007E6AC7" w:rsidRDefault="00A30BF8" w:rsidP="006F4762">
            <w:pPr>
              <w:spacing w:line="240" w:lineRule="auto"/>
              <w:jc w:val="center"/>
              <w:rPr>
                <w:color w:val="000000" w:themeColor="text1"/>
                <w:sz w:val="22"/>
              </w:rPr>
            </w:pPr>
          </w:p>
        </w:tc>
        <w:tc>
          <w:tcPr>
            <w:tcW w:w="699" w:type="dxa"/>
            <w:vAlign w:val="center"/>
          </w:tcPr>
          <w:p w14:paraId="6513C202" w14:textId="77777777" w:rsidR="00A30BF8" w:rsidRPr="007E6AC7" w:rsidRDefault="00A30BF8" w:rsidP="006F4762">
            <w:pPr>
              <w:spacing w:line="240" w:lineRule="auto"/>
              <w:jc w:val="center"/>
              <w:rPr>
                <w:color w:val="000000" w:themeColor="text1"/>
                <w:sz w:val="22"/>
              </w:rPr>
            </w:pPr>
          </w:p>
        </w:tc>
        <w:tc>
          <w:tcPr>
            <w:tcW w:w="699" w:type="dxa"/>
            <w:vAlign w:val="center"/>
          </w:tcPr>
          <w:p w14:paraId="4206A609" w14:textId="77777777" w:rsidR="00A30BF8" w:rsidRPr="007E6AC7" w:rsidRDefault="00A30BF8" w:rsidP="006F4762">
            <w:pPr>
              <w:spacing w:line="240" w:lineRule="auto"/>
              <w:jc w:val="center"/>
              <w:rPr>
                <w:color w:val="000000" w:themeColor="text1"/>
                <w:sz w:val="22"/>
              </w:rPr>
            </w:pPr>
          </w:p>
        </w:tc>
        <w:tc>
          <w:tcPr>
            <w:tcW w:w="700" w:type="dxa"/>
            <w:vAlign w:val="center"/>
          </w:tcPr>
          <w:p w14:paraId="141C82E9" w14:textId="77777777" w:rsidR="00A30BF8" w:rsidRPr="007E6AC7" w:rsidRDefault="00A30BF8" w:rsidP="006F4762">
            <w:pPr>
              <w:spacing w:line="240" w:lineRule="auto"/>
              <w:jc w:val="center"/>
              <w:rPr>
                <w:color w:val="000000" w:themeColor="text1"/>
                <w:sz w:val="22"/>
              </w:rPr>
            </w:pPr>
          </w:p>
        </w:tc>
      </w:tr>
      <w:tr w:rsidR="007E6AC7" w:rsidRPr="007E6AC7" w14:paraId="3293BDE9" w14:textId="77777777" w:rsidTr="00B6286E">
        <w:trPr>
          <w:trHeight w:val="210"/>
        </w:trPr>
        <w:tc>
          <w:tcPr>
            <w:tcW w:w="491" w:type="dxa"/>
            <w:vAlign w:val="center"/>
          </w:tcPr>
          <w:p w14:paraId="6205853B" w14:textId="77777777" w:rsidR="00A30BF8" w:rsidRPr="007E6AC7" w:rsidRDefault="00A30BF8" w:rsidP="006F4762">
            <w:pPr>
              <w:spacing w:line="240" w:lineRule="auto"/>
              <w:jc w:val="center"/>
              <w:rPr>
                <w:color w:val="000000" w:themeColor="text1"/>
                <w:sz w:val="22"/>
              </w:rPr>
            </w:pPr>
            <w:r w:rsidRPr="007E6AC7">
              <w:rPr>
                <w:color w:val="000000" w:themeColor="text1"/>
                <w:sz w:val="22"/>
              </w:rPr>
              <w:t>23.</w:t>
            </w:r>
          </w:p>
        </w:tc>
        <w:tc>
          <w:tcPr>
            <w:tcW w:w="4395" w:type="dxa"/>
            <w:vAlign w:val="center"/>
            <w:hideMark/>
          </w:tcPr>
          <w:p w14:paraId="08D52604" w14:textId="77777777" w:rsidR="00A30BF8" w:rsidRPr="007E6AC7" w:rsidRDefault="00A30BF8" w:rsidP="006F4762">
            <w:pPr>
              <w:spacing w:line="240" w:lineRule="auto"/>
              <w:jc w:val="left"/>
              <w:rPr>
                <w:color w:val="000000" w:themeColor="text1"/>
                <w:sz w:val="22"/>
              </w:rPr>
            </w:pPr>
            <w:r w:rsidRPr="007E6AC7">
              <w:rPr>
                <w:color w:val="000000" w:themeColor="text1"/>
                <w:sz w:val="22"/>
              </w:rPr>
              <w:t>acq_industrygrowth</w:t>
            </w:r>
          </w:p>
        </w:tc>
        <w:tc>
          <w:tcPr>
            <w:tcW w:w="699" w:type="dxa"/>
            <w:vAlign w:val="center"/>
            <w:hideMark/>
          </w:tcPr>
          <w:p w14:paraId="526F6F76"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.15</w:t>
            </w:r>
          </w:p>
        </w:tc>
        <w:tc>
          <w:tcPr>
            <w:tcW w:w="699" w:type="dxa"/>
            <w:vAlign w:val="center"/>
            <w:hideMark/>
          </w:tcPr>
          <w:p w14:paraId="1813D471"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-.06</w:t>
            </w:r>
          </w:p>
        </w:tc>
        <w:tc>
          <w:tcPr>
            <w:tcW w:w="700" w:type="dxa"/>
            <w:vAlign w:val="center"/>
            <w:hideMark/>
          </w:tcPr>
          <w:p w14:paraId="4BC9ACF8"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-.02</w:t>
            </w:r>
          </w:p>
        </w:tc>
        <w:tc>
          <w:tcPr>
            <w:tcW w:w="699" w:type="dxa"/>
            <w:vAlign w:val="center"/>
            <w:hideMark/>
          </w:tcPr>
          <w:p w14:paraId="12FD8F99"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.04</w:t>
            </w:r>
          </w:p>
        </w:tc>
        <w:tc>
          <w:tcPr>
            <w:tcW w:w="699" w:type="dxa"/>
            <w:vAlign w:val="center"/>
            <w:hideMark/>
          </w:tcPr>
          <w:p w14:paraId="247A8A78"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-.17</w:t>
            </w:r>
          </w:p>
        </w:tc>
        <w:tc>
          <w:tcPr>
            <w:tcW w:w="700" w:type="dxa"/>
            <w:vAlign w:val="center"/>
            <w:hideMark/>
          </w:tcPr>
          <w:p w14:paraId="0C1EE5AE"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-.08</w:t>
            </w:r>
          </w:p>
        </w:tc>
        <w:tc>
          <w:tcPr>
            <w:tcW w:w="699" w:type="dxa"/>
            <w:vAlign w:val="center"/>
            <w:hideMark/>
          </w:tcPr>
          <w:p w14:paraId="185DEDA6"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.18</w:t>
            </w:r>
          </w:p>
        </w:tc>
        <w:tc>
          <w:tcPr>
            <w:tcW w:w="699" w:type="dxa"/>
            <w:vAlign w:val="center"/>
            <w:hideMark/>
          </w:tcPr>
          <w:p w14:paraId="6672BDF0"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.001</w:t>
            </w:r>
          </w:p>
        </w:tc>
        <w:tc>
          <w:tcPr>
            <w:tcW w:w="700" w:type="dxa"/>
            <w:vAlign w:val="center"/>
            <w:hideMark/>
          </w:tcPr>
          <w:p w14:paraId="5AED88B6"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w:t>
            </w:r>
          </w:p>
        </w:tc>
        <w:tc>
          <w:tcPr>
            <w:tcW w:w="699" w:type="dxa"/>
            <w:vAlign w:val="center"/>
          </w:tcPr>
          <w:p w14:paraId="65A296DD" w14:textId="77777777" w:rsidR="00A30BF8" w:rsidRPr="007E6AC7" w:rsidRDefault="00A30BF8" w:rsidP="006F4762">
            <w:pPr>
              <w:spacing w:line="240" w:lineRule="auto"/>
              <w:jc w:val="center"/>
              <w:rPr>
                <w:color w:val="000000" w:themeColor="text1"/>
                <w:sz w:val="22"/>
              </w:rPr>
            </w:pPr>
          </w:p>
        </w:tc>
        <w:tc>
          <w:tcPr>
            <w:tcW w:w="699" w:type="dxa"/>
            <w:vAlign w:val="center"/>
          </w:tcPr>
          <w:p w14:paraId="298299F1" w14:textId="77777777" w:rsidR="00A30BF8" w:rsidRPr="007E6AC7" w:rsidRDefault="00A30BF8" w:rsidP="006F4762">
            <w:pPr>
              <w:spacing w:line="240" w:lineRule="auto"/>
              <w:jc w:val="center"/>
              <w:rPr>
                <w:color w:val="000000" w:themeColor="text1"/>
                <w:sz w:val="22"/>
              </w:rPr>
            </w:pPr>
          </w:p>
        </w:tc>
        <w:tc>
          <w:tcPr>
            <w:tcW w:w="700" w:type="dxa"/>
            <w:vAlign w:val="center"/>
          </w:tcPr>
          <w:p w14:paraId="12587D7B" w14:textId="77777777" w:rsidR="00A30BF8" w:rsidRPr="007E6AC7" w:rsidRDefault="00A30BF8" w:rsidP="006F4762">
            <w:pPr>
              <w:spacing w:line="240" w:lineRule="auto"/>
              <w:jc w:val="center"/>
              <w:rPr>
                <w:color w:val="000000" w:themeColor="text1"/>
                <w:sz w:val="22"/>
              </w:rPr>
            </w:pPr>
          </w:p>
        </w:tc>
        <w:tc>
          <w:tcPr>
            <w:tcW w:w="699" w:type="dxa"/>
            <w:vAlign w:val="center"/>
          </w:tcPr>
          <w:p w14:paraId="67D2A3BC" w14:textId="77777777" w:rsidR="00A30BF8" w:rsidRPr="007E6AC7" w:rsidRDefault="00A30BF8" w:rsidP="006F4762">
            <w:pPr>
              <w:spacing w:line="240" w:lineRule="auto"/>
              <w:jc w:val="center"/>
              <w:rPr>
                <w:color w:val="000000" w:themeColor="text1"/>
                <w:sz w:val="22"/>
              </w:rPr>
            </w:pPr>
          </w:p>
        </w:tc>
        <w:tc>
          <w:tcPr>
            <w:tcW w:w="699" w:type="dxa"/>
            <w:vAlign w:val="center"/>
          </w:tcPr>
          <w:p w14:paraId="16E04B26" w14:textId="77777777" w:rsidR="00A30BF8" w:rsidRPr="007E6AC7" w:rsidRDefault="00A30BF8" w:rsidP="006F4762">
            <w:pPr>
              <w:spacing w:line="240" w:lineRule="auto"/>
              <w:jc w:val="center"/>
              <w:rPr>
                <w:color w:val="000000" w:themeColor="text1"/>
                <w:sz w:val="22"/>
              </w:rPr>
            </w:pPr>
          </w:p>
        </w:tc>
        <w:tc>
          <w:tcPr>
            <w:tcW w:w="700" w:type="dxa"/>
            <w:vAlign w:val="center"/>
          </w:tcPr>
          <w:p w14:paraId="35AFC134" w14:textId="77777777" w:rsidR="00A30BF8" w:rsidRPr="007E6AC7" w:rsidRDefault="00A30BF8" w:rsidP="006F4762">
            <w:pPr>
              <w:spacing w:line="240" w:lineRule="auto"/>
              <w:jc w:val="center"/>
              <w:rPr>
                <w:color w:val="000000" w:themeColor="text1"/>
                <w:sz w:val="22"/>
              </w:rPr>
            </w:pPr>
          </w:p>
        </w:tc>
      </w:tr>
      <w:tr w:rsidR="007E6AC7" w:rsidRPr="007E6AC7" w14:paraId="59DA6958" w14:textId="77777777" w:rsidTr="00B6286E">
        <w:trPr>
          <w:trHeight w:val="210"/>
        </w:trPr>
        <w:tc>
          <w:tcPr>
            <w:tcW w:w="491" w:type="dxa"/>
            <w:vAlign w:val="center"/>
          </w:tcPr>
          <w:p w14:paraId="68E95B33" w14:textId="77777777" w:rsidR="00A30BF8" w:rsidRPr="007E6AC7" w:rsidRDefault="00A30BF8" w:rsidP="006F4762">
            <w:pPr>
              <w:spacing w:line="240" w:lineRule="auto"/>
              <w:jc w:val="center"/>
              <w:rPr>
                <w:color w:val="000000" w:themeColor="text1"/>
                <w:sz w:val="22"/>
              </w:rPr>
            </w:pPr>
            <w:r w:rsidRPr="007E6AC7">
              <w:rPr>
                <w:color w:val="000000" w:themeColor="text1"/>
                <w:sz w:val="22"/>
              </w:rPr>
              <w:t>24.</w:t>
            </w:r>
          </w:p>
        </w:tc>
        <w:tc>
          <w:tcPr>
            <w:tcW w:w="4395" w:type="dxa"/>
            <w:vAlign w:val="center"/>
            <w:hideMark/>
          </w:tcPr>
          <w:p w14:paraId="5B5C9F46" w14:textId="77777777" w:rsidR="00A30BF8" w:rsidRPr="007E6AC7" w:rsidRDefault="00A30BF8" w:rsidP="006F4762">
            <w:pPr>
              <w:spacing w:line="240" w:lineRule="auto"/>
              <w:jc w:val="left"/>
              <w:rPr>
                <w:color w:val="000000" w:themeColor="text1"/>
                <w:sz w:val="22"/>
              </w:rPr>
            </w:pPr>
            <w:r w:rsidRPr="007E6AC7">
              <w:rPr>
                <w:color w:val="000000" w:themeColor="text1"/>
                <w:sz w:val="22"/>
              </w:rPr>
              <w:t>acq_dealexperience</w:t>
            </w:r>
          </w:p>
        </w:tc>
        <w:tc>
          <w:tcPr>
            <w:tcW w:w="699" w:type="dxa"/>
            <w:vAlign w:val="center"/>
            <w:hideMark/>
          </w:tcPr>
          <w:p w14:paraId="53738F2E"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.16</w:t>
            </w:r>
          </w:p>
        </w:tc>
        <w:tc>
          <w:tcPr>
            <w:tcW w:w="699" w:type="dxa"/>
            <w:vAlign w:val="center"/>
            <w:hideMark/>
          </w:tcPr>
          <w:p w14:paraId="1348A81D"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-.08</w:t>
            </w:r>
          </w:p>
        </w:tc>
        <w:tc>
          <w:tcPr>
            <w:tcW w:w="700" w:type="dxa"/>
            <w:vAlign w:val="center"/>
            <w:hideMark/>
          </w:tcPr>
          <w:p w14:paraId="65661030" w14:textId="77777777" w:rsidR="00A30BF8" w:rsidRPr="007E6AC7" w:rsidRDefault="00A30BF8" w:rsidP="006F4762">
            <w:pPr>
              <w:spacing w:line="240" w:lineRule="auto"/>
              <w:jc w:val="center"/>
              <w:rPr>
                <w:color w:val="000000" w:themeColor="text1"/>
                <w:sz w:val="22"/>
              </w:rPr>
            </w:pPr>
            <w:r w:rsidRPr="007E6AC7">
              <w:rPr>
                <w:color w:val="000000" w:themeColor="text1"/>
                <w:sz w:val="22"/>
              </w:rPr>
              <w:t>.20</w:t>
            </w:r>
          </w:p>
        </w:tc>
        <w:tc>
          <w:tcPr>
            <w:tcW w:w="699" w:type="dxa"/>
            <w:vAlign w:val="center"/>
            <w:hideMark/>
          </w:tcPr>
          <w:p w14:paraId="1787EF5C"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.05</w:t>
            </w:r>
          </w:p>
        </w:tc>
        <w:tc>
          <w:tcPr>
            <w:tcW w:w="699" w:type="dxa"/>
            <w:vAlign w:val="center"/>
            <w:hideMark/>
          </w:tcPr>
          <w:p w14:paraId="54F661CE"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.09</w:t>
            </w:r>
          </w:p>
        </w:tc>
        <w:tc>
          <w:tcPr>
            <w:tcW w:w="700" w:type="dxa"/>
            <w:vAlign w:val="center"/>
            <w:hideMark/>
          </w:tcPr>
          <w:p w14:paraId="0B12FD52"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-.05</w:t>
            </w:r>
          </w:p>
        </w:tc>
        <w:tc>
          <w:tcPr>
            <w:tcW w:w="699" w:type="dxa"/>
            <w:vAlign w:val="center"/>
            <w:hideMark/>
          </w:tcPr>
          <w:p w14:paraId="728CF253" w14:textId="77777777" w:rsidR="00A30BF8" w:rsidRPr="007E6AC7" w:rsidRDefault="00A30BF8" w:rsidP="006F4762">
            <w:pPr>
              <w:spacing w:line="240" w:lineRule="auto"/>
              <w:jc w:val="center"/>
              <w:rPr>
                <w:color w:val="000000" w:themeColor="text1"/>
                <w:sz w:val="22"/>
              </w:rPr>
            </w:pPr>
            <w:r w:rsidRPr="007E6AC7">
              <w:rPr>
                <w:color w:val="000000" w:themeColor="text1"/>
                <w:sz w:val="22"/>
              </w:rPr>
              <w:t>.41</w:t>
            </w:r>
          </w:p>
        </w:tc>
        <w:tc>
          <w:tcPr>
            <w:tcW w:w="699" w:type="dxa"/>
            <w:vAlign w:val="center"/>
            <w:hideMark/>
          </w:tcPr>
          <w:p w14:paraId="24395B8E"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-.12</w:t>
            </w:r>
          </w:p>
        </w:tc>
        <w:tc>
          <w:tcPr>
            <w:tcW w:w="700" w:type="dxa"/>
            <w:vAlign w:val="center"/>
            <w:hideMark/>
          </w:tcPr>
          <w:p w14:paraId="477A24BC" w14:textId="77777777" w:rsidR="00A30BF8" w:rsidRPr="007E6AC7" w:rsidRDefault="00A30BF8" w:rsidP="006F4762">
            <w:pPr>
              <w:spacing w:line="240" w:lineRule="auto"/>
              <w:jc w:val="center"/>
              <w:rPr>
                <w:color w:val="000000" w:themeColor="text1"/>
                <w:sz w:val="22"/>
              </w:rPr>
            </w:pPr>
            <w:r w:rsidRPr="007E6AC7">
              <w:rPr>
                <w:color w:val="000000" w:themeColor="text1"/>
                <w:sz w:val="22"/>
              </w:rPr>
              <w:t>.22</w:t>
            </w:r>
          </w:p>
        </w:tc>
        <w:tc>
          <w:tcPr>
            <w:tcW w:w="699" w:type="dxa"/>
            <w:vAlign w:val="center"/>
            <w:hideMark/>
          </w:tcPr>
          <w:p w14:paraId="33E02B72"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w:t>
            </w:r>
          </w:p>
        </w:tc>
        <w:tc>
          <w:tcPr>
            <w:tcW w:w="699" w:type="dxa"/>
            <w:vAlign w:val="center"/>
          </w:tcPr>
          <w:p w14:paraId="39EF8483" w14:textId="77777777" w:rsidR="00A30BF8" w:rsidRPr="007E6AC7" w:rsidRDefault="00A30BF8" w:rsidP="006F4762">
            <w:pPr>
              <w:spacing w:line="240" w:lineRule="auto"/>
              <w:jc w:val="center"/>
              <w:rPr>
                <w:color w:val="000000" w:themeColor="text1"/>
                <w:sz w:val="22"/>
              </w:rPr>
            </w:pPr>
          </w:p>
        </w:tc>
        <w:tc>
          <w:tcPr>
            <w:tcW w:w="700" w:type="dxa"/>
            <w:vAlign w:val="center"/>
          </w:tcPr>
          <w:p w14:paraId="34BB7619" w14:textId="77777777" w:rsidR="00A30BF8" w:rsidRPr="007E6AC7" w:rsidRDefault="00A30BF8" w:rsidP="006F4762">
            <w:pPr>
              <w:spacing w:line="240" w:lineRule="auto"/>
              <w:jc w:val="center"/>
              <w:rPr>
                <w:color w:val="000000" w:themeColor="text1"/>
                <w:sz w:val="22"/>
              </w:rPr>
            </w:pPr>
          </w:p>
        </w:tc>
        <w:tc>
          <w:tcPr>
            <w:tcW w:w="699" w:type="dxa"/>
            <w:vAlign w:val="center"/>
          </w:tcPr>
          <w:p w14:paraId="16AE7520" w14:textId="77777777" w:rsidR="00A30BF8" w:rsidRPr="007E6AC7" w:rsidRDefault="00A30BF8" w:rsidP="006F4762">
            <w:pPr>
              <w:spacing w:line="240" w:lineRule="auto"/>
              <w:jc w:val="center"/>
              <w:rPr>
                <w:color w:val="000000" w:themeColor="text1"/>
                <w:sz w:val="22"/>
              </w:rPr>
            </w:pPr>
          </w:p>
        </w:tc>
        <w:tc>
          <w:tcPr>
            <w:tcW w:w="699" w:type="dxa"/>
            <w:vAlign w:val="center"/>
          </w:tcPr>
          <w:p w14:paraId="3DD01083" w14:textId="77777777" w:rsidR="00A30BF8" w:rsidRPr="007E6AC7" w:rsidRDefault="00A30BF8" w:rsidP="006F4762">
            <w:pPr>
              <w:spacing w:line="240" w:lineRule="auto"/>
              <w:jc w:val="center"/>
              <w:rPr>
                <w:color w:val="000000" w:themeColor="text1"/>
                <w:sz w:val="22"/>
              </w:rPr>
            </w:pPr>
          </w:p>
        </w:tc>
        <w:tc>
          <w:tcPr>
            <w:tcW w:w="700" w:type="dxa"/>
            <w:vAlign w:val="center"/>
          </w:tcPr>
          <w:p w14:paraId="72163ACB" w14:textId="77777777" w:rsidR="00A30BF8" w:rsidRPr="007E6AC7" w:rsidRDefault="00A30BF8" w:rsidP="006F4762">
            <w:pPr>
              <w:spacing w:line="240" w:lineRule="auto"/>
              <w:jc w:val="center"/>
              <w:rPr>
                <w:color w:val="000000" w:themeColor="text1"/>
                <w:sz w:val="22"/>
              </w:rPr>
            </w:pPr>
          </w:p>
        </w:tc>
      </w:tr>
      <w:tr w:rsidR="007E6AC7" w:rsidRPr="007E6AC7" w14:paraId="26785299" w14:textId="77777777" w:rsidTr="00B6286E">
        <w:trPr>
          <w:trHeight w:val="210"/>
        </w:trPr>
        <w:tc>
          <w:tcPr>
            <w:tcW w:w="491" w:type="dxa"/>
            <w:vAlign w:val="center"/>
          </w:tcPr>
          <w:p w14:paraId="2B082884" w14:textId="77777777" w:rsidR="00A30BF8" w:rsidRPr="007E6AC7" w:rsidRDefault="00A30BF8" w:rsidP="006F4762">
            <w:pPr>
              <w:spacing w:line="240" w:lineRule="auto"/>
              <w:jc w:val="center"/>
              <w:rPr>
                <w:color w:val="000000" w:themeColor="text1"/>
                <w:sz w:val="22"/>
              </w:rPr>
            </w:pPr>
            <w:r w:rsidRPr="007E6AC7">
              <w:rPr>
                <w:color w:val="000000" w:themeColor="text1"/>
                <w:sz w:val="22"/>
              </w:rPr>
              <w:t>25.</w:t>
            </w:r>
          </w:p>
        </w:tc>
        <w:tc>
          <w:tcPr>
            <w:tcW w:w="4395" w:type="dxa"/>
            <w:vAlign w:val="center"/>
            <w:hideMark/>
          </w:tcPr>
          <w:p w14:paraId="730717BB" w14:textId="77777777" w:rsidR="00A30BF8" w:rsidRPr="007E6AC7" w:rsidRDefault="00A30BF8" w:rsidP="006F4762">
            <w:pPr>
              <w:spacing w:line="240" w:lineRule="auto"/>
              <w:jc w:val="left"/>
              <w:rPr>
                <w:color w:val="000000" w:themeColor="text1"/>
                <w:sz w:val="22"/>
              </w:rPr>
            </w:pPr>
            <w:r w:rsidRPr="007E6AC7">
              <w:rPr>
                <w:color w:val="000000" w:themeColor="text1"/>
                <w:sz w:val="22"/>
              </w:rPr>
              <w:t>acq_rd_intensity</w:t>
            </w:r>
          </w:p>
        </w:tc>
        <w:tc>
          <w:tcPr>
            <w:tcW w:w="699" w:type="dxa"/>
            <w:vAlign w:val="center"/>
            <w:hideMark/>
          </w:tcPr>
          <w:p w14:paraId="2451FA53"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.09</w:t>
            </w:r>
          </w:p>
        </w:tc>
        <w:tc>
          <w:tcPr>
            <w:tcW w:w="699" w:type="dxa"/>
            <w:vAlign w:val="center"/>
            <w:hideMark/>
          </w:tcPr>
          <w:p w14:paraId="77FD176B"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.02</w:t>
            </w:r>
          </w:p>
        </w:tc>
        <w:tc>
          <w:tcPr>
            <w:tcW w:w="700" w:type="dxa"/>
            <w:vAlign w:val="center"/>
            <w:hideMark/>
          </w:tcPr>
          <w:p w14:paraId="437858D6"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.19</w:t>
            </w:r>
          </w:p>
        </w:tc>
        <w:tc>
          <w:tcPr>
            <w:tcW w:w="699" w:type="dxa"/>
            <w:vAlign w:val="center"/>
            <w:hideMark/>
          </w:tcPr>
          <w:p w14:paraId="7AF4D20B"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.06</w:t>
            </w:r>
          </w:p>
        </w:tc>
        <w:tc>
          <w:tcPr>
            <w:tcW w:w="699" w:type="dxa"/>
            <w:vAlign w:val="center"/>
            <w:hideMark/>
          </w:tcPr>
          <w:p w14:paraId="1D2AFB11"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.13</w:t>
            </w:r>
          </w:p>
        </w:tc>
        <w:tc>
          <w:tcPr>
            <w:tcW w:w="700" w:type="dxa"/>
            <w:vAlign w:val="center"/>
            <w:hideMark/>
          </w:tcPr>
          <w:p w14:paraId="14EE7373" w14:textId="77777777" w:rsidR="00A30BF8" w:rsidRPr="007E6AC7" w:rsidRDefault="00A30BF8" w:rsidP="006F4762">
            <w:pPr>
              <w:spacing w:line="240" w:lineRule="auto"/>
              <w:jc w:val="center"/>
              <w:rPr>
                <w:color w:val="000000" w:themeColor="text1"/>
                <w:sz w:val="22"/>
              </w:rPr>
            </w:pPr>
            <w:r w:rsidRPr="007E6AC7">
              <w:rPr>
                <w:color w:val="000000" w:themeColor="text1"/>
                <w:sz w:val="22"/>
              </w:rPr>
              <w:t>-.29</w:t>
            </w:r>
          </w:p>
        </w:tc>
        <w:tc>
          <w:tcPr>
            <w:tcW w:w="699" w:type="dxa"/>
            <w:vAlign w:val="center"/>
            <w:hideMark/>
          </w:tcPr>
          <w:p w14:paraId="1ACFC611" w14:textId="77777777" w:rsidR="00A30BF8" w:rsidRPr="007E6AC7" w:rsidRDefault="00A30BF8" w:rsidP="006F4762">
            <w:pPr>
              <w:spacing w:line="240" w:lineRule="auto"/>
              <w:jc w:val="center"/>
              <w:rPr>
                <w:color w:val="000000" w:themeColor="text1"/>
                <w:sz w:val="22"/>
              </w:rPr>
            </w:pPr>
            <w:r w:rsidRPr="007E6AC7">
              <w:rPr>
                <w:color w:val="000000" w:themeColor="text1"/>
                <w:sz w:val="22"/>
              </w:rPr>
              <w:t>-.21</w:t>
            </w:r>
          </w:p>
        </w:tc>
        <w:tc>
          <w:tcPr>
            <w:tcW w:w="699" w:type="dxa"/>
            <w:vAlign w:val="center"/>
            <w:hideMark/>
          </w:tcPr>
          <w:p w14:paraId="2FEE3200" w14:textId="77777777" w:rsidR="00A30BF8" w:rsidRPr="007E6AC7" w:rsidRDefault="00A30BF8" w:rsidP="006F4762">
            <w:pPr>
              <w:spacing w:line="240" w:lineRule="auto"/>
              <w:jc w:val="center"/>
              <w:rPr>
                <w:color w:val="000000" w:themeColor="text1"/>
                <w:sz w:val="22"/>
              </w:rPr>
            </w:pPr>
            <w:r w:rsidRPr="007E6AC7">
              <w:rPr>
                <w:color w:val="000000" w:themeColor="text1"/>
                <w:sz w:val="22"/>
              </w:rPr>
              <w:t>.24</w:t>
            </w:r>
          </w:p>
        </w:tc>
        <w:tc>
          <w:tcPr>
            <w:tcW w:w="700" w:type="dxa"/>
            <w:vAlign w:val="center"/>
            <w:hideMark/>
          </w:tcPr>
          <w:p w14:paraId="6000E9D6"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-.05</w:t>
            </w:r>
          </w:p>
        </w:tc>
        <w:tc>
          <w:tcPr>
            <w:tcW w:w="699" w:type="dxa"/>
            <w:vAlign w:val="center"/>
            <w:hideMark/>
          </w:tcPr>
          <w:p w14:paraId="1E17ADA8"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.17</w:t>
            </w:r>
          </w:p>
        </w:tc>
        <w:tc>
          <w:tcPr>
            <w:tcW w:w="699" w:type="dxa"/>
            <w:vAlign w:val="center"/>
            <w:hideMark/>
          </w:tcPr>
          <w:p w14:paraId="0D6DC3A0"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w:t>
            </w:r>
          </w:p>
        </w:tc>
        <w:tc>
          <w:tcPr>
            <w:tcW w:w="700" w:type="dxa"/>
            <w:vAlign w:val="center"/>
          </w:tcPr>
          <w:p w14:paraId="46F69070" w14:textId="77777777" w:rsidR="00A30BF8" w:rsidRPr="007E6AC7" w:rsidRDefault="00A30BF8" w:rsidP="006F4762">
            <w:pPr>
              <w:spacing w:line="240" w:lineRule="auto"/>
              <w:jc w:val="center"/>
              <w:rPr>
                <w:color w:val="000000" w:themeColor="text1"/>
                <w:sz w:val="22"/>
              </w:rPr>
            </w:pPr>
          </w:p>
        </w:tc>
        <w:tc>
          <w:tcPr>
            <w:tcW w:w="699" w:type="dxa"/>
            <w:vAlign w:val="center"/>
          </w:tcPr>
          <w:p w14:paraId="7C10052E" w14:textId="77777777" w:rsidR="00A30BF8" w:rsidRPr="007E6AC7" w:rsidRDefault="00A30BF8" w:rsidP="006F4762">
            <w:pPr>
              <w:spacing w:line="240" w:lineRule="auto"/>
              <w:jc w:val="center"/>
              <w:rPr>
                <w:color w:val="000000" w:themeColor="text1"/>
                <w:sz w:val="22"/>
              </w:rPr>
            </w:pPr>
          </w:p>
        </w:tc>
        <w:tc>
          <w:tcPr>
            <w:tcW w:w="699" w:type="dxa"/>
            <w:vAlign w:val="center"/>
          </w:tcPr>
          <w:p w14:paraId="0DA3B684" w14:textId="77777777" w:rsidR="00A30BF8" w:rsidRPr="007E6AC7" w:rsidRDefault="00A30BF8" w:rsidP="006F4762">
            <w:pPr>
              <w:spacing w:line="240" w:lineRule="auto"/>
              <w:jc w:val="center"/>
              <w:rPr>
                <w:color w:val="000000" w:themeColor="text1"/>
                <w:sz w:val="22"/>
              </w:rPr>
            </w:pPr>
          </w:p>
        </w:tc>
        <w:tc>
          <w:tcPr>
            <w:tcW w:w="700" w:type="dxa"/>
            <w:vAlign w:val="center"/>
          </w:tcPr>
          <w:p w14:paraId="5C9DA2B8" w14:textId="77777777" w:rsidR="00A30BF8" w:rsidRPr="007E6AC7" w:rsidRDefault="00A30BF8" w:rsidP="006F4762">
            <w:pPr>
              <w:spacing w:line="240" w:lineRule="auto"/>
              <w:jc w:val="center"/>
              <w:rPr>
                <w:color w:val="000000" w:themeColor="text1"/>
                <w:sz w:val="22"/>
              </w:rPr>
            </w:pPr>
          </w:p>
        </w:tc>
      </w:tr>
      <w:tr w:rsidR="007E6AC7" w:rsidRPr="007E6AC7" w14:paraId="3520D3D2" w14:textId="77777777" w:rsidTr="00B6286E">
        <w:trPr>
          <w:trHeight w:val="210"/>
        </w:trPr>
        <w:tc>
          <w:tcPr>
            <w:tcW w:w="491" w:type="dxa"/>
            <w:vAlign w:val="center"/>
          </w:tcPr>
          <w:p w14:paraId="710584AE" w14:textId="77777777" w:rsidR="00A30BF8" w:rsidRPr="007E6AC7" w:rsidRDefault="00A30BF8" w:rsidP="006F4762">
            <w:pPr>
              <w:spacing w:line="240" w:lineRule="auto"/>
              <w:jc w:val="center"/>
              <w:rPr>
                <w:color w:val="000000" w:themeColor="text1"/>
                <w:sz w:val="22"/>
              </w:rPr>
            </w:pPr>
            <w:r w:rsidRPr="007E6AC7">
              <w:rPr>
                <w:color w:val="000000" w:themeColor="text1"/>
                <w:sz w:val="22"/>
              </w:rPr>
              <w:t>26.</w:t>
            </w:r>
          </w:p>
        </w:tc>
        <w:tc>
          <w:tcPr>
            <w:tcW w:w="4395" w:type="dxa"/>
            <w:vAlign w:val="center"/>
            <w:hideMark/>
          </w:tcPr>
          <w:p w14:paraId="7BC003E3" w14:textId="77777777" w:rsidR="00A30BF8" w:rsidRPr="007E6AC7" w:rsidRDefault="00A30BF8" w:rsidP="006F4762">
            <w:pPr>
              <w:spacing w:line="240" w:lineRule="auto"/>
              <w:jc w:val="left"/>
              <w:rPr>
                <w:color w:val="000000" w:themeColor="text1"/>
                <w:sz w:val="22"/>
              </w:rPr>
            </w:pPr>
            <w:r w:rsidRPr="007E6AC7">
              <w:rPr>
                <w:color w:val="000000" w:themeColor="text1"/>
                <w:sz w:val="22"/>
              </w:rPr>
              <w:t>tar_age</w:t>
            </w:r>
          </w:p>
        </w:tc>
        <w:tc>
          <w:tcPr>
            <w:tcW w:w="699" w:type="dxa"/>
            <w:vAlign w:val="center"/>
            <w:hideMark/>
          </w:tcPr>
          <w:p w14:paraId="1C2266E9"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-.17</w:t>
            </w:r>
          </w:p>
        </w:tc>
        <w:tc>
          <w:tcPr>
            <w:tcW w:w="699" w:type="dxa"/>
            <w:vAlign w:val="center"/>
            <w:hideMark/>
          </w:tcPr>
          <w:p w14:paraId="6ED2AFA4"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-.002</w:t>
            </w:r>
          </w:p>
        </w:tc>
        <w:tc>
          <w:tcPr>
            <w:tcW w:w="700" w:type="dxa"/>
            <w:vAlign w:val="center"/>
            <w:hideMark/>
          </w:tcPr>
          <w:p w14:paraId="23A90CDB" w14:textId="77777777" w:rsidR="00A30BF8" w:rsidRPr="007E6AC7" w:rsidRDefault="00A30BF8" w:rsidP="006F4762">
            <w:pPr>
              <w:spacing w:line="240" w:lineRule="auto"/>
              <w:jc w:val="center"/>
              <w:rPr>
                <w:color w:val="000000" w:themeColor="text1"/>
                <w:sz w:val="22"/>
              </w:rPr>
            </w:pPr>
            <w:r w:rsidRPr="007E6AC7">
              <w:rPr>
                <w:color w:val="000000" w:themeColor="text1"/>
                <w:sz w:val="22"/>
              </w:rPr>
              <w:t>-.22</w:t>
            </w:r>
          </w:p>
        </w:tc>
        <w:tc>
          <w:tcPr>
            <w:tcW w:w="699" w:type="dxa"/>
            <w:vAlign w:val="center"/>
            <w:hideMark/>
          </w:tcPr>
          <w:p w14:paraId="275F0527"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.07</w:t>
            </w:r>
          </w:p>
        </w:tc>
        <w:tc>
          <w:tcPr>
            <w:tcW w:w="699" w:type="dxa"/>
            <w:vAlign w:val="center"/>
            <w:hideMark/>
          </w:tcPr>
          <w:p w14:paraId="0355699C"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.05</w:t>
            </w:r>
          </w:p>
        </w:tc>
        <w:tc>
          <w:tcPr>
            <w:tcW w:w="700" w:type="dxa"/>
            <w:vAlign w:val="center"/>
            <w:hideMark/>
          </w:tcPr>
          <w:p w14:paraId="7EC1413D" w14:textId="77777777" w:rsidR="00A30BF8" w:rsidRPr="007E6AC7" w:rsidRDefault="00A30BF8" w:rsidP="006F4762">
            <w:pPr>
              <w:spacing w:line="240" w:lineRule="auto"/>
              <w:jc w:val="center"/>
              <w:rPr>
                <w:color w:val="000000" w:themeColor="text1"/>
                <w:sz w:val="22"/>
              </w:rPr>
            </w:pPr>
            <w:r w:rsidRPr="007E6AC7">
              <w:rPr>
                <w:color w:val="000000" w:themeColor="text1"/>
                <w:sz w:val="22"/>
              </w:rPr>
              <w:t>.39</w:t>
            </w:r>
          </w:p>
        </w:tc>
        <w:tc>
          <w:tcPr>
            <w:tcW w:w="699" w:type="dxa"/>
            <w:vAlign w:val="center"/>
            <w:hideMark/>
          </w:tcPr>
          <w:p w14:paraId="56F0AA83"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.13</w:t>
            </w:r>
          </w:p>
        </w:tc>
        <w:tc>
          <w:tcPr>
            <w:tcW w:w="699" w:type="dxa"/>
            <w:vAlign w:val="center"/>
            <w:hideMark/>
          </w:tcPr>
          <w:p w14:paraId="69CA3CFA"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-.05</w:t>
            </w:r>
          </w:p>
        </w:tc>
        <w:tc>
          <w:tcPr>
            <w:tcW w:w="700" w:type="dxa"/>
            <w:vAlign w:val="center"/>
            <w:hideMark/>
          </w:tcPr>
          <w:p w14:paraId="0E923769"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.06</w:t>
            </w:r>
          </w:p>
        </w:tc>
        <w:tc>
          <w:tcPr>
            <w:tcW w:w="699" w:type="dxa"/>
            <w:vAlign w:val="center"/>
            <w:hideMark/>
          </w:tcPr>
          <w:p w14:paraId="1A6482E6"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.06</w:t>
            </w:r>
          </w:p>
        </w:tc>
        <w:tc>
          <w:tcPr>
            <w:tcW w:w="699" w:type="dxa"/>
            <w:vAlign w:val="center"/>
            <w:hideMark/>
          </w:tcPr>
          <w:p w14:paraId="1CFE7D89" w14:textId="77777777" w:rsidR="00A30BF8" w:rsidRPr="007E6AC7" w:rsidRDefault="00A30BF8" w:rsidP="006F4762">
            <w:pPr>
              <w:spacing w:line="240" w:lineRule="auto"/>
              <w:jc w:val="center"/>
              <w:rPr>
                <w:color w:val="000000" w:themeColor="text1"/>
                <w:sz w:val="22"/>
              </w:rPr>
            </w:pPr>
            <w:r w:rsidRPr="007E6AC7">
              <w:rPr>
                <w:color w:val="000000" w:themeColor="text1"/>
                <w:sz w:val="22"/>
              </w:rPr>
              <w:t>-.28</w:t>
            </w:r>
          </w:p>
        </w:tc>
        <w:tc>
          <w:tcPr>
            <w:tcW w:w="700" w:type="dxa"/>
            <w:vAlign w:val="center"/>
            <w:hideMark/>
          </w:tcPr>
          <w:p w14:paraId="6A22AB49"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w:t>
            </w:r>
          </w:p>
        </w:tc>
        <w:tc>
          <w:tcPr>
            <w:tcW w:w="699" w:type="dxa"/>
            <w:vAlign w:val="center"/>
          </w:tcPr>
          <w:p w14:paraId="4F120A67" w14:textId="77777777" w:rsidR="00A30BF8" w:rsidRPr="007E6AC7" w:rsidRDefault="00A30BF8" w:rsidP="006F4762">
            <w:pPr>
              <w:spacing w:line="240" w:lineRule="auto"/>
              <w:jc w:val="center"/>
              <w:rPr>
                <w:color w:val="000000" w:themeColor="text1"/>
                <w:sz w:val="22"/>
              </w:rPr>
            </w:pPr>
          </w:p>
        </w:tc>
        <w:tc>
          <w:tcPr>
            <w:tcW w:w="699" w:type="dxa"/>
            <w:vAlign w:val="center"/>
          </w:tcPr>
          <w:p w14:paraId="0225E711" w14:textId="77777777" w:rsidR="00A30BF8" w:rsidRPr="007E6AC7" w:rsidRDefault="00A30BF8" w:rsidP="006F4762">
            <w:pPr>
              <w:spacing w:line="240" w:lineRule="auto"/>
              <w:jc w:val="center"/>
              <w:rPr>
                <w:color w:val="000000" w:themeColor="text1"/>
                <w:sz w:val="22"/>
              </w:rPr>
            </w:pPr>
          </w:p>
        </w:tc>
        <w:tc>
          <w:tcPr>
            <w:tcW w:w="700" w:type="dxa"/>
            <w:vAlign w:val="center"/>
          </w:tcPr>
          <w:p w14:paraId="031E1BE5" w14:textId="77777777" w:rsidR="00A30BF8" w:rsidRPr="007E6AC7" w:rsidRDefault="00A30BF8" w:rsidP="006F4762">
            <w:pPr>
              <w:spacing w:line="240" w:lineRule="auto"/>
              <w:jc w:val="center"/>
              <w:rPr>
                <w:color w:val="000000" w:themeColor="text1"/>
                <w:sz w:val="22"/>
              </w:rPr>
            </w:pPr>
          </w:p>
        </w:tc>
      </w:tr>
      <w:tr w:rsidR="007E6AC7" w:rsidRPr="007E6AC7" w14:paraId="62601D20" w14:textId="77777777" w:rsidTr="00B6286E">
        <w:trPr>
          <w:trHeight w:val="210"/>
        </w:trPr>
        <w:tc>
          <w:tcPr>
            <w:tcW w:w="491" w:type="dxa"/>
            <w:vAlign w:val="center"/>
          </w:tcPr>
          <w:p w14:paraId="476AEF88" w14:textId="77777777" w:rsidR="00A30BF8" w:rsidRPr="007E6AC7" w:rsidRDefault="00A30BF8" w:rsidP="006F4762">
            <w:pPr>
              <w:spacing w:line="240" w:lineRule="auto"/>
              <w:jc w:val="center"/>
              <w:rPr>
                <w:color w:val="000000" w:themeColor="text1"/>
                <w:sz w:val="22"/>
              </w:rPr>
            </w:pPr>
            <w:r w:rsidRPr="007E6AC7">
              <w:rPr>
                <w:color w:val="000000" w:themeColor="text1"/>
                <w:sz w:val="22"/>
              </w:rPr>
              <w:t>27.</w:t>
            </w:r>
          </w:p>
        </w:tc>
        <w:tc>
          <w:tcPr>
            <w:tcW w:w="4395" w:type="dxa"/>
            <w:vAlign w:val="center"/>
            <w:hideMark/>
          </w:tcPr>
          <w:p w14:paraId="6C741B35" w14:textId="77777777" w:rsidR="00A30BF8" w:rsidRPr="007E6AC7" w:rsidRDefault="00A30BF8" w:rsidP="006F4762">
            <w:pPr>
              <w:spacing w:line="240" w:lineRule="auto"/>
              <w:jc w:val="left"/>
              <w:rPr>
                <w:color w:val="000000" w:themeColor="text1"/>
                <w:sz w:val="22"/>
              </w:rPr>
            </w:pPr>
            <w:r w:rsidRPr="007E6AC7">
              <w:rPr>
                <w:color w:val="000000" w:themeColor="text1"/>
                <w:sz w:val="22"/>
              </w:rPr>
              <w:t>tar_assets_lastyear_ln</w:t>
            </w:r>
          </w:p>
        </w:tc>
        <w:tc>
          <w:tcPr>
            <w:tcW w:w="699" w:type="dxa"/>
            <w:vAlign w:val="center"/>
            <w:hideMark/>
          </w:tcPr>
          <w:p w14:paraId="051A53DC" w14:textId="77777777" w:rsidR="00A30BF8" w:rsidRPr="007E6AC7" w:rsidRDefault="00A30BF8" w:rsidP="006F4762">
            <w:pPr>
              <w:spacing w:line="240" w:lineRule="auto"/>
              <w:jc w:val="center"/>
              <w:rPr>
                <w:color w:val="000000" w:themeColor="text1"/>
                <w:sz w:val="22"/>
              </w:rPr>
            </w:pPr>
            <w:r w:rsidRPr="007E6AC7">
              <w:rPr>
                <w:color w:val="000000" w:themeColor="text1"/>
                <w:sz w:val="22"/>
              </w:rPr>
              <w:t>-.37</w:t>
            </w:r>
          </w:p>
        </w:tc>
        <w:tc>
          <w:tcPr>
            <w:tcW w:w="699" w:type="dxa"/>
            <w:vAlign w:val="center"/>
            <w:hideMark/>
          </w:tcPr>
          <w:p w14:paraId="5E0FC3A3" w14:textId="77777777" w:rsidR="00A30BF8" w:rsidRPr="007E6AC7" w:rsidRDefault="00A30BF8" w:rsidP="006F4762">
            <w:pPr>
              <w:spacing w:line="240" w:lineRule="auto"/>
              <w:jc w:val="center"/>
              <w:rPr>
                <w:color w:val="000000" w:themeColor="text1"/>
                <w:sz w:val="22"/>
              </w:rPr>
            </w:pPr>
            <w:r w:rsidRPr="007E6AC7">
              <w:rPr>
                <w:color w:val="000000" w:themeColor="text1"/>
                <w:sz w:val="22"/>
              </w:rPr>
              <w:t>.22</w:t>
            </w:r>
          </w:p>
        </w:tc>
        <w:tc>
          <w:tcPr>
            <w:tcW w:w="700" w:type="dxa"/>
            <w:vAlign w:val="center"/>
            <w:hideMark/>
          </w:tcPr>
          <w:p w14:paraId="1DD11E35" w14:textId="77777777" w:rsidR="00A30BF8" w:rsidRPr="007E6AC7" w:rsidRDefault="00A30BF8" w:rsidP="006F4762">
            <w:pPr>
              <w:spacing w:line="240" w:lineRule="auto"/>
              <w:jc w:val="center"/>
              <w:rPr>
                <w:color w:val="000000" w:themeColor="text1"/>
                <w:sz w:val="22"/>
              </w:rPr>
            </w:pPr>
            <w:r w:rsidRPr="007E6AC7">
              <w:rPr>
                <w:color w:val="000000" w:themeColor="text1"/>
                <w:sz w:val="22"/>
              </w:rPr>
              <w:t>-.28</w:t>
            </w:r>
          </w:p>
        </w:tc>
        <w:tc>
          <w:tcPr>
            <w:tcW w:w="699" w:type="dxa"/>
            <w:vAlign w:val="center"/>
            <w:hideMark/>
          </w:tcPr>
          <w:p w14:paraId="7A80907F"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-.03</w:t>
            </w:r>
          </w:p>
        </w:tc>
        <w:tc>
          <w:tcPr>
            <w:tcW w:w="699" w:type="dxa"/>
            <w:vAlign w:val="center"/>
            <w:hideMark/>
          </w:tcPr>
          <w:p w14:paraId="31344FA6"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.08</w:t>
            </w:r>
          </w:p>
        </w:tc>
        <w:tc>
          <w:tcPr>
            <w:tcW w:w="700" w:type="dxa"/>
            <w:vAlign w:val="center"/>
            <w:hideMark/>
          </w:tcPr>
          <w:p w14:paraId="3EE0625B" w14:textId="77777777" w:rsidR="00A30BF8" w:rsidRPr="007E6AC7" w:rsidRDefault="00A30BF8" w:rsidP="006F4762">
            <w:pPr>
              <w:spacing w:line="240" w:lineRule="auto"/>
              <w:jc w:val="center"/>
              <w:rPr>
                <w:color w:val="000000" w:themeColor="text1"/>
                <w:sz w:val="22"/>
              </w:rPr>
            </w:pPr>
            <w:r w:rsidRPr="007E6AC7">
              <w:rPr>
                <w:color w:val="000000" w:themeColor="text1"/>
                <w:sz w:val="22"/>
              </w:rPr>
              <w:t>.29</w:t>
            </w:r>
          </w:p>
        </w:tc>
        <w:tc>
          <w:tcPr>
            <w:tcW w:w="699" w:type="dxa"/>
            <w:vAlign w:val="center"/>
            <w:hideMark/>
          </w:tcPr>
          <w:p w14:paraId="412A08BD" w14:textId="77777777" w:rsidR="00A30BF8" w:rsidRPr="007E6AC7" w:rsidRDefault="00A30BF8" w:rsidP="006F4762">
            <w:pPr>
              <w:spacing w:line="240" w:lineRule="auto"/>
              <w:jc w:val="center"/>
              <w:rPr>
                <w:color w:val="000000" w:themeColor="text1"/>
                <w:sz w:val="22"/>
              </w:rPr>
            </w:pPr>
            <w:r w:rsidRPr="007E6AC7">
              <w:rPr>
                <w:color w:val="000000" w:themeColor="text1"/>
                <w:sz w:val="22"/>
              </w:rPr>
              <w:t>.63</w:t>
            </w:r>
          </w:p>
        </w:tc>
        <w:tc>
          <w:tcPr>
            <w:tcW w:w="699" w:type="dxa"/>
            <w:vAlign w:val="center"/>
            <w:hideMark/>
          </w:tcPr>
          <w:p w14:paraId="049DFFAC"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-.01</w:t>
            </w:r>
          </w:p>
        </w:tc>
        <w:tc>
          <w:tcPr>
            <w:tcW w:w="700" w:type="dxa"/>
            <w:vAlign w:val="center"/>
            <w:hideMark/>
          </w:tcPr>
          <w:p w14:paraId="3C662820"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.08</w:t>
            </w:r>
          </w:p>
        </w:tc>
        <w:tc>
          <w:tcPr>
            <w:tcW w:w="699" w:type="dxa"/>
            <w:vAlign w:val="center"/>
            <w:hideMark/>
          </w:tcPr>
          <w:p w14:paraId="361E27C5"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.16</w:t>
            </w:r>
          </w:p>
        </w:tc>
        <w:tc>
          <w:tcPr>
            <w:tcW w:w="699" w:type="dxa"/>
            <w:vAlign w:val="center"/>
            <w:hideMark/>
          </w:tcPr>
          <w:p w14:paraId="3DE889BB" w14:textId="77777777" w:rsidR="00A30BF8" w:rsidRPr="007E6AC7" w:rsidRDefault="00A30BF8" w:rsidP="006F4762">
            <w:pPr>
              <w:spacing w:line="240" w:lineRule="auto"/>
              <w:jc w:val="center"/>
              <w:rPr>
                <w:color w:val="000000" w:themeColor="text1"/>
                <w:sz w:val="22"/>
              </w:rPr>
            </w:pPr>
            <w:r w:rsidRPr="007E6AC7">
              <w:rPr>
                <w:color w:val="000000" w:themeColor="text1"/>
                <w:sz w:val="22"/>
              </w:rPr>
              <w:t>-.21</w:t>
            </w:r>
          </w:p>
        </w:tc>
        <w:tc>
          <w:tcPr>
            <w:tcW w:w="700" w:type="dxa"/>
            <w:vAlign w:val="center"/>
            <w:hideMark/>
          </w:tcPr>
          <w:p w14:paraId="1CF8AA9F" w14:textId="77777777" w:rsidR="00A30BF8" w:rsidRPr="007E6AC7" w:rsidRDefault="00A30BF8" w:rsidP="006F4762">
            <w:pPr>
              <w:spacing w:line="240" w:lineRule="auto"/>
              <w:jc w:val="center"/>
              <w:rPr>
                <w:color w:val="000000" w:themeColor="text1"/>
                <w:sz w:val="22"/>
              </w:rPr>
            </w:pPr>
            <w:r w:rsidRPr="007E6AC7">
              <w:rPr>
                <w:color w:val="000000" w:themeColor="text1"/>
                <w:sz w:val="22"/>
              </w:rPr>
              <w:t>.36</w:t>
            </w:r>
          </w:p>
        </w:tc>
        <w:tc>
          <w:tcPr>
            <w:tcW w:w="699" w:type="dxa"/>
            <w:vAlign w:val="center"/>
            <w:hideMark/>
          </w:tcPr>
          <w:p w14:paraId="0AB64785"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w:t>
            </w:r>
          </w:p>
        </w:tc>
        <w:tc>
          <w:tcPr>
            <w:tcW w:w="699" w:type="dxa"/>
            <w:vAlign w:val="center"/>
          </w:tcPr>
          <w:p w14:paraId="0DE25DCF" w14:textId="77777777" w:rsidR="00A30BF8" w:rsidRPr="007E6AC7" w:rsidRDefault="00A30BF8" w:rsidP="006F4762">
            <w:pPr>
              <w:spacing w:line="240" w:lineRule="auto"/>
              <w:jc w:val="center"/>
              <w:rPr>
                <w:color w:val="000000" w:themeColor="text1"/>
                <w:sz w:val="22"/>
              </w:rPr>
            </w:pPr>
          </w:p>
        </w:tc>
        <w:tc>
          <w:tcPr>
            <w:tcW w:w="700" w:type="dxa"/>
            <w:vAlign w:val="center"/>
          </w:tcPr>
          <w:p w14:paraId="40359349" w14:textId="77777777" w:rsidR="00A30BF8" w:rsidRPr="007E6AC7" w:rsidRDefault="00A30BF8" w:rsidP="006F4762">
            <w:pPr>
              <w:spacing w:line="240" w:lineRule="auto"/>
              <w:jc w:val="center"/>
              <w:rPr>
                <w:color w:val="000000" w:themeColor="text1"/>
                <w:sz w:val="22"/>
              </w:rPr>
            </w:pPr>
          </w:p>
        </w:tc>
      </w:tr>
      <w:tr w:rsidR="007E6AC7" w:rsidRPr="007E6AC7" w14:paraId="796A1EB2" w14:textId="77777777" w:rsidTr="00B6286E">
        <w:trPr>
          <w:trHeight w:val="210"/>
        </w:trPr>
        <w:tc>
          <w:tcPr>
            <w:tcW w:w="491" w:type="dxa"/>
            <w:vAlign w:val="center"/>
          </w:tcPr>
          <w:p w14:paraId="1C4A4B04" w14:textId="77777777" w:rsidR="00A30BF8" w:rsidRPr="007E6AC7" w:rsidRDefault="00A30BF8" w:rsidP="006F4762">
            <w:pPr>
              <w:spacing w:line="240" w:lineRule="auto"/>
              <w:jc w:val="center"/>
              <w:rPr>
                <w:color w:val="000000" w:themeColor="text1"/>
                <w:sz w:val="22"/>
              </w:rPr>
            </w:pPr>
            <w:r w:rsidRPr="007E6AC7">
              <w:rPr>
                <w:color w:val="000000" w:themeColor="text1"/>
                <w:sz w:val="22"/>
              </w:rPr>
              <w:t>28.</w:t>
            </w:r>
          </w:p>
        </w:tc>
        <w:tc>
          <w:tcPr>
            <w:tcW w:w="4395" w:type="dxa"/>
            <w:vAlign w:val="center"/>
            <w:hideMark/>
          </w:tcPr>
          <w:p w14:paraId="692C8BA1" w14:textId="77777777" w:rsidR="00A30BF8" w:rsidRPr="007E6AC7" w:rsidRDefault="00A30BF8" w:rsidP="006F4762">
            <w:pPr>
              <w:spacing w:line="240" w:lineRule="auto"/>
              <w:jc w:val="left"/>
              <w:rPr>
                <w:color w:val="000000" w:themeColor="text1"/>
                <w:sz w:val="22"/>
              </w:rPr>
            </w:pPr>
            <w:r w:rsidRPr="007E6AC7">
              <w:rPr>
                <w:color w:val="000000" w:themeColor="text1"/>
                <w:sz w:val="22"/>
              </w:rPr>
              <w:t>tar_roa_lastyear</w:t>
            </w:r>
          </w:p>
        </w:tc>
        <w:tc>
          <w:tcPr>
            <w:tcW w:w="699" w:type="dxa"/>
            <w:vAlign w:val="center"/>
            <w:hideMark/>
          </w:tcPr>
          <w:p w14:paraId="47E404C1"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-.08</w:t>
            </w:r>
          </w:p>
        </w:tc>
        <w:tc>
          <w:tcPr>
            <w:tcW w:w="699" w:type="dxa"/>
            <w:vAlign w:val="center"/>
            <w:hideMark/>
          </w:tcPr>
          <w:p w14:paraId="1197456B"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-.08</w:t>
            </w:r>
          </w:p>
        </w:tc>
        <w:tc>
          <w:tcPr>
            <w:tcW w:w="700" w:type="dxa"/>
            <w:vAlign w:val="center"/>
            <w:hideMark/>
          </w:tcPr>
          <w:p w14:paraId="734EE386"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-.12</w:t>
            </w:r>
          </w:p>
        </w:tc>
        <w:tc>
          <w:tcPr>
            <w:tcW w:w="699" w:type="dxa"/>
            <w:vAlign w:val="center"/>
            <w:hideMark/>
          </w:tcPr>
          <w:p w14:paraId="347B7AB9"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-.05</w:t>
            </w:r>
          </w:p>
        </w:tc>
        <w:tc>
          <w:tcPr>
            <w:tcW w:w="699" w:type="dxa"/>
            <w:vAlign w:val="center"/>
            <w:hideMark/>
          </w:tcPr>
          <w:p w14:paraId="001FEC8B"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-.14</w:t>
            </w:r>
          </w:p>
        </w:tc>
        <w:tc>
          <w:tcPr>
            <w:tcW w:w="700" w:type="dxa"/>
            <w:vAlign w:val="center"/>
            <w:hideMark/>
          </w:tcPr>
          <w:p w14:paraId="63C24219" w14:textId="77777777" w:rsidR="00A30BF8" w:rsidRPr="007E6AC7" w:rsidRDefault="00A30BF8" w:rsidP="006F4762">
            <w:pPr>
              <w:spacing w:line="240" w:lineRule="auto"/>
              <w:jc w:val="center"/>
              <w:rPr>
                <w:color w:val="000000" w:themeColor="text1"/>
                <w:sz w:val="22"/>
              </w:rPr>
            </w:pPr>
            <w:r w:rsidRPr="007E6AC7">
              <w:rPr>
                <w:color w:val="000000" w:themeColor="text1"/>
                <w:sz w:val="22"/>
              </w:rPr>
              <w:t>.20</w:t>
            </w:r>
          </w:p>
        </w:tc>
        <w:tc>
          <w:tcPr>
            <w:tcW w:w="699" w:type="dxa"/>
            <w:vAlign w:val="center"/>
            <w:hideMark/>
          </w:tcPr>
          <w:p w14:paraId="2E6E9C5D"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.06</w:t>
            </w:r>
          </w:p>
        </w:tc>
        <w:tc>
          <w:tcPr>
            <w:tcW w:w="699" w:type="dxa"/>
            <w:vAlign w:val="center"/>
            <w:hideMark/>
          </w:tcPr>
          <w:p w14:paraId="6471777F"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-.04</w:t>
            </w:r>
          </w:p>
        </w:tc>
        <w:tc>
          <w:tcPr>
            <w:tcW w:w="700" w:type="dxa"/>
            <w:vAlign w:val="center"/>
            <w:hideMark/>
          </w:tcPr>
          <w:p w14:paraId="70022990"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.01</w:t>
            </w:r>
          </w:p>
        </w:tc>
        <w:tc>
          <w:tcPr>
            <w:tcW w:w="699" w:type="dxa"/>
            <w:vAlign w:val="center"/>
            <w:hideMark/>
          </w:tcPr>
          <w:p w14:paraId="1E015EC5"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-.03</w:t>
            </w:r>
          </w:p>
        </w:tc>
        <w:tc>
          <w:tcPr>
            <w:tcW w:w="699" w:type="dxa"/>
            <w:vAlign w:val="center"/>
            <w:hideMark/>
          </w:tcPr>
          <w:p w14:paraId="359D5CF2"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-.18</w:t>
            </w:r>
          </w:p>
        </w:tc>
        <w:tc>
          <w:tcPr>
            <w:tcW w:w="700" w:type="dxa"/>
            <w:vAlign w:val="center"/>
            <w:hideMark/>
          </w:tcPr>
          <w:p w14:paraId="71037E49"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.17</w:t>
            </w:r>
          </w:p>
        </w:tc>
        <w:tc>
          <w:tcPr>
            <w:tcW w:w="699" w:type="dxa"/>
            <w:vAlign w:val="center"/>
            <w:hideMark/>
          </w:tcPr>
          <w:p w14:paraId="2E10B693"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.13</w:t>
            </w:r>
          </w:p>
        </w:tc>
        <w:tc>
          <w:tcPr>
            <w:tcW w:w="699" w:type="dxa"/>
            <w:vAlign w:val="center"/>
            <w:hideMark/>
          </w:tcPr>
          <w:p w14:paraId="5238E936"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w:t>
            </w:r>
          </w:p>
        </w:tc>
        <w:tc>
          <w:tcPr>
            <w:tcW w:w="700" w:type="dxa"/>
            <w:vAlign w:val="center"/>
            <w:hideMark/>
          </w:tcPr>
          <w:p w14:paraId="6C57A537" w14:textId="77777777" w:rsidR="00A30BF8" w:rsidRPr="007E6AC7" w:rsidRDefault="00A30BF8" w:rsidP="006F4762">
            <w:pPr>
              <w:spacing w:line="240" w:lineRule="auto"/>
              <w:jc w:val="center"/>
              <w:rPr>
                <w:color w:val="000000" w:themeColor="text1"/>
                <w:sz w:val="22"/>
              </w:rPr>
            </w:pPr>
          </w:p>
        </w:tc>
      </w:tr>
      <w:tr w:rsidR="007E6AC7" w:rsidRPr="007E6AC7" w14:paraId="3A9A1A19" w14:textId="77777777" w:rsidTr="00B6286E">
        <w:trPr>
          <w:trHeight w:val="210"/>
        </w:trPr>
        <w:tc>
          <w:tcPr>
            <w:tcW w:w="491" w:type="dxa"/>
            <w:tcBorders>
              <w:bottom w:val="single" w:sz="4" w:space="0" w:color="auto"/>
            </w:tcBorders>
            <w:vAlign w:val="center"/>
          </w:tcPr>
          <w:p w14:paraId="77288C45" w14:textId="77777777" w:rsidR="00A30BF8" w:rsidRPr="007E6AC7" w:rsidRDefault="00A30BF8" w:rsidP="006F4762">
            <w:pPr>
              <w:spacing w:line="240" w:lineRule="auto"/>
              <w:jc w:val="center"/>
              <w:rPr>
                <w:color w:val="000000" w:themeColor="text1"/>
                <w:sz w:val="22"/>
              </w:rPr>
            </w:pPr>
            <w:r w:rsidRPr="007E6AC7">
              <w:rPr>
                <w:color w:val="000000" w:themeColor="text1"/>
                <w:sz w:val="22"/>
              </w:rPr>
              <w:t>29.</w:t>
            </w:r>
          </w:p>
        </w:tc>
        <w:tc>
          <w:tcPr>
            <w:tcW w:w="4395" w:type="dxa"/>
            <w:tcBorders>
              <w:bottom w:val="single" w:sz="4" w:space="0" w:color="auto"/>
            </w:tcBorders>
            <w:vAlign w:val="center"/>
            <w:hideMark/>
          </w:tcPr>
          <w:p w14:paraId="699A2BC6" w14:textId="77777777" w:rsidR="00A30BF8" w:rsidRPr="007E6AC7" w:rsidRDefault="00A30BF8" w:rsidP="006F4762">
            <w:pPr>
              <w:spacing w:line="240" w:lineRule="auto"/>
              <w:jc w:val="left"/>
              <w:rPr>
                <w:color w:val="000000" w:themeColor="text1"/>
                <w:sz w:val="22"/>
              </w:rPr>
            </w:pPr>
            <w:r w:rsidRPr="007E6AC7">
              <w:rPr>
                <w:color w:val="000000" w:themeColor="text1"/>
                <w:sz w:val="22"/>
              </w:rPr>
              <w:t>tar_mbratio</w:t>
            </w:r>
          </w:p>
        </w:tc>
        <w:tc>
          <w:tcPr>
            <w:tcW w:w="699" w:type="dxa"/>
            <w:tcBorders>
              <w:bottom w:val="single" w:sz="4" w:space="0" w:color="auto"/>
            </w:tcBorders>
            <w:vAlign w:val="center"/>
            <w:hideMark/>
          </w:tcPr>
          <w:p w14:paraId="0D7D4FF7"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.11</w:t>
            </w:r>
          </w:p>
        </w:tc>
        <w:tc>
          <w:tcPr>
            <w:tcW w:w="699" w:type="dxa"/>
            <w:tcBorders>
              <w:bottom w:val="single" w:sz="4" w:space="0" w:color="auto"/>
            </w:tcBorders>
            <w:vAlign w:val="center"/>
            <w:hideMark/>
          </w:tcPr>
          <w:p w14:paraId="1B716616"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-.10</w:t>
            </w:r>
          </w:p>
        </w:tc>
        <w:tc>
          <w:tcPr>
            <w:tcW w:w="700" w:type="dxa"/>
            <w:tcBorders>
              <w:bottom w:val="single" w:sz="4" w:space="0" w:color="auto"/>
            </w:tcBorders>
            <w:vAlign w:val="center"/>
            <w:hideMark/>
          </w:tcPr>
          <w:p w14:paraId="68662C09"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.08</w:t>
            </w:r>
          </w:p>
        </w:tc>
        <w:tc>
          <w:tcPr>
            <w:tcW w:w="699" w:type="dxa"/>
            <w:tcBorders>
              <w:bottom w:val="single" w:sz="4" w:space="0" w:color="auto"/>
            </w:tcBorders>
            <w:vAlign w:val="center"/>
            <w:hideMark/>
          </w:tcPr>
          <w:p w14:paraId="32B45180"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.02</w:t>
            </w:r>
          </w:p>
        </w:tc>
        <w:tc>
          <w:tcPr>
            <w:tcW w:w="699" w:type="dxa"/>
            <w:tcBorders>
              <w:bottom w:val="single" w:sz="4" w:space="0" w:color="auto"/>
            </w:tcBorders>
            <w:vAlign w:val="center"/>
            <w:hideMark/>
          </w:tcPr>
          <w:p w14:paraId="4AA77B7C"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.02</w:t>
            </w:r>
          </w:p>
        </w:tc>
        <w:tc>
          <w:tcPr>
            <w:tcW w:w="700" w:type="dxa"/>
            <w:tcBorders>
              <w:bottom w:val="single" w:sz="4" w:space="0" w:color="auto"/>
            </w:tcBorders>
            <w:vAlign w:val="center"/>
            <w:hideMark/>
          </w:tcPr>
          <w:p w14:paraId="163911AD"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-.12</w:t>
            </w:r>
          </w:p>
        </w:tc>
        <w:tc>
          <w:tcPr>
            <w:tcW w:w="699" w:type="dxa"/>
            <w:tcBorders>
              <w:bottom w:val="single" w:sz="4" w:space="0" w:color="auto"/>
            </w:tcBorders>
            <w:vAlign w:val="center"/>
            <w:hideMark/>
          </w:tcPr>
          <w:p w14:paraId="2667D438"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.05</w:t>
            </w:r>
          </w:p>
        </w:tc>
        <w:tc>
          <w:tcPr>
            <w:tcW w:w="699" w:type="dxa"/>
            <w:tcBorders>
              <w:bottom w:val="single" w:sz="4" w:space="0" w:color="auto"/>
            </w:tcBorders>
            <w:vAlign w:val="center"/>
            <w:hideMark/>
          </w:tcPr>
          <w:p w14:paraId="78452EEC"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.10</w:t>
            </w:r>
          </w:p>
        </w:tc>
        <w:tc>
          <w:tcPr>
            <w:tcW w:w="700" w:type="dxa"/>
            <w:tcBorders>
              <w:bottom w:val="single" w:sz="4" w:space="0" w:color="auto"/>
            </w:tcBorders>
            <w:vAlign w:val="center"/>
            <w:hideMark/>
          </w:tcPr>
          <w:p w14:paraId="112617FC"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.03</w:t>
            </w:r>
          </w:p>
        </w:tc>
        <w:tc>
          <w:tcPr>
            <w:tcW w:w="699" w:type="dxa"/>
            <w:tcBorders>
              <w:bottom w:val="single" w:sz="4" w:space="0" w:color="auto"/>
            </w:tcBorders>
            <w:vAlign w:val="center"/>
            <w:hideMark/>
          </w:tcPr>
          <w:p w14:paraId="7D72E8F2"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.10</w:t>
            </w:r>
          </w:p>
        </w:tc>
        <w:tc>
          <w:tcPr>
            <w:tcW w:w="699" w:type="dxa"/>
            <w:tcBorders>
              <w:bottom w:val="single" w:sz="4" w:space="0" w:color="auto"/>
            </w:tcBorders>
            <w:vAlign w:val="center"/>
            <w:hideMark/>
          </w:tcPr>
          <w:p w14:paraId="3C5F9A47" w14:textId="77777777" w:rsidR="00A30BF8" w:rsidRPr="007E6AC7" w:rsidRDefault="00A30BF8" w:rsidP="006F4762">
            <w:pPr>
              <w:spacing w:line="240" w:lineRule="auto"/>
              <w:jc w:val="center"/>
              <w:rPr>
                <w:color w:val="000000" w:themeColor="text1"/>
                <w:sz w:val="22"/>
              </w:rPr>
            </w:pPr>
            <w:r w:rsidRPr="007E6AC7">
              <w:rPr>
                <w:color w:val="000000" w:themeColor="text1"/>
                <w:sz w:val="22"/>
              </w:rPr>
              <w:t>.21</w:t>
            </w:r>
          </w:p>
        </w:tc>
        <w:tc>
          <w:tcPr>
            <w:tcW w:w="700" w:type="dxa"/>
            <w:tcBorders>
              <w:bottom w:val="single" w:sz="4" w:space="0" w:color="auto"/>
            </w:tcBorders>
            <w:vAlign w:val="center"/>
            <w:hideMark/>
          </w:tcPr>
          <w:p w14:paraId="3AAE7421"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-.16</w:t>
            </w:r>
          </w:p>
        </w:tc>
        <w:tc>
          <w:tcPr>
            <w:tcW w:w="699" w:type="dxa"/>
            <w:tcBorders>
              <w:bottom w:val="single" w:sz="4" w:space="0" w:color="auto"/>
            </w:tcBorders>
            <w:vAlign w:val="center"/>
            <w:hideMark/>
          </w:tcPr>
          <w:p w14:paraId="51A9E3C3" w14:textId="77777777" w:rsidR="00A30BF8" w:rsidRPr="007E6AC7" w:rsidRDefault="00A30BF8" w:rsidP="006F4762">
            <w:pPr>
              <w:spacing w:line="240" w:lineRule="auto"/>
              <w:jc w:val="center"/>
              <w:rPr>
                <w:color w:val="000000" w:themeColor="text1"/>
                <w:sz w:val="22"/>
              </w:rPr>
            </w:pPr>
            <w:r w:rsidRPr="007E6AC7">
              <w:rPr>
                <w:color w:val="000000" w:themeColor="text1"/>
                <w:sz w:val="22"/>
              </w:rPr>
              <w:t>-.20</w:t>
            </w:r>
          </w:p>
        </w:tc>
        <w:tc>
          <w:tcPr>
            <w:tcW w:w="699" w:type="dxa"/>
            <w:tcBorders>
              <w:bottom w:val="single" w:sz="4" w:space="0" w:color="auto"/>
            </w:tcBorders>
            <w:vAlign w:val="center"/>
            <w:hideMark/>
          </w:tcPr>
          <w:p w14:paraId="7D939E81" w14:textId="77777777" w:rsidR="00A30BF8" w:rsidRPr="007E6AC7" w:rsidRDefault="00A30BF8" w:rsidP="006F4762">
            <w:pPr>
              <w:spacing w:line="240" w:lineRule="auto"/>
              <w:jc w:val="center"/>
              <w:rPr>
                <w:color w:val="000000" w:themeColor="text1"/>
                <w:sz w:val="22"/>
              </w:rPr>
            </w:pPr>
            <w:r w:rsidRPr="007E6AC7">
              <w:rPr>
                <w:color w:val="000000" w:themeColor="text1"/>
                <w:sz w:val="22"/>
              </w:rPr>
              <w:t>-.07</w:t>
            </w:r>
          </w:p>
        </w:tc>
        <w:tc>
          <w:tcPr>
            <w:tcW w:w="700" w:type="dxa"/>
            <w:tcBorders>
              <w:bottom w:val="single" w:sz="4" w:space="0" w:color="auto"/>
            </w:tcBorders>
            <w:vAlign w:val="center"/>
            <w:hideMark/>
          </w:tcPr>
          <w:p w14:paraId="2334C5EF" w14:textId="77777777" w:rsidR="00A30BF8" w:rsidRPr="007E6AC7" w:rsidRDefault="00A30BF8" w:rsidP="006F4762">
            <w:pPr>
              <w:spacing w:line="240" w:lineRule="auto"/>
              <w:jc w:val="center"/>
              <w:rPr>
                <w:color w:val="000000" w:themeColor="text1"/>
                <w:sz w:val="22"/>
              </w:rPr>
            </w:pPr>
            <w:r w:rsidRPr="007E6AC7">
              <w:rPr>
                <w:color w:val="000000" w:themeColor="text1"/>
                <w:sz w:val="22"/>
              </w:rPr>
              <w:t>1</w:t>
            </w:r>
          </w:p>
        </w:tc>
      </w:tr>
      <w:tr w:rsidR="00A30BF8" w:rsidRPr="007E6AC7" w14:paraId="7B638827" w14:textId="77777777" w:rsidTr="00B6286E">
        <w:trPr>
          <w:trHeight w:val="210"/>
        </w:trPr>
        <w:tc>
          <w:tcPr>
            <w:tcW w:w="15376" w:type="dxa"/>
            <w:gridSpan w:val="17"/>
            <w:tcBorders>
              <w:top w:val="single" w:sz="4" w:space="0" w:color="auto"/>
            </w:tcBorders>
            <w:vAlign w:val="center"/>
          </w:tcPr>
          <w:p w14:paraId="7043FD91" w14:textId="778D7B32" w:rsidR="00A30BF8" w:rsidRPr="007E6AC7" w:rsidRDefault="00B6286E" w:rsidP="006F4762">
            <w:pPr>
              <w:spacing w:line="240" w:lineRule="auto"/>
              <w:jc w:val="center"/>
              <w:rPr>
                <w:color w:val="000000" w:themeColor="text1"/>
                <w:sz w:val="22"/>
                <w:lang w:val="en-US"/>
              </w:rPr>
            </w:pPr>
            <w:r w:rsidRPr="00882210">
              <w:rPr>
                <w:i/>
                <w:iCs/>
                <w:color w:val="000000" w:themeColor="text1"/>
                <w:sz w:val="22"/>
                <w:lang w:val="en-US"/>
              </w:rPr>
              <w:t>Note</w:t>
            </w:r>
            <w:r w:rsidRPr="00882210">
              <w:rPr>
                <w:color w:val="000000" w:themeColor="text1"/>
                <w:sz w:val="22"/>
                <w:lang w:val="en-US"/>
              </w:rPr>
              <w:t>. This table presents correlations</w:t>
            </w:r>
            <w:r>
              <w:rPr>
                <w:color w:val="000000" w:themeColor="text1"/>
                <w:sz w:val="22"/>
                <w:lang w:val="en-US"/>
              </w:rPr>
              <w:t xml:space="preserve"> coefficients </w:t>
            </w:r>
            <w:r w:rsidRPr="00882210">
              <w:rPr>
                <w:color w:val="000000" w:themeColor="text1"/>
                <w:sz w:val="22"/>
                <w:lang w:val="en-US"/>
              </w:rPr>
              <w:t xml:space="preserve">for the variables used in the main part of our analysis. </w:t>
            </w:r>
            <w:r>
              <w:rPr>
                <w:color w:val="000000" w:themeColor="text1"/>
                <w:sz w:val="22"/>
                <w:lang w:val="en-US"/>
              </w:rPr>
              <w:t xml:space="preserve">A </w:t>
            </w:r>
            <w:r w:rsidRPr="00882210">
              <w:rPr>
                <w:color w:val="000000" w:themeColor="text1"/>
                <w:sz w:val="22"/>
                <w:lang w:val="en-US"/>
              </w:rPr>
              <w:t>variable description can be found in Appendix B.</w:t>
            </w:r>
          </w:p>
        </w:tc>
      </w:tr>
    </w:tbl>
    <w:p w14:paraId="21324189" w14:textId="77777777" w:rsidR="00882210" w:rsidRDefault="00882210" w:rsidP="00D14819">
      <w:pPr>
        <w:rPr>
          <w:color w:val="000000" w:themeColor="text1"/>
          <w:lang w:val="en-US"/>
        </w:rPr>
      </w:pPr>
    </w:p>
    <w:p w14:paraId="0C091A0B" w14:textId="77777777" w:rsidR="00882210" w:rsidRPr="000C4487" w:rsidRDefault="00882210" w:rsidP="00D14819">
      <w:pPr>
        <w:rPr>
          <w:color w:val="000000" w:themeColor="text1"/>
          <w:lang w:val="en-US"/>
        </w:rPr>
        <w:sectPr w:rsidR="00882210" w:rsidRPr="000C4487" w:rsidSect="00794C6C">
          <w:footerReference w:type="default" r:id="rId68"/>
          <w:pgSz w:w="16838" w:h="11906" w:orient="landscape"/>
          <w:pgMar w:top="1417" w:right="1417" w:bottom="1134" w:left="1417" w:header="709" w:footer="709" w:gutter="0"/>
          <w:cols w:space="708"/>
          <w:docGrid w:linePitch="360"/>
        </w:sectPr>
      </w:pPr>
    </w:p>
    <w:p w14:paraId="03E77578" w14:textId="77777777" w:rsidR="00D14819" w:rsidRPr="00D14819" w:rsidRDefault="00D14819" w:rsidP="00D14819">
      <w:pPr>
        <w:pStyle w:val="1fake"/>
        <w:rPr>
          <w:rStyle w:val="SchwacherVerweis"/>
          <w:smallCaps w:val="0"/>
          <w:color w:val="auto"/>
        </w:rPr>
      </w:pPr>
      <w:r w:rsidRPr="00D14819">
        <w:rPr>
          <w:rStyle w:val="SchwacherVerweis"/>
          <w:smallCaps w:val="0"/>
          <w:color w:val="auto"/>
        </w:rPr>
        <w:lastRenderedPageBreak/>
        <w:t>Table 5</w:t>
      </w:r>
    </w:p>
    <w:p w14:paraId="41596B8B" w14:textId="51B3201A" w:rsidR="00CA039A" w:rsidRPr="00CA039A" w:rsidRDefault="00106E8D" w:rsidP="00CA039A">
      <w:pPr>
        <w:pStyle w:val="Beschriftung"/>
      </w:pPr>
      <w:bookmarkStart w:id="613" w:name="_Toc180594841"/>
      <w:r>
        <w:t xml:space="preserve">T - III - </w:t>
      </w:r>
      <w:r>
        <w:fldChar w:fldCharType="begin"/>
      </w:r>
      <w:r w:rsidRPr="00CE03DC">
        <w:instrText xml:space="preserve"> SEQ T_-_III_- \* ARABIC </w:instrText>
      </w:r>
      <w:r>
        <w:fldChar w:fldCharType="separate"/>
      </w:r>
      <w:r w:rsidR="00E91088">
        <w:rPr>
          <w:noProof/>
        </w:rPr>
        <w:t>5</w:t>
      </w:r>
      <w:r>
        <w:fldChar w:fldCharType="end"/>
      </w:r>
      <w:r>
        <w:t xml:space="preserve">: </w:t>
      </w:r>
      <w:r w:rsidRPr="00C5311B">
        <w:t>H1a: Capital market reactions (CARs)</w:t>
      </w:r>
      <w:bookmarkEnd w:id="613"/>
    </w:p>
    <w:tbl>
      <w:tblPr>
        <w:tblW w:w="9072" w:type="dxa"/>
        <w:tblLayout w:type="fixed"/>
        <w:tblLook w:val="0000" w:firstRow="0" w:lastRow="0" w:firstColumn="0" w:lastColumn="0" w:noHBand="0" w:noVBand="0"/>
      </w:tblPr>
      <w:tblGrid>
        <w:gridCol w:w="2835"/>
        <w:gridCol w:w="1039"/>
        <w:gridCol w:w="1040"/>
        <w:gridCol w:w="1039"/>
        <w:gridCol w:w="1040"/>
        <w:gridCol w:w="1039"/>
        <w:gridCol w:w="1040"/>
      </w:tblGrid>
      <w:tr w:rsidR="00CA039A" w:rsidRPr="007115F2" w14:paraId="412475EE" w14:textId="77777777" w:rsidTr="00B6286E">
        <w:tc>
          <w:tcPr>
            <w:tcW w:w="2835" w:type="dxa"/>
            <w:tcBorders>
              <w:top w:val="single" w:sz="4" w:space="0" w:color="auto"/>
              <w:left w:val="nil"/>
              <w:right w:val="nil"/>
            </w:tcBorders>
          </w:tcPr>
          <w:p w14:paraId="68CFE74F" w14:textId="55589317" w:rsidR="00CA039A" w:rsidRPr="007115F2" w:rsidRDefault="00CA039A" w:rsidP="00CA039A">
            <w:pPr>
              <w:widowControl w:val="0"/>
              <w:autoSpaceDE w:val="0"/>
              <w:autoSpaceDN w:val="0"/>
              <w:adjustRightInd w:val="0"/>
              <w:spacing w:line="240" w:lineRule="auto"/>
              <w:rPr>
                <w:b/>
                <w:bCs/>
                <w:color w:val="000000" w:themeColor="text1"/>
                <w:sz w:val="22"/>
                <w:lang w:val="en-US"/>
              </w:rPr>
            </w:pPr>
            <w:r w:rsidRPr="007E6AC7">
              <w:rPr>
                <w:b/>
                <w:bCs/>
                <w:color w:val="000000" w:themeColor="text1"/>
                <w:sz w:val="22"/>
                <w:lang w:val="en-US"/>
              </w:rPr>
              <w:t xml:space="preserve">   </w:t>
            </w:r>
          </w:p>
        </w:tc>
        <w:tc>
          <w:tcPr>
            <w:tcW w:w="1039" w:type="dxa"/>
            <w:tcBorders>
              <w:top w:val="single" w:sz="4" w:space="0" w:color="auto"/>
              <w:left w:val="nil"/>
              <w:right w:val="nil"/>
            </w:tcBorders>
          </w:tcPr>
          <w:p w14:paraId="0AE9A38F" w14:textId="420FAC1D"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7E6AC7">
              <w:rPr>
                <w:b/>
                <w:bCs/>
                <w:color w:val="000000" w:themeColor="text1"/>
                <w:sz w:val="22"/>
                <w:lang w:val="en-US"/>
              </w:rPr>
              <w:t>(1)</w:t>
            </w:r>
          </w:p>
        </w:tc>
        <w:tc>
          <w:tcPr>
            <w:tcW w:w="1040" w:type="dxa"/>
            <w:tcBorders>
              <w:top w:val="single" w:sz="4" w:space="0" w:color="auto"/>
              <w:left w:val="nil"/>
              <w:right w:val="nil"/>
            </w:tcBorders>
          </w:tcPr>
          <w:p w14:paraId="403460F8" w14:textId="6E4AB318"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7E6AC7">
              <w:rPr>
                <w:b/>
                <w:bCs/>
                <w:color w:val="000000" w:themeColor="text1"/>
                <w:sz w:val="22"/>
                <w:lang w:val="en-US"/>
              </w:rPr>
              <w:t>(2)</w:t>
            </w:r>
          </w:p>
        </w:tc>
        <w:tc>
          <w:tcPr>
            <w:tcW w:w="1039" w:type="dxa"/>
            <w:tcBorders>
              <w:top w:val="single" w:sz="4" w:space="0" w:color="auto"/>
              <w:left w:val="nil"/>
              <w:right w:val="nil"/>
            </w:tcBorders>
          </w:tcPr>
          <w:p w14:paraId="3478D087" w14:textId="42C58266"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7E6AC7">
              <w:rPr>
                <w:b/>
                <w:bCs/>
                <w:color w:val="000000" w:themeColor="text1"/>
                <w:sz w:val="22"/>
                <w:lang w:val="en-US"/>
              </w:rPr>
              <w:t>(3)</w:t>
            </w:r>
          </w:p>
        </w:tc>
        <w:tc>
          <w:tcPr>
            <w:tcW w:w="1040" w:type="dxa"/>
            <w:tcBorders>
              <w:top w:val="single" w:sz="4" w:space="0" w:color="auto"/>
              <w:left w:val="nil"/>
              <w:right w:val="nil"/>
            </w:tcBorders>
          </w:tcPr>
          <w:p w14:paraId="19E49AFE" w14:textId="2E286570"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7E6AC7">
              <w:rPr>
                <w:b/>
                <w:bCs/>
                <w:color w:val="000000" w:themeColor="text1"/>
                <w:sz w:val="22"/>
                <w:lang w:val="en-US"/>
              </w:rPr>
              <w:t>(4)</w:t>
            </w:r>
          </w:p>
        </w:tc>
        <w:tc>
          <w:tcPr>
            <w:tcW w:w="1039" w:type="dxa"/>
            <w:tcBorders>
              <w:top w:val="single" w:sz="4" w:space="0" w:color="auto"/>
              <w:left w:val="nil"/>
              <w:right w:val="nil"/>
            </w:tcBorders>
          </w:tcPr>
          <w:p w14:paraId="721AD4D7" w14:textId="5EC8401E"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7E6AC7">
              <w:rPr>
                <w:b/>
                <w:bCs/>
                <w:color w:val="000000" w:themeColor="text1"/>
                <w:sz w:val="22"/>
                <w:lang w:val="en-US"/>
              </w:rPr>
              <w:t>(5)</w:t>
            </w:r>
          </w:p>
        </w:tc>
        <w:tc>
          <w:tcPr>
            <w:tcW w:w="1040" w:type="dxa"/>
            <w:tcBorders>
              <w:top w:val="single" w:sz="4" w:space="0" w:color="auto"/>
              <w:left w:val="nil"/>
              <w:right w:val="nil"/>
            </w:tcBorders>
          </w:tcPr>
          <w:p w14:paraId="0A6442C1" w14:textId="4350B536"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7E6AC7">
              <w:rPr>
                <w:b/>
                <w:bCs/>
                <w:color w:val="000000" w:themeColor="text1"/>
                <w:sz w:val="22"/>
                <w:lang w:val="en-US"/>
              </w:rPr>
              <w:t>(6)</w:t>
            </w:r>
          </w:p>
        </w:tc>
      </w:tr>
      <w:tr w:rsidR="00CA039A" w:rsidRPr="007115F2" w14:paraId="611EF08C" w14:textId="77777777" w:rsidTr="00B6286E">
        <w:tc>
          <w:tcPr>
            <w:tcW w:w="2835" w:type="dxa"/>
            <w:tcBorders>
              <w:left w:val="nil"/>
              <w:bottom w:val="single" w:sz="10" w:space="0" w:color="auto"/>
              <w:right w:val="nil"/>
            </w:tcBorders>
          </w:tcPr>
          <w:p w14:paraId="14A9AC5F" w14:textId="0A44AB31" w:rsidR="00CA039A" w:rsidRPr="007115F2" w:rsidRDefault="00CA039A" w:rsidP="00CA039A">
            <w:pPr>
              <w:widowControl w:val="0"/>
              <w:autoSpaceDE w:val="0"/>
              <w:autoSpaceDN w:val="0"/>
              <w:adjustRightInd w:val="0"/>
              <w:spacing w:line="240" w:lineRule="auto"/>
              <w:rPr>
                <w:b/>
                <w:bCs/>
                <w:color w:val="000000" w:themeColor="text1"/>
                <w:sz w:val="22"/>
                <w:lang w:val="en-US"/>
              </w:rPr>
            </w:pPr>
            <w:r w:rsidRPr="007E6AC7">
              <w:rPr>
                <w:b/>
                <w:bCs/>
                <w:color w:val="000000" w:themeColor="text1"/>
                <w:sz w:val="22"/>
                <w:lang w:val="en-US"/>
              </w:rPr>
              <w:t xml:space="preserve">   </w:t>
            </w:r>
          </w:p>
        </w:tc>
        <w:tc>
          <w:tcPr>
            <w:tcW w:w="1039" w:type="dxa"/>
            <w:tcBorders>
              <w:left w:val="nil"/>
              <w:bottom w:val="single" w:sz="10" w:space="0" w:color="auto"/>
              <w:right w:val="nil"/>
            </w:tcBorders>
          </w:tcPr>
          <w:p w14:paraId="4C467C79" w14:textId="076830B9"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7E6AC7">
              <w:rPr>
                <w:b/>
                <w:bCs/>
                <w:color w:val="000000" w:themeColor="text1"/>
                <w:sz w:val="22"/>
                <w:lang w:val="en-US"/>
              </w:rPr>
              <w:t>acq_car</w:t>
            </w:r>
            <w:r w:rsidRPr="007E6AC7">
              <w:rPr>
                <w:b/>
                <w:bCs/>
                <w:color w:val="000000" w:themeColor="text1"/>
                <w:sz w:val="22"/>
                <w:lang w:val="en-US"/>
              </w:rPr>
              <w:br/>
              <w:t>[-10,10]</w:t>
            </w:r>
          </w:p>
        </w:tc>
        <w:tc>
          <w:tcPr>
            <w:tcW w:w="1040" w:type="dxa"/>
            <w:tcBorders>
              <w:left w:val="nil"/>
              <w:bottom w:val="single" w:sz="10" w:space="0" w:color="auto"/>
              <w:right w:val="nil"/>
            </w:tcBorders>
          </w:tcPr>
          <w:p w14:paraId="4721FE21" w14:textId="4321EC58"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7E6AC7">
              <w:rPr>
                <w:b/>
                <w:bCs/>
                <w:color w:val="000000" w:themeColor="text1"/>
                <w:sz w:val="22"/>
                <w:lang w:val="en-US"/>
              </w:rPr>
              <w:t>acq_car</w:t>
            </w:r>
            <w:r w:rsidRPr="007E6AC7">
              <w:rPr>
                <w:b/>
                <w:bCs/>
                <w:color w:val="000000" w:themeColor="text1"/>
                <w:sz w:val="22"/>
                <w:lang w:val="en-US"/>
              </w:rPr>
              <w:br/>
              <w:t>[-5,5]</w:t>
            </w:r>
          </w:p>
        </w:tc>
        <w:tc>
          <w:tcPr>
            <w:tcW w:w="1039" w:type="dxa"/>
            <w:tcBorders>
              <w:left w:val="nil"/>
              <w:bottom w:val="single" w:sz="10" w:space="0" w:color="auto"/>
              <w:right w:val="nil"/>
            </w:tcBorders>
          </w:tcPr>
          <w:p w14:paraId="7E1F1F76" w14:textId="0774BC39"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7E6AC7">
              <w:rPr>
                <w:b/>
                <w:bCs/>
                <w:color w:val="000000" w:themeColor="text1"/>
                <w:sz w:val="22"/>
                <w:lang w:val="en-US"/>
              </w:rPr>
              <w:t>deal_car_weighted [-5,5]</w:t>
            </w:r>
          </w:p>
        </w:tc>
        <w:tc>
          <w:tcPr>
            <w:tcW w:w="1040" w:type="dxa"/>
            <w:tcBorders>
              <w:left w:val="nil"/>
              <w:bottom w:val="single" w:sz="10" w:space="0" w:color="auto"/>
              <w:right w:val="nil"/>
            </w:tcBorders>
          </w:tcPr>
          <w:p w14:paraId="0B06EC27" w14:textId="2465786D"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7E6AC7">
              <w:rPr>
                <w:b/>
                <w:bCs/>
                <w:color w:val="000000" w:themeColor="text1"/>
                <w:sz w:val="22"/>
                <w:lang w:val="en-US"/>
              </w:rPr>
              <w:t>acq_car</w:t>
            </w:r>
            <w:r w:rsidRPr="007E6AC7">
              <w:rPr>
                <w:b/>
                <w:bCs/>
                <w:color w:val="000000" w:themeColor="text1"/>
                <w:sz w:val="22"/>
                <w:lang w:val="en-US"/>
              </w:rPr>
              <w:br/>
              <w:t>[-10,10]</w:t>
            </w:r>
          </w:p>
        </w:tc>
        <w:tc>
          <w:tcPr>
            <w:tcW w:w="1039" w:type="dxa"/>
            <w:tcBorders>
              <w:left w:val="nil"/>
              <w:bottom w:val="single" w:sz="10" w:space="0" w:color="auto"/>
              <w:right w:val="nil"/>
            </w:tcBorders>
          </w:tcPr>
          <w:p w14:paraId="239E586E" w14:textId="63C9BD65"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7E6AC7">
              <w:rPr>
                <w:b/>
                <w:bCs/>
                <w:color w:val="000000" w:themeColor="text1"/>
                <w:sz w:val="22"/>
                <w:lang w:val="en-US"/>
              </w:rPr>
              <w:t>acq_car</w:t>
            </w:r>
            <w:r w:rsidRPr="007E6AC7">
              <w:rPr>
                <w:b/>
                <w:bCs/>
                <w:color w:val="000000" w:themeColor="text1"/>
                <w:sz w:val="22"/>
                <w:lang w:val="en-US"/>
              </w:rPr>
              <w:br/>
              <w:t>[-5,5]</w:t>
            </w:r>
          </w:p>
        </w:tc>
        <w:tc>
          <w:tcPr>
            <w:tcW w:w="1040" w:type="dxa"/>
            <w:tcBorders>
              <w:left w:val="nil"/>
              <w:bottom w:val="single" w:sz="10" w:space="0" w:color="auto"/>
              <w:right w:val="nil"/>
            </w:tcBorders>
          </w:tcPr>
          <w:p w14:paraId="0CB339A6" w14:textId="4D73B6B0"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7E6AC7">
              <w:rPr>
                <w:b/>
                <w:bCs/>
                <w:color w:val="000000" w:themeColor="text1"/>
                <w:sz w:val="22"/>
                <w:lang w:val="en-US"/>
              </w:rPr>
              <w:t>deal_car_weighted [-5,5]</w:t>
            </w:r>
          </w:p>
        </w:tc>
      </w:tr>
      <w:tr w:rsidR="00CA039A" w:rsidRPr="007115F2" w14:paraId="711F9D14" w14:textId="77777777" w:rsidTr="00B6286E">
        <w:tc>
          <w:tcPr>
            <w:tcW w:w="2835" w:type="dxa"/>
            <w:tcBorders>
              <w:top w:val="nil"/>
              <w:left w:val="nil"/>
              <w:bottom w:val="nil"/>
              <w:right w:val="nil"/>
            </w:tcBorders>
          </w:tcPr>
          <w:p w14:paraId="5C02B73E" w14:textId="6B346676" w:rsidR="00CA039A" w:rsidRPr="007115F2" w:rsidRDefault="00CA039A" w:rsidP="00CA039A">
            <w:pPr>
              <w:widowControl w:val="0"/>
              <w:autoSpaceDE w:val="0"/>
              <w:autoSpaceDN w:val="0"/>
              <w:adjustRightInd w:val="0"/>
              <w:spacing w:line="240" w:lineRule="auto"/>
              <w:rPr>
                <w:b/>
                <w:bCs/>
                <w:color w:val="000000" w:themeColor="text1"/>
                <w:sz w:val="22"/>
                <w:lang w:val="en-US"/>
              </w:rPr>
            </w:pPr>
            <w:r w:rsidRPr="007E6AC7">
              <w:rPr>
                <w:color w:val="000000" w:themeColor="text1"/>
                <w:sz w:val="22"/>
                <w:lang w:val="en-US"/>
              </w:rPr>
              <w:t xml:space="preserve"> deal_culturaldistance</w:t>
            </w:r>
          </w:p>
        </w:tc>
        <w:tc>
          <w:tcPr>
            <w:tcW w:w="1039" w:type="dxa"/>
            <w:tcBorders>
              <w:top w:val="nil"/>
              <w:left w:val="nil"/>
              <w:bottom w:val="nil"/>
              <w:right w:val="nil"/>
            </w:tcBorders>
            <w:vAlign w:val="center"/>
          </w:tcPr>
          <w:p w14:paraId="6F3CA20F" w14:textId="544BA59E"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7E6AC7">
              <w:rPr>
                <w:color w:val="000000" w:themeColor="text1"/>
                <w:sz w:val="22"/>
              </w:rPr>
              <w:t>-.900</w:t>
            </w:r>
            <w:r w:rsidRPr="007E6AC7">
              <w:rPr>
                <w:color w:val="000000" w:themeColor="text1"/>
                <w:sz w:val="22"/>
                <w:vertAlign w:val="superscript"/>
              </w:rPr>
              <w:t>**</w:t>
            </w:r>
          </w:p>
        </w:tc>
        <w:tc>
          <w:tcPr>
            <w:tcW w:w="1040" w:type="dxa"/>
            <w:tcBorders>
              <w:top w:val="nil"/>
              <w:left w:val="nil"/>
              <w:bottom w:val="nil"/>
              <w:right w:val="nil"/>
            </w:tcBorders>
            <w:vAlign w:val="center"/>
          </w:tcPr>
          <w:p w14:paraId="0421FFCE" w14:textId="751D75D6"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7E6AC7">
              <w:rPr>
                <w:color w:val="000000" w:themeColor="text1"/>
                <w:sz w:val="22"/>
              </w:rPr>
              <w:t>-.436</w:t>
            </w:r>
            <w:r w:rsidRPr="007E6AC7">
              <w:rPr>
                <w:color w:val="000000" w:themeColor="text1"/>
                <w:sz w:val="22"/>
                <w:vertAlign w:val="superscript"/>
              </w:rPr>
              <w:t>**</w:t>
            </w:r>
          </w:p>
        </w:tc>
        <w:tc>
          <w:tcPr>
            <w:tcW w:w="1039" w:type="dxa"/>
            <w:tcBorders>
              <w:top w:val="nil"/>
              <w:left w:val="nil"/>
              <w:bottom w:val="nil"/>
              <w:right w:val="nil"/>
            </w:tcBorders>
            <w:vAlign w:val="center"/>
          </w:tcPr>
          <w:p w14:paraId="275F3A1C" w14:textId="063E91F9"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7E6AC7">
              <w:rPr>
                <w:color w:val="000000" w:themeColor="text1"/>
                <w:sz w:val="22"/>
              </w:rPr>
              <w:t>-.138</w:t>
            </w:r>
            <w:r w:rsidRPr="007E6AC7">
              <w:rPr>
                <w:color w:val="000000" w:themeColor="text1"/>
                <w:sz w:val="22"/>
                <w:vertAlign w:val="superscript"/>
              </w:rPr>
              <w:t>*</w:t>
            </w:r>
          </w:p>
        </w:tc>
        <w:tc>
          <w:tcPr>
            <w:tcW w:w="1040" w:type="dxa"/>
            <w:tcBorders>
              <w:top w:val="nil"/>
              <w:left w:val="nil"/>
              <w:bottom w:val="nil"/>
              <w:right w:val="nil"/>
            </w:tcBorders>
            <w:vAlign w:val="center"/>
          </w:tcPr>
          <w:p w14:paraId="0B450776" w14:textId="77777777"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p>
        </w:tc>
        <w:tc>
          <w:tcPr>
            <w:tcW w:w="1039" w:type="dxa"/>
            <w:tcBorders>
              <w:top w:val="nil"/>
              <w:left w:val="nil"/>
              <w:bottom w:val="nil"/>
              <w:right w:val="nil"/>
            </w:tcBorders>
            <w:vAlign w:val="center"/>
          </w:tcPr>
          <w:p w14:paraId="723BF1B0" w14:textId="77777777"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p>
        </w:tc>
        <w:tc>
          <w:tcPr>
            <w:tcW w:w="1040" w:type="dxa"/>
            <w:tcBorders>
              <w:top w:val="nil"/>
              <w:left w:val="nil"/>
              <w:bottom w:val="nil"/>
              <w:right w:val="nil"/>
            </w:tcBorders>
            <w:vAlign w:val="center"/>
          </w:tcPr>
          <w:p w14:paraId="00B3D325" w14:textId="77777777"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p>
        </w:tc>
      </w:tr>
      <w:tr w:rsidR="00CA039A" w:rsidRPr="007115F2" w14:paraId="3E1D1DEB" w14:textId="77777777" w:rsidTr="00B6286E">
        <w:tc>
          <w:tcPr>
            <w:tcW w:w="2835" w:type="dxa"/>
            <w:tcBorders>
              <w:top w:val="nil"/>
              <w:left w:val="nil"/>
              <w:bottom w:val="nil"/>
              <w:right w:val="nil"/>
            </w:tcBorders>
          </w:tcPr>
          <w:p w14:paraId="6197CA14" w14:textId="2972C16B"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w:t>
            </w:r>
          </w:p>
        </w:tc>
        <w:tc>
          <w:tcPr>
            <w:tcW w:w="1039" w:type="dxa"/>
            <w:tcBorders>
              <w:top w:val="nil"/>
              <w:left w:val="nil"/>
              <w:bottom w:val="nil"/>
              <w:right w:val="nil"/>
            </w:tcBorders>
            <w:vAlign w:val="center"/>
          </w:tcPr>
          <w:p w14:paraId="17305273" w14:textId="3272F60C"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(-2.278)</w:t>
            </w:r>
          </w:p>
        </w:tc>
        <w:tc>
          <w:tcPr>
            <w:tcW w:w="1040" w:type="dxa"/>
            <w:tcBorders>
              <w:top w:val="nil"/>
              <w:left w:val="nil"/>
              <w:bottom w:val="nil"/>
              <w:right w:val="nil"/>
            </w:tcBorders>
            <w:vAlign w:val="center"/>
          </w:tcPr>
          <w:p w14:paraId="33D7B43C" w14:textId="7F55EB78"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(-2.081)</w:t>
            </w:r>
          </w:p>
        </w:tc>
        <w:tc>
          <w:tcPr>
            <w:tcW w:w="1039" w:type="dxa"/>
            <w:tcBorders>
              <w:top w:val="nil"/>
              <w:left w:val="nil"/>
              <w:bottom w:val="nil"/>
              <w:right w:val="nil"/>
            </w:tcBorders>
            <w:vAlign w:val="center"/>
          </w:tcPr>
          <w:p w14:paraId="752A2CF2" w14:textId="1E3754E1"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(-1.718)</w:t>
            </w:r>
          </w:p>
        </w:tc>
        <w:tc>
          <w:tcPr>
            <w:tcW w:w="1040" w:type="dxa"/>
            <w:tcBorders>
              <w:top w:val="nil"/>
              <w:left w:val="nil"/>
              <w:bottom w:val="nil"/>
              <w:right w:val="nil"/>
            </w:tcBorders>
            <w:vAlign w:val="center"/>
          </w:tcPr>
          <w:p w14:paraId="6E0B473B" w14:textId="7777777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c>
          <w:tcPr>
            <w:tcW w:w="1039" w:type="dxa"/>
            <w:tcBorders>
              <w:top w:val="nil"/>
              <w:left w:val="nil"/>
              <w:bottom w:val="nil"/>
              <w:right w:val="nil"/>
            </w:tcBorders>
            <w:vAlign w:val="center"/>
          </w:tcPr>
          <w:p w14:paraId="41B8A46F" w14:textId="7777777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c>
          <w:tcPr>
            <w:tcW w:w="1040" w:type="dxa"/>
            <w:tcBorders>
              <w:top w:val="nil"/>
              <w:left w:val="nil"/>
              <w:bottom w:val="nil"/>
              <w:right w:val="nil"/>
            </w:tcBorders>
            <w:vAlign w:val="center"/>
          </w:tcPr>
          <w:p w14:paraId="638915DB" w14:textId="7777777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r>
      <w:tr w:rsidR="00CA039A" w:rsidRPr="007115F2" w14:paraId="1D2AC096" w14:textId="77777777" w:rsidTr="00B6286E">
        <w:tc>
          <w:tcPr>
            <w:tcW w:w="2835" w:type="dxa"/>
            <w:tcBorders>
              <w:top w:val="nil"/>
              <w:left w:val="nil"/>
              <w:bottom w:val="nil"/>
              <w:right w:val="nil"/>
            </w:tcBorders>
          </w:tcPr>
          <w:p w14:paraId="4B9EAF8A" w14:textId="4BBFFFFF"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deal_clan_culture_abs</w:t>
            </w:r>
          </w:p>
        </w:tc>
        <w:tc>
          <w:tcPr>
            <w:tcW w:w="1039" w:type="dxa"/>
            <w:tcBorders>
              <w:top w:val="nil"/>
              <w:left w:val="nil"/>
              <w:bottom w:val="nil"/>
              <w:right w:val="nil"/>
            </w:tcBorders>
            <w:vAlign w:val="center"/>
          </w:tcPr>
          <w:p w14:paraId="21C12BD5" w14:textId="7777777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c>
          <w:tcPr>
            <w:tcW w:w="1040" w:type="dxa"/>
            <w:tcBorders>
              <w:top w:val="nil"/>
              <w:left w:val="nil"/>
              <w:bottom w:val="nil"/>
              <w:right w:val="nil"/>
            </w:tcBorders>
            <w:vAlign w:val="center"/>
          </w:tcPr>
          <w:p w14:paraId="0ABB5709" w14:textId="7777777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c>
          <w:tcPr>
            <w:tcW w:w="1039" w:type="dxa"/>
            <w:tcBorders>
              <w:top w:val="nil"/>
              <w:left w:val="nil"/>
              <w:bottom w:val="nil"/>
              <w:right w:val="nil"/>
            </w:tcBorders>
            <w:vAlign w:val="center"/>
          </w:tcPr>
          <w:p w14:paraId="5006A0C7" w14:textId="7777777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c>
          <w:tcPr>
            <w:tcW w:w="1040" w:type="dxa"/>
            <w:tcBorders>
              <w:top w:val="nil"/>
              <w:left w:val="nil"/>
              <w:bottom w:val="nil"/>
              <w:right w:val="nil"/>
            </w:tcBorders>
            <w:vAlign w:val="center"/>
          </w:tcPr>
          <w:p w14:paraId="2952C816" w14:textId="1FCCC5B0"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-0.380</w:t>
            </w:r>
          </w:p>
        </w:tc>
        <w:tc>
          <w:tcPr>
            <w:tcW w:w="1039" w:type="dxa"/>
            <w:tcBorders>
              <w:top w:val="nil"/>
              <w:left w:val="nil"/>
              <w:bottom w:val="nil"/>
              <w:right w:val="nil"/>
            </w:tcBorders>
            <w:vAlign w:val="center"/>
          </w:tcPr>
          <w:p w14:paraId="67D2CD01" w14:textId="0DC8A192"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-0.199</w:t>
            </w:r>
          </w:p>
        </w:tc>
        <w:tc>
          <w:tcPr>
            <w:tcW w:w="1040" w:type="dxa"/>
            <w:tcBorders>
              <w:top w:val="nil"/>
              <w:left w:val="nil"/>
              <w:bottom w:val="nil"/>
              <w:right w:val="nil"/>
            </w:tcBorders>
            <w:vAlign w:val="center"/>
          </w:tcPr>
          <w:p w14:paraId="1D0F977A" w14:textId="64EB0D18"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-0.033</w:t>
            </w:r>
          </w:p>
        </w:tc>
      </w:tr>
      <w:tr w:rsidR="00CA039A" w:rsidRPr="007115F2" w14:paraId="12ABBCD1" w14:textId="77777777" w:rsidTr="00B6286E">
        <w:tc>
          <w:tcPr>
            <w:tcW w:w="2835" w:type="dxa"/>
            <w:tcBorders>
              <w:top w:val="nil"/>
              <w:left w:val="nil"/>
              <w:bottom w:val="nil"/>
              <w:right w:val="nil"/>
            </w:tcBorders>
          </w:tcPr>
          <w:p w14:paraId="0C613689" w14:textId="28622E42"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w:t>
            </w:r>
          </w:p>
        </w:tc>
        <w:tc>
          <w:tcPr>
            <w:tcW w:w="1039" w:type="dxa"/>
            <w:tcBorders>
              <w:top w:val="nil"/>
              <w:left w:val="nil"/>
              <w:bottom w:val="nil"/>
              <w:right w:val="nil"/>
            </w:tcBorders>
            <w:vAlign w:val="center"/>
          </w:tcPr>
          <w:p w14:paraId="0875CB9D" w14:textId="7777777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c>
          <w:tcPr>
            <w:tcW w:w="1040" w:type="dxa"/>
            <w:tcBorders>
              <w:top w:val="nil"/>
              <w:left w:val="nil"/>
              <w:bottom w:val="nil"/>
              <w:right w:val="nil"/>
            </w:tcBorders>
            <w:vAlign w:val="center"/>
          </w:tcPr>
          <w:p w14:paraId="2A10EF19" w14:textId="7777777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c>
          <w:tcPr>
            <w:tcW w:w="1039" w:type="dxa"/>
            <w:tcBorders>
              <w:top w:val="nil"/>
              <w:left w:val="nil"/>
              <w:bottom w:val="nil"/>
              <w:right w:val="nil"/>
            </w:tcBorders>
            <w:vAlign w:val="center"/>
          </w:tcPr>
          <w:p w14:paraId="66B15A3C" w14:textId="7777777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c>
          <w:tcPr>
            <w:tcW w:w="1040" w:type="dxa"/>
            <w:tcBorders>
              <w:top w:val="nil"/>
              <w:left w:val="nil"/>
              <w:bottom w:val="nil"/>
              <w:right w:val="nil"/>
            </w:tcBorders>
            <w:vAlign w:val="center"/>
          </w:tcPr>
          <w:p w14:paraId="3CDFACED" w14:textId="599559F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(-0.687)</w:t>
            </w:r>
          </w:p>
        </w:tc>
        <w:tc>
          <w:tcPr>
            <w:tcW w:w="1039" w:type="dxa"/>
            <w:tcBorders>
              <w:top w:val="nil"/>
              <w:left w:val="nil"/>
              <w:bottom w:val="nil"/>
              <w:right w:val="nil"/>
            </w:tcBorders>
            <w:vAlign w:val="center"/>
          </w:tcPr>
          <w:p w14:paraId="6BF9E6F9" w14:textId="51A9373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(-0.715)</w:t>
            </w:r>
          </w:p>
        </w:tc>
        <w:tc>
          <w:tcPr>
            <w:tcW w:w="1040" w:type="dxa"/>
            <w:tcBorders>
              <w:top w:val="nil"/>
              <w:left w:val="nil"/>
              <w:bottom w:val="nil"/>
              <w:right w:val="nil"/>
            </w:tcBorders>
            <w:vAlign w:val="center"/>
          </w:tcPr>
          <w:p w14:paraId="6D1EC75B" w14:textId="63B814B1"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(-0.300)</w:t>
            </w:r>
          </w:p>
        </w:tc>
      </w:tr>
      <w:tr w:rsidR="00CA039A" w:rsidRPr="007115F2" w14:paraId="738D97F0" w14:textId="77777777" w:rsidTr="00B6286E">
        <w:tc>
          <w:tcPr>
            <w:tcW w:w="2835" w:type="dxa"/>
            <w:tcBorders>
              <w:top w:val="nil"/>
              <w:left w:val="nil"/>
              <w:bottom w:val="nil"/>
              <w:right w:val="nil"/>
            </w:tcBorders>
          </w:tcPr>
          <w:p w14:paraId="430080A5" w14:textId="27FEB0BB"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deal_adhocracy_culture_abs</w:t>
            </w:r>
          </w:p>
        </w:tc>
        <w:tc>
          <w:tcPr>
            <w:tcW w:w="1039" w:type="dxa"/>
            <w:tcBorders>
              <w:top w:val="nil"/>
              <w:left w:val="nil"/>
              <w:bottom w:val="nil"/>
              <w:right w:val="nil"/>
            </w:tcBorders>
            <w:vAlign w:val="center"/>
          </w:tcPr>
          <w:p w14:paraId="05540DB7" w14:textId="7777777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c>
          <w:tcPr>
            <w:tcW w:w="1040" w:type="dxa"/>
            <w:tcBorders>
              <w:top w:val="nil"/>
              <w:left w:val="nil"/>
              <w:bottom w:val="nil"/>
              <w:right w:val="nil"/>
            </w:tcBorders>
            <w:vAlign w:val="center"/>
          </w:tcPr>
          <w:p w14:paraId="049EDBCF" w14:textId="7777777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c>
          <w:tcPr>
            <w:tcW w:w="1039" w:type="dxa"/>
            <w:tcBorders>
              <w:top w:val="nil"/>
              <w:left w:val="nil"/>
              <w:bottom w:val="nil"/>
              <w:right w:val="nil"/>
            </w:tcBorders>
            <w:vAlign w:val="center"/>
          </w:tcPr>
          <w:p w14:paraId="5D633BC3" w14:textId="7777777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c>
          <w:tcPr>
            <w:tcW w:w="1040" w:type="dxa"/>
            <w:tcBorders>
              <w:top w:val="nil"/>
              <w:left w:val="nil"/>
              <w:bottom w:val="nil"/>
              <w:right w:val="nil"/>
            </w:tcBorders>
            <w:vAlign w:val="center"/>
          </w:tcPr>
          <w:p w14:paraId="42F87E15" w14:textId="70CEB505"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0.195</w:t>
            </w:r>
          </w:p>
        </w:tc>
        <w:tc>
          <w:tcPr>
            <w:tcW w:w="1039" w:type="dxa"/>
            <w:tcBorders>
              <w:top w:val="nil"/>
              <w:left w:val="nil"/>
              <w:bottom w:val="nil"/>
              <w:right w:val="nil"/>
            </w:tcBorders>
            <w:vAlign w:val="center"/>
          </w:tcPr>
          <w:p w14:paraId="5209C817" w14:textId="45037EC5"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0.029</w:t>
            </w:r>
          </w:p>
        </w:tc>
        <w:tc>
          <w:tcPr>
            <w:tcW w:w="1040" w:type="dxa"/>
            <w:tcBorders>
              <w:top w:val="nil"/>
              <w:left w:val="nil"/>
              <w:bottom w:val="nil"/>
              <w:right w:val="nil"/>
            </w:tcBorders>
            <w:vAlign w:val="center"/>
          </w:tcPr>
          <w:p w14:paraId="5C4DF9BD" w14:textId="32233272"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-0.006</w:t>
            </w:r>
          </w:p>
        </w:tc>
      </w:tr>
      <w:tr w:rsidR="00CA039A" w:rsidRPr="007115F2" w14:paraId="0F87921C" w14:textId="77777777" w:rsidTr="00B6286E">
        <w:tc>
          <w:tcPr>
            <w:tcW w:w="2835" w:type="dxa"/>
            <w:tcBorders>
              <w:top w:val="nil"/>
              <w:left w:val="nil"/>
              <w:bottom w:val="nil"/>
              <w:right w:val="nil"/>
            </w:tcBorders>
          </w:tcPr>
          <w:p w14:paraId="67FACE0A" w14:textId="0B5301F4" w:rsidR="00CA039A" w:rsidRPr="007115F2" w:rsidRDefault="00CA039A" w:rsidP="00CA039A">
            <w:pPr>
              <w:widowControl w:val="0"/>
              <w:autoSpaceDE w:val="0"/>
              <w:autoSpaceDN w:val="0"/>
              <w:adjustRightInd w:val="0"/>
              <w:spacing w:line="240" w:lineRule="auto"/>
              <w:rPr>
                <w:b/>
                <w:bCs/>
                <w:color w:val="000000" w:themeColor="text1"/>
                <w:sz w:val="22"/>
                <w:lang w:val="en-US"/>
              </w:rPr>
            </w:pPr>
            <w:r w:rsidRPr="007E6AC7">
              <w:rPr>
                <w:color w:val="000000" w:themeColor="text1"/>
                <w:sz w:val="22"/>
                <w:lang w:val="en-US"/>
              </w:rPr>
              <w:t xml:space="preserve">  </w:t>
            </w:r>
          </w:p>
        </w:tc>
        <w:tc>
          <w:tcPr>
            <w:tcW w:w="1039" w:type="dxa"/>
            <w:tcBorders>
              <w:top w:val="nil"/>
              <w:left w:val="nil"/>
              <w:bottom w:val="nil"/>
              <w:right w:val="nil"/>
            </w:tcBorders>
            <w:vAlign w:val="center"/>
          </w:tcPr>
          <w:p w14:paraId="1BBF3F95" w14:textId="77777777"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p>
        </w:tc>
        <w:tc>
          <w:tcPr>
            <w:tcW w:w="1040" w:type="dxa"/>
            <w:tcBorders>
              <w:top w:val="nil"/>
              <w:left w:val="nil"/>
              <w:bottom w:val="nil"/>
              <w:right w:val="nil"/>
            </w:tcBorders>
            <w:vAlign w:val="center"/>
          </w:tcPr>
          <w:p w14:paraId="12F70AD4" w14:textId="77777777"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p>
        </w:tc>
        <w:tc>
          <w:tcPr>
            <w:tcW w:w="1039" w:type="dxa"/>
            <w:tcBorders>
              <w:top w:val="nil"/>
              <w:left w:val="nil"/>
              <w:bottom w:val="nil"/>
              <w:right w:val="nil"/>
            </w:tcBorders>
            <w:vAlign w:val="center"/>
          </w:tcPr>
          <w:p w14:paraId="2A67165F" w14:textId="77777777"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p>
        </w:tc>
        <w:tc>
          <w:tcPr>
            <w:tcW w:w="1040" w:type="dxa"/>
            <w:tcBorders>
              <w:top w:val="nil"/>
              <w:left w:val="nil"/>
              <w:bottom w:val="nil"/>
              <w:right w:val="nil"/>
            </w:tcBorders>
            <w:vAlign w:val="center"/>
          </w:tcPr>
          <w:p w14:paraId="4FD20C8F" w14:textId="0A7EAC82"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7E6AC7">
              <w:rPr>
                <w:color w:val="000000" w:themeColor="text1"/>
                <w:sz w:val="22"/>
              </w:rPr>
              <w:t>(0.516)</w:t>
            </w:r>
          </w:p>
        </w:tc>
        <w:tc>
          <w:tcPr>
            <w:tcW w:w="1039" w:type="dxa"/>
            <w:tcBorders>
              <w:top w:val="nil"/>
              <w:left w:val="nil"/>
              <w:bottom w:val="nil"/>
              <w:right w:val="nil"/>
            </w:tcBorders>
            <w:vAlign w:val="center"/>
          </w:tcPr>
          <w:p w14:paraId="48389FD1" w14:textId="38ACB9EA"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7E6AC7">
              <w:rPr>
                <w:color w:val="000000" w:themeColor="text1"/>
                <w:sz w:val="22"/>
              </w:rPr>
              <w:t>(0.138)</w:t>
            </w:r>
          </w:p>
        </w:tc>
        <w:tc>
          <w:tcPr>
            <w:tcW w:w="1040" w:type="dxa"/>
            <w:tcBorders>
              <w:top w:val="nil"/>
              <w:left w:val="nil"/>
              <w:bottom w:val="nil"/>
              <w:right w:val="nil"/>
            </w:tcBorders>
            <w:vAlign w:val="center"/>
          </w:tcPr>
          <w:p w14:paraId="3F57F4E9" w14:textId="556512CF"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7E6AC7">
              <w:rPr>
                <w:color w:val="000000" w:themeColor="text1"/>
                <w:sz w:val="22"/>
              </w:rPr>
              <w:t>(-0.069)</w:t>
            </w:r>
          </w:p>
        </w:tc>
      </w:tr>
      <w:tr w:rsidR="00CA039A" w:rsidRPr="007115F2" w14:paraId="5FFBC823" w14:textId="77777777" w:rsidTr="00B6286E">
        <w:tc>
          <w:tcPr>
            <w:tcW w:w="2835" w:type="dxa"/>
            <w:tcBorders>
              <w:top w:val="nil"/>
              <w:left w:val="nil"/>
              <w:bottom w:val="nil"/>
              <w:right w:val="nil"/>
            </w:tcBorders>
          </w:tcPr>
          <w:p w14:paraId="47EFA3CC" w14:textId="218F7002"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deal_market_culture_abs</w:t>
            </w:r>
          </w:p>
        </w:tc>
        <w:tc>
          <w:tcPr>
            <w:tcW w:w="1039" w:type="dxa"/>
            <w:tcBorders>
              <w:top w:val="nil"/>
              <w:left w:val="nil"/>
              <w:bottom w:val="nil"/>
              <w:right w:val="nil"/>
            </w:tcBorders>
            <w:vAlign w:val="center"/>
          </w:tcPr>
          <w:p w14:paraId="4F6BB60E" w14:textId="7777777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c>
          <w:tcPr>
            <w:tcW w:w="1040" w:type="dxa"/>
            <w:tcBorders>
              <w:top w:val="nil"/>
              <w:left w:val="nil"/>
              <w:bottom w:val="nil"/>
              <w:right w:val="nil"/>
            </w:tcBorders>
            <w:vAlign w:val="center"/>
          </w:tcPr>
          <w:p w14:paraId="723414F8" w14:textId="7777777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c>
          <w:tcPr>
            <w:tcW w:w="1039" w:type="dxa"/>
            <w:tcBorders>
              <w:top w:val="nil"/>
              <w:left w:val="nil"/>
              <w:bottom w:val="nil"/>
              <w:right w:val="nil"/>
            </w:tcBorders>
            <w:vAlign w:val="center"/>
          </w:tcPr>
          <w:p w14:paraId="53155EC9" w14:textId="7777777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c>
          <w:tcPr>
            <w:tcW w:w="1040" w:type="dxa"/>
            <w:tcBorders>
              <w:top w:val="nil"/>
              <w:left w:val="nil"/>
              <w:bottom w:val="nil"/>
              <w:right w:val="nil"/>
            </w:tcBorders>
            <w:vAlign w:val="center"/>
          </w:tcPr>
          <w:p w14:paraId="75E2260C" w14:textId="16C8CA48"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-1.536</w:t>
            </w:r>
            <w:r w:rsidRPr="007E6AC7">
              <w:rPr>
                <w:color w:val="000000" w:themeColor="text1"/>
                <w:sz w:val="22"/>
                <w:vertAlign w:val="superscript"/>
              </w:rPr>
              <w:t>***</w:t>
            </w:r>
          </w:p>
        </w:tc>
        <w:tc>
          <w:tcPr>
            <w:tcW w:w="1039" w:type="dxa"/>
            <w:tcBorders>
              <w:top w:val="nil"/>
              <w:left w:val="nil"/>
              <w:bottom w:val="nil"/>
              <w:right w:val="nil"/>
            </w:tcBorders>
            <w:vAlign w:val="center"/>
          </w:tcPr>
          <w:p w14:paraId="7FDAA32D" w14:textId="3004DF8F"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-0.796</w:t>
            </w:r>
            <w:r w:rsidRPr="007E6AC7">
              <w:rPr>
                <w:color w:val="000000" w:themeColor="text1"/>
                <w:sz w:val="22"/>
                <w:vertAlign w:val="superscript"/>
              </w:rPr>
              <w:t>***</w:t>
            </w:r>
          </w:p>
        </w:tc>
        <w:tc>
          <w:tcPr>
            <w:tcW w:w="1040" w:type="dxa"/>
            <w:tcBorders>
              <w:top w:val="nil"/>
              <w:left w:val="nil"/>
              <w:bottom w:val="nil"/>
              <w:right w:val="nil"/>
            </w:tcBorders>
            <w:vAlign w:val="center"/>
          </w:tcPr>
          <w:p w14:paraId="01B2E944" w14:textId="46013BA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-0.342</w:t>
            </w:r>
            <w:r w:rsidRPr="007E6AC7">
              <w:rPr>
                <w:color w:val="000000" w:themeColor="text1"/>
                <w:sz w:val="22"/>
                <w:vertAlign w:val="superscript"/>
              </w:rPr>
              <w:t>***</w:t>
            </w:r>
          </w:p>
        </w:tc>
      </w:tr>
      <w:tr w:rsidR="00CA039A" w:rsidRPr="007115F2" w14:paraId="724102B2" w14:textId="77777777" w:rsidTr="00B6286E">
        <w:tc>
          <w:tcPr>
            <w:tcW w:w="2835" w:type="dxa"/>
            <w:tcBorders>
              <w:top w:val="nil"/>
              <w:left w:val="nil"/>
              <w:bottom w:val="nil"/>
              <w:right w:val="nil"/>
            </w:tcBorders>
          </w:tcPr>
          <w:p w14:paraId="1ABA7B63" w14:textId="385A532E"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w:t>
            </w:r>
          </w:p>
        </w:tc>
        <w:tc>
          <w:tcPr>
            <w:tcW w:w="1039" w:type="dxa"/>
            <w:tcBorders>
              <w:top w:val="nil"/>
              <w:left w:val="nil"/>
              <w:bottom w:val="nil"/>
              <w:right w:val="nil"/>
            </w:tcBorders>
            <w:vAlign w:val="center"/>
          </w:tcPr>
          <w:p w14:paraId="7F1C4EFE" w14:textId="7777777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c>
          <w:tcPr>
            <w:tcW w:w="1040" w:type="dxa"/>
            <w:tcBorders>
              <w:top w:val="nil"/>
              <w:left w:val="nil"/>
              <w:bottom w:val="nil"/>
              <w:right w:val="nil"/>
            </w:tcBorders>
            <w:vAlign w:val="center"/>
          </w:tcPr>
          <w:p w14:paraId="7C0F51CB" w14:textId="7777777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c>
          <w:tcPr>
            <w:tcW w:w="1039" w:type="dxa"/>
            <w:tcBorders>
              <w:top w:val="nil"/>
              <w:left w:val="nil"/>
              <w:bottom w:val="nil"/>
              <w:right w:val="nil"/>
            </w:tcBorders>
            <w:vAlign w:val="center"/>
          </w:tcPr>
          <w:p w14:paraId="72C1CBC2" w14:textId="7777777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c>
          <w:tcPr>
            <w:tcW w:w="1040" w:type="dxa"/>
            <w:tcBorders>
              <w:top w:val="nil"/>
              <w:left w:val="nil"/>
              <w:bottom w:val="nil"/>
              <w:right w:val="nil"/>
            </w:tcBorders>
            <w:vAlign w:val="center"/>
          </w:tcPr>
          <w:p w14:paraId="0FB2CACA" w14:textId="7C35D98F"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(-4.346)</w:t>
            </w:r>
          </w:p>
        </w:tc>
        <w:tc>
          <w:tcPr>
            <w:tcW w:w="1039" w:type="dxa"/>
            <w:tcBorders>
              <w:top w:val="nil"/>
              <w:left w:val="nil"/>
              <w:bottom w:val="nil"/>
              <w:right w:val="nil"/>
            </w:tcBorders>
            <w:vAlign w:val="center"/>
          </w:tcPr>
          <w:p w14:paraId="591A5DDB" w14:textId="38E83896"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(-3.947)</w:t>
            </w:r>
          </w:p>
        </w:tc>
        <w:tc>
          <w:tcPr>
            <w:tcW w:w="1040" w:type="dxa"/>
            <w:tcBorders>
              <w:top w:val="nil"/>
              <w:left w:val="nil"/>
              <w:bottom w:val="nil"/>
              <w:right w:val="nil"/>
            </w:tcBorders>
            <w:vAlign w:val="center"/>
          </w:tcPr>
          <w:p w14:paraId="638F766B" w14:textId="3FCFB33A"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(-3.684)</w:t>
            </w:r>
          </w:p>
        </w:tc>
      </w:tr>
      <w:tr w:rsidR="00CA039A" w:rsidRPr="007115F2" w14:paraId="19A52F15" w14:textId="77777777" w:rsidTr="00B6286E">
        <w:tc>
          <w:tcPr>
            <w:tcW w:w="2835" w:type="dxa"/>
            <w:tcBorders>
              <w:top w:val="nil"/>
              <w:left w:val="nil"/>
              <w:bottom w:val="nil"/>
              <w:right w:val="nil"/>
            </w:tcBorders>
          </w:tcPr>
          <w:p w14:paraId="61ED6A02" w14:textId="1E1B7EA8"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deal_hierarchy_culture_abs</w:t>
            </w:r>
          </w:p>
        </w:tc>
        <w:tc>
          <w:tcPr>
            <w:tcW w:w="1039" w:type="dxa"/>
            <w:tcBorders>
              <w:top w:val="nil"/>
              <w:left w:val="nil"/>
              <w:bottom w:val="nil"/>
              <w:right w:val="nil"/>
            </w:tcBorders>
            <w:vAlign w:val="center"/>
          </w:tcPr>
          <w:p w14:paraId="6C08A711" w14:textId="7777777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c>
          <w:tcPr>
            <w:tcW w:w="1040" w:type="dxa"/>
            <w:tcBorders>
              <w:top w:val="nil"/>
              <w:left w:val="nil"/>
              <w:bottom w:val="nil"/>
              <w:right w:val="nil"/>
            </w:tcBorders>
            <w:vAlign w:val="center"/>
          </w:tcPr>
          <w:p w14:paraId="22FE16F0" w14:textId="7777777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c>
          <w:tcPr>
            <w:tcW w:w="1039" w:type="dxa"/>
            <w:tcBorders>
              <w:top w:val="nil"/>
              <w:left w:val="nil"/>
              <w:bottom w:val="nil"/>
              <w:right w:val="nil"/>
            </w:tcBorders>
            <w:vAlign w:val="center"/>
          </w:tcPr>
          <w:p w14:paraId="08C2AE10" w14:textId="7777777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c>
          <w:tcPr>
            <w:tcW w:w="1040" w:type="dxa"/>
            <w:tcBorders>
              <w:top w:val="nil"/>
              <w:left w:val="nil"/>
              <w:bottom w:val="nil"/>
              <w:right w:val="nil"/>
            </w:tcBorders>
            <w:vAlign w:val="center"/>
          </w:tcPr>
          <w:p w14:paraId="2F9C4A1F" w14:textId="1FD6AA8E"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0.037</w:t>
            </w:r>
          </w:p>
        </w:tc>
        <w:tc>
          <w:tcPr>
            <w:tcW w:w="1039" w:type="dxa"/>
            <w:tcBorders>
              <w:top w:val="nil"/>
              <w:left w:val="nil"/>
              <w:bottom w:val="nil"/>
              <w:right w:val="nil"/>
            </w:tcBorders>
            <w:vAlign w:val="center"/>
          </w:tcPr>
          <w:p w14:paraId="19D4447B" w14:textId="0959D3EB"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0.172</w:t>
            </w:r>
          </w:p>
        </w:tc>
        <w:tc>
          <w:tcPr>
            <w:tcW w:w="1040" w:type="dxa"/>
            <w:tcBorders>
              <w:top w:val="nil"/>
              <w:left w:val="nil"/>
              <w:bottom w:val="nil"/>
              <w:right w:val="nil"/>
            </w:tcBorders>
            <w:vAlign w:val="center"/>
          </w:tcPr>
          <w:p w14:paraId="7F53E584" w14:textId="5623990A"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0.178</w:t>
            </w:r>
          </w:p>
        </w:tc>
      </w:tr>
      <w:tr w:rsidR="00CA039A" w:rsidRPr="007115F2" w14:paraId="674008D1" w14:textId="77777777" w:rsidTr="00B6286E">
        <w:tc>
          <w:tcPr>
            <w:tcW w:w="2835" w:type="dxa"/>
            <w:tcBorders>
              <w:top w:val="nil"/>
              <w:left w:val="nil"/>
              <w:bottom w:val="nil"/>
              <w:right w:val="nil"/>
            </w:tcBorders>
          </w:tcPr>
          <w:p w14:paraId="17BDC3BB" w14:textId="2EB2F71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w:t>
            </w:r>
          </w:p>
        </w:tc>
        <w:tc>
          <w:tcPr>
            <w:tcW w:w="1039" w:type="dxa"/>
            <w:tcBorders>
              <w:top w:val="nil"/>
              <w:left w:val="nil"/>
              <w:bottom w:val="nil"/>
              <w:right w:val="nil"/>
            </w:tcBorders>
            <w:vAlign w:val="center"/>
          </w:tcPr>
          <w:p w14:paraId="660A8BD6" w14:textId="7777777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c>
          <w:tcPr>
            <w:tcW w:w="1040" w:type="dxa"/>
            <w:tcBorders>
              <w:top w:val="nil"/>
              <w:left w:val="nil"/>
              <w:bottom w:val="nil"/>
              <w:right w:val="nil"/>
            </w:tcBorders>
            <w:vAlign w:val="center"/>
          </w:tcPr>
          <w:p w14:paraId="3DA385B5" w14:textId="7777777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c>
          <w:tcPr>
            <w:tcW w:w="1039" w:type="dxa"/>
            <w:tcBorders>
              <w:top w:val="nil"/>
              <w:left w:val="nil"/>
              <w:bottom w:val="nil"/>
              <w:right w:val="nil"/>
            </w:tcBorders>
            <w:vAlign w:val="center"/>
          </w:tcPr>
          <w:p w14:paraId="454D38FC" w14:textId="7777777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c>
          <w:tcPr>
            <w:tcW w:w="1040" w:type="dxa"/>
            <w:tcBorders>
              <w:top w:val="nil"/>
              <w:left w:val="nil"/>
              <w:bottom w:val="nil"/>
              <w:right w:val="nil"/>
            </w:tcBorders>
            <w:vAlign w:val="center"/>
          </w:tcPr>
          <w:p w14:paraId="3E8FF948" w14:textId="22BDFAC2"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(0.088)</w:t>
            </w:r>
          </w:p>
        </w:tc>
        <w:tc>
          <w:tcPr>
            <w:tcW w:w="1039" w:type="dxa"/>
            <w:tcBorders>
              <w:top w:val="nil"/>
              <w:left w:val="nil"/>
              <w:bottom w:val="nil"/>
              <w:right w:val="nil"/>
            </w:tcBorders>
            <w:vAlign w:val="center"/>
          </w:tcPr>
          <w:p w14:paraId="345B21EA" w14:textId="6D49B04D"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(0.796)</w:t>
            </w:r>
          </w:p>
        </w:tc>
        <w:tc>
          <w:tcPr>
            <w:tcW w:w="1040" w:type="dxa"/>
            <w:tcBorders>
              <w:top w:val="nil"/>
              <w:left w:val="nil"/>
              <w:bottom w:val="nil"/>
              <w:right w:val="nil"/>
            </w:tcBorders>
            <w:vAlign w:val="center"/>
          </w:tcPr>
          <w:p w14:paraId="2730D0EC" w14:textId="3EFD7348"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(1.577)</w:t>
            </w:r>
          </w:p>
        </w:tc>
      </w:tr>
      <w:tr w:rsidR="00CA039A" w:rsidRPr="007115F2" w14:paraId="42C6839D" w14:textId="77777777" w:rsidTr="00B6286E">
        <w:tc>
          <w:tcPr>
            <w:tcW w:w="2835" w:type="dxa"/>
            <w:tcBorders>
              <w:top w:val="nil"/>
              <w:left w:val="nil"/>
              <w:bottom w:val="nil"/>
              <w:right w:val="nil"/>
            </w:tcBorders>
          </w:tcPr>
          <w:p w14:paraId="1E2238B6" w14:textId="1C3C6DFF" w:rsidR="00CA039A" w:rsidRPr="007115F2" w:rsidRDefault="00CA039A" w:rsidP="00CA039A">
            <w:pPr>
              <w:widowControl w:val="0"/>
              <w:autoSpaceDE w:val="0"/>
              <w:autoSpaceDN w:val="0"/>
              <w:adjustRightInd w:val="0"/>
              <w:spacing w:line="240" w:lineRule="auto"/>
              <w:rPr>
                <w:b/>
                <w:bCs/>
                <w:color w:val="000000" w:themeColor="text1"/>
                <w:sz w:val="22"/>
                <w:lang w:val="en-US"/>
              </w:rPr>
            </w:pPr>
            <w:r w:rsidRPr="007E6AC7">
              <w:rPr>
                <w:color w:val="000000" w:themeColor="text1"/>
                <w:sz w:val="22"/>
                <w:lang w:val="en-US"/>
              </w:rPr>
              <w:t xml:space="preserve"> deal_value_ln</w:t>
            </w:r>
          </w:p>
        </w:tc>
        <w:tc>
          <w:tcPr>
            <w:tcW w:w="1039" w:type="dxa"/>
            <w:tcBorders>
              <w:top w:val="nil"/>
              <w:left w:val="nil"/>
              <w:bottom w:val="nil"/>
              <w:right w:val="nil"/>
            </w:tcBorders>
            <w:vAlign w:val="center"/>
          </w:tcPr>
          <w:p w14:paraId="21E66CCB" w14:textId="55548522"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7E6AC7">
              <w:rPr>
                <w:color w:val="000000" w:themeColor="text1"/>
                <w:sz w:val="22"/>
              </w:rPr>
              <w:t>.139</w:t>
            </w:r>
            <w:r w:rsidRPr="007E6AC7">
              <w:rPr>
                <w:color w:val="000000" w:themeColor="text1"/>
                <w:sz w:val="22"/>
                <w:vertAlign w:val="superscript"/>
              </w:rPr>
              <w:t>**</w:t>
            </w:r>
          </w:p>
        </w:tc>
        <w:tc>
          <w:tcPr>
            <w:tcW w:w="1040" w:type="dxa"/>
            <w:tcBorders>
              <w:top w:val="nil"/>
              <w:left w:val="nil"/>
              <w:bottom w:val="nil"/>
              <w:right w:val="nil"/>
            </w:tcBorders>
            <w:vAlign w:val="center"/>
          </w:tcPr>
          <w:p w14:paraId="1FE876F3" w14:textId="26845DB8"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7E6AC7">
              <w:rPr>
                <w:color w:val="000000" w:themeColor="text1"/>
                <w:sz w:val="22"/>
              </w:rPr>
              <w:t>.079</w:t>
            </w:r>
            <w:r w:rsidRPr="007E6AC7">
              <w:rPr>
                <w:color w:val="000000" w:themeColor="text1"/>
                <w:sz w:val="22"/>
                <w:vertAlign w:val="superscript"/>
              </w:rPr>
              <w:t>**</w:t>
            </w:r>
          </w:p>
        </w:tc>
        <w:tc>
          <w:tcPr>
            <w:tcW w:w="1039" w:type="dxa"/>
            <w:tcBorders>
              <w:top w:val="nil"/>
              <w:left w:val="nil"/>
              <w:bottom w:val="nil"/>
              <w:right w:val="nil"/>
            </w:tcBorders>
            <w:vAlign w:val="center"/>
          </w:tcPr>
          <w:p w14:paraId="3427FB88" w14:textId="3F0C12B1"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7E6AC7">
              <w:rPr>
                <w:color w:val="000000" w:themeColor="text1"/>
                <w:sz w:val="22"/>
              </w:rPr>
              <w:t>.034</w:t>
            </w:r>
            <w:r w:rsidRPr="007E6AC7">
              <w:rPr>
                <w:color w:val="000000" w:themeColor="text1"/>
                <w:sz w:val="22"/>
                <w:vertAlign w:val="superscript"/>
              </w:rPr>
              <w:t>**</w:t>
            </w:r>
          </w:p>
        </w:tc>
        <w:tc>
          <w:tcPr>
            <w:tcW w:w="1040" w:type="dxa"/>
            <w:tcBorders>
              <w:top w:val="nil"/>
              <w:left w:val="nil"/>
              <w:bottom w:val="nil"/>
              <w:right w:val="nil"/>
            </w:tcBorders>
            <w:vAlign w:val="center"/>
          </w:tcPr>
          <w:p w14:paraId="7CE94D2B" w14:textId="4D35E8A4"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7E6AC7">
              <w:rPr>
                <w:color w:val="000000" w:themeColor="text1"/>
                <w:sz w:val="22"/>
              </w:rPr>
              <w:t>0.153</w:t>
            </w:r>
            <w:r w:rsidRPr="007E6AC7">
              <w:rPr>
                <w:color w:val="000000" w:themeColor="text1"/>
                <w:sz w:val="22"/>
                <w:vertAlign w:val="superscript"/>
              </w:rPr>
              <w:t>***</w:t>
            </w:r>
          </w:p>
        </w:tc>
        <w:tc>
          <w:tcPr>
            <w:tcW w:w="1039" w:type="dxa"/>
            <w:tcBorders>
              <w:top w:val="nil"/>
              <w:left w:val="nil"/>
              <w:bottom w:val="nil"/>
              <w:right w:val="nil"/>
            </w:tcBorders>
            <w:vAlign w:val="center"/>
          </w:tcPr>
          <w:p w14:paraId="1D4276BD" w14:textId="282ABB57"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7E6AC7">
              <w:rPr>
                <w:color w:val="000000" w:themeColor="text1"/>
                <w:sz w:val="22"/>
              </w:rPr>
              <w:t>0.086</w:t>
            </w:r>
            <w:r w:rsidRPr="007E6AC7">
              <w:rPr>
                <w:color w:val="000000" w:themeColor="text1"/>
                <w:sz w:val="22"/>
                <w:vertAlign w:val="superscript"/>
              </w:rPr>
              <w:t>**</w:t>
            </w:r>
          </w:p>
        </w:tc>
        <w:tc>
          <w:tcPr>
            <w:tcW w:w="1040" w:type="dxa"/>
            <w:tcBorders>
              <w:top w:val="nil"/>
              <w:left w:val="nil"/>
              <w:bottom w:val="nil"/>
              <w:right w:val="nil"/>
            </w:tcBorders>
            <w:vAlign w:val="center"/>
          </w:tcPr>
          <w:p w14:paraId="19D1FDEA" w14:textId="0A61B154"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7E6AC7">
              <w:rPr>
                <w:color w:val="000000" w:themeColor="text1"/>
                <w:sz w:val="22"/>
              </w:rPr>
              <w:t>0.037</w:t>
            </w:r>
            <w:r w:rsidRPr="007E6AC7">
              <w:rPr>
                <w:color w:val="000000" w:themeColor="text1"/>
                <w:sz w:val="22"/>
                <w:vertAlign w:val="superscript"/>
              </w:rPr>
              <w:t>**</w:t>
            </w:r>
          </w:p>
        </w:tc>
      </w:tr>
      <w:tr w:rsidR="00CA039A" w:rsidRPr="007115F2" w14:paraId="3EC48435" w14:textId="77777777" w:rsidTr="00B6286E">
        <w:tc>
          <w:tcPr>
            <w:tcW w:w="2835" w:type="dxa"/>
            <w:tcBorders>
              <w:top w:val="nil"/>
              <w:left w:val="nil"/>
              <w:bottom w:val="nil"/>
              <w:right w:val="nil"/>
            </w:tcBorders>
          </w:tcPr>
          <w:p w14:paraId="24C9CDBF" w14:textId="60DCAA3F"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w:t>
            </w:r>
          </w:p>
        </w:tc>
        <w:tc>
          <w:tcPr>
            <w:tcW w:w="1039" w:type="dxa"/>
            <w:tcBorders>
              <w:top w:val="nil"/>
              <w:left w:val="nil"/>
              <w:bottom w:val="nil"/>
              <w:right w:val="nil"/>
            </w:tcBorders>
            <w:vAlign w:val="center"/>
          </w:tcPr>
          <w:p w14:paraId="6CE6CE08" w14:textId="0C7C1EB6"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(2.425)</w:t>
            </w:r>
          </w:p>
        </w:tc>
        <w:tc>
          <w:tcPr>
            <w:tcW w:w="1040" w:type="dxa"/>
            <w:tcBorders>
              <w:top w:val="nil"/>
              <w:left w:val="nil"/>
              <w:bottom w:val="nil"/>
              <w:right w:val="nil"/>
            </w:tcBorders>
            <w:vAlign w:val="center"/>
          </w:tcPr>
          <w:p w14:paraId="6D7B0B34" w14:textId="10B2EE35"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(2.406)</w:t>
            </w:r>
          </w:p>
        </w:tc>
        <w:tc>
          <w:tcPr>
            <w:tcW w:w="1039" w:type="dxa"/>
            <w:tcBorders>
              <w:top w:val="nil"/>
              <w:left w:val="nil"/>
              <w:bottom w:val="nil"/>
              <w:right w:val="nil"/>
            </w:tcBorders>
            <w:vAlign w:val="center"/>
          </w:tcPr>
          <w:p w14:paraId="2469C54D" w14:textId="3B6922AC"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(2.116)</w:t>
            </w:r>
          </w:p>
        </w:tc>
        <w:tc>
          <w:tcPr>
            <w:tcW w:w="1040" w:type="dxa"/>
            <w:tcBorders>
              <w:top w:val="nil"/>
              <w:left w:val="nil"/>
              <w:bottom w:val="nil"/>
              <w:right w:val="nil"/>
            </w:tcBorders>
            <w:vAlign w:val="center"/>
          </w:tcPr>
          <w:p w14:paraId="08C2D4BF" w14:textId="4B63FBE6"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(2.654)</w:t>
            </w:r>
          </w:p>
        </w:tc>
        <w:tc>
          <w:tcPr>
            <w:tcW w:w="1039" w:type="dxa"/>
            <w:tcBorders>
              <w:top w:val="nil"/>
              <w:left w:val="nil"/>
              <w:bottom w:val="nil"/>
              <w:right w:val="nil"/>
            </w:tcBorders>
            <w:vAlign w:val="center"/>
          </w:tcPr>
          <w:p w14:paraId="35685896" w14:textId="55C3711B"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(2.626</w:t>
            </w:r>
          </w:p>
        </w:tc>
        <w:tc>
          <w:tcPr>
            <w:tcW w:w="1040" w:type="dxa"/>
            <w:tcBorders>
              <w:top w:val="nil"/>
              <w:left w:val="nil"/>
              <w:bottom w:val="nil"/>
              <w:right w:val="nil"/>
            </w:tcBorders>
            <w:vAlign w:val="center"/>
          </w:tcPr>
          <w:p w14:paraId="7F1B4AFB" w14:textId="45D70EBF"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(2.338)</w:t>
            </w:r>
          </w:p>
        </w:tc>
      </w:tr>
      <w:tr w:rsidR="00CA039A" w:rsidRPr="007115F2" w14:paraId="543303DE" w14:textId="77777777" w:rsidTr="00B6286E">
        <w:tc>
          <w:tcPr>
            <w:tcW w:w="2835" w:type="dxa"/>
            <w:tcBorders>
              <w:top w:val="nil"/>
              <w:left w:val="nil"/>
              <w:bottom w:val="nil"/>
              <w:right w:val="nil"/>
            </w:tcBorders>
          </w:tcPr>
          <w:p w14:paraId="2515CA95" w14:textId="665D8B7A"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deal_hofstede_distance</w:t>
            </w:r>
          </w:p>
        </w:tc>
        <w:tc>
          <w:tcPr>
            <w:tcW w:w="1039" w:type="dxa"/>
            <w:tcBorders>
              <w:top w:val="nil"/>
              <w:left w:val="nil"/>
              <w:bottom w:val="nil"/>
              <w:right w:val="nil"/>
            </w:tcBorders>
            <w:vAlign w:val="center"/>
          </w:tcPr>
          <w:p w14:paraId="50097D9C" w14:textId="2DBCBC36"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.221</w:t>
            </w:r>
          </w:p>
        </w:tc>
        <w:tc>
          <w:tcPr>
            <w:tcW w:w="1040" w:type="dxa"/>
            <w:tcBorders>
              <w:top w:val="nil"/>
              <w:left w:val="nil"/>
              <w:bottom w:val="nil"/>
              <w:right w:val="nil"/>
            </w:tcBorders>
            <w:vAlign w:val="center"/>
          </w:tcPr>
          <w:p w14:paraId="1724AE74" w14:textId="3C8D24E1"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.051</w:t>
            </w:r>
          </w:p>
        </w:tc>
        <w:tc>
          <w:tcPr>
            <w:tcW w:w="1039" w:type="dxa"/>
            <w:tcBorders>
              <w:top w:val="nil"/>
              <w:left w:val="nil"/>
              <w:bottom w:val="nil"/>
              <w:right w:val="nil"/>
            </w:tcBorders>
            <w:vAlign w:val="center"/>
          </w:tcPr>
          <w:p w14:paraId="75455761" w14:textId="0DCCAD99"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-.042</w:t>
            </w:r>
          </w:p>
        </w:tc>
        <w:tc>
          <w:tcPr>
            <w:tcW w:w="1040" w:type="dxa"/>
            <w:tcBorders>
              <w:top w:val="nil"/>
              <w:left w:val="nil"/>
              <w:bottom w:val="nil"/>
              <w:right w:val="nil"/>
            </w:tcBorders>
            <w:vAlign w:val="center"/>
          </w:tcPr>
          <w:p w14:paraId="003609C5" w14:textId="002C829B"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0.169</w:t>
            </w:r>
          </w:p>
        </w:tc>
        <w:tc>
          <w:tcPr>
            <w:tcW w:w="1039" w:type="dxa"/>
            <w:tcBorders>
              <w:top w:val="nil"/>
              <w:left w:val="nil"/>
              <w:bottom w:val="nil"/>
              <w:right w:val="nil"/>
            </w:tcBorders>
            <w:vAlign w:val="center"/>
          </w:tcPr>
          <w:p w14:paraId="342182D7" w14:textId="469B1461"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0.032</w:t>
            </w:r>
          </w:p>
        </w:tc>
        <w:tc>
          <w:tcPr>
            <w:tcW w:w="1040" w:type="dxa"/>
            <w:tcBorders>
              <w:top w:val="nil"/>
              <w:left w:val="nil"/>
              <w:bottom w:val="nil"/>
              <w:right w:val="nil"/>
            </w:tcBorders>
            <w:vAlign w:val="center"/>
          </w:tcPr>
          <w:p w14:paraId="04A53566" w14:textId="46699D30"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-0.045</w:t>
            </w:r>
          </w:p>
        </w:tc>
      </w:tr>
      <w:tr w:rsidR="00CA039A" w:rsidRPr="007115F2" w14:paraId="132DC723" w14:textId="77777777" w:rsidTr="00B6286E">
        <w:tc>
          <w:tcPr>
            <w:tcW w:w="2835" w:type="dxa"/>
            <w:tcBorders>
              <w:top w:val="nil"/>
              <w:left w:val="nil"/>
              <w:bottom w:val="nil"/>
              <w:right w:val="nil"/>
            </w:tcBorders>
          </w:tcPr>
          <w:p w14:paraId="419A3DF6" w14:textId="5CC01B65"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w:t>
            </w:r>
          </w:p>
        </w:tc>
        <w:tc>
          <w:tcPr>
            <w:tcW w:w="1039" w:type="dxa"/>
            <w:tcBorders>
              <w:top w:val="nil"/>
              <w:left w:val="nil"/>
              <w:bottom w:val="nil"/>
              <w:right w:val="nil"/>
            </w:tcBorders>
            <w:vAlign w:val="center"/>
          </w:tcPr>
          <w:p w14:paraId="5547E54D" w14:textId="50E7CD2E"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(.619)</w:t>
            </w:r>
          </w:p>
        </w:tc>
        <w:tc>
          <w:tcPr>
            <w:tcW w:w="1040" w:type="dxa"/>
            <w:tcBorders>
              <w:top w:val="nil"/>
              <w:left w:val="nil"/>
              <w:bottom w:val="nil"/>
              <w:right w:val="nil"/>
            </w:tcBorders>
            <w:vAlign w:val="center"/>
          </w:tcPr>
          <w:p w14:paraId="42349A22" w14:textId="67B72F3B"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(.293)</w:t>
            </w:r>
          </w:p>
        </w:tc>
        <w:tc>
          <w:tcPr>
            <w:tcW w:w="1039" w:type="dxa"/>
            <w:tcBorders>
              <w:top w:val="nil"/>
              <w:left w:val="nil"/>
              <w:bottom w:val="nil"/>
              <w:right w:val="nil"/>
            </w:tcBorders>
            <w:vAlign w:val="center"/>
          </w:tcPr>
          <w:p w14:paraId="7709D80D" w14:textId="799BDC3F"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(-.467)</w:t>
            </w:r>
          </w:p>
        </w:tc>
        <w:tc>
          <w:tcPr>
            <w:tcW w:w="1040" w:type="dxa"/>
            <w:tcBorders>
              <w:top w:val="nil"/>
              <w:left w:val="nil"/>
              <w:bottom w:val="nil"/>
              <w:right w:val="nil"/>
            </w:tcBorders>
            <w:vAlign w:val="center"/>
          </w:tcPr>
          <w:p w14:paraId="4FB2526C" w14:textId="6B5D59B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(0.539)</w:t>
            </w:r>
          </w:p>
        </w:tc>
        <w:tc>
          <w:tcPr>
            <w:tcW w:w="1039" w:type="dxa"/>
            <w:tcBorders>
              <w:top w:val="nil"/>
              <w:left w:val="nil"/>
              <w:bottom w:val="nil"/>
              <w:right w:val="nil"/>
            </w:tcBorders>
            <w:vAlign w:val="center"/>
          </w:tcPr>
          <w:p w14:paraId="0710E210" w14:textId="7747B2FE"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(0.220</w:t>
            </w:r>
          </w:p>
        </w:tc>
        <w:tc>
          <w:tcPr>
            <w:tcW w:w="1040" w:type="dxa"/>
            <w:tcBorders>
              <w:top w:val="nil"/>
              <w:left w:val="nil"/>
              <w:bottom w:val="nil"/>
              <w:right w:val="nil"/>
            </w:tcBorders>
            <w:vAlign w:val="center"/>
          </w:tcPr>
          <w:p w14:paraId="2DBD37B6" w14:textId="14AAC1AC"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(-0.606)</w:t>
            </w:r>
          </w:p>
        </w:tc>
      </w:tr>
      <w:tr w:rsidR="00CA039A" w:rsidRPr="007115F2" w14:paraId="4B9A0F68" w14:textId="77777777" w:rsidTr="00B6286E">
        <w:tc>
          <w:tcPr>
            <w:tcW w:w="2835" w:type="dxa"/>
            <w:tcBorders>
              <w:top w:val="nil"/>
              <w:left w:val="nil"/>
              <w:bottom w:val="nil"/>
              <w:right w:val="nil"/>
            </w:tcBorders>
          </w:tcPr>
          <w:p w14:paraId="0EAFDB87" w14:textId="75D49FA6"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deal_all_cash_dummy</w:t>
            </w:r>
          </w:p>
        </w:tc>
        <w:tc>
          <w:tcPr>
            <w:tcW w:w="1039" w:type="dxa"/>
            <w:tcBorders>
              <w:top w:val="nil"/>
              <w:left w:val="nil"/>
              <w:bottom w:val="nil"/>
              <w:right w:val="nil"/>
            </w:tcBorders>
            <w:vAlign w:val="center"/>
          </w:tcPr>
          <w:p w14:paraId="0B858803" w14:textId="78FD9E09"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.030</w:t>
            </w:r>
          </w:p>
        </w:tc>
        <w:tc>
          <w:tcPr>
            <w:tcW w:w="1040" w:type="dxa"/>
            <w:tcBorders>
              <w:top w:val="nil"/>
              <w:left w:val="nil"/>
              <w:bottom w:val="nil"/>
              <w:right w:val="nil"/>
            </w:tcBorders>
            <w:vAlign w:val="center"/>
          </w:tcPr>
          <w:p w14:paraId="1CBF96E3" w14:textId="34A4AD7D"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.029</w:t>
            </w:r>
          </w:p>
        </w:tc>
        <w:tc>
          <w:tcPr>
            <w:tcW w:w="1039" w:type="dxa"/>
            <w:tcBorders>
              <w:top w:val="nil"/>
              <w:left w:val="nil"/>
              <w:bottom w:val="nil"/>
              <w:right w:val="nil"/>
            </w:tcBorders>
            <w:vAlign w:val="center"/>
          </w:tcPr>
          <w:p w14:paraId="7D0C33FD" w14:textId="2CA075BE"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.007</w:t>
            </w:r>
          </w:p>
        </w:tc>
        <w:tc>
          <w:tcPr>
            <w:tcW w:w="1040" w:type="dxa"/>
            <w:tcBorders>
              <w:top w:val="nil"/>
              <w:left w:val="nil"/>
              <w:bottom w:val="nil"/>
              <w:right w:val="nil"/>
            </w:tcBorders>
            <w:vAlign w:val="center"/>
          </w:tcPr>
          <w:p w14:paraId="58337395" w14:textId="22D1D1FE"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0.012</w:t>
            </w:r>
          </w:p>
        </w:tc>
        <w:tc>
          <w:tcPr>
            <w:tcW w:w="1039" w:type="dxa"/>
            <w:tcBorders>
              <w:top w:val="nil"/>
              <w:left w:val="nil"/>
              <w:bottom w:val="nil"/>
              <w:right w:val="nil"/>
            </w:tcBorders>
            <w:vAlign w:val="center"/>
          </w:tcPr>
          <w:p w14:paraId="48E612F0" w14:textId="6671BA30"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0.018</w:t>
            </w:r>
          </w:p>
        </w:tc>
        <w:tc>
          <w:tcPr>
            <w:tcW w:w="1040" w:type="dxa"/>
            <w:tcBorders>
              <w:top w:val="nil"/>
              <w:left w:val="nil"/>
              <w:bottom w:val="nil"/>
              <w:right w:val="nil"/>
            </w:tcBorders>
            <w:vAlign w:val="center"/>
          </w:tcPr>
          <w:p w14:paraId="3D716C09" w14:textId="3400B721"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0.001</w:t>
            </w:r>
          </w:p>
        </w:tc>
      </w:tr>
      <w:tr w:rsidR="00CA039A" w:rsidRPr="007115F2" w14:paraId="3AC73E26" w14:textId="77777777" w:rsidTr="00B6286E">
        <w:tc>
          <w:tcPr>
            <w:tcW w:w="2835" w:type="dxa"/>
            <w:tcBorders>
              <w:top w:val="nil"/>
              <w:left w:val="nil"/>
              <w:bottom w:val="nil"/>
              <w:right w:val="nil"/>
            </w:tcBorders>
          </w:tcPr>
          <w:p w14:paraId="19B2158E" w14:textId="1A7E31DA"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w:t>
            </w:r>
          </w:p>
        </w:tc>
        <w:tc>
          <w:tcPr>
            <w:tcW w:w="1039" w:type="dxa"/>
            <w:tcBorders>
              <w:top w:val="nil"/>
              <w:left w:val="nil"/>
              <w:bottom w:val="nil"/>
              <w:right w:val="nil"/>
            </w:tcBorders>
            <w:vAlign w:val="center"/>
          </w:tcPr>
          <w:p w14:paraId="5FF198C3" w14:textId="764B28E5"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(.336)</w:t>
            </w:r>
          </w:p>
        </w:tc>
        <w:tc>
          <w:tcPr>
            <w:tcW w:w="1040" w:type="dxa"/>
            <w:tcBorders>
              <w:top w:val="nil"/>
              <w:left w:val="nil"/>
              <w:bottom w:val="nil"/>
              <w:right w:val="nil"/>
            </w:tcBorders>
            <w:vAlign w:val="center"/>
          </w:tcPr>
          <w:p w14:paraId="527E692D" w14:textId="3C6CDBF1"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(.548)</w:t>
            </w:r>
          </w:p>
        </w:tc>
        <w:tc>
          <w:tcPr>
            <w:tcW w:w="1039" w:type="dxa"/>
            <w:tcBorders>
              <w:top w:val="nil"/>
              <w:left w:val="nil"/>
              <w:bottom w:val="nil"/>
              <w:right w:val="nil"/>
            </w:tcBorders>
            <w:vAlign w:val="center"/>
          </w:tcPr>
          <w:p w14:paraId="5695B23F" w14:textId="373E850B"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(.326)</w:t>
            </w:r>
          </w:p>
        </w:tc>
        <w:tc>
          <w:tcPr>
            <w:tcW w:w="1040" w:type="dxa"/>
            <w:tcBorders>
              <w:top w:val="nil"/>
              <w:left w:val="nil"/>
              <w:bottom w:val="nil"/>
              <w:right w:val="nil"/>
            </w:tcBorders>
            <w:vAlign w:val="center"/>
          </w:tcPr>
          <w:p w14:paraId="47E3FEFE" w14:textId="7482BE53"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(0.141)</w:t>
            </w:r>
          </w:p>
        </w:tc>
        <w:tc>
          <w:tcPr>
            <w:tcW w:w="1039" w:type="dxa"/>
            <w:tcBorders>
              <w:top w:val="nil"/>
              <w:left w:val="nil"/>
              <w:bottom w:val="nil"/>
              <w:right w:val="nil"/>
            </w:tcBorders>
            <w:vAlign w:val="center"/>
          </w:tcPr>
          <w:p w14:paraId="10BA2387" w14:textId="56CC735B"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(0.356</w:t>
            </w:r>
          </w:p>
        </w:tc>
        <w:tc>
          <w:tcPr>
            <w:tcW w:w="1040" w:type="dxa"/>
            <w:tcBorders>
              <w:top w:val="nil"/>
              <w:left w:val="nil"/>
              <w:bottom w:val="nil"/>
              <w:right w:val="nil"/>
            </w:tcBorders>
            <w:vAlign w:val="center"/>
          </w:tcPr>
          <w:p w14:paraId="4FF1AFEF" w14:textId="7C7257FA"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(0.064)</w:t>
            </w:r>
          </w:p>
        </w:tc>
      </w:tr>
      <w:tr w:rsidR="00CA039A" w:rsidRPr="007115F2" w14:paraId="4261B4F0" w14:textId="77777777" w:rsidTr="00B6286E">
        <w:tc>
          <w:tcPr>
            <w:tcW w:w="2835" w:type="dxa"/>
            <w:tcBorders>
              <w:top w:val="nil"/>
              <w:left w:val="nil"/>
              <w:bottom w:val="nil"/>
              <w:right w:val="nil"/>
            </w:tcBorders>
          </w:tcPr>
          <w:p w14:paraId="79393219" w14:textId="49A5FD91"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deal_all_stock_dummy</w:t>
            </w:r>
          </w:p>
        </w:tc>
        <w:tc>
          <w:tcPr>
            <w:tcW w:w="1039" w:type="dxa"/>
            <w:tcBorders>
              <w:top w:val="nil"/>
              <w:left w:val="nil"/>
              <w:bottom w:val="nil"/>
              <w:right w:val="nil"/>
            </w:tcBorders>
            <w:vAlign w:val="center"/>
          </w:tcPr>
          <w:p w14:paraId="2243EB62" w14:textId="7FFD854E"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-.121</w:t>
            </w:r>
          </w:p>
        </w:tc>
        <w:tc>
          <w:tcPr>
            <w:tcW w:w="1040" w:type="dxa"/>
            <w:tcBorders>
              <w:top w:val="nil"/>
              <w:left w:val="nil"/>
              <w:bottom w:val="nil"/>
              <w:right w:val="nil"/>
            </w:tcBorders>
            <w:vAlign w:val="center"/>
          </w:tcPr>
          <w:p w14:paraId="22A9E3A6" w14:textId="3BEFF52D"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-.068</w:t>
            </w:r>
          </w:p>
        </w:tc>
        <w:tc>
          <w:tcPr>
            <w:tcW w:w="1039" w:type="dxa"/>
            <w:tcBorders>
              <w:top w:val="nil"/>
              <w:left w:val="nil"/>
              <w:bottom w:val="nil"/>
              <w:right w:val="nil"/>
            </w:tcBorders>
            <w:vAlign w:val="center"/>
          </w:tcPr>
          <w:p w14:paraId="6A8F10FF" w14:textId="7F9D924A"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-.028</w:t>
            </w:r>
          </w:p>
        </w:tc>
        <w:tc>
          <w:tcPr>
            <w:tcW w:w="1040" w:type="dxa"/>
            <w:tcBorders>
              <w:top w:val="nil"/>
              <w:left w:val="nil"/>
              <w:bottom w:val="nil"/>
              <w:right w:val="nil"/>
            </w:tcBorders>
            <w:vAlign w:val="center"/>
          </w:tcPr>
          <w:p w14:paraId="0D8C0199" w14:textId="5B022402"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-0.113</w:t>
            </w:r>
          </w:p>
        </w:tc>
        <w:tc>
          <w:tcPr>
            <w:tcW w:w="1039" w:type="dxa"/>
            <w:tcBorders>
              <w:top w:val="nil"/>
              <w:left w:val="nil"/>
              <w:bottom w:val="nil"/>
              <w:right w:val="nil"/>
            </w:tcBorders>
            <w:vAlign w:val="center"/>
          </w:tcPr>
          <w:p w14:paraId="4F2600D4" w14:textId="7C2C35C4"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-0.061</w:t>
            </w:r>
          </w:p>
        </w:tc>
        <w:tc>
          <w:tcPr>
            <w:tcW w:w="1040" w:type="dxa"/>
            <w:tcBorders>
              <w:top w:val="nil"/>
              <w:left w:val="nil"/>
              <w:bottom w:val="nil"/>
              <w:right w:val="nil"/>
            </w:tcBorders>
            <w:vAlign w:val="center"/>
          </w:tcPr>
          <w:p w14:paraId="7FFAB255" w14:textId="4717A6A0"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-0.024</w:t>
            </w:r>
          </w:p>
        </w:tc>
      </w:tr>
      <w:tr w:rsidR="00CA039A" w:rsidRPr="007115F2" w14:paraId="2AACBEE0" w14:textId="77777777" w:rsidTr="00B6286E">
        <w:tc>
          <w:tcPr>
            <w:tcW w:w="2835" w:type="dxa"/>
            <w:tcBorders>
              <w:top w:val="nil"/>
              <w:left w:val="nil"/>
              <w:bottom w:val="nil"/>
              <w:right w:val="nil"/>
            </w:tcBorders>
          </w:tcPr>
          <w:p w14:paraId="24CB818C" w14:textId="71601CDE" w:rsidR="00CA039A" w:rsidRPr="007115F2" w:rsidRDefault="00CA039A" w:rsidP="00CA039A">
            <w:pPr>
              <w:widowControl w:val="0"/>
              <w:autoSpaceDE w:val="0"/>
              <w:autoSpaceDN w:val="0"/>
              <w:adjustRightInd w:val="0"/>
              <w:spacing w:line="240" w:lineRule="auto"/>
              <w:rPr>
                <w:b/>
                <w:bCs/>
                <w:color w:val="000000" w:themeColor="text1"/>
                <w:sz w:val="22"/>
                <w:lang w:val="en-US"/>
              </w:rPr>
            </w:pPr>
            <w:r w:rsidRPr="007E6AC7">
              <w:rPr>
                <w:color w:val="000000" w:themeColor="text1"/>
                <w:sz w:val="22"/>
                <w:lang w:val="en-US"/>
              </w:rPr>
              <w:t xml:space="preserve">  </w:t>
            </w:r>
          </w:p>
        </w:tc>
        <w:tc>
          <w:tcPr>
            <w:tcW w:w="1039" w:type="dxa"/>
            <w:tcBorders>
              <w:top w:val="nil"/>
              <w:left w:val="nil"/>
              <w:bottom w:val="nil"/>
              <w:right w:val="nil"/>
            </w:tcBorders>
            <w:vAlign w:val="center"/>
          </w:tcPr>
          <w:p w14:paraId="2E35A257" w14:textId="0F405B33"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7E6AC7">
              <w:rPr>
                <w:color w:val="000000" w:themeColor="text1"/>
                <w:sz w:val="22"/>
              </w:rPr>
              <w:t>(-.991)</w:t>
            </w:r>
          </w:p>
        </w:tc>
        <w:tc>
          <w:tcPr>
            <w:tcW w:w="1040" w:type="dxa"/>
            <w:tcBorders>
              <w:top w:val="nil"/>
              <w:left w:val="nil"/>
              <w:bottom w:val="nil"/>
              <w:right w:val="nil"/>
            </w:tcBorders>
            <w:vAlign w:val="center"/>
          </w:tcPr>
          <w:p w14:paraId="5AA1AC36" w14:textId="32F77265"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7E6AC7">
              <w:rPr>
                <w:color w:val="000000" w:themeColor="text1"/>
                <w:sz w:val="22"/>
              </w:rPr>
              <w:t>(-1.098)</w:t>
            </w:r>
          </w:p>
        </w:tc>
        <w:tc>
          <w:tcPr>
            <w:tcW w:w="1039" w:type="dxa"/>
            <w:tcBorders>
              <w:top w:val="nil"/>
              <w:left w:val="nil"/>
              <w:bottom w:val="nil"/>
              <w:right w:val="nil"/>
            </w:tcBorders>
            <w:vAlign w:val="center"/>
          </w:tcPr>
          <w:p w14:paraId="07586DD6" w14:textId="59EC4F60"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7E6AC7">
              <w:rPr>
                <w:color w:val="000000" w:themeColor="text1"/>
                <w:sz w:val="22"/>
              </w:rPr>
              <w:t>(-1.114)</w:t>
            </w:r>
          </w:p>
        </w:tc>
        <w:tc>
          <w:tcPr>
            <w:tcW w:w="1040" w:type="dxa"/>
            <w:tcBorders>
              <w:top w:val="nil"/>
              <w:left w:val="nil"/>
              <w:bottom w:val="nil"/>
              <w:right w:val="nil"/>
            </w:tcBorders>
            <w:vAlign w:val="center"/>
          </w:tcPr>
          <w:p w14:paraId="667A5287" w14:textId="59AE090A"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7E6AC7">
              <w:rPr>
                <w:color w:val="000000" w:themeColor="text1"/>
                <w:sz w:val="22"/>
              </w:rPr>
              <w:t>(-0.911)</w:t>
            </w:r>
          </w:p>
        </w:tc>
        <w:tc>
          <w:tcPr>
            <w:tcW w:w="1039" w:type="dxa"/>
            <w:tcBorders>
              <w:top w:val="nil"/>
              <w:left w:val="nil"/>
              <w:bottom w:val="nil"/>
              <w:right w:val="nil"/>
            </w:tcBorders>
            <w:vAlign w:val="center"/>
          </w:tcPr>
          <w:p w14:paraId="7DBCF030" w14:textId="049DA572"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7E6AC7">
              <w:rPr>
                <w:color w:val="000000" w:themeColor="text1"/>
                <w:sz w:val="22"/>
              </w:rPr>
              <w:t>(-0.971</w:t>
            </w:r>
          </w:p>
        </w:tc>
        <w:tc>
          <w:tcPr>
            <w:tcW w:w="1040" w:type="dxa"/>
            <w:tcBorders>
              <w:top w:val="nil"/>
              <w:left w:val="nil"/>
              <w:bottom w:val="nil"/>
              <w:right w:val="nil"/>
            </w:tcBorders>
            <w:vAlign w:val="center"/>
          </w:tcPr>
          <w:p w14:paraId="545757E6" w14:textId="2EE0AD9A"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7E6AC7">
              <w:rPr>
                <w:color w:val="000000" w:themeColor="text1"/>
                <w:sz w:val="22"/>
              </w:rPr>
              <w:t>(-0.934)</w:t>
            </w:r>
          </w:p>
        </w:tc>
      </w:tr>
      <w:tr w:rsidR="00CA039A" w:rsidRPr="007115F2" w14:paraId="466CC31E" w14:textId="77777777" w:rsidTr="00B6286E">
        <w:tc>
          <w:tcPr>
            <w:tcW w:w="2835" w:type="dxa"/>
            <w:tcBorders>
              <w:top w:val="nil"/>
              <w:left w:val="nil"/>
              <w:bottom w:val="nil"/>
              <w:right w:val="nil"/>
            </w:tcBorders>
          </w:tcPr>
          <w:p w14:paraId="1F2364BA" w14:textId="7C70C6B5"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deal_tenderoffer_dummy</w:t>
            </w:r>
          </w:p>
        </w:tc>
        <w:tc>
          <w:tcPr>
            <w:tcW w:w="1039" w:type="dxa"/>
            <w:tcBorders>
              <w:top w:val="nil"/>
              <w:left w:val="nil"/>
              <w:bottom w:val="nil"/>
              <w:right w:val="nil"/>
            </w:tcBorders>
            <w:vAlign w:val="center"/>
          </w:tcPr>
          <w:p w14:paraId="2BDBF356" w14:textId="0D83FED3"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-.071</w:t>
            </w:r>
          </w:p>
        </w:tc>
        <w:tc>
          <w:tcPr>
            <w:tcW w:w="1040" w:type="dxa"/>
            <w:tcBorders>
              <w:top w:val="nil"/>
              <w:left w:val="nil"/>
              <w:bottom w:val="nil"/>
              <w:right w:val="nil"/>
            </w:tcBorders>
            <w:vAlign w:val="center"/>
          </w:tcPr>
          <w:p w14:paraId="3012F3D3" w14:textId="1BD39BE1"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-.033</w:t>
            </w:r>
          </w:p>
        </w:tc>
        <w:tc>
          <w:tcPr>
            <w:tcW w:w="1039" w:type="dxa"/>
            <w:tcBorders>
              <w:top w:val="nil"/>
              <w:left w:val="nil"/>
              <w:bottom w:val="nil"/>
              <w:right w:val="nil"/>
            </w:tcBorders>
            <w:vAlign w:val="center"/>
          </w:tcPr>
          <w:p w14:paraId="6220A75D" w14:textId="200FB532"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-.018</w:t>
            </w:r>
          </w:p>
        </w:tc>
        <w:tc>
          <w:tcPr>
            <w:tcW w:w="1040" w:type="dxa"/>
            <w:tcBorders>
              <w:top w:val="nil"/>
              <w:left w:val="nil"/>
              <w:bottom w:val="nil"/>
              <w:right w:val="nil"/>
            </w:tcBorders>
            <w:vAlign w:val="center"/>
          </w:tcPr>
          <w:p w14:paraId="19C18017" w14:textId="15A70A52"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-0.069</w:t>
            </w:r>
          </w:p>
        </w:tc>
        <w:tc>
          <w:tcPr>
            <w:tcW w:w="1039" w:type="dxa"/>
            <w:tcBorders>
              <w:top w:val="nil"/>
              <w:left w:val="nil"/>
              <w:bottom w:val="nil"/>
              <w:right w:val="nil"/>
            </w:tcBorders>
            <w:vAlign w:val="center"/>
          </w:tcPr>
          <w:p w14:paraId="2F5BBC03" w14:textId="4443A662"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-0.031</w:t>
            </w:r>
          </w:p>
        </w:tc>
        <w:tc>
          <w:tcPr>
            <w:tcW w:w="1040" w:type="dxa"/>
            <w:tcBorders>
              <w:top w:val="nil"/>
              <w:left w:val="nil"/>
              <w:bottom w:val="nil"/>
              <w:right w:val="nil"/>
            </w:tcBorders>
            <w:vAlign w:val="center"/>
          </w:tcPr>
          <w:p w14:paraId="6D4887C5" w14:textId="7252D916"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-0.017</w:t>
            </w:r>
          </w:p>
        </w:tc>
      </w:tr>
      <w:tr w:rsidR="00CA039A" w:rsidRPr="007115F2" w14:paraId="2813442C" w14:textId="77777777" w:rsidTr="00B6286E">
        <w:tc>
          <w:tcPr>
            <w:tcW w:w="2835" w:type="dxa"/>
            <w:tcBorders>
              <w:top w:val="nil"/>
              <w:left w:val="nil"/>
              <w:bottom w:val="nil"/>
              <w:right w:val="nil"/>
            </w:tcBorders>
          </w:tcPr>
          <w:p w14:paraId="57519CDA" w14:textId="6F5F18E0"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w:t>
            </w:r>
          </w:p>
        </w:tc>
        <w:tc>
          <w:tcPr>
            <w:tcW w:w="1039" w:type="dxa"/>
            <w:tcBorders>
              <w:top w:val="nil"/>
              <w:left w:val="nil"/>
              <w:bottom w:val="nil"/>
              <w:right w:val="nil"/>
            </w:tcBorders>
            <w:vAlign w:val="center"/>
          </w:tcPr>
          <w:p w14:paraId="70FB49AF" w14:textId="2E4A3B31"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(-.866)</w:t>
            </w:r>
          </w:p>
        </w:tc>
        <w:tc>
          <w:tcPr>
            <w:tcW w:w="1040" w:type="dxa"/>
            <w:tcBorders>
              <w:top w:val="nil"/>
              <w:left w:val="nil"/>
              <w:bottom w:val="nil"/>
              <w:right w:val="nil"/>
            </w:tcBorders>
            <w:vAlign w:val="center"/>
          </w:tcPr>
          <w:p w14:paraId="7346AD64" w14:textId="70CD9D5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(-.672)</w:t>
            </w:r>
          </w:p>
        </w:tc>
        <w:tc>
          <w:tcPr>
            <w:tcW w:w="1039" w:type="dxa"/>
            <w:tcBorders>
              <w:top w:val="nil"/>
              <w:left w:val="nil"/>
              <w:bottom w:val="nil"/>
              <w:right w:val="nil"/>
            </w:tcBorders>
            <w:vAlign w:val="center"/>
          </w:tcPr>
          <w:p w14:paraId="7976C80A" w14:textId="1B1A0AF1"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(-.798)</w:t>
            </w:r>
          </w:p>
        </w:tc>
        <w:tc>
          <w:tcPr>
            <w:tcW w:w="1040" w:type="dxa"/>
            <w:tcBorders>
              <w:top w:val="nil"/>
              <w:left w:val="nil"/>
              <w:bottom w:val="nil"/>
              <w:right w:val="nil"/>
            </w:tcBorders>
            <w:vAlign w:val="center"/>
          </w:tcPr>
          <w:p w14:paraId="5CE52B6E" w14:textId="51228E99"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(-0.785)</w:t>
            </w:r>
          </w:p>
        </w:tc>
        <w:tc>
          <w:tcPr>
            <w:tcW w:w="1039" w:type="dxa"/>
            <w:tcBorders>
              <w:top w:val="nil"/>
              <w:left w:val="nil"/>
              <w:bottom w:val="nil"/>
              <w:right w:val="nil"/>
            </w:tcBorders>
            <w:vAlign w:val="center"/>
          </w:tcPr>
          <w:p w14:paraId="5EC00848" w14:textId="35C575A0"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(-0.605</w:t>
            </w:r>
          </w:p>
        </w:tc>
        <w:tc>
          <w:tcPr>
            <w:tcW w:w="1040" w:type="dxa"/>
            <w:tcBorders>
              <w:top w:val="nil"/>
              <w:left w:val="nil"/>
              <w:bottom w:val="nil"/>
              <w:right w:val="nil"/>
            </w:tcBorders>
            <w:vAlign w:val="center"/>
          </w:tcPr>
          <w:p w14:paraId="080A8C86" w14:textId="733E4022"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(-0.717)</w:t>
            </w:r>
          </w:p>
        </w:tc>
      </w:tr>
      <w:tr w:rsidR="00CA039A" w:rsidRPr="007115F2" w14:paraId="0F827900" w14:textId="77777777" w:rsidTr="00B6286E">
        <w:tc>
          <w:tcPr>
            <w:tcW w:w="2835" w:type="dxa"/>
            <w:tcBorders>
              <w:top w:val="nil"/>
              <w:left w:val="nil"/>
              <w:bottom w:val="nil"/>
              <w:right w:val="nil"/>
            </w:tcBorders>
          </w:tcPr>
          <w:p w14:paraId="61A5A052" w14:textId="362F3D5B"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deal_friendly_dummy</w:t>
            </w:r>
          </w:p>
        </w:tc>
        <w:tc>
          <w:tcPr>
            <w:tcW w:w="1039" w:type="dxa"/>
            <w:tcBorders>
              <w:top w:val="nil"/>
              <w:left w:val="nil"/>
              <w:bottom w:val="nil"/>
              <w:right w:val="nil"/>
            </w:tcBorders>
            <w:vAlign w:val="center"/>
          </w:tcPr>
          <w:p w14:paraId="2A046100" w14:textId="4D51A034"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-.186</w:t>
            </w:r>
          </w:p>
        </w:tc>
        <w:tc>
          <w:tcPr>
            <w:tcW w:w="1040" w:type="dxa"/>
            <w:tcBorders>
              <w:top w:val="nil"/>
              <w:left w:val="nil"/>
              <w:bottom w:val="nil"/>
              <w:right w:val="nil"/>
            </w:tcBorders>
            <w:vAlign w:val="center"/>
          </w:tcPr>
          <w:p w14:paraId="050A1678" w14:textId="4F7BC40E"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-.081</w:t>
            </w:r>
          </w:p>
        </w:tc>
        <w:tc>
          <w:tcPr>
            <w:tcW w:w="1039" w:type="dxa"/>
            <w:tcBorders>
              <w:top w:val="nil"/>
              <w:left w:val="nil"/>
              <w:bottom w:val="nil"/>
              <w:right w:val="nil"/>
            </w:tcBorders>
            <w:vAlign w:val="center"/>
          </w:tcPr>
          <w:p w14:paraId="6F0CA86C" w14:textId="5A1D2CC5"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-.028</w:t>
            </w:r>
          </w:p>
        </w:tc>
        <w:tc>
          <w:tcPr>
            <w:tcW w:w="1040" w:type="dxa"/>
            <w:tcBorders>
              <w:top w:val="nil"/>
              <w:left w:val="nil"/>
              <w:bottom w:val="nil"/>
              <w:right w:val="nil"/>
            </w:tcBorders>
            <w:vAlign w:val="center"/>
          </w:tcPr>
          <w:p w14:paraId="53A6253A" w14:textId="2C4B59AF"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-0.099</w:t>
            </w:r>
          </w:p>
        </w:tc>
        <w:tc>
          <w:tcPr>
            <w:tcW w:w="1039" w:type="dxa"/>
            <w:tcBorders>
              <w:top w:val="nil"/>
              <w:left w:val="nil"/>
              <w:bottom w:val="nil"/>
              <w:right w:val="nil"/>
            </w:tcBorders>
            <w:vAlign w:val="center"/>
          </w:tcPr>
          <w:p w14:paraId="27EF14CA" w14:textId="61BC596D"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0.0002</w:t>
            </w:r>
          </w:p>
        </w:tc>
        <w:tc>
          <w:tcPr>
            <w:tcW w:w="1040" w:type="dxa"/>
            <w:tcBorders>
              <w:top w:val="nil"/>
              <w:left w:val="nil"/>
              <w:bottom w:val="nil"/>
              <w:right w:val="nil"/>
            </w:tcBorders>
            <w:vAlign w:val="center"/>
          </w:tcPr>
          <w:p w14:paraId="19FD4062" w14:textId="11BF960C"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0.027</w:t>
            </w:r>
          </w:p>
        </w:tc>
      </w:tr>
      <w:tr w:rsidR="00CA039A" w:rsidRPr="007115F2" w14:paraId="3B4E9B35" w14:textId="77777777" w:rsidTr="00B6286E">
        <w:tc>
          <w:tcPr>
            <w:tcW w:w="2835" w:type="dxa"/>
            <w:tcBorders>
              <w:top w:val="nil"/>
              <w:left w:val="nil"/>
              <w:bottom w:val="nil"/>
              <w:right w:val="nil"/>
            </w:tcBorders>
          </w:tcPr>
          <w:p w14:paraId="26A93279" w14:textId="7DEC0FF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w:t>
            </w:r>
          </w:p>
        </w:tc>
        <w:tc>
          <w:tcPr>
            <w:tcW w:w="1039" w:type="dxa"/>
            <w:tcBorders>
              <w:top w:val="nil"/>
              <w:left w:val="nil"/>
              <w:bottom w:val="nil"/>
              <w:right w:val="nil"/>
            </w:tcBorders>
            <w:vAlign w:val="center"/>
          </w:tcPr>
          <w:p w14:paraId="4402056D" w14:textId="642D6D1E"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(-.926)</w:t>
            </w:r>
          </w:p>
        </w:tc>
        <w:tc>
          <w:tcPr>
            <w:tcW w:w="1040" w:type="dxa"/>
            <w:tcBorders>
              <w:top w:val="nil"/>
              <w:left w:val="nil"/>
              <w:bottom w:val="nil"/>
              <w:right w:val="nil"/>
            </w:tcBorders>
            <w:vAlign w:val="center"/>
          </w:tcPr>
          <w:p w14:paraId="1C970CA7" w14:textId="3DBFF170"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(-.672)</w:t>
            </w:r>
          </w:p>
        </w:tc>
        <w:tc>
          <w:tcPr>
            <w:tcW w:w="1039" w:type="dxa"/>
            <w:tcBorders>
              <w:top w:val="nil"/>
              <w:left w:val="nil"/>
              <w:bottom w:val="nil"/>
              <w:right w:val="nil"/>
            </w:tcBorders>
            <w:vAlign w:val="center"/>
          </w:tcPr>
          <w:p w14:paraId="69CD2547" w14:textId="079E31DA"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(-.597)</w:t>
            </w:r>
          </w:p>
        </w:tc>
        <w:tc>
          <w:tcPr>
            <w:tcW w:w="1040" w:type="dxa"/>
            <w:tcBorders>
              <w:top w:val="nil"/>
              <w:left w:val="nil"/>
              <w:bottom w:val="nil"/>
              <w:right w:val="nil"/>
            </w:tcBorders>
            <w:vAlign w:val="center"/>
          </w:tcPr>
          <w:p w14:paraId="7E1C00FC" w14:textId="5AEB3BB4"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(-0.483)</w:t>
            </w:r>
          </w:p>
        </w:tc>
        <w:tc>
          <w:tcPr>
            <w:tcW w:w="1039" w:type="dxa"/>
            <w:tcBorders>
              <w:top w:val="nil"/>
              <w:left w:val="nil"/>
              <w:bottom w:val="nil"/>
              <w:right w:val="nil"/>
            </w:tcBorders>
            <w:vAlign w:val="center"/>
          </w:tcPr>
          <w:p w14:paraId="135ECED7" w14:textId="0D5E5B7C"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(0.002</w:t>
            </w:r>
          </w:p>
        </w:tc>
        <w:tc>
          <w:tcPr>
            <w:tcW w:w="1040" w:type="dxa"/>
            <w:tcBorders>
              <w:top w:val="nil"/>
              <w:left w:val="nil"/>
              <w:bottom w:val="nil"/>
              <w:right w:val="nil"/>
            </w:tcBorders>
            <w:vAlign w:val="center"/>
          </w:tcPr>
          <w:p w14:paraId="3731DB5B" w14:textId="77E85785"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(0.539)</w:t>
            </w:r>
          </w:p>
        </w:tc>
      </w:tr>
      <w:tr w:rsidR="00CA039A" w:rsidRPr="007115F2" w14:paraId="42D4E256" w14:textId="77777777" w:rsidTr="00B6286E">
        <w:tc>
          <w:tcPr>
            <w:tcW w:w="2835" w:type="dxa"/>
            <w:tcBorders>
              <w:top w:val="nil"/>
              <w:left w:val="nil"/>
              <w:bottom w:val="nil"/>
              <w:right w:val="nil"/>
            </w:tcBorders>
          </w:tcPr>
          <w:p w14:paraId="6D99D63F" w14:textId="2772815A"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deal_relatedness_dummy</w:t>
            </w:r>
          </w:p>
        </w:tc>
        <w:tc>
          <w:tcPr>
            <w:tcW w:w="1039" w:type="dxa"/>
            <w:tcBorders>
              <w:top w:val="nil"/>
              <w:left w:val="nil"/>
              <w:bottom w:val="nil"/>
              <w:right w:val="nil"/>
            </w:tcBorders>
            <w:vAlign w:val="center"/>
          </w:tcPr>
          <w:p w14:paraId="41BD3143" w14:textId="6ED9333B"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.020</w:t>
            </w:r>
          </w:p>
        </w:tc>
        <w:tc>
          <w:tcPr>
            <w:tcW w:w="1040" w:type="dxa"/>
            <w:tcBorders>
              <w:top w:val="nil"/>
              <w:left w:val="nil"/>
              <w:bottom w:val="nil"/>
              <w:right w:val="nil"/>
            </w:tcBorders>
            <w:vAlign w:val="center"/>
          </w:tcPr>
          <w:p w14:paraId="1217B348" w14:textId="1D8F60F6"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.001</w:t>
            </w:r>
          </w:p>
        </w:tc>
        <w:tc>
          <w:tcPr>
            <w:tcW w:w="1039" w:type="dxa"/>
            <w:tcBorders>
              <w:top w:val="nil"/>
              <w:left w:val="nil"/>
              <w:bottom w:val="nil"/>
              <w:right w:val="nil"/>
            </w:tcBorders>
            <w:vAlign w:val="center"/>
          </w:tcPr>
          <w:p w14:paraId="32457FC3" w14:textId="20878108"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-.003</w:t>
            </w:r>
          </w:p>
        </w:tc>
        <w:tc>
          <w:tcPr>
            <w:tcW w:w="1040" w:type="dxa"/>
            <w:tcBorders>
              <w:top w:val="nil"/>
              <w:left w:val="nil"/>
              <w:bottom w:val="nil"/>
              <w:right w:val="nil"/>
            </w:tcBorders>
            <w:vAlign w:val="center"/>
          </w:tcPr>
          <w:p w14:paraId="2F4334EE" w14:textId="096DC436"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0.037</w:t>
            </w:r>
          </w:p>
        </w:tc>
        <w:tc>
          <w:tcPr>
            <w:tcW w:w="1039" w:type="dxa"/>
            <w:tcBorders>
              <w:top w:val="nil"/>
              <w:left w:val="nil"/>
              <w:bottom w:val="nil"/>
              <w:right w:val="nil"/>
            </w:tcBorders>
            <w:vAlign w:val="center"/>
          </w:tcPr>
          <w:p w14:paraId="4052672D" w14:textId="530CF6DA"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0.010</w:t>
            </w:r>
          </w:p>
        </w:tc>
        <w:tc>
          <w:tcPr>
            <w:tcW w:w="1040" w:type="dxa"/>
            <w:tcBorders>
              <w:top w:val="nil"/>
              <w:left w:val="nil"/>
              <w:bottom w:val="nil"/>
              <w:right w:val="nil"/>
            </w:tcBorders>
            <w:vAlign w:val="center"/>
          </w:tcPr>
          <w:p w14:paraId="344D0596" w14:textId="3366DB9E"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0.001</w:t>
            </w:r>
          </w:p>
        </w:tc>
      </w:tr>
      <w:tr w:rsidR="00CA039A" w:rsidRPr="007115F2" w14:paraId="42919A39" w14:textId="77777777" w:rsidTr="00B6286E">
        <w:tc>
          <w:tcPr>
            <w:tcW w:w="2835" w:type="dxa"/>
            <w:tcBorders>
              <w:top w:val="nil"/>
              <w:left w:val="nil"/>
              <w:bottom w:val="nil"/>
              <w:right w:val="nil"/>
            </w:tcBorders>
          </w:tcPr>
          <w:p w14:paraId="5B43BA10" w14:textId="0C040EC0"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w:t>
            </w:r>
          </w:p>
        </w:tc>
        <w:tc>
          <w:tcPr>
            <w:tcW w:w="1039" w:type="dxa"/>
            <w:tcBorders>
              <w:top w:val="nil"/>
              <w:left w:val="nil"/>
              <w:bottom w:val="nil"/>
              <w:right w:val="nil"/>
            </w:tcBorders>
            <w:vAlign w:val="center"/>
          </w:tcPr>
          <w:p w14:paraId="5045D207" w14:textId="12B680C5"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(.240)</w:t>
            </w:r>
          </w:p>
        </w:tc>
        <w:tc>
          <w:tcPr>
            <w:tcW w:w="1040" w:type="dxa"/>
            <w:tcBorders>
              <w:top w:val="nil"/>
              <w:left w:val="nil"/>
              <w:bottom w:val="nil"/>
              <w:right w:val="nil"/>
            </w:tcBorders>
            <w:vAlign w:val="center"/>
          </w:tcPr>
          <w:p w14:paraId="219724B2" w14:textId="7E76AEB3"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(.023)</w:t>
            </w:r>
          </w:p>
        </w:tc>
        <w:tc>
          <w:tcPr>
            <w:tcW w:w="1039" w:type="dxa"/>
            <w:tcBorders>
              <w:top w:val="nil"/>
              <w:left w:val="nil"/>
              <w:bottom w:val="nil"/>
              <w:right w:val="nil"/>
            </w:tcBorders>
            <w:vAlign w:val="center"/>
          </w:tcPr>
          <w:p w14:paraId="3E678573" w14:textId="2A18FE84"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(-.167)</w:t>
            </w:r>
          </w:p>
        </w:tc>
        <w:tc>
          <w:tcPr>
            <w:tcW w:w="1040" w:type="dxa"/>
            <w:tcBorders>
              <w:top w:val="nil"/>
              <w:left w:val="nil"/>
              <w:bottom w:val="nil"/>
              <w:right w:val="nil"/>
            </w:tcBorders>
            <w:vAlign w:val="center"/>
          </w:tcPr>
          <w:p w14:paraId="24775CE1" w14:textId="1BE8E09A"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(0.442)</w:t>
            </w:r>
          </w:p>
        </w:tc>
        <w:tc>
          <w:tcPr>
            <w:tcW w:w="1039" w:type="dxa"/>
            <w:tcBorders>
              <w:top w:val="nil"/>
              <w:left w:val="nil"/>
              <w:bottom w:val="nil"/>
              <w:right w:val="nil"/>
            </w:tcBorders>
            <w:vAlign w:val="center"/>
          </w:tcPr>
          <w:p w14:paraId="1232DDE3" w14:textId="4FFD34D5"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(0.224</w:t>
            </w:r>
          </w:p>
        </w:tc>
        <w:tc>
          <w:tcPr>
            <w:tcW w:w="1040" w:type="dxa"/>
            <w:tcBorders>
              <w:top w:val="nil"/>
              <w:left w:val="nil"/>
              <w:bottom w:val="nil"/>
              <w:right w:val="nil"/>
            </w:tcBorders>
            <w:vAlign w:val="center"/>
          </w:tcPr>
          <w:p w14:paraId="4476FF24" w14:textId="3FE0B4C2"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(0.073)</w:t>
            </w:r>
          </w:p>
        </w:tc>
      </w:tr>
      <w:tr w:rsidR="00CA039A" w:rsidRPr="007115F2" w14:paraId="5544847D" w14:textId="77777777" w:rsidTr="00B6286E">
        <w:tc>
          <w:tcPr>
            <w:tcW w:w="2835" w:type="dxa"/>
            <w:tcBorders>
              <w:top w:val="nil"/>
              <w:left w:val="nil"/>
              <w:bottom w:val="nil"/>
              <w:right w:val="nil"/>
            </w:tcBorders>
          </w:tcPr>
          <w:p w14:paraId="052B49B9" w14:textId="2A83471A"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acq_age</w:t>
            </w:r>
          </w:p>
        </w:tc>
        <w:tc>
          <w:tcPr>
            <w:tcW w:w="1039" w:type="dxa"/>
            <w:tcBorders>
              <w:top w:val="nil"/>
              <w:left w:val="nil"/>
              <w:bottom w:val="nil"/>
              <w:right w:val="nil"/>
            </w:tcBorders>
            <w:vAlign w:val="center"/>
          </w:tcPr>
          <w:p w14:paraId="68B80370" w14:textId="094B7502"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.001</w:t>
            </w:r>
          </w:p>
        </w:tc>
        <w:tc>
          <w:tcPr>
            <w:tcW w:w="1040" w:type="dxa"/>
            <w:tcBorders>
              <w:top w:val="nil"/>
              <w:left w:val="nil"/>
              <w:bottom w:val="nil"/>
              <w:right w:val="nil"/>
            </w:tcBorders>
            <w:vAlign w:val="center"/>
          </w:tcPr>
          <w:p w14:paraId="7668D998" w14:textId="2ED488EC"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.001</w:t>
            </w:r>
          </w:p>
        </w:tc>
        <w:tc>
          <w:tcPr>
            <w:tcW w:w="1039" w:type="dxa"/>
            <w:tcBorders>
              <w:top w:val="nil"/>
              <w:left w:val="nil"/>
              <w:bottom w:val="nil"/>
              <w:right w:val="nil"/>
            </w:tcBorders>
            <w:vAlign w:val="center"/>
          </w:tcPr>
          <w:p w14:paraId="2F708A5D" w14:textId="2A958C3E"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.0003</w:t>
            </w:r>
          </w:p>
        </w:tc>
        <w:tc>
          <w:tcPr>
            <w:tcW w:w="1040" w:type="dxa"/>
            <w:tcBorders>
              <w:top w:val="nil"/>
              <w:left w:val="nil"/>
              <w:bottom w:val="nil"/>
              <w:right w:val="nil"/>
            </w:tcBorders>
            <w:vAlign w:val="center"/>
          </w:tcPr>
          <w:p w14:paraId="0B78EC3A" w14:textId="4631FD71"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0.001</w:t>
            </w:r>
          </w:p>
        </w:tc>
        <w:tc>
          <w:tcPr>
            <w:tcW w:w="1039" w:type="dxa"/>
            <w:tcBorders>
              <w:top w:val="nil"/>
              <w:left w:val="nil"/>
              <w:bottom w:val="nil"/>
              <w:right w:val="nil"/>
            </w:tcBorders>
            <w:vAlign w:val="center"/>
          </w:tcPr>
          <w:p w14:paraId="390B29C3" w14:textId="06D4A681"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0.001</w:t>
            </w:r>
          </w:p>
        </w:tc>
        <w:tc>
          <w:tcPr>
            <w:tcW w:w="1040" w:type="dxa"/>
            <w:tcBorders>
              <w:top w:val="nil"/>
              <w:left w:val="nil"/>
              <w:bottom w:val="nil"/>
              <w:right w:val="nil"/>
            </w:tcBorders>
            <w:vAlign w:val="center"/>
          </w:tcPr>
          <w:p w14:paraId="7C4DFC9F" w14:textId="27045D29"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0.0003</w:t>
            </w:r>
          </w:p>
        </w:tc>
      </w:tr>
      <w:tr w:rsidR="00CA039A" w:rsidRPr="007115F2" w14:paraId="236E1F97" w14:textId="77777777" w:rsidTr="00B6286E">
        <w:tc>
          <w:tcPr>
            <w:tcW w:w="2835" w:type="dxa"/>
            <w:tcBorders>
              <w:top w:val="nil"/>
              <w:left w:val="nil"/>
              <w:bottom w:val="nil"/>
              <w:right w:val="nil"/>
            </w:tcBorders>
          </w:tcPr>
          <w:p w14:paraId="1DE0C747" w14:textId="6D76AD82"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w:t>
            </w:r>
          </w:p>
        </w:tc>
        <w:tc>
          <w:tcPr>
            <w:tcW w:w="1039" w:type="dxa"/>
            <w:tcBorders>
              <w:top w:val="nil"/>
              <w:left w:val="nil"/>
              <w:bottom w:val="nil"/>
              <w:right w:val="nil"/>
            </w:tcBorders>
            <w:vAlign w:val="center"/>
          </w:tcPr>
          <w:p w14:paraId="5349AF61" w14:textId="7CEB363B"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(1.371)</w:t>
            </w:r>
          </w:p>
        </w:tc>
        <w:tc>
          <w:tcPr>
            <w:tcW w:w="1040" w:type="dxa"/>
            <w:tcBorders>
              <w:top w:val="nil"/>
              <w:left w:val="nil"/>
              <w:bottom w:val="nil"/>
              <w:right w:val="nil"/>
            </w:tcBorders>
            <w:vAlign w:val="center"/>
          </w:tcPr>
          <w:p w14:paraId="4CDA0C1B" w14:textId="668C65C0"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(1.421)</w:t>
            </w:r>
          </w:p>
        </w:tc>
        <w:tc>
          <w:tcPr>
            <w:tcW w:w="1039" w:type="dxa"/>
            <w:tcBorders>
              <w:top w:val="nil"/>
              <w:left w:val="nil"/>
              <w:bottom w:val="nil"/>
              <w:right w:val="nil"/>
            </w:tcBorders>
            <w:vAlign w:val="center"/>
          </w:tcPr>
          <w:p w14:paraId="640F48EA" w14:textId="33285B61"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(1.507)</w:t>
            </w:r>
          </w:p>
        </w:tc>
        <w:tc>
          <w:tcPr>
            <w:tcW w:w="1040" w:type="dxa"/>
            <w:tcBorders>
              <w:top w:val="nil"/>
              <w:left w:val="nil"/>
              <w:bottom w:val="nil"/>
              <w:right w:val="nil"/>
            </w:tcBorders>
            <w:vAlign w:val="center"/>
          </w:tcPr>
          <w:p w14:paraId="396D226F" w14:textId="2E466FE8"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(1.257)</w:t>
            </w:r>
          </w:p>
        </w:tc>
        <w:tc>
          <w:tcPr>
            <w:tcW w:w="1039" w:type="dxa"/>
            <w:tcBorders>
              <w:top w:val="nil"/>
              <w:left w:val="nil"/>
              <w:bottom w:val="nil"/>
              <w:right w:val="nil"/>
            </w:tcBorders>
            <w:vAlign w:val="center"/>
          </w:tcPr>
          <w:p w14:paraId="2ACEC59B" w14:textId="5F3FDEB0"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(1.343</w:t>
            </w:r>
          </w:p>
        </w:tc>
        <w:tc>
          <w:tcPr>
            <w:tcW w:w="1040" w:type="dxa"/>
            <w:tcBorders>
              <w:top w:val="nil"/>
              <w:left w:val="nil"/>
              <w:bottom w:val="nil"/>
              <w:right w:val="nil"/>
            </w:tcBorders>
            <w:vAlign w:val="center"/>
          </w:tcPr>
          <w:p w14:paraId="597F9782" w14:textId="304EE3C0"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(1.442)</w:t>
            </w:r>
          </w:p>
        </w:tc>
      </w:tr>
      <w:tr w:rsidR="00CA039A" w:rsidRPr="007115F2" w14:paraId="218C7A4E" w14:textId="77777777" w:rsidTr="00B6286E">
        <w:tc>
          <w:tcPr>
            <w:tcW w:w="2835" w:type="dxa"/>
            <w:tcBorders>
              <w:top w:val="nil"/>
              <w:left w:val="nil"/>
              <w:bottom w:val="nil"/>
              <w:right w:val="nil"/>
            </w:tcBorders>
          </w:tcPr>
          <w:p w14:paraId="6744FD9B" w14:textId="5D84001C"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acq_assets_lastyear_ln</w:t>
            </w:r>
          </w:p>
        </w:tc>
        <w:tc>
          <w:tcPr>
            <w:tcW w:w="1039" w:type="dxa"/>
            <w:tcBorders>
              <w:top w:val="nil"/>
              <w:left w:val="nil"/>
              <w:bottom w:val="nil"/>
              <w:right w:val="nil"/>
            </w:tcBorders>
            <w:vAlign w:val="center"/>
          </w:tcPr>
          <w:p w14:paraId="5CC22070" w14:textId="2C051754"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-.001</w:t>
            </w:r>
          </w:p>
        </w:tc>
        <w:tc>
          <w:tcPr>
            <w:tcW w:w="1040" w:type="dxa"/>
            <w:tcBorders>
              <w:top w:val="nil"/>
              <w:left w:val="nil"/>
              <w:bottom w:val="nil"/>
              <w:right w:val="nil"/>
            </w:tcBorders>
            <w:vAlign w:val="center"/>
          </w:tcPr>
          <w:p w14:paraId="1E634F91" w14:textId="5A5CAD3B"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-.001</w:t>
            </w:r>
          </w:p>
        </w:tc>
        <w:tc>
          <w:tcPr>
            <w:tcW w:w="1039" w:type="dxa"/>
            <w:tcBorders>
              <w:top w:val="nil"/>
              <w:left w:val="nil"/>
              <w:bottom w:val="nil"/>
              <w:right w:val="nil"/>
            </w:tcBorders>
            <w:vAlign w:val="center"/>
          </w:tcPr>
          <w:p w14:paraId="62F03036" w14:textId="306EA7B9"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-.005</w:t>
            </w:r>
          </w:p>
        </w:tc>
        <w:tc>
          <w:tcPr>
            <w:tcW w:w="1040" w:type="dxa"/>
            <w:tcBorders>
              <w:top w:val="nil"/>
              <w:left w:val="nil"/>
              <w:bottom w:val="nil"/>
              <w:right w:val="nil"/>
            </w:tcBorders>
            <w:vAlign w:val="center"/>
          </w:tcPr>
          <w:p w14:paraId="33766CD9" w14:textId="20251E4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-0.006</w:t>
            </w:r>
          </w:p>
        </w:tc>
        <w:tc>
          <w:tcPr>
            <w:tcW w:w="1039" w:type="dxa"/>
            <w:tcBorders>
              <w:top w:val="nil"/>
              <w:left w:val="nil"/>
              <w:bottom w:val="nil"/>
              <w:right w:val="nil"/>
            </w:tcBorders>
            <w:vAlign w:val="center"/>
          </w:tcPr>
          <w:p w14:paraId="613A8384" w14:textId="4B075ADD"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-0.003</w:t>
            </w:r>
          </w:p>
        </w:tc>
        <w:tc>
          <w:tcPr>
            <w:tcW w:w="1040" w:type="dxa"/>
            <w:tcBorders>
              <w:top w:val="nil"/>
              <w:left w:val="nil"/>
              <w:bottom w:val="nil"/>
              <w:right w:val="nil"/>
            </w:tcBorders>
            <w:vAlign w:val="center"/>
          </w:tcPr>
          <w:p w14:paraId="1CD4521F" w14:textId="7435BEA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-0.006</w:t>
            </w:r>
          </w:p>
        </w:tc>
      </w:tr>
      <w:tr w:rsidR="00CA039A" w:rsidRPr="007115F2" w14:paraId="2AA7E387" w14:textId="77777777" w:rsidTr="00B6286E">
        <w:tc>
          <w:tcPr>
            <w:tcW w:w="2835" w:type="dxa"/>
            <w:tcBorders>
              <w:top w:val="nil"/>
              <w:left w:val="nil"/>
              <w:bottom w:val="nil"/>
              <w:right w:val="nil"/>
            </w:tcBorders>
          </w:tcPr>
          <w:p w14:paraId="15CFD24F" w14:textId="4CDFFBDC"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w:t>
            </w:r>
          </w:p>
        </w:tc>
        <w:tc>
          <w:tcPr>
            <w:tcW w:w="1039" w:type="dxa"/>
            <w:tcBorders>
              <w:top w:val="nil"/>
              <w:left w:val="nil"/>
              <w:bottom w:val="nil"/>
              <w:right w:val="nil"/>
            </w:tcBorders>
            <w:vAlign w:val="center"/>
          </w:tcPr>
          <w:p w14:paraId="60C3D419" w14:textId="47CE160A"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(-.031)</w:t>
            </w:r>
          </w:p>
        </w:tc>
        <w:tc>
          <w:tcPr>
            <w:tcW w:w="1040" w:type="dxa"/>
            <w:tcBorders>
              <w:top w:val="nil"/>
              <w:left w:val="nil"/>
              <w:bottom w:val="nil"/>
              <w:right w:val="nil"/>
            </w:tcBorders>
            <w:vAlign w:val="center"/>
          </w:tcPr>
          <w:p w14:paraId="53ACB426" w14:textId="483065C8"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(-.044)</w:t>
            </w:r>
          </w:p>
        </w:tc>
        <w:tc>
          <w:tcPr>
            <w:tcW w:w="1039" w:type="dxa"/>
            <w:tcBorders>
              <w:top w:val="nil"/>
              <w:left w:val="nil"/>
              <w:bottom w:val="nil"/>
              <w:right w:val="nil"/>
            </w:tcBorders>
            <w:vAlign w:val="center"/>
          </w:tcPr>
          <w:p w14:paraId="2387F351" w14:textId="03BD95EE"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(-.748)</w:t>
            </w:r>
          </w:p>
        </w:tc>
        <w:tc>
          <w:tcPr>
            <w:tcW w:w="1040" w:type="dxa"/>
            <w:tcBorders>
              <w:top w:val="nil"/>
              <w:left w:val="nil"/>
              <w:bottom w:val="nil"/>
              <w:right w:val="nil"/>
            </w:tcBorders>
            <w:vAlign w:val="center"/>
          </w:tcPr>
          <w:p w14:paraId="318E3847" w14:textId="1B2D90FF"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(-0.230)</w:t>
            </w:r>
          </w:p>
        </w:tc>
        <w:tc>
          <w:tcPr>
            <w:tcW w:w="1039" w:type="dxa"/>
            <w:tcBorders>
              <w:top w:val="nil"/>
              <w:left w:val="nil"/>
              <w:bottom w:val="nil"/>
              <w:right w:val="nil"/>
            </w:tcBorders>
            <w:vAlign w:val="center"/>
          </w:tcPr>
          <w:p w14:paraId="3811CB11" w14:textId="3E204FB1"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(-0.220</w:t>
            </w:r>
          </w:p>
        </w:tc>
        <w:tc>
          <w:tcPr>
            <w:tcW w:w="1040" w:type="dxa"/>
            <w:tcBorders>
              <w:top w:val="nil"/>
              <w:left w:val="nil"/>
              <w:bottom w:val="nil"/>
              <w:right w:val="nil"/>
            </w:tcBorders>
            <w:vAlign w:val="center"/>
          </w:tcPr>
          <w:p w14:paraId="1DA82BC3" w14:textId="789E16F5"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(-0.997)</w:t>
            </w:r>
          </w:p>
        </w:tc>
      </w:tr>
      <w:tr w:rsidR="00CA039A" w:rsidRPr="007115F2" w14:paraId="242043BA" w14:textId="77777777" w:rsidTr="00B6286E">
        <w:tc>
          <w:tcPr>
            <w:tcW w:w="2835" w:type="dxa"/>
            <w:tcBorders>
              <w:top w:val="nil"/>
              <w:left w:val="nil"/>
              <w:bottom w:val="nil"/>
              <w:right w:val="nil"/>
            </w:tcBorders>
          </w:tcPr>
          <w:p w14:paraId="38EACB2D" w14:textId="63E3B727" w:rsidR="00CA039A" w:rsidRPr="007115F2" w:rsidRDefault="00CA039A" w:rsidP="00CA039A">
            <w:pPr>
              <w:widowControl w:val="0"/>
              <w:autoSpaceDE w:val="0"/>
              <w:autoSpaceDN w:val="0"/>
              <w:adjustRightInd w:val="0"/>
              <w:spacing w:line="240" w:lineRule="auto"/>
              <w:rPr>
                <w:b/>
                <w:bCs/>
                <w:color w:val="000000" w:themeColor="text1"/>
                <w:sz w:val="22"/>
                <w:lang w:val="en-US"/>
              </w:rPr>
            </w:pPr>
            <w:r w:rsidRPr="007E6AC7">
              <w:rPr>
                <w:color w:val="000000" w:themeColor="text1"/>
                <w:sz w:val="22"/>
                <w:lang w:val="en-US"/>
              </w:rPr>
              <w:t xml:space="preserve"> acq_roa_lastyear</w:t>
            </w:r>
          </w:p>
        </w:tc>
        <w:tc>
          <w:tcPr>
            <w:tcW w:w="1039" w:type="dxa"/>
            <w:tcBorders>
              <w:top w:val="nil"/>
              <w:left w:val="nil"/>
              <w:bottom w:val="nil"/>
              <w:right w:val="nil"/>
            </w:tcBorders>
            <w:vAlign w:val="center"/>
          </w:tcPr>
          <w:p w14:paraId="228146EE" w14:textId="31F640A4"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7E6AC7">
              <w:rPr>
                <w:color w:val="000000" w:themeColor="text1"/>
                <w:sz w:val="22"/>
              </w:rPr>
              <w:t>-.078</w:t>
            </w:r>
          </w:p>
        </w:tc>
        <w:tc>
          <w:tcPr>
            <w:tcW w:w="1040" w:type="dxa"/>
            <w:tcBorders>
              <w:top w:val="nil"/>
              <w:left w:val="nil"/>
              <w:bottom w:val="nil"/>
              <w:right w:val="nil"/>
            </w:tcBorders>
            <w:vAlign w:val="center"/>
          </w:tcPr>
          <w:p w14:paraId="548ADA2C" w14:textId="4F1A9584"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7E6AC7">
              <w:rPr>
                <w:color w:val="000000" w:themeColor="text1"/>
                <w:sz w:val="22"/>
              </w:rPr>
              <w:t>-.043</w:t>
            </w:r>
          </w:p>
        </w:tc>
        <w:tc>
          <w:tcPr>
            <w:tcW w:w="1039" w:type="dxa"/>
            <w:tcBorders>
              <w:top w:val="nil"/>
              <w:left w:val="nil"/>
              <w:bottom w:val="nil"/>
              <w:right w:val="nil"/>
            </w:tcBorders>
            <w:vAlign w:val="center"/>
          </w:tcPr>
          <w:p w14:paraId="6DE0AF49" w14:textId="49E6BCCC"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7E6AC7">
              <w:rPr>
                <w:color w:val="000000" w:themeColor="text1"/>
                <w:sz w:val="22"/>
              </w:rPr>
              <w:t>-.020</w:t>
            </w:r>
          </w:p>
        </w:tc>
        <w:tc>
          <w:tcPr>
            <w:tcW w:w="1040" w:type="dxa"/>
            <w:tcBorders>
              <w:top w:val="nil"/>
              <w:left w:val="nil"/>
              <w:bottom w:val="nil"/>
              <w:right w:val="nil"/>
            </w:tcBorders>
            <w:vAlign w:val="center"/>
          </w:tcPr>
          <w:p w14:paraId="5FB17389" w14:textId="33E5C1C4"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7E6AC7">
              <w:rPr>
                <w:color w:val="000000" w:themeColor="text1"/>
                <w:sz w:val="22"/>
              </w:rPr>
              <w:t>-0.078</w:t>
            </w:r>
          </w:p>
        </w:tc>
        <w:tc>
          <w:tcPr>
            <w:tcW w:w="1039" w:type="dxa"/>
            <w:tcBorders>
              <w:top w:val="nil"/>
              <w:left w:val="nil"/>
              <w:bottom w:val="nil"/>
              <w:right w:val="nil"/>
            </w:tcBorders>
            <w:vAlign w:val="center"/>
          </w:tcPr>
          <w:p w14:paraId="35AA3DE4" w14:textId="10474603"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7E6AC7">
              <w:rPr>
                <w:color w:val="000000" w:themeColor="text1"/>
                <w:sz w:val="22"/>
              </w:rPr>
              <w:t>-0.042</w:t>
            </w:r>
          </w:p>
        </w:tc>
        <w:tc>
          <w:tcPr>
            <w:tcW w:w="1040" w:type="dxa"/>
            <w:tcBorders>
              <w:top w:val="nil"/>
              <w:left w:val="nil"/>
              <w:bottom w:val="nil"/>
              <w:right w:val="nil"/>
            </w:tcBorders>
            <w:vAlign w:val="center"/>
          </w:tcPr>
          <w:p w14:paraId="5F15159D" w14:textId="19559159"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7E6AC7">
              <w:rPr>
                <w:color w:val="000000" w:themeColor="text1"/>
                <w:sz w:val="22"/>
              </w:rPr>
              <w:t>-0.018</w:t>
            </w:r>
          </w:p>
        </w:tc>
      </w:tr>
      <w:tr w:rsidR="00CA039A" w:rsidRPr="007115F2" w14:paraId="2B5B3780" w14:textId="77777777" w:rsidTr="00B6286E">
        <w:tc>
          <w:tcPr>
            <w:tcW w:w="2835" w:type="dxa"/>
            <w:tcBorders>
              <w:top w:val="nil"/>
              <w:left w:val="nil"/>
              <w:bottom w:val="nil"/>
              <w:right w:val="nil"/>
            </w:tcBorders>
          </w:tcPr>
          <w:p w14:paraId="4376E03C" w14:textId="02B5B5EA"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w:t>
            </w:r>
          </w:p>
        </w:tc>
        <w:tc>
          <w:tcPr>
            <w:tcW w:w="1039" w:type="dxa"/>
            <w:tcBorders>
              <w:top w:val="nil"/>
              <w:left w:val="nil"/>
              <w:bottom w:val="nil"/>
              <w:right w:val="nil"/>
            </w:tcBorders>
            <w:vAlign w:val="center"/>
          </w:tcPr>
          <w:p w14:paraId="428526DA" w14:textId="1010766D"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(-1.366)</w:t>
            </w:r>
          </w:p>
        </w:tc>
        <w:tc>
          <w:tcPr>
            <w:tcW w:w="1040" w:type="dxa"/>
            <w:tcBorders>
              <w:top w:val="nil"/>
              <w:left w:val="nil"/>
              <w:bottom w:val="nil"/>
              <w:right w:val="nil"/>
            </w:tcBorders>
            <w:vAlign w:val="center"/>
          </w:tcPr>
          <w:p w14:paraId="093056DC" w14:textId="629BF1B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(-1.307)</w:t>
            </w:r>
          </w:p>
        </w:tc>
        <w:tc>
          <w:tcPr>
            <w:tcW w:w="1039" w:type="dxa"/>
            <w:tcBorders>
              <w:top w:val="nil"/>
              <w:left w:val="nil"/>
              <w:bottom w:val="nil"/>
              <w:right w:val="nil"/>
            </w:tcBorders>
            <w:vAlign w:val="center"/>
          </w:tcPr>
          <w:p w14:paraId="1E80EB59" w14:textId="1394DA3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(-1.343)</w:t>
            </w:r>
          </w:p>
        </w:tc>
        <w:tc>
          <w:tcPr>
            <w:tcW w:w="1040" w:type="dxa"/>
            <w:tcBorders>
              <w:top w:val="nil"/>
              <w:left w:val="nil"/>
              <w:bottom w:val="nil"/>
              <w:right w:val="nil"/>
            </w:tcBorders>
            <w:vAlign w:val="center"/>
          </w:tcPr>
          <w:p w14:paraId="52D17C5D" w14:textId="50843690"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(-1.336)</w:t>
            </w:r>
          </w:p>
        </w:tc>
        <w:tc>
          <w:tcPr>
            <w:tcW w:w="1039" w:type="dxa"/>
            <w:tcBorders>
              <w:top w:val="nil"/>
              <w:left w:val="nil"/>
              <w:bottom w:val="nil"/>
              <w:right w:val="nil"/>
            </w:tcBorders>
            <w:vAlign w:val="center"/>
          </w:tcPr>
          <w:p w14:paraId="499CDD1E" w14:textId="7B2E1032"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(-1.241</w:t>
            </w:r>
          </w:p>
        </w:tc>
        <w:tc>
          <w:tcPr>
            <w:tcW w:w="1040" w:type="dxa"/>
            <w:tcBorders>
              <w:top w:val="nil"/>
              <w:left w:val="nil"/>
              <w:bottom w:val="nil"/>
              <w:right w:val="nil"/>
            </w:tcBorders>
            <w:vAlign w:val="center"/>
          </w:tcPr>
          <w:p w14:paraId="21DB9FDE" w14:textId="31303EDC"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(-1.253)</w:t>
            </w:r>
          </w:p>
        </w:tc>
      </w:tr>
      <w:tr w:rsidR="00CA039A" w:rsidRPr="007115F2" w14:paraId="25EDCBB2" w14:textId="77777777" w:rsidTr="00B6286E">
        <w:tc>
          <w:tcPr>
            <w:tcW w:w="2835" w:type="dxa"/>
            <w:tcBorders>
              <w:top w:val="nil"/>
              <w:left w:val="nil"/>
              <w:bottom w:val="nil"/>
              <w:right w:val="nil"/>
            </w:tcBorders>
          </w:tcPr>
          <w:p w14:paraId="29D1BC01" w14:textId="22E83898"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acq_industrygrowth</w:t>
            </w:r>
          </w:p>
        </w:tc>
        <w:tc>
          <w:tcPr>
            <w:tcW w:w="1039" w:type="dxa"/>
            <w:tcBorders>
              <w:top w:val="nil"/>
              <w:left w:val="nil"/>
              <w:bottom w:val="nil"/>
              <w:right w:val="nil"/>
            </w:tcBorders>
            <w:vAlign w:val="center"/>
          </w:tcPr>
          <w:p w14:paraId="6E263739" w14:textId="41CFDB50"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2.717</w:t>
            </w:r>
            <w:r w:rsidRPr="007E6AC7">
              <w:rPr>
                <w:color w:val="000000" w:themeColor="text1"/>
                <w:sz w:val="22"/>
                <w:vertAlign w:val="superscript"/>
              </w:rPr>
              <w:t>**</w:t>
            </w:r>
          </w:p>
        </w:tc>
        <w:tc>
          <w:tcPr>
            <w:tcW w:w="1040" w:type="dxa"/>
            <w:tcBorders>
              <w:top w:val="nil"/>
              <w:left w:val="nil"/>
              <w:bottom w:val="nil"/>
              <w:right w:val="nil"/>
            </w:tcBorders>
            <w:vAlign w:val="center"/>
          </w:tcPr>
          <w:p w14:paraId="4B216846" w14:textId="5E1D5976"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1.623</w:t>
            </w:r>
            <w:r w:rsidRPr="007E6AC7">
              <w:rPr>
                <w:color w:val="000000" w:themeColor="text1"/>
                <w:sz w:val="22"/>
                <w:vertAlign w:val="superscript"/>
              </w:rPr>
              <w:t>**</w:t>
            </w:r>
          </w:p>
        </w:tc>
        <w:tc>
          <w:tcPr>
            <w:tcW w:w="1039" w:type="dxa"/>
            <w:tcBorders>
              <w:top w:val="nil"/>
              <w:left w:val="nil"/>
              <w:bottom w:val="nil"/>
              <w:right w:val="nil"/>
            </w:tcBorders>
            <w:vAlign w:val="center"/>
          </w:tcPr>
          <w:p w14:paraId="5BAA3080" w14:textId="26FDF60F"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.729</w:t>
            </w:r>
            <w:r w:rsidRPr="007E6AC7">
              <w:rPr>
                <w:color w:val="000000" w:themeColor="text1"/>
                <w:sz w:val="22"/>
                <w:vertAlign w:val="superscript"/>
              </w:rPr>
              <w:t>**</w:t>
            </w:r>
          </w:p>
        </w:tc>
        <w:tc>
          <w:tcPr>
            <w:tcW w:w="1040" w:type="dxa"/>
            <w:tcBorders>
              <w:top w:val="nil"/>
              <w:left w:val="nil"/>
              <w:bottom w:val="nil"/>
              <w:right w:val="nil"/>
            </w:tcBorders>
            <w:vAlign w:val="center"/>
          </w:tcPr>
          <w:p w14:paraId="2B138DFF" w14:textId="77D57064"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2.838</w:t>
            </w:r>
            <w:r w:rsidRPr="007E6AC7">
              <w:rPr>
                <w:color w:val="000000" w:themeColor="text1"/>
                <w:sz w:val="22"/>
                <w:vertAlign w:val="superscript"/>
              </w:rPr>
              <w:t>**</w:t>
            </w:r>
          </w:p>
        </w:tc>
        <w:tc>
          <w:tcPr>
            <w:tcW w:w="1039" w:type="dxa"/>
            <w:tcBorders>
              <w:top w:val="nil"/>
              <w:left w:val="nil"/>
              <w:bottom w:val="nil"/>
              <w:right w:val="nil"/>
            </w:tcBorders>
            <w:vAlign w:val="center"/>
          </w:tcPr>
          <w:p w14:paraId="283B2DE7" w14:textId="5245AF74"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1.710</w:t>
            </w:r>
            <w:r w:rsidRPr="007E6AC7">
              <w:rPr>
                <w:color w:val="000000" w:themeColor="text1"/>
                <w:sz w:val="22"/>
                <w:vertAlign w:val="superscript"/>
              </w:rPr>
              <w:t>***</w:t>
            </w:r>
          </w:p>
        </w:tc>
        <w:tc>
          <w:tcPr>
            <w:tcW w:w="1040" w:type="dxa"/>
            <w:tcBorders>
              <w:top w:val="nil"/>
              <w:left w:val="nil"/>
              <w:bottom w:val="nil"/>
              <w:right w:val="nil"/>
            </w:tcBorders>
            <w:vAlign w:val="center"/>
          </w:tcPr>
          <w:p w14:paraId="015CCE97" w14:textId="5668CA2F"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0.764</w:t>
            </w:r>
            <w:r w:rsidRPr="007E6AC7">
              <w:rPr>
                <w:color w:val="000000" w:themeColor="text1"/>
                <w:sz w:val="22"/>
                <w:vertAlign w:val="superscript"/>
              </w:rPr>
              <w:t>***</w:t>
            </w:r>
          </w:p>
        </w:tc>
      </w:tr>
      <w:tr w:rsidR="00CA039A" w:rsidRPr="007115F2" w14:paraId="683DC301" w14:textId="77777777" w:rsidTr="00B6286E">
        <w:tc>
          <w:tcPr>
            <w:tcW w:w="2835" w:type="dxa"/>
            <w:tcBorders>
              <w:top w:val="nil"/>
              <w:left w:val="nil"/>
              <w:bottom w:val="nil"/>
              <w:right w:val="nil"/>
            </w:tcBorders>
          </w:tcPr>
          <w:p w14:paraId="7A97B05D" w14:textId="0D214D23"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w:t>
            </w:r>
          </w:p>
        </w:tc>
        <w:tc>
          <w:tcPr>
            <w:tcW w:w="1039" w:type="dxa"/>
            <w:tcBorders>
              <w:top w:val="nil"/>
              <w:left w:val="nil"/>
              <w:bottom w:val="nil"/>
              <w:right w:val="nil"/>
            </w:tcBorders>
            <w:vAlign w:val="center"/>
          </w:tcPr>
          <w:p w14:paraId="2855D4FA" w14:textId="5198E5F2"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(2.330)</w:t>
            </w:r>
          </w:p>
        </w:tc>
        <w:tc>
          <w:tcPr>
            <w:tcW w:w="1040" w:type="dxa"/>
            <w:tcBorders>
              <w:top w:val="nil"/>
              <w:left w:val="nil"/>
              <w:bottom w:val="nil"/>
              <w:right w:val="nil"/>
            </w:tcBorders>
            <w:vAlign w:val="center"/>
          </w:tcPr>
          <w:p w14:paraId="7FD83197" w14:textId="71BA5186"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(2.632)</w:t>
            </w:r>
          </w:p>
        </w:tc>
        <w:tc>
          <w:tcPr>
            <w:tcW w:w="1039" w:type="dxa"/>
            <w:tcBorders>
              <w:top w:val="nil"/>
              <w:left w:val="nil"/>
              <w:bottom w:val="nil"/>
              <w:right w:val="nil"/>
            </w:tcBorders>
            <w:vAlign w:val="center"/>
          </w:tcPr>
          <w:p w14:paraId="23F36598" w14:textId="13D66F01"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(2.644)</w:t>
            </w:r>
          </w:p>
        </w:tc>
        <w:tc>
          <w:tcPr>
            <w:tcW w:w="1040" w:type="dxa"/>
            <w:tcBorders>
              <w:top w:val="nil"/>
              <w:left w:val="nil"/>
              <w:bottom w:val="nil"/>
              <w:right w:val="nil"/>
            </w:tcBorders>
            <w:vAlign w:val="center"/>
          </w:tcPr>
          <w:p w14:paraId="4B8D35E2" w14:textId="246D2D71"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(2.370)</w:t>
            </w:r>
          </w:p>
        </w:tc>
        <w:tc>
          <w:tcPr>
            <w:tcW w:w="1039" w:type="dxa"/>
            <w:tcBorders>
              <w:top w:val="nil"/>
              <w:left w:val="nil"/>
              <w:bottom w:val="nil"/>
              <w:right w:val="nil"/>
            </w:tcBorders>
            <w:vAlign w:val="center"/>
          </w:tcPr>
          <w:p w14:paraId="03590BC0" w14:textId="0B7504BF"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(2.743</w:t>
            </w:r>
          </w:p>
        </w:tc>
        <w:tc>
          <w:tcPr>
            <w:tcW w:w="1040" w:type="dxa"/>
            <w:tcBorders>
              <w:top w:val="nil"/>
              <w:left w:val="nil"/>
              <w:bottom w:val="nil"/>
              <w:right w:val="nil"/>
            </w:tcBorders>
            <w:vAlign w:val="center"/>
          </w:tcPr>
          <w:p w14:paraId="0A2486C4" w14:textId="2343CBCF"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(2.815)</w:t>
            </w:r>
          </w:p>
        </w:tc>
      </w:tr>
      <w:tr w:rsidR="00CA039A" w:rsidRPr="007115F2" w14:paraId="07BB545C" w14:textId="77777777" w:rsidTr="00B6286E">
        <w:tc>
          <w:tcPr>
            <w:tcW w:w="2835" w:type="dxa"/>
            <w:tcBorders>
              <w:top w:val="nil"/>
              <w:left w:val="nil"/>
              <w:bottom w:val="nil"/>
              <w:right w:val="nil"/>
            </w:tcBorders>
          </w:tcPr>
          <w:p w14:paraId="1FDC0334" w14:textId="7AEE956B"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acq_dealexperience</w:t>
            </w:r>
          </w:p>
        </w:tc>
        <w:tc>
          <w:tcPr>
            <w:tcW w:w="1039" w:type="dxa"/>
            <w:tcBorders>
              <w:top w:val="nil"/>
              <w:left w:val="nil"/>
              <w:bottom w:val="nil"/>
              <w:right w:val="nil"/>
            </w:tcBorders>
            <w:vAlign w:val="center"/>
          </w:tcPr>
          <w:p w14:paraId="5673AC12" w14:textId="2DE7262E"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-.0003</w:t>
            </w:r>
          </w:p>
        </w:tc>
        <w:tc>
          <w:tcPr>
            <w:tcW w:w="1040" w:type="dxa"/>
            <w:tcBorders>
              <w:top w:val="nil"/>
              <w:left w:val="nil"/>
              <w:bottom w:val="nil"/>
              <w:right w:val="nil"/>
            </w:tcBorders>
            <w:vAlign w:val="center"/>
          </w:tcPr>
          <w:p w14:paraId="2E9D01A3" w14:textId="17B07360"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-.006</w:t>
            </w:r>
          </w:p>
        </w:tc>
        <w:tc>
          <w:tcPr>
            <w:tcW w:w="1039" w:type="dxa"/>
            <w:tcBorders>
              <w:top w:val="nil"/>
              <w:left w:val="nil"/>
              <w:bottom w:val="nil"/>
              <w:right w:val="nil"/>
            </w:tcBorders>
            <w:vAlign w:val="center"/>
          </w:tcPr>
          <w:p w14:paraId="58548E8C" w14:textId="6746FA59"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.005</w:t>
            </w:r>
          </w:p>
        </w:tc>
        <w:tc>
          <w:tcPr>
            <w:tcW w:w="1040" w:type="dxa"/>
            <w:tcBorders>
              <w:top w:val="nil"/>
              <w:left w:val="nil"/>
              <w:bottom w:val="nil"/>
              <w:right w:val="nil"/>
            </w:tcBorders>
            <w:vAlign w:val="center"/>
          </w:tcPr>
          <w:p w14:paraId="3EED83E0" w14:textId="28FF0552"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-0.008</w:t>
            </w:r>
          </w:p>
        </w:tc>
        <w:tc>
          <w:tcPr>
            <w:tcW w:w="1039" w:type="dxa"/>
            <w:tcBorders>
              <w:top w:val="nil"/>
              <w:left w:val="nil"/>
              <w:bottom w:val="nil"/>
              <w:right w:val="nil"/>
            </w:tcBorders>
            <w:vAlign w:val="center"/>
          </w:tcPr>
          <w:p w14:paraId="38E8FB3F" w14:textId="5A7BDE39"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-0.012</w:t>
            </w:r>
          </w:p>
        </w:tc>
        <w:tc>
          <w:tcPr>
            <w:tcW w:w="1040" w:type="dxa"/>
            <w:tcBorders>
              <w:top w:val="nil"/>
              <w:left w:val="nil"/>
              <w:bottom w:val="nil"/>
              <w:right w:val="nil"/>
            </w:tcBorders>
            <w:vAlign w:val="center"/>
          </w:tcPr>
          <w:p w14:paraId="5CFB75AE" w14:textId="5D091CD4"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0.002</w:t>
            </w:r>
          </w:p>
        </w:tc>
      </w:tr>
      <w:tr w:rsidR="00CA039A" w:rsidRPr="007115F2" w14:paraId="090C1E65" w14:textId="77777777" w:rsidTr="00B6286E">
        <w:tc>
          <w:tcPr>
            <w:tcW w:w="2835" w:type="dxa"/>
            <w:tcBorders>
              <w:top w:val="nil"/>
              <w:left w:val="nil"/>
              <w:bottom w:val="nil"/>
              <w:right w:val="nil"/>
            </w:tcBorders>
          </w:tcPr>
          <w:p w14:paraId="31111BD1" w14:textId="41A3CEFA"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w:t>
            </w:r>
          </w:p>
        </w:tc>
        <w:tc>
          <w:tcPr>
            <w:tcW w:w="1039" w:type="dxa"/>
            <w:tcBorders>
              <w:top w:val="nil"/>
              <w:left w:val="nil"/>
              <w:bottom w:val="nil"/>
              <w:right w:val="nil"/>
            </w:tcBorders>
            <w:vAlign w:val="center"/>
          </w:tcPr>
          <w:p w14:paraId="78650148" w14:textId="44481E1E"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(-.008)</w:t>
            </w:r>
          </w:p>
        </w:tc>
        <w:tc>
          <w:tcPr>
            <w:tcW w:w="1040" w:type="dxa"/>
            <w:tcBorders>
              <w:top w:val="nil"/>
              <w:left w:val="nil"/>
              <w:bottom w:val="nil"/>
              <w:right w:val="nil"/>
            </w:tcBorders>
            <w:vAlign w:val="center"/>
          </w:tcPr>
          <w:p w14:paraId="55EF179F" w14:textId="1DB841D0"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(-.252)</w:t>
            </w:r>
          </w:p>
        </w:tc>
        <w:tc>
          <w:tcPr>
            <w:tcW w:w="1039" w:type="dxa"/>
            <w:tcBorders>
              <w:top w:val="nil"/>
              <w:left w:val="nil"/>
              <w:bottom w:val="nil"/>
              <w:right w:val="nil"/>
            </w:tcBorders>
            <w:vAlign w:val="center"/>
          </w:tcPr>
          <w:p w14:paraId="506A2154" w14:textId="40C18508"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(.524)</w:t>
            </w:r>
          </w:p>
        </w:tc>
        <w:tc>
          <w:tcPr>
            <w:tcW w:w="1040" w:type="dxa"/>
            <w:tcBorders>
              <w:top w:val="nil"/>
              <w:left w:val="nil"/>
              <w:bottom w:val="nil"/>
              <w:right w:val="nil"/>
            </w:tcBorders>
            <w:vAlign w:val="center"/>
          </w:tcPr>
          <w:p w14:paraId="128D62F1" w14:textId="5B194DC9"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(-0.206)</w:t>
            </w:r>
          </w:p>
        </w:tc>
        <w:tc>
          <w:tcPr>
            <w:tcW w:w="1039" w:type="dxa"/>
            <w:tcBorders>
              <w:top w:val="nil"/>
              <w:left w:val="nil"/>
              <w:bottom w:val="nil"/>
              <w:right w:val="nil"/>
            </w:tcBorders>
            <w:vAlign w:val="center"/>
          </w:tcPr>
          <w:p w14:paraId="55197FB5" w14:textId="74C9F59A"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(-0.483</w:t>
            </w:r>
          </w:p>
        </w:tc>
        <w:tc>
          <w:tcPr>
            <w:tcW w:w="1040" w:type="dxa"/>
            <w:tcBorders>
              <w:top w:val="nil"/>
              <w:left w:val="nil"/>
              <w:bottom w:val="nil"/>
              <w:right w:val="nil"/>
            </w:tcBorders>
            <w:vAlign w:val="center"/>
          </w:tcPr>
          <w:p w14:paraId="4E451985" w14:textId="02E01022"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(0.262)</w:t>
            </w:r>
          </w:p>
        </w:tc>
      </w:tr>
      <w:tr w:rsidR="00CA039A" w:rsidRPr="007115F2" w14:paraId="067FCBC8" w14:textId="77777777" w:rsidTr="00B6286E">
        <w:tc>
          <w:tcPr>
            <w:tcW w:w="2835" w:type="dxa"/>
            <w:tcBorders>
              <w:top w:val="nil"/>
              <w:left w:val="nil"/>
              <w:bottom w:val="nil"/>
              <w:right w:val="nil"/>
            </w:tcBorders>
          </w:tcPr>
          <w:p w14:paraId="745542B3" w14:textId="68D78D24"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acq_rd_intensity</w:t>
            </w:r>
          </w:p>
        </w:tc>
        <w:tc>
          <w:tcPr>
            <w:tcW w:w="1039" w:type="dxa"/>
            <w:tcBorders>
              <w:top w:val="nil"/>
              <w:left w:val="nil"/>
              <w:bottom w:val="nil"/>
              <w:right w:val="nil"/>
            </w:tcBorders>
            <w:vAlign w:val="center"/>
          </w:tcPr>
          <w:p w14:paraId="05ECB242" w14:textId="304E7F0A"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-.580</w:t>
            </w:r>
            <w:r w:rsidRPr="007E6AC7">
              <w:rPr>
                <w:color w:val="000000" w:themeColor="text1"/>
                <w:sz w:val="22"/>
                <w:vertAlign w:val="superscript"/>
              </w:rPr>
              <w:t>*</w:t>
            </w:r>
          </w:p>
        </w:tc>
        <w:tc>
          <w:tcPr>
            <w:tcW w:w="1040" w:type="dxa"/>
            <w:tcBorders>
              <w:top w:val="nil"/>
              <w:left w:val="nil"/>
              <w:bottom w:val="nil"/>
              <w:right w:val="nil"/>
            </w:tcBorders>
            <w:vAlign w:val="center"/>
          </w:tcPr>
          <w:p w14:paraId="647F50BC" w14:textId="4E6C6EC2"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-.336</w:t>
            </w:r>
            <w:r w:rsidRPr="007E6AC7">
              <w:rPr>
                <w:color w:val="000000" w:themeColor="text1"/>
                <w:sz w:val="22"/>
                <w:vertAlign w:val="superscript"/>
              </w:rPr>
              <w:t>**</w:t>
            </w:r>
          </w:p>
        </w:tc>
        <w:tc>
          <w:tcPr>
            <w:tcW w:w="1039" w:type="dxa"/>
            <w:tcBorders>
              <w:top w:val="nil"/>
              <w:left w:val="nil"/>
              <w:bottom w:val="nil"/>
              <w:right w:val="nil"/>
            </w:tcBorders>
            <w:vAlign w:val="center"/>
          </w:tcPr>
          <w:p w14:paraId="0349366F" w14:textId="30E1F74C"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-.149</w:t>
            </w:r>
            <w:r w:rsidRPr="007E6AC7">
              <w:rPr>
                <w:color w:val="000000" w:themeColor="text1"/>
                <w:sz w:val="22"/>
                <w:vertAlign w:val="superscript"/>
              </w:rPr>
              <w:t>***</w:t>
            </w:r>
          </w:p>
        </w:tc>
        <w:tc>
          <w:tcPr>
            <w:tcW w:w="1040" w:type="dxa"/>
            <w:tcBorders>
              <w:top w:val="nil"/>
              <w:left w:val="nil"/>
              <w:bottom w:val="nil"/>
              <w:right w:val="nil"/>
            </w:tcBorders>
            <w:vAlign w:val="center"/>
          </w:tcPr>
          <w:p w14:paraId="2AB9F6A6" w14:textId="67D8EAE2"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-0.835</w:t>
            </w:r>
            <w:r w:rsidRPr="007E6AC7">
              <w:rPr>
                <w:color w:val="000000" w:themeColor="text1"/>
                <w:sz w:val="22"/>
                <w:vertAlign w:val="superscript"/>
              </w:rPr>
              <w:t>***</w:t>
            </w:r>
          </w:p>
        </w:tc>
        <w:tc>
          <w:tcPr>
            <w:tcW w:w="1039" w:type="dxa"/>
            <w:tcBorders>
              <w:top w:val="nil"/>
              <w:left w:val="nil"/>
              <w:bottom w:val="nil"/>
              <w:right w:val="nil"/>
            </w:tcBorders>
            <w:vAlign w:val="center"/>
          </w:tcPr>
          <w:p w14:paraId="3B380C3C" w14:textId="07B7DCDC"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-0.485</w:t>
            </w:r>
            <w:r w:rsidRPr="007E6AC7">
              <w:rPr>
                <w:color w:val="000000" w:themeColor="text1"/>
                <w:sz w:val="22"/>
                <w:vertAlign w:val="superscript"/>
              </w:rPr>
              <w:t>***</w:t>
            </w:r>
          </w:p>
        </w:tc>
        <w:tc>
          <w:tcPr>
            <w:tcW w:w="1040" w:type="dxa"/>
            <w:tcBorders>
              <w:top w:val="nil"/>
              <w:left w:val="nil"/>
              <w:bottom w:val="nil"/>
              <w:right w:val="nil"/>
            </w:tcBorders>
            <w:vAlign w:val="center"/>
          </w:tcPr>
          <w:p w14:paraId="703A20AD" w14:textId="33A0A7F5"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-0.225</w:t>
            </w:r>
            <w:r w:rsidRPr="007E6AC7">
              <w:rPr>
                <w:color w:val="000000" w:themeColor="text1"/>
                <w:sz w:val="22"/>
                <w:vertAlign w:val="superscript"/>
              </w:rPr>
              <w:t>***</w:t>
            </w:r>
          </w:p>
        </w:tc>
      </w:tr>
      <w:tr w:rsidR="00CA039A" w:rsidRPr="007115F2" w14:paraId="1CF05D53" w14:textId="77777777" w:rsidTr="00B6286E">
        <w:tc>
          <w:tcPr>
            <w:tcW w:w="2835" w:type="dxa"/>
            <w:tcBorders>
              <w:top w:val="nil"/>
              <w:left w:val="nil"/>
              <w:bottom w:val="nil"/>
              <w:right w:val="nil"/>
            </w:tcBorders>
          </w:tcPr>
          <w:p w14:paraId="25ACC898"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p>
        </w:tc>
        <w:tc>
          <w:tcPr>
            <w:tcW w:w="1039" w:type="dxa"/>
            <w:tcBorders>
              <w:top w:val="nil"/>
              <w:left w:val="nil"/>
              <w:bottom w:val="nil"/>
              <w:right w:val="nil"/>
            </w:tcBorders>
            <w:vAlign w:val="center"/>
          </w:tcPr>
          <w:p w14:paraId="7098325A" w14:textId="35583926"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(-1.783)</w:t>
            </w:r>
          </w:p>
        </w:tc>
        <w:tc>
          <w:tcPr>
            <w:tcW w:w="1040" w:type="dxa"/>
            <w:tcBorders>
              <w:top w:val="nil"/>
              <w:left w:val="nil"/>
              <w:bottom w:val="nil"/>
              <w:right w:val="nil"/>
            </w:tcBorders>
            <w:vAlign w:val="center"/>
          </w:tcPr>
          <w:p w14:paraId="19D0A8D0" w14:textId="149523CD"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(-2.188)</w:t>
            </w:r>
          </w:p>
        </w:tc>
        <w:tc>
          <w:tcPr>
            <w:tcW w:w="1039" w:type="dxa"/>
            <w:tcBorders>
              <w:top w:val="nil"/>
              <w:left w:val="nil"/>
              <w:bottom w:val="nil"/>
              <w:right w:val="nil"/>
            </w:tcBorders>
            <w:vAlign w:val="center"/>
          </w:tcPr>
          <w:p w14:paraId="74E8E40A" w14:textId="388B1D68"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(-2.875)</w:t>
            </w:r>
          </w:p>
        </w:tc>
        <w:tc>
          <w:tcPr>
            <w:tcW w:w="1040" w:type="dxa"/>
            <w:tcBorders>
              <w:top w:val="nil"/>
              <w:left w:val="nil"/>
              <w:bottom w:val="nil"/>
              <w:right w:val="nil"/>
            </w:tcBorders>
            <w:vAlign w:val="center"/>
          </w:tcPr>
          <w:p w14:paraId="2581417B" w14:textId="4BF3DF85"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(-3.093)</w:t>
            </w:r>
          </w:p>
        </w:tc>
        <w:tc>
          <w:tcPr>
            <w:tcW w:w="1039" w:type="dxa"/>
            <w:tcBorders>
              <w:top w:val="nil"/>
              <w:left w:val="nil"/>
              <w:bottom w:val="nil"/>
              <w:right w:val="nil"/>
            </w:tcBorders>
            <w:vAlign w:val="center"/>
          </w:tcPr>
          <w:p w14:paraId="6AB9CA3F" w14:textId="65D2C8C1"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(-3.706</w:t>
            </w:r>
          </w:p>
        </w:tc>
        <w:tc>
          <w:tcPr>
            <w:tcW w:w="1040" w:type="dxa"/>
            <w:tcBorders>
              <w:top w:val="nil"/>
              <w:left w:val="nil"/>
              <w:bottom w:val="nil"/>
              <w:right w:val="nil"/>
            </w:tcBorders>
            <w:vAlign w:val="center"/>
          </w:tcPr>
          <w:p w14:paraId="7490C66C" w14:textId="626C935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(-4.164)</w:t>
            </w:r>
          </w:p>
        </w:tc>
      </w:tr>
      <w:tr w:rsidR="00CA039A" w:rsidRPr="007115F2" w14:paraId="1C82A158" w14:textId="77777777" w:rsidTr="00B6286E">
        <w:tc>
          <w:tcPr>
            <w:tcW w:w="2835" w:type="dxa"/>
            <w:tcBorders>
              <w:top w:val="nil"/>
              <w:left w:val="nil"/>
              <w:bottom w:val="nil"/>
              <w:right w:val="nil"/>
            </w:tcBorders>
          </w:tcPr>
          <w:p w14:paraId="6C0F5D7C" w14:textId="7A5D5AC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tar_age</w:t>
            </w:r>
          </w:p>
        </w:tc>
        <w:tc>
          <w:tcPr>
            <w:tcW w:w="1039" w:type="dxa"/>
            <w:tcBorders>
              <w:top w:val="nil"/>
              <w:left w:val="nil"/>
              <w:bottom w:val="nil"/>
              <w:right w:val="nil"/>
            </w:tcBorders>
            <w:vAlign w:val="center"/>
          </w:tcPr>
          <w:p w14:paraId="248240BB" w14:textId="6A706CE4"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-.002</w:t>
            </w:r>
            <w:r w:rsidRPr="007E6AC7">
              <w:rPr>
                <w:color w:val="000000" w:themeColor="text1"/>
                <w:sz w:val="22"/>
                <w:vertAlign w:val="superscript"/>
              </w:rPr>
              <w:t>*</w:t>
            </w:r>
          </w:p>
        </w:tc>
        <w:tc>
          <w:tcPr>
            <w:tcW w:w="1040" w:type="dxa"/>
            <w:tcBorders>
              <w:top w:val="nil"/>
              <w:left w:val="nil"/>
              <w:bottom w:val="nil"/>
              <w:right w:val="nil"/>
            </w:tcBorders>
            <w:vAlign w:val="center"/>
          </w:tcPr>
          <w:p w14:paraId="33FA01F4" w14:textId="760E568B"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-.001</w:t>
            </w:r>
            <w:r w:rsidRPr="007E6AC7">
              <w:rPr>
                <w:color w:val="000000" w:themeColor="text1"/>
                <w:sz w:val="22"/>
                <w:vertAlign w:val="superscript"/>
              </w:rPr>
              <w:t>**</w:t>
            </w:r>
          </w:p>
        </w:tc>
        <w:tc>
          <w:tcPr>
            <w:tcW w:w="1039" w:type="dxa"/>
            <w:tcBorders>
              <w:top w:val="nil"/>
              <w:left w:val="nil"/>
              <w:bottom w:val="nil"/>
              <w:right w:val="nil"/>
            </w:tcBorders>
            <w:vAlign w:val="center"/>
          </w:tcPr>
          <w:p w14:paraId="1929B413" w14:textId="1F1B0C08"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-.001</w:t>
            </w:r>
            <w:r w:rsidRPr="007E6AC7">
              <w:rPr>
                <w:color w:val="000000" w:themeColor="text1"/>
                <w:sz w:val="22"/>
                <w:vertAlign w:val="superscript"/>
              </w:rPr>
              <w:t>**</w:t>
            </w:r>
          </w:p>
        </w:tc>
        <w:tc>
          <w:tcPr>
            <w:tcW w:w="1040" w:type="dxa"/>
            <w:tcBorders>
              <w:top w:val="nil"/>
              <w:left w:val="nil"/>
              <w:bottom w:val="nil"/>
              <w:right w:val="nil"/>
            </w:tcBorders>
            <w:vAlign w:val="center"/>
          </w:tcPr>
          <w:p w14:paraId="6FEE0CD9" w14:textId="6BA95A5B"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-0.002</w:t>
            </w:r>
            <w:r w:rsidRPr="007E6AC7">
              <w:rPr>
                <w:color w:val="000000" w:themeColor="text1"/>
                <w:sz w:val="22"/>
                <w:vertAlign w:val="superscript"/>
              </w:rPr>
              <w:t>*</w:t>
            </w:r>
          </w:p>
        </w:tc>
        <w:tc>
          <w:tcPr>
            <w:tcW w:w="1039" w:type="dxa"/>
            <w:tcBorders>
              <w:top w:val="nil"/>
              <w:left w:val="nil"/>
              <w:bottom w:val="nil"/>
              <w:right w:val="nil"/>
            </w:tcBorders>
            <w:vAlign w:val="center"/>
          </w:tcPr>
          <w:p w14:paraId="1A6FD9C5" w14:textId="5AFC51E3"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-0.001</w:t>
            </w:r>
            <w:r w:rsidRPr="007E6AC7">
              <w:rPr>
                <w:color w:val="000000" w:themeColor="text1"/>
                <w:sz w:val="22"/>
                <w:vertAlign w:val="superscript"/>
              </w:rPr>
              <w:t>**</w:t>
            </w:r>
          </w:p>
        </w:tc>
        <w:tc>
          <w:tcPr>
            <w:tcW w:w="1040" w:type="dxa"/>
            <w:tcBorders>
              <w:top w:val="nil"/>
              <w:left w:val="nil"/>
              <w:bottom w:val="nil"/>
              <w:right w:val="nil"/>
            </w:tcBorders>
            <w:vAlign w:val="center"/>
          </w:tcPr>
          <w:p w14:paraId="500214A3" w14:textId="1CDE62FC"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-0.001</w:t>
            </w:r>
            <w:r w:rsidRPr="007E6AC7">
              <w:rPr>
                <w:color w:val="000000" w:themeColor="text1"/>
                <w:sz w:val="22"/>
                <w:vertAlign w:val="superscript"/>
              </w:rPr>
              <w:t>**</w:t>
            </w:r>
          </w:p>
        </w:tc>
      </w:tr>
      <w:tr w:rsidR="00CA039A" w:rsidRPr="007115F2" w14:paraId="58990EC9" w14:textId="77777777" w:rsidTr="00B6286E">
        <w:tc>
          <w:tcPr>
            <w:tcW w:w="2835" w:type="dxa"/>
            <w:tcBorders>
              <w:top w:val="nil"/>
              <w:left w:val="nil"/>
              <w:bottom w:val="nil"/>
              <w:right w:val="nil"/>
            </w:tcBorders>
          </w:tcPr>
          <w:p w14:paraId="453918E4" w14:textId="1A881825"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w:t>
            </w:r>
          </w:p>
        </w:tc>
        <w:tc>
          <w:tcPr>
            <w:tcW w:w="1039" w:type="dxa"/>
            <w:tcBorders>
              <w:top w:val="nil"/>
              <w:left w:val="nil"/>
              <w:bottom w:val="nil"/>
              <w:right w:val="nil"/>
            </w:tcBorders>
            <w:vAlign w:val="center"/>
          </w:tcPr>
          <w:p w14:paraId="3A7CABBC" w14:textId="7212F890"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(-1.912)</w:t>
            </w:r>
          </w:p>
        </w:tc>
        <w:tc>
          <w:tcPr>
            <w:tcW w:w="1040" w:type="dxa"/>
            <w:tcBorders>
              <w:top w:val="nil"/>
              <w:left w:val="nil"/>
              <w:bottom w:val="nil"/>
              <w:right w:val="nil"/>
            </w:tcBorders>
            <w:vAlign w:val="center"/>
          </w:tcPr>
          <w:p w14:paraId="5BD51B05" w14:textId="5CD6A432"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(-2.012)</w:t>
            </w:r>
          </w:p>
        </w:tc>
        <w:tc>
          <w:tcPr>
            <w:tcW w:w="1039" w:type="dxa"/>
            <w:tcBorders>
              <w:top w:val="nil"/>
              <w:left w:val="nil"/>
              <w:bottom w:val="nil"/>
              <w:right w:val="nil"/>
            </w:tcBorders>
            <w:vAlign w:val="center"/>
          </w:tcPr>
          <w:p w14:paraId="197A72D9" w14:textId="316603FB"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(-2.036)</w:t>
            </w:r>
          </w:p>
        </w:tc>
        <w:tc>
          <w:tcPr>
            <w:tcW w:w="1040" w:type="dxa"/>
            <w:tcBorders>
              <w:top w:val="nil"/>
              <w:left w:val="nil"/>
              <w:bottom w:val="nil"/>
              <w:right w:val="nil"/>
            </w:tcBorders>
            <w:vAlign w:val="center"/>
          </w:tcPr>
          <w:p w14:paraId="0994B51E" w14:textId="31B38AA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(-1.841)</w:t>
            </w:r>
          </w:p>
        </w:tc>
        <w:tc>
          <w:tcPr>
            <w:tcW w:w="1039" w:type="dxa"/>
            <w:tcBorders>
              <w:top w:val="nil"/>
              <w:left w:val="nil"/>
              <w:bottom w:val="nil"/>
              <w:right w:val="nil"/>
            </w:tcBorders>
            <w:vAlign w:val="center"/>
          </w:tcPr>
          <w:p w14:paraId="28F501E9" w14:textId="4FDAF3AC"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(-2.017</w:t>
            </w:r>
          </w:p>
        </w:tc>
        <w:tc>
          <w:tcPr>
            <w:tcW w:w="1040" w:type="dxa"/>
            <w:tcBorders>
              <w:top w:val="nil"/>
              <w:left w:val="nil"/>
              <w:bottom w:val="nil"/>
              <w:right w:val="nil"/>
            </w:tcBorders>
            <w:vAlign w:val="center"/>
          </w:tcPr>
          <w:p w14:paraId="5A572275" w14:textId="1DC2E082"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(-2.148)</w:t>
            </w:r>
          </w:p>
        </w:tc>
      </w:tr>
      <w:tr w:rsidR="00CA039A" w:rsidRPr="007115F2" w14:paraId="210BBF73" w14:textId="77777777" w:rsidTr="00B6286E">
        <w:tc>
          <w:tcPr>
            <w:tcW w:w="2835" w:type="dxa"/>
            <w:tcBorders>
              <w:top w:val="nil"/>
              <w:left w:val="nil"/>
              <w:bottom w:val="nil"/>
              <w:right w:val="nil"/>
            </w:tcBorders>
          </w:tcPr>
          <w:p w14:paraId="190DC3D1" w14:textId="582B989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tar_assets_lastyear_ln</w:t>
            </w:r>
          </w:p>
        </w:tc>
        <w:tc>
          <w:tcPr>
            <w:tcW w:w="1039" w:type="dxa"/>
            <w:tcBorders>
              <w:top w:val="nil"/>
              <w:left w:val="nil"/>
              <w:bottom w:val="nil"/>
              <w:right w:val="nil"/>
            </w:tcBorders>
            <w:vAlign w:val="center"/>
          </w:tcPr>
          <w:p w14:paraId="401DD5A9" w14:textId="1B89CFFE"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-.148</w:t>
            </w:r>
            <w:r w:rsidRPr="007E6AC7">
              <w:rPr>
                <w:color w:val="000000" w:themeColor="text1"/>
                <w:sz w:val="22"/>
                <w:vertAlign w:val="superscript"/>
              </w:rPr>
              <w:t>*</w:t>
            </w:r>
          </w:p>
        </w:tc>
        <w:tc>
          <w:tcPr>
            <w:tcW w:w="1040" w:type="dxa"/>
            <w:tcBorders>
              <w:top w:val="nil"/>
              <w:left w:val="nil"/>
              <w:bottom w:val="nil"/>
              <w:right w:val="nil"/>
            </w:tcBorders>
            <w:vAlign w:val="center"/>
          </w:tcPr>
          <w:p w14:paraId="539A78BA" w14:textId="10FD15C6"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-.079</w:t>
            </w:r>
            <w:r w:rsidRPr="007E6AC7">
              <w:rPr>
                <w:color w:val="000000" w:themeColor="text1"/>
                <w:sz w:val="22"/>
                <w:vertAlign w:val="superscript"/>
              </w:rPr>
              <w:t>*</w:t>
            </w:r>
          </w:p>
        </w:tc>
        <w:tc>
          <w:tcPr>
            <w:tcW w:w="1039" w:type="dxa"/>
            <w:tcBorders>
              <w:top w:val="nil"/>
              <w:left w:val="nil"/>
              <w:bottom w:val="nil"/>
              <w:right w:val="nil"/>
            </w:tcBorders>
            <w:vAlign w:val="center"/>
          </w:tcPr>
          <w:p w14:paraId="68166A95" w14:textId="5838FFE1"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-.031</w:t>
            </w:r>
          </w:p>
        </w:tc>
        <w:tc>
          <w:tcPr>
            <w:tcW w:w="1040" w:type="dxa"/>
            <w:tcBorders>
              <w:top w:val="nil"/>
              <w:left w:val="nil"/>
              <w:bottom w:val="nil"/>
              <w:right w:val="nil"/>
            </w:tcBorders>
            <w:vAlign w:val="center"/>
          </w:tcPr>
          <w:p w14:paraId="3F03CF5D" w14:textId="1DBD485C"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-0.147</w:t>
            </w:r>
            <w:r w:rsidRPr="007E6AC7">
              <w:rPr>
                <w:color w:val="000000" w:themeColor="text1"/>
                <w:sz w:val="22"/>
                <w:vertAlign w:val="superscript"/>
              </w:rPr>
              <w:t>*</w:t>
            </w:r>
          </w:p>
        </w:tc>
        <w:tc>
          <w:tcPr>
            <w:tcW w:w="1039" w:type="dxa"/>
            <w:tcBorders>
              <w:top w:val="nil"/>
              <w:left w:val="nil"/>
              <w:bottom w:val="nil"/>
              <w:right w:val="nil"/>
            </w:tcBorders>
            <w:vAlign w:val="center"/>
          </w:tcPr>
          <w:p w14:paraId="1036F895" w14:textId="018DC14D"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-0.079</w:t>
            </w:r>
            <w:r w:rsidRPr="007E6AC7">
              <w:rPr>
                <w:color w:val="000000" w:themeColor="text1"/>
                <w:sz w:val="22"/>
                <w:vertAlign w:val="superscript"/>
              </w:rPr>
              <w:t>*</w:t>
            </w:r>
          </w:p>
        </w:tc>
        <w:tc>
          <w:tcPr>
            <w:tcW w:w="1040" w:type="dxa"/>
            <w:tcBorders>
              <w:top w:val="nil"/>
              <w:left w:val="nil"/>
              <w:bottom w:val="nil"/>
              <w:right w:val="nil"/>
            </w:tcBorders>
            <w:vAlign w:val="center"/>
          </w:tcPr>
          <w:p w14:paraId="27EB1EC8" w14:textId="363D4C3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-0.031</w:t>
            </w:r>
          </w:p>
        </w:tc>
      </w:tr>
      <w:tr w:rsidR="00CA039A" w:rsidRPr="007115F2" w14:paraId="1375F8B1" w14:textId="77777777" w:rsidTr="00B6286E">
        <w:tc>
          <w:tcPr>
            <w:tcW w:w="2835" w:type="dxa"/>
            <w:tcBorders>
              <w:top w:val="nil"/>
              <w:left w:val="nil"/>
              <w:bottom w:val="nil"/>
              <w:right w:val="nil"/>
            </w:tcBorders>
          </w:tcPr>
          <w:p w14:paraId="22643FC7" w14:textId="68A19805"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w:t>
            </w:r>
          </w:p>
        </w:tc>
        <w:tc>
          <w:tcPr>
            <w:tcW w:w="1039" w:type="dxa"/>
            <w:tcBorders>
              <w:top w:val="nil"/>
              <w:left w:val="nil"/>
              <w:bottom w:val="nil"/>
              <w:right w:val="nil"/>
            </w:tcBorders>
            <w:vAlign w:val="center"/>
          </w:tcPr>
          <w:p w14:paraId="7AEF7F65" w14:textId="1A51EC68"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(-1.786)</w:t>
            </w:r>
          </w:p>
        </w:tc>
        <w:tc>
          <w:tcPr>
            <w:tcW w:w="1040" w:type="dxa"/>
            <w:tcBorders>
              <w:top w:val="nil"/>
              <w:left w:val="nil"/>
              <w:bottom w:val="nil"/>
              <w:right w:val="nil"/>
            </w:tcBorders>
            <w:vAlign w:val="center"/>
          </w:tcPr>
          <w:p w14:paraId="50F74F2F" w14:textId="53E71D88"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(-1.708)</w:t>
            </w:r>
          </w:p>
        </w:tc>
        <w:tc>
          <w:tcPr>
            <w:tcW w:w="1039" w:type="dxa"/>
            <w:tcBorders>
              <w:top w:val="nil"/>
              <w:left w:val="nil"/>
              <w:bottom w:val="nil"/>
              <w:right w:val="nil"/>
            </w:tcBorders>
            <w:vAlign w:val="center"/>
          </w:tcPr>
          <w:p w14:paraId="3AA5A3E7" w14:textId="6464DCBF"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(-1.436)</w:t>
            </w:r>
          </w:p>
        </w:tc>
        <w:tc>
          <w:tcPr>
            <w:tcW w:w="1040" w:type="dxa"/>
            <w:tcBorders>
              <w:top w:val="nil"/>
              <w:left w:val="nil"/>
              <w:bottom w:val="nil"/>
              <w:right w:val="nil"/>
            </w:tcBorders>
            <w:vAlign w:val="center"/>
          </w:tcPr>
          <w:p w14:paraId="7F8DA8FC" w14:textId="0C756C46"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(-1.764)</w:t>
            </w:r>
          </w:p>
        </w:tc>
        <w:tc>
          <w:tcPr>
            <w:tcW w:w="1039" w:type="dxa"/>
            <w:tcBorders>
              <w:top w:val="nil"/>
              <w:left w:val="nil"/>
              <w:bottom w:val="nil"/>
              <w:right w:val="nil"/>
            </w:tcBorders>
            <w:vAlign w:val="center"/>
          </w:tcPr>
          <w:p w14:paraId="7898C41A" w14:textId="0FC7679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(-1.708</w:t>
            </w:r>
          </w:p>
        </w:tc>
        <w:tc>
          <w:tcPr>
            <w:tcW w:w="1040" w:type="dxa"/>
            <w:tcBorders>
              <w:top w:val="nil"/>
              <w:left w:val="nil"/>
              <w:bottom w:val="nil"/>
              <w:right w:val="nil"/>
            </w:tcBorders>
            <w:vAlign w:val="center"/>
          </w:tcPr>
          <w:p w14:paraId="17A823B1" w14:textId="6FDDBB22"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(-1.442)</w:t>
            </w:r>
          </w:p>
        </w:tc>
      </w:tr>
      <w:tr w:rsidR="00CA039A" w:rsidRPr="007115F2" w14:paraId="3BF9894C" w14:textId="77777777" w:rsidTr="00B6286E">
        <w:tc>
          <w:tcPr>
            <w:tcW w:w="2835" w:type="dxa"/>
            <w:tcBorders>
              <w:top w:val="nil"/>
              <w:left w:val="nil"/>
              <w:bottom w:val="nil"/>
              <w:right w:val="nil"/>
            </w:tcBorders>
          </w:tcPr>
          <w:p w14:paraId="1D788B6F" w14:textId="2860F8CB"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tar_roa_lastyear</w:t>
            </w:r>
          </w:p>
        </w:tc>
        <w:tc>
          <w:tcPr>
            <w:tcW w:w="1039" w:type="dxa"/>
            <w:tcBorders>
              <w:top w:val="nil"/>
              <w:left w:val="nil"/>
              <w:bottom w:val="nil"/>
              <w:right w:val="nil"/>
            </w:tcBorders>
            <w:vAlign w:val="center"/>
          </w:tcPr>
          <w:p w14:paraId="3489D0E8" w14:textId="2B355DE3"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-.377</w:t>
            </w:r>
          </w:p>
        </w:tc>
        <w:tc>
          <w:tcPr>
            <w:tcW w:w="1040" w:type="dxa"/>
            <w:tcBorders>
              <w:top w:val="nil"/>
              <w:left w:val="nil"/>
              <w:bottom w:val="nil"/>
              <w:right w:val="nil"/>
            </w:tcBorders>
            <w:vAlign w:val="center"/>
          </w:tcPr>
          <w:p w14:paraId="262014DF" w14:textId="395F94A6"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-.245</w:t>
            </w:r>
          </w:p>
        </w:tc>
        <w:tc>
          <w:tcPr>
            <w:tcW w:w="1039" w:type="dxa"/>
            <w:tcBorders>
              <w:top w:val="nil"/>
              <w:left w:val="nil"/>
              <w:bottom w:val="nil"/>
              <w:right w:val="nil"/>
            </w:tcBorders>
            <w:vAlign w:val="center"/>
          </w:tcPr>
          <w:p w14:paraId="37CD7884" w14:textId="22D66D36"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-.108</w:t>
            </w:r>
          </w:p>
        </w:tc>
        <w:tc>
          <w:tcPr>
            <w:tcW w:w="1040" w:type="dxa"/>
            <w:tcBorders>
              <w:top w:val="nil"/>
              <w:left w:val="nil"/>
              <w:bottom w:val="nil"/>
              <w:right w:val="nil"/>
            </w:tcBorders>
            <w:vAlign w:val="center"/>
          </w:tcPr>
          <w:p w14:paraId="6095410F" w14:textId="17288058"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-0.336</w:t>
            </w:r>
          </w:p>
        </w:tc>
        <w:tc>
          <w:tcPr>
            <w:tcW w:w="1039" w:type="dxa"/>
            <w:tcBorders>
              <w:top w:val="nil"/>
              <w:left w:val="nil"/>
              <w:bottom w:val="nil"/>
              <w:right w:val="nil"/>
            </w:tcBorders>
            <w:vAlign w:val="center"/>
          </w:tcPr>
          <w:p w14:paraId="58EDC5DF" w14:textId="07D06DA3"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-0.229</w:t>
            </w:r>
          </w:p>
        </w:tc>
        <w:tc>
          <w:tcPr>
            <w:tcW w:w="1040" w:type="dxa"/>
            <w:tcBorders>
              <w:top w:val="nil"/>
              <w:left w:val="nil"/>
              <w:bottom w:val="nil"/>
              <w:right w:val="nil"/>
            </w:tcBorders>
            <w:vAlign w:val="center"/>
          </w:tcPr>
          <w:p w14:paraId="34CCEBA8" w14:textId="620ACC7F"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-0.105</w:t>
            </w:r>
          </w:p>
        </w:tc>
      </w:tr>
      <w:tr w:rsidR="00CA039A" w:rsidRPr="007115F2" w14:paraId="0C28CCD8" w14:textId="77777777" w:rsidTr="00B6286E">
        <w:tc>
          <w:tcPr>
            <w:tcW w:w="2835" w:type="dxa"/>
            <w:tcBorders>
              <w:top w:val="nil"/>
              <w:left w:val="nil"/>
              <w:bottom w:val="nil"/>
              <w:right w:val="nil"/>
            </w:tcBorders>
          </w:tcPr>
          <w:p w14:paraId="2E3AC539" w14:textId="53540C83"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w:t>
            </w:r>
          </w:p>
        </w:tc>
        <w:tc>
          <w:tcPr>
            <w:tcW w:w="1039" w:type="dxa"/>
            <w:tcBorders>
              <w:top w:val="nil"/>
              <w:left w:val="nil"/>
              <w:bottom w:val="nil"/>
              <w:right w:val="nil"/>
            </w:tcBorders>
            <w:vAlign w:val="center"/>
          </w:tcPr>
          <w:p w14:paraId="1FACE3DE" w14:textId="5A70D86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(-1.216)</w:t>
            </w:r>
          </w:p>
        </w:tc>
        <w:tc>
          <w:tcPr>
            <w:tcW w:w="1040" w:type="dxa"/>
            <w:tcBorders>
              <w:top w:val="nil"/>
              <w:left w:val="nil"/>
              <w:bottom w:val="nil"/>
              <w:right w:val="nil"/>
            </w:tcBorders>
            <w:vAlign w:val="center"/>
          </w:tcPr>
          <w:p w14:paraId="46AE6C0D" w14:textId="362AC6F4"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(-1.376)</w:t>
            </w:r>
          </w:p>
        </w:tc>
        <w:tc>
          <w:tcPr>
            <w:tcW w:w="1039" w:type="dxa"/>
            <w:tcBorders>
              <w:top w:val="nil"/>
              <w:left w:val="nil"/>
              <w:bottom w:val="nil"/>
              <w:right w:val="nil"/>
            </w:tcBorders>
            <w:vAlign w:val="center"/>
          </w:tcPr>
          <w:p w14:paraId="2C74159A" w14:textId="221F48D2"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(-1.425)</w:t>
            </w:r>
          </w:p>
        </w:tc>
        <w:tc>
          <w:tcPr>
            <w:tcW w:w="1040" w:type="dxa"/>
            <w:tcBorders>
              <w:top w:val="nil"/>
              <w:left w:val="nil"/>
              <w:bottom w:val="nil"/>
              <w:right w:val="nil"/>
            </w:tcBorders>
            <w:vAlign w:val="center"/>
          </w:tcPr>
          <w:p w14:paraId="7C6D777A" w14:textId="25397363"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(-1.110)</w:t>
            </w:r>
          </w:p>
        </w:tc>
        <w:tc>
          <w:tcPr>
            <w:tcW w:w="1039" w:type="dxa"/>
            <w:tcBorders>
              <w:top w:val="nil"/>
              <w:left w:val="nil"/>
              <w:bottom w:val="nil"/>
              <w:right w:val="nil"/>
            </w:tcBorders>
            <w:vAlign w:val="center"/>
          </w:tcPr>
          <w:p w14:paraId="0E8D8EEA" w14:textId="280C614D"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(-1.332</w:t>
            </w:r>
          </w:p>
        </w:tc>
        <w:tc>
          <w:tcPr>
            <w:tcW w:w="1040" w:type="dxa"/>
            <w:tcBorders>
              <w:top w:val="nil"/>
              <w:left w:val="nil"/>
              <w:bottom w:val="nil"/>
              <w:right w:val="nil"/>
            </w:tcBorders>
            <w:vAlign w:val="center"/>
          </w:tcPr>
          <w:p w14:paraId="67B069C4" w14:textId="7DFD939F"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(-1.452)</w:t>
            </w:r>
          </w:p>
        </w:tc>
      </w:tr>
      <w:tr w:rsidR="00CA039A" w:rsidRPr="007115F2" w14:paraId="41E97076" w14:textId="77777777" w:rsidTr="00B6286E">
        <w:tc>
          <w:tcPr>
            <w:tcW w:w="2835" w:type="dxa"/>
            <w:tcBorders>
              <w:top w:val="nil"/>
              <w:left w:val="nil"/>
              <w:bottom w:val="nil"/>
              <w:right w:val="nil"/>
            </w:tcBorders>
          </w:tcPr>
          <w:p w14:paraId="40B985EE" w14:textId="04153400"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tar_mbratio</w:t>
            </w:r>
          </w:p>
        </w:tc>
        <w:tc>
          <w:tcPr>
            <w:tcW w:w="1039" w:type="dxa"/>
            <w:tcBorders>
              <w:top w:val="nil"/>
              <w:left w:val="nil"/>
              <w:bottom w:val="nil"/>
              <w:right w:val="nil"/>
            </w:tcBorders>
            <w:vAlign w:val="center"/>
          </w:tcPr>
          <w:p w14:paraId="2853C977" w14:textId="3C789394"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-.008</w:t>
            </w:r>
          </w:p>
        </w:tc>
        <w:tc>
          <w:tcPr>
            <w:tcW w:w="1040" w:type="dxa"/>
            <w:tcBorders>
              <w:top w:val="nil"/>
              <w:left w:val="nil"/>
              <w:bottom w:val="nil"/>
              <w:right w:val="nil"/>
            </w:tcBorders>
            <w:vAlign w:val="center"/>
          </w:tcPr>
          <w:p w14:paraId="31649114" w14:textId="78C27BB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-.005</w:t>
            </w:r>
          </w:p>
        </w:tc>
        <w:tc>
          <w:tcPr>
            <w:tcW w:w="1039" w:type="dxa"/>
            <w:tcBorders>
              <w:top w:val="nil"/>
              <w:left w:val="nil"/>
              <w:bottom w:val="nil"/>
              <w:right w:val="nil"/>
            </w:tcBorders>
            <w:vAlign w:val="center"/>
          </w:tcPr>
          <w:p w14:paraId="7A1E849A" w14:textId="58110B59"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-.002</w:t>
            </w:r>
          </w:p>
        </w:tc>
        <w:tc>
          <w:tcPr>
            <w:tcW w:w="1040" w:type="dxa"/>
            <w:tcBorders>
              <w:top w:val="nil"/>
              <w:left w:val="nil"/>
              <w:bottom w:val="nil"/>
              <w:right w:val="nil"/>
            </w:tcBorders>
            <w:vAlign w:val="center"/>
          </w:tcPr>
          <w:p w14:paraId="7FD20E10" w14:textId="20ED3684"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-0.011</w:t>
            </w:r>
          </w:p>
        </w:tc>
        <w:tc>
          <w:tcPr>
            <w:tcW w:w="1039" w:type="dxa"/>
            <w:tcBorders>
              <w:top w:val="nil"/>
              <w:left w:val="nil"/>
              <w:bottom w:val="nil"/>
              <w:right w:val="nil"/>
            </w:tcBorders>
            <w:vAlign w:val="center"/>
          </w:tcPr>
          <w:p w14:paraId="38728169" w14:textId="47512FFB"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-0.006</w:t>
            </w:r>
          </w:p>
        </w:tc>
        <w:tc>
          <w:tcPr>
            <w:tcW w:w="1040" w:type="dxa"/>
            <w:tcBorders>
              <w:top w:val="nil"/>
              <w:left w:val="nil"/>
              <w:bottom w:val="nil"/>
              <w:right w:val="nil"/>
            </w:tcBorders>
            <w:vAlign w:val="center"/>
          </w:tcPr>
          <w:p w14:paraId="1BDB6DE4" w14:textId="10AA9BB5"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-0.003</w:t>
            </w:r>
          </w:p>
        </w:tc>
      </w:tr>
      <w:tr w:rsidR="00CA039A" w:rsidRPr="007115F2" w14:paraId="06C8D2E9" w14:textId="77777777" w:rsidTr="00B6286E">
        <w:tc>
          <w:tcPr>
            <w:tcW w:w="2835" w:type="dxa"/>
            <w:tcBorders>
              <w:top w:val="nil"/>
              <w:left w:val="nil"/>
              <w:bottom w:val="nil"/>
              <w:right w:val="nil"/>
            </w:tcBorders>
          </w:tcPr>
          <w:p w14:paraId="2455C02C" w14:textId="7C243B54"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w:t>
            </w:r>
          </w:p>
        </w:tc>
        <w:tc>
          <w:tcPr>
            <w:tcW w:w="1039" w:type="dxa"/>
            <w:tcBorders>
              <w:top w:val="nil"/>
              <w:left w:val="nil"/>
              <w:bottom w:val="nil"/>
              <w:right w:val="nil"/>
            </w:tcBorders>
            <w:vAlign w:val="center"/>
          </w:tcPr>
          <w:p w14:paraId="08BA0CBD" w14:textId="1504F7C9"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(-1.376)</w:t>
            </w:r>
          </w:p>
        </w:tc>
        <w:tc>
          <w:tcPr>
            <w:tcW w:w="1040" w:type="dxa"/>
            <w:tcBorders>
              <w:top w:val="nil"/>
              <w:left w:val="nil"/>
              <w:bottom w:val="nil"/>
              <w:right w:val="nil"/>
            </w:tcBorders>
            <w:vAlign w:val="center"/>
          </w:tcPr>
          <w:p w14:paraId="64875D57" w14:textId="7AA28DA4"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(-1.237)</w:t>
            </w:r>
          </w:p>
        </w:tc>
        <w:tc>
          <w:tcPr>
            <w:tcW w:w="1039" w:type="dxa"/>
            <w:tcBorders>
              <w:top w:val="nil"/>
              <w:left w:val="nil"/>
              <w:bottom w:val="nil"/>
              <w:right w:val="nil"/>
            </w:tcBorders>
            <w:vAlign w:val="center"/>
          </w:tcPr>
          <w:p w14:paraId="3814B2AA" w14:textId="4920D28D"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(-1.239)</w:t>
            </w:r>
          </w:p>
        </w:tc>
        <w:tc>
          <w:tcPr>
            <w:tcW w:w="1040" w:type="dxa"/>
            <w:tcBorders>
              <w:top w:val="nil"/>
              <w:left w:val="nil"/>
              <w:bottom w:val="nil"/>
              <w:right w:val="nil"/>
            </w:tcBorders>
            <w:vAlign w:val="center"/>
          </w:tcPr>
          <w:p w14:paraId="0D16F85B" w14:textId="0B3A3C60"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(-1.567)</w:t>
            </w:r>
          </w:p>
        </w:tc>
        <w:tc>
          <w:tcPr>
            <w:tcW w:w="1039" w:type="dxa"/>
            <w:tcBorders>
              <w:top w:val="nil"/>
              <w:left w:val="nil"/>
              <w:bottom w:val="nil"/>
              <w:right w:val="nil"/>
            </w:tcBorders>
            <w:vAlign w:val="center"/>
          </w:tcPr>
          <w:p w14:paraId="4542714F" w14:textId="542AD77C"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(-1.461</w:t>
            </w:r>
          </w:p>
        </w:tc>
        <w:tc>
          <w:tcPr>
            <w:tcW w:w="1040" w:type="dxa"/>
            <w:tcBorders>
              <w:top w:val="nil"/>
              <w:left w:val="nil"/>
              <w:bottom w:val="nil"/>
              <w:right w:val="nil"/>
            </w:tcBorders>
            <w:vAlign w:val="center"/>
          </w:tcPr>
          <w:p w14:paraId="2101AAA9" w14:textId="0A999B1F"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rPr>
              <w:t>(-1.529)</w:t>
            </w:r>
          </w:p>
        </w:tc>
      </w:tr>
      <w:tr w:rsidR="00CA039A" w:rsidRPr="007115F2" w14:paraId="252B9D40" w14:textId="77777777" w:rsidTr="00B6286E">
        <w:tc>
          <w:tcPr>
            <w:tcW w:w="2835" w:type="dxa"/>
            <w:tcBorders>
              <w:top w:val="nil"/>
              <w:left w:val="nil"/>
              <w:bottom w:val="nil"/>
              <w:right w:val="nil"/>
            </w:tcBorders>
          </w:tcPr>
          <w:p w14:paraId="17C703C8" w14:textId="41E0BD64"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Observations</w:t>
            </w:r>
          </w:p>
        </w:tc>
        <w:tc>
          <w:tcPr>
            <w:tcW w:w="1039" w:type="dxa"/>
            <w:tcBorders>
              <w:top w:val="nil"/>
              <w:left w:val="nil"/>
              <w:bottom w:val="nil"/>
              <w:right w:val="nil"/>
            </w:tcBorders>
          </w:tcPr>
          <w:p w14:paraId="48E8CC33" w14:textId="65CE89F4"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lang w:val="en-US"/>
              </w:rPr>
              <w:t>243</w:t>
            </w:r>
          </w:p>
        </w:tc>
        <w:tc>
          <w:tcPr>
            <w:tcW w:w="1040" w:type="dxa"/>
            <w:tcBorders>
              <w:top w:val="nil"/>
              <w:left w:val="nil"/>
              <w:bottom w:val="nil"/>
              <w:right w:val="nil"/>
            </w:tcBorders>
          </w:tcPr>
          <w:p w14:paraId="25EE9160" w14:textId="3F8F53AC"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lang w:val="en-US"/>
              </w:rPr>
              <w:t>243</w:t>
            </w:r>
          </w:p>
        </w:tc>
        <w:tc>
          <w:tcPr>
            <w:tcW w:w="1039" w:type="dxa"/>
            <w:tcBorders>
              <w:top w:val="nil"/>
              <w:left w:val="nil"/>
              <w:bottom w:val="nil"/>
              <w:right w:val="nil"/>
            </w:tcBorders>
          </w:tcPr>
          <w:p w14:paraId="4C4BE957" w14:textId="7889B4E3"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lang w:val="en-US"/>
              </w:rPr>
              <w:t>243</w:t>
            </w:r>
          </w:p>
        </w:tc>
        <w:tc>
          <w:tcPr>
            <w:tcW w:w="1040" w:type="dxa"/>
            <w:tcBorders>
              <w:top w:val="nil"/>
              <w:left w:val="nil"/>
              <w:bottom w:val="nil"/>
              <w:right w:val="nil"/>
            </w:tcBorders>
          </w:tcPr>
          <w:p w14:paraId="174383CD" w14:textId="55ED6CA3"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lang w:val="en-US"/>
              </w:rPr>
              <w:t>243</w:t>
            </w:r>
          </w:p>
        </w:tc>
        <w:tc>
          <w:tcPr>
            <w:tcW w:w="1039" w:type="dxa"/>
            <w:tcBorders>
              <w:top w:val="nil"/>
              <w:left w:val="nil"/>
              <w:bottom w:val="nil"/>
              <w:right w:val="nil"/>
            </w:tcBorders>
          </w:tcPr>
          <w:p w14:paraId="1424171B" w14:textId="106D92F1"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lang w:val="en-US"/>
              </w:rPr>
              <w:t>243</w:t>
            </w:r>
          </w:p>
        </w:tc>
        <w:tc>
          <w:tcPr>
            <w:tcW w:w="1040" w:type="dxa"/>
            <w:tcBorders>
              <w:top w:val="nil"/>
              <w:left w:val="nil"/>
              <w:bottom w:val="nil"/>
              <w:right w:val="nil"/>
            </w:tcBorders>
          </w:tcPr>
          <w:p w14:paraId="47973329" w14:textId="56AAE65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lang w:val="en-US"/>
              </w:rPr>
              <w:t>243</w:t>
            </w:r>
          </w:p>
        </w:tc>
      </w:tr>
      <w:tr w:rsidR="00CA039A" w:rsidRPr="007115F2" w14:paraId="7BFD11A5" w14:textId="77777777" w:rsidTr="00B6286E">
        <w:tc>
          <w:tcPr>
            <w:tcW w:w="2835" w:type="dxa"/>
            <w:tcBorders>
              <w:top w:val="nil"/>
              <w:left w:val="nil"/>
              <w:bottom w:val="nil"/>
              <w:right w:val="nil"/>
            </w:tcBorders>
          </w:tcPr>
          <w:p w14:paraId="26A868E4" w14:textId="755379AF"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Adj R2</w:t>
            </w:r>
          </w:p>
        </w:tc>
        <w:tc>
          <w:tcPr>
            <w:tcW w:w="1039" w:type="dxa"/>
            <w:tcBorders>
              <w:top w:val="nil"/>
              <w:left w:val="nil"/>
              <w:bottom w:val="nil"/>
              <w:right w:val="nil"/>
            </w:tcBorders>
            <w:vAlign w:val="center"/>
          </w:tcPr>
          <w:p w14:paraId="25CCCA59" w14:textId="1E7025DD"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lang w:val="en-US"/>
              </w:rPr>
              <w:t>.179</w:t>
            </w:r>
          </w:p>
        </w:tc>
        <w:tc>
          <w:tcPr>
            <w:tcW w:w="1040" w:type="dxa"/>
            <w:tcBorders>
              <w:top w:val="nil"/>
              <w:left w:val="nil"/>
              <w:bottom w:val="nil"/>
              <w:right w:val="nil"/>
            </w:tcBorders>
            <w:vAlign w:val="center"/>
          </w:tcPr>
          <w:p w14:paraId="3C7B71CD" w14:textId="4F69495B"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lang w:val="en-US"/>
              </w:rPr>
              <w:t>.191</w:t>
            </w:r>
          </w:p>
        </w:tc>
        <w:tc>
          <w:tcPr>
            <w:tcW w:w="1039" w:type="dxa"/>
            <w:tcBorders>
              <w:top w:val="nil"/>
              <w:left w:val="nil"/>
              <w:bottom w:val="nil"/>
              <w:right w:val="nil"/>
            </w:tcBorders>
            <w:vAlign w:val="center"/>
          </w:tcPr>
          <w:p w14:paraId="66C9AB86" w14:textId="152FF922"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lang w:val="en-US"/>
              </w:rPr>
              <w:t>.207</w:t>
            </w:r>
          </w:p>
        </w:tc>
        <w:tc>
          <w:tcPr>
            <w:tcW w:w="1040" w:type="dxa"/>
            <w:tcBorders>
              <w:top w:val="nil"/>
              <w:left w:val="nil"/>
              <w:bottom w:val="nil"/>
              <w:right w:val="nil"/>
            </w:tcBorders>
            <w:vAlign w:val="center"/>
          </w:tcPr>
          <w:p w14:paraId="61C61CA7" w14:textId="6C75555B"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lang w:val="en-US"/>
              </w:rPr>
              <w:t>.187</w:t>
            </w:r>
          </w:p>
        </w:tc>
        <w:tc>
          <w:tcPr>
            <w:tcW w:w="1039" w:type="dxa"/>
            <w:tcBorders>
              <w:top w:val="nil"/>
              <w:left w:val="nil"/>
              <w:bottom w:val="nil"/>
              <w:right w:val="nil"/>
            </w:tcBorders>
            <w:vAlign w:val="center"/>
          </w:tcPr>
          <w:p w14:paraId="08461EDE" w14:textId="6C587340"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lang w:val="en-US"/>
              </w:rPr>
              <w:t>.199</w:t>
            </w:r>
          </w:p>
        </w:tc>
        <w:tc>
          <w:tcPr>
            <w:tcW w:w="1040" w:type="dxa"/>
            <w:tcBorders>
              <w:top w:val="nil"/>
              <w:left w:val="nil"/>
              <w:bottom w:val="nil"/>
              <w:right w:val="nil"/>
            </w:tcBorders>
            <w:vAlign w:val="center"/>
          </w:tcPr>
          <w:p w14:paraId="051AE938" w14:textId="184A4D5F"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lang w:val="en-US"/>
              </w:rPr>
              <w:t>.222</w:t>
            </w:r>
          </w:p>
        </w:tc>
      </w:tr>
      <w:tr w:rsidR="00CA039A" w:rsidRPr="007115F2" w14:paraId="6D7505CD" w14:textId="77777777" w:rsidTr="00B6286E">
        <w:tc>
          <w:tcPr>
            <w:tcW w:w="2835" w:type="dxa"/>
            <w:tcBorders>
              <w:top w:val="nil"/>
              <w:left w:val="nil"/>
              <w:right w:val="nil"/>
            </w:tcBorders>
          </w:tcPr>
          <w:p w14:paraId="487FCBD1" w14:textId="7586F75F"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Industry FE</w:t>
            </w:r>
          </w:p>
        </w:tc>
        <w:tc>
          <w:tcPr>
            <w:tcW w:w="1039" w:type="dxa"/>
            <w:tcBorders>
              <w:top w:val="nil"/>
              <w:left w:val="nil"/>
              <w:right w:val="nil"/>
            </w:tcBorders>
          </w:tcPr>
          <w:p w14:paraId="69BAF04F" w14:textId="55CCEAC0"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lang w:val="en-US"/>
              </w:rPr>
              <w:t>Yes</w:t>
            </w:r>
          </w:p>
        </w:tc>
        <w:tc>
          <w:tcPr>
            <w:tcW w:w="1040" w:type="dxa"/>
            <w:tcBorders>
              <w:top w:val="nil"/>
              <w:left w:val="nil"/>
              <w:right w:val="nil"/>
            </w:tcBorders>
          </w:tcPr>
          <w:p w14:paraId="43A1E94E" w14:textId="3156AFAD"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lang w:val="en-US"/>
              </w:rPr>
              <w:t>Yes</w:t>
            </w:r>
          </w:p>
        </w:tc>
        <w:tc>
          <w:tcPr>
            <w:tcW w:w="1039" w:type="dxa"/>
            <w:tcBorders>
              <w:top w:val="nil"/>
              <w:left w:val="nil"/>
              <w:right w:val="nil"/>
            </w:tcBorders>
          </w:tcPr>
          <w:p w14:paraId="358030AD" w14:textId="659E5736"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lang w:val="en-US"/>
              </w:rPr>
              <w:t>Yes</w:t>
            </w:r>
          </w:p>
        </w:tc>
        <w:tc>
          <w:tcPr>
            <w:tcW w:w="1040" w:type="dxa"/>
            <w:tcBorders>
              <w:top w:val="nil"/>
              <w:left w:val="nil"/>
              <w:right w:val="nil"/>
            </w:tcBorders>
          </w:tcPr>
          <w:p w14:paraId="11D82070" w14:textId="0684AAE2"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lang w:val="en-US"/>
              </w:rPr>
              <w:t>Yes</w:t>
            </w:r>
          </w:p>
        </w:tc>
        <w:tc>
          <w:tcPr>
            <w:tcW w:w="1039" w:type="dxa"/>
            <w:tcBorders>
              <w:top w:val="nil"/>
              <w:left w:val="nil"/>
              <w:right w:val="nil"/>
            </w:tcBorders>
          </w:tcPr>
          <w:p w14:paraId="2B611605" w14:textId="2A9C41AC"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lang w:val="en-US"/>
              </w:rPr>
              <w:t>Yes</w:t>
            </w:r>
          </w:p>
        </w:tc>
        <w:tc>
          <w:tcPr>
            <w:tcW w:w="1040" w:type="dxa"/>
            <w:tcBorders>
              <w:top w:val="nil"/>
              <w:left w:val="nil"/>
              <w:right w:val="nil"/>
            </w:tcBorders>
          </w:tcPr>
          <w:p w14:paraId="46969389" w14:textId="47902559"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lang w:val="en-US"/>
              </w:rPr>
              <w:t>Yes</w:t>
            </w:r>
          </w:p>
        </w:tc>
      </w:tr>
      <w:tr w:rsidR="00CA039A" w:rsidRPr="007115F2" w14:paraId="18BC1436" w14:textId="77777777" w:rsidTr="00B6286E">
        <w:tc>
          <w:tcPr>
            <w:tcW w:w="2835" w:type="dxa"/>
            <w:tcBorders>
              <w:top w:val="nil"/>
              <w:left w:val="nil"/>
              <w:bottom w:val="single" w:sz="4" w:space="0" w:color="auto"/>
              <w:right w:val="nil"/>
            </w:tcBorders>
          </w:tcPr>
          <w:p w14:paraId="2D3FE7CC" w14:textId="7FF59434"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lastRenderedPageBreak/>
              <w:t xml:space="preserve"> Year FE</w:t>
            </w:r>
          </w:p>
        </w:tc>
        <w:tc>
          <w:tcPr>
            <w:tcW w:w="1039" w:type="dxa"/>
            <w:tcBorders>
              <w:top w:val="nil"/>
              <w:left w:val="nil"/>
              <w:bottom w:val="single" w:sz="4" w:space="0" w:color="auto"/>
              <w:right w:val="nil"/>
            </w:tcBorders>
          </w:tcPr>
          <w:p w14:paraId="07AC36BC" w14:textId="0B439D08"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lang w:val="en-US"/>
              </w:rPr>
              <w:t>Yes</w:t>
            </w:r>
          </w:p>
        </w:tc>
        <w:tc>
          <w:tcPr>
            <w:tcW w:w="1040" w:type="dxa"/>
            <w:tcBorders>
              <w:top w:val="nil"/>
              <w:left w:val="nil"/>
              <w:bottom w:val="single" w:sz="4" w:space="0" w:color="auto"/>
              <w:right w:val="nil"/>
            </w:tcBorders>
          </w:tcPr>
          <w:p w14:paraId="74BC718E" w14:textId="7D73403A"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lang w:val="en-US"/>
              </w:rPr>
              <w:t>Yes</w:t>
            </w:r>
          </w:p>
        </w:tc>
        <w:tc>
          <w:tcPr>
            <w:tcW w:w="1039" w:type="dxa"/>
            <w:tcBorders>
              <w:top w:val="nil"/>
              <w:left w:val="nil"/>
              <w:bottom w:val="single" w:sz="4" w:space="0" w:color="auto"/>
              <w:right w:val="nil"/>
            </w:tcBorders>
          </w:tcPr>
          <w:p w14:paraId="7C5D5BAE" w14:textId="4973FCE3"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lang w:val="en-US"/>
              </w:rPr>
              <w:t>Yes</w:t>
            </w:r>
          </w:p>
        </w:tc>
        <w:tc>
          <w:tcPr>
            <w:tcW w:w="1040" w:type="dxa"/>
            <w:tcBorders>
              <w:top w:val="nil"/>
              <w:left w:val="nil"/>
              <w:bottom w:val="single" w:sz="4" w:space="0" w:color="auto"/>
              <w:right w:val="nil"/>
            </w:tcBorders>
          </w:tcPr>
          <w:p w14:paraId="24930F3C" w14:textId="01B96836"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lang w:val="en-US"/>
              </w:rPr>
              <w:t>Yes</w:t>
            </w:r>
          </w:p>
        </w:tc>
        <w:tc>
          <w:tcPr>
            <w:tcW w:w="1039" w:type="dxa"/>
            <w:tcBorders>
              <w:top w:val="nil"/>
              <w:left w:val="nil"/>
              <w:bottom w:val="single" w:sz="4" w:space="0" w:color="auto"/>
              <w:right w:val="nil"/>
            </w:tcBorders>
          </w:tcPr>
          <w:p w14:paraId="38BC2F5D" w14:textId="40DF87A1"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lang w:val="en-US"/>
              </w:rPr>
              <w:t>Yes</w:t>
            </w:r>
          </w:p>
        </w:tc>
        <w:tc>
          <w:tcPr>
            <w:tcW w:w="1040" w:type="dxa"/>
            <w:tcBorders>
              <w:top w:val="nil"/>
              <w:left w:val="nil"/>
              <w:bottom w:val="single" w:sz="4" w:space="0" w:color="auto"/>
              <w:right w:val="nil"/>
            </w:tcBorders>
          </w:tcPr>
          <w:p w14:paraId="2671CFF7" w14:textId="5A63052E"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7E6AC7">
              <w:rPr>
                <w:color w:val="000000" w:themeColor="text1"/>
                <w:sz w:val="22"/>
                <w:lang w:val="en-US"/>
              </w:rPr>
              <w:t>Yes</w:t>
            </w:r>
          </w:p>
        </w:tc>
      </w:tr>
      <w:tr w:rsidR="00CA039A" w:rsidRPr="00BE5632" w14:paraId="16AD2558" w14:textId="77777777" w:rsidTr="00B6286E">
        <w:tc>
          <w:tcPr>
            <w:tcW w:w="9072" w:type="dxa"/>
            <w:gridSpan w:val="7"/>
            <w:tcBorders>
              <w:top w:val="single" w:sz="4" w:space="0" w:color="auto"/>
              <w:left w:val="nil"/>
              <w:bottom w:val="nil"/>
              <w:right w:val="nil"/>
            </w:tcBorders>
          </w:tcPr>
          <w:p w14:paraId="7253DF5F" w14:textId="1CD6DBA4" w:rsidR="00CA039A" w:rsidRPr="007E6AC7" w:rsidRDefault="00CA039A" w:rsidP="00CA039A">
            <w:pPr>
              <w:widowControl w:val="0"/>
              <w:autoSpaceDE w:val="0"/>
              <w:autoSpaceDN w:val="0"/>
              <w:adjustRightInd w:val="0"/>
              <w:spacing w:line="240" w:lineRule="auto"/>
              <w:rPr>
                <w:color w:val="000000" w:themeColor="text1"/>
                <w:sz w:val="22"/>
                <w:lang w:val="en-US"/>
              </w:rPr>
            </w:pPr>
            <w:r w:rsidRPr="007E6AC7">
              <w:rPr>
                <w:i/>
                <w:iCs/>
                <w:color w:val="000000" w:themeColor="text1"/>
                <w:sz w:val="22"/>
                <w:lang w:val="en-US"/>
              </w:rPr>
              <w:t>Note</w:t>
            </w:r>
            <w:r w:rsidRPr="007E6AC7">
              <w:rPr>
                <w:color w:val="000000" w:themeColor="text1"/>
                <w:sz w:val="22"/>
                <w:lang w:val="en-US"/>
              </w:rPr>
              <w:t xml:space="preserve">. This table reports fixed effects linear OLS regression results predicting the effect of organizational cultural distance between acquirers and targets on deal announcement cumulative abnormal returns (CARs). The dependent variable for Models 1, 2, 4 and 5 is the acquirer’s cumulative abnormal return, with the day range being centered around announcement given in brackets. The dependent variable for Models 3 and 6 is the market value-weighted cumulative abnormal return of the acquirer and target. The main independent variable in Models 1-3 is </w:t>
            </w:r>
            <w:r w:rsidRPr="007E6AC7">
              <w:rPr>
                <w:i/>
                <w:color w:val="000000" w:themeColor="text1"/>
                <w:sz w:val="22"/>
                <w:lang w:val="en-US"/>
              </w:rPr>
              <w:t>deal_culturaldistance</w:t>
            </w:r>
            <w:r w:rsidRPr="007E6AC7">
              <w:rPr>
                <w:color w:val="000000" w:themeColor="text1"/>
                <w:sz w:val="22"/>
                <w:lang w:val="en-US"/>
              </w:rPr>
              <w:t>, with higher values indicating higher cultural dissimilarities between the acquirer and target. The main independent variables in Model 4-6 are the absolute cultural differences (in the four Competing Values Framework categories clan, adhocracy, market, hierarchy) between the acquirer and target. A detailed variable description can be found in Appendix B. Constant terms are estimated but not reported. We include the acquirer’s industry and year fixed effects in all models. We cluster standard errors at the 2-digit SIC industry level. t-statistics s are reported in parentheses below the coefficients. *, **, *** denote statistical significance at the .10, .05, and .01 levels (using two-tailed tests).</w:t>
            </w:r>
          </w:p>
        </w:tc>
      </w:tr>
    </w:tbl>
    <w:p w14:paraId="31C3DF14" w14:textId="77777777" w:rsidR="00CA039A" w:rsidRDefault="00CA039A">
      <w:pPr>
        <w:spacing w:after="160" w:line="259" w:lineRule="auto"/>
        <w:jc w:val="left"/>
        <w:rPr>
          <w:rStyle w:val="SchwacherVerweis"/>
          <w:rFonts w:eastAsiaTheme="majorEastAsia" w:cstheme="majorBidi"/>
          <w:b/>
          <w:caps/>
          <w:smallCaps w:val="0"/>
          <w:color w:val="auto"/>
          <w:szCs w:val="32"/>
          <w:lang w:val="en-US"/>
        </w:rPr>
      </w:pPr>
      <w:r w:rsidRPr="005F2718">
        <w:rPr>
          <w:rStyle w:val="SchwacherVerweis"/>
          <w:smallCaps w:val="0"/>
          <w:color w:val="auto"/>
          <w:lang w:val="en-US"/>
        </w:rPr>
        <w:br w:type="page"/>
      </w:r>
    </w:p>
    <w:p w14:paraId="696B0374" w14:textId="4E0505FF" w:rsidR="00D14819" w:rsidRPr="00D14819" w:rsidRDefault="00D14819" w:rsidP="00D14819">
      <w:pPr>
        <w:pStyle w:val="1fake"/>
        <w:rPr>
          <w:rStyle w:val="SchwacherVerweis"/>
          <w:smallCaps w:val="0"/>
          <w:color w:val="auto"/>
        </w:rPr>
      </w:pPr>
      <w:r w:rsidRPr="00D14819">
        <w:rPr>
          <w:rStyle w:val="SchwacherVerweis"/>
          <w:smallCaps w:val="0"/>
          <w:color w:val="auto"/>
        </w:rPr>
        <w:lastRenderedPageBreak/>
        <w:t>Table 6</w:t>
      </w:r>
    </w:p>
    <w:p w14:paraId="4BA3689A" w14:textId="6ED579F5" w:rsidR="00CA039A" w:rsidRDefault="00106E8D" w:rsidP="00CA039A">
      <w:pPr>
        <w:pStyle w:val="Beschriftung"/>
        <w:rPr>
          <w:rStyle w:val="SchwacherVerweis"/>
          <w:smallCaps w:val="0"/>
          <w:color w:val="auto"/>
        </w:rPr>
      </w:pPr>
      <w:bookmarkStart w:id="614" w:name="_Toc180594842"/>
      <w:r>
        <w:t xml:space="preserve">T - III - </w:t>
      </w:r>
      <w:r>
        <w:fldChar w:fldCharType="begin"/>
      </w:r>
      <w:r w:rsidRPr="00CA039A">
        <w:instrText xml:space="preserve"> SEQ T_-_III_- \* ARABIC </w:instrText>
      </w:r>
      <w:r>
        <w:fldChar w:fldCharType="separate"/>
      </w:r>
      <w:r w:rsidR="00E91088">
        <w:rPr>
          <w:noProof/>
        </w:rPr>
        <w:t>6</w:t>
      </w:r>
      <w:r>
        <w:fldChar w:fldCharType="end"/>
      </w:r>
      <w:r>
        <w:rPr>
          <w:noProof/>
        </w:rPr>
        <w:t xml:space="preserve">: </w:t>
      </w:r>
      <w:r w:rsidRPr="00C405CE">
        <w:rPr>
          <w:noProof/>
        </w:rPr>
        <w:t>H1b: Long-term operating synergies</w:t>
      </w:r>
      <w:bookmarkEnd w:id="614"/>
    </w:p>
    <w:tbl>
      <w:tblPr>
        <w:tblW w:w="9072" w:type="dxa"/>
        <w:tblLayout w:type="fixed"/>
        <w:tblLook w:val="0000" w:firstRow="0" w:lastRow="0" w:firstColumn="0" w:lastColumn="0" w:noHBand="0" w:noVBand="0"/>
      </w:tblPr>
      <w:tblGrid>
        <w:gridCol w:w="3455"/>
        <w:gridCol w:w="1404"/>
        <w:gridCol w:w="1404"/>
        <w:gridCol w:w="1404"/>
        <w:gridCol w:w="1405"/>
      </w:tblGrid>
      <w:tr w:rsidR="00CA039A" w:rsidRPr="007115F2" w14:paraId="148033E5" w14:textId="77777777" w:rsidTr="00B6286E">
        <w:trPr>
          <w:trHeight w:val="20"/>
        </w:trPr>
        <w:tc>
          <w:tcPr>
            <w:tcW w:w="3687" w:type="dxa"/>
            <w:tcBorders>
              <w:top w:val="single" w:sz="4" w:space="0" w:color="auto"/>
              <w:left w:val="nil"/>
              <w:right w:val="nil"/>
            </w:tcBorders>
          </w:tcPr>
          <w:p w14:paraId="27FDA5FE" w14:textId="77777777" w:rsidR="00CA039A" w:rsidRPr="007115F2" w:rsidRDefault="00CA039A" w:rsidP="00CA039A">
            <w:pPr>
              <w:widowControl w:val="0"/>
              <w:autoSpaceDE w:val="0"/>
              <w:autoSpaceDN w:val="0"/>
              <w:adjustRightInd w:val="0"/>
              <w:spacing w:line="240" w:lineRule="auto"/>
              <w:rPr>
                <w:b/>
                <w:bCs/>
                <w:color w:val="000000" w:themeColor="text1"/>
                <w:sz w:val="22"/>
                <w:lang w:val="en-US"/>
              </w:rPr>
            </w:pPr>
            <w:r w:rsidRPr="007E6AC7">
              <w:rPr>
                <w:b/>
                <w:bCs/>
                <w:color w:val="000000" w:themeColor="text1"/>
                <w:sz w:val="22"/>
                <w:lang w:val="en-US"/>
              </w:rPr>
              <w:t xml:space="preserve">   </w:t>
            </w:r>
          </w:p>
        </w:tc>
        <w:tc>
          <w:tcPr>
            <w:tcW w:w="1488" w:type="dxa"/>
            <w:tcBorders>
              <w:top w:val="single" w:sz="4" w:space="0" w:color="auto"/>
              <w:left w:val="nil"/>
              <w:right w:val="nil"/>
            </w:tcBorders>
          </w:tcPr>
          <w:p w14:paraId="48D5DC29" w14:textId="0537F104"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CE03DC">
              <w:rPr>
                <w:b/>
                <w:bCs/>
                <w:color w:val="000000" w:themeColor="text1"/>
                <w:sz w:val="22"/>
                <w:lang w:val="en-US"/>
              </w:rPr>
              <w:t xml:space="preserve">  (1)</w:t>
            </w:r>
          </w:p>
        </w:tc>
        <w:tc>
          <w:tcPr>
            <w:tcW w:w="1488" w:type="dxa"/>
            <w:tcBorders>
              <w:top w:val="single" w:sz="4" w:space="0" w:color="auto"/>
              <w:left w:val="nil"/>
              <w:right w:val="nil"/>
            </w:tcBorders>
          </w:tcPr>
          <w:p w14:paraId="4F6BF765" w14:textId="1F065B8A"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CE03DC">
              <w:rPr>
                <w:b/>
                <w:bCs/>
                <w:color w:val="000000" w:themeColor="text1"/>
                <w:sz w:val="22"/>
                <w:lang w:val="en-US"/>
              </w:rPr>
              <w:t xml:space="preserve">  (2)</w:t>
            </w:r>
          </w:p>
        </w:tc>
        <w:tc>
          <w:tcPr>
            <w:tcW w:w="1488" w:type="dxa"/>
            <w:tcBorders>
              <w:top w:val="single" w:sz="4" w:space="0" w:color="auto"/>
              <w:left w:val="nil"/>
              <w:right w:val="nil"/>
            </w:tcBorders>
          </w:tcPr>
          <w:p w14:paraId="7BFECA1C" w14:textId="5D1EBF1C"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CE03DC">
              <w:rPr>
                <w:b/>
                <w:bCs/>
                <w:color w:val="000000" w:themeColor="text1"/>
                <w:sz w:val="22"/>
                <w:lang w:val="en-US"/>
              </w:rPr>
              <w:t>(3)</w:t>
            </w:r>
          </w:p>
        </w:tc>
        <w:tc>
          <w:tcPr>
            <w:tcW w:w="1489" w:type="dxa"/>
            <w:tcBorders>
              <w:top w:val="single" w:sz="4" w:space="0" w:color="auto"/>
              <w:left w:val="nil"/>
              <w:right w:val="nil"/>
            </w:tcBorders>
          </w:tcPr>
          <w:p w14:paraId="789C8E01" w14:textId="4AEB23B7"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CE03DC">
              <w:rPr>
                <w:b/>
                <w:bCs/>
                <w:color w:val="000000" w:themeColor="text1"/>
                <w:sz w:val="22"/>
                <w:lang w:val="en-US"/>
              </w:rPr>
              <w:t>(4)</w:t>
            </w:r>
          </w:p>
        </w:tc>
      </w:tr>
      <w:tr w:rsidR="00CA039A" w:rsidRPr="007115F2" w14:paraId="4029AE0B" w14:textId="77777777" w:rsidTr="00B6286E">
        <w:trPr>
          <w:trHeight w:val="20"/>
        </w:trPr>
        <w:tc>
          <w:tcPr>
            <w:tcW w:w="3687" w:type="dxa"/>
            <w:tcBorders>
              <w:left w:val="nil"/>
              <w:bottom w:val="single" w:sz="10" w:space="0" w:color="auto"/>
              <w:right w:val="nil"/>
            </w:tcBorders>
          </w:tcPr>
          <w:p w14:paraId="15539902" w14:textId="77777777" w:rsidR="00CA039A" w:rsidRPr="007115F2" w:rsidRDefault="00CA039A" w:rsidP="00CA039A">
            <w:pPr>
              <w:widowControl w:val="0"/>
              <w:autoSpaceDE w:val="0"/>
              <w:autoSpaceDN w:val="0"/>
              <w:adjustRightInd w:val="0"/>
              <w:spacing w:line="240" w:lineRule="auto"/>
              <w:rPr>
                <w:b/>
                <w:bCs/>
                <w:color w:val="000000" w:themeColor="text1"/>
                <w:sz w:val="22"/>
                <w:lang w:val="en-US"/>
              </w:rPr>
            </w:pPr>
            <w:r w:rsidRPr="007E6AC7">
              <w:rPr>
                <w:b/>
                <w:bCs/>
                <w:color w:val="000000" w:themeColor="text1"/>
                <w:sz w:val="22"/>
                <w:lang w:val="en-US"/>
              </w:rPr>
              <w:t xml:space="preserve">   </w:t>
            </w:r>
          </w:p>
        </w:tc>
        <w:tc>
          <w:tcPr>
            <w:tcW w:w="1488" w:type="dxa"/>
            <w:tcBorders>
              <w:left w:val="nil"/>
              <w:bottom w:val="single" w:sz="10" w:space="0" w:color="auto"/>
              <w:right w:val="nil"/>
            </w:tcBorders>
          </w:tcPr>
          <w:p w14:paraId="432199C6" w14:textId="7D882DF4"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CE03DC">
              <w:rPr>
                <w:b/>
                <w:bCs/>
                <w:color w:val="000000" w:themeColor="text1"/>
                <w:sz w:val="22"/>
                <w:lang w:val="en-US"/>
              </w:rPr>
              <w:t xml:space="preserve">   acq_sales_2yr_growth</w:t>
            </w:r>
          </w:p>
        </w:tc>
        <w:tc>
          <w:tcPr>
            <w:tcW w:w="1488" w:type="dxa"/>
            <w:tcBorders>
              <w:left w:val="nil"/>
              <w:bottom w:val="single" w:sz="10" w:space="0" w:color="auto"/>
              <w:right w:val="nil"/>
            </w:tcBorders>
          </w:tcPr>
          <w:p w14:paraId="7B1515AC" w14:textId="0567C190"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CE03DC">
              <w:rPr>
                <w:b/>
                <w:bCs/>
                <w:color w:val="000000" w:themeColor="text1"/>
                <w:sz w:val="22"/>
                <w:lang w:val="en-US"/>
              </w:rPr>
              <w:t xml:space="preserve">   acq_sales_4yr_growth</w:t>
            </w:r>
          </w:p>
        </w:tc>
        <w:tc>
          <w:tcPr>
            <w:tcW w:w="1488" w:type="dxa"/>
            <w:tcBorders>
              <w:left w:val="nil"/>
              <w:bottom w:val="single" w:sz="10" w:space="0" w:color="auto"/>
              <w:right w:val="nil"/>
            </w:tcBorders>
          </w:tcPr>
          <w:p w14:paraId="72ED5208" w14:textId="63367566"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CE03DC">
              <w:rPr>
                <w:b/>
                <w:bCs/>
                <w:color w:val="000000" w:themeColor="text1"/>
                <w:sz w:val="22"/>
                <w:lang w:val="en-US"/>
              </w:rPr>
              <w:t xml:space="preserve">   acq_sales_2yr_growth</w:t>
            </w:r>
          </w:p>
        </w:tc>
        <w:tc>
          <w:tcPr>
            <w:tcW w:w="1489" w:type="dxa"/>
            <w:tcBorders>
              <w:left w:val="nil"/>
              <w:bottom w:val="single" w:sz="10" w:space="0" w:color="auto"/>
              <w:right w:val="nil"/>
            </w:tcBorders>
          </w:tcPr>
          <w:p w14:paraId="1570E223" w14:textId="09F4B312"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CE03DC">
              <w:rPr>
                <w:b/>
                <w:bCs/>
                <w:color w:val="000000" w:themeColor="text1"/>
                <w:sz w:val="22"/>
                <w:lang w:val="en-US"/>
              </w:rPr>
              <w:t xml:space="preserve">   acq_sales_4yr_growth</w:t>
            </w:r>
          </w:p>
        </w:tc>
      </w:tr>
      <w:tr w:rsidR="00CA039A" w:rsidRPr="007115F2" w14:paraId="20DDBB30" w14:textId="77777777" w:rsidTr="00B6286E">
        <w:trPr>
          <w:trHeight w:val="20"/>
        </w:trPr>
        <w:tc>
          <w:tcPr>
            <w:tcW w:w="3687" w:type="dxa"/>
            <w:tcBorders>
              <w:top w:val="nil"/>
              <w:left w:val="nil"/>
              <w:bottom w:val="nil"/>
              <w:right w:val="nil"/>
            </w:tcBorders>
          </w:tcPr>
          <w:p w14:paraId="1A06A9ED" w14:textId="77777777" w:rsidR="00CA039A" w:rsidRPr="007115F2" w:rsidRDefault="00CA039A" w:rsidP="00CA039A">
            <w:pPr>
              <w:widowControl w:val="0"/>
              <w:autoSpaceDE w:val="0"/>
              <w:autoSpaceDN w:val="0"/>
              <w:adjustRightInd w:val="0"/>
              <w:spacing w:line="240" w:lineRule="auto"/>
              <w:rPr>
                <w:b/>
                <w:bCs/>
                <w:color w:val="000000" w:themeColor="text1"/>
                <w:sz w:val="22"/>
                <w:lang w:val="en-US"/>
              </w:rPr>
            </w:pPr>
            <w:r w:rsidRPr="007E6AC7">
              <w:rPr>
                <w:color w:val="000000" w:themeColor="text1"/>
                <w:sz w:val="22"/>
                <w:lang w:val="en-US"/>
              </w:rPr>
              <w:t xml:space="preserve"> deal_culturaldistance</w:t>
            </w:r>
          </w:p>
        </w:tc>
        <w:tc>
          <w:tcPr>
            <w:tcW w:w="1488" w:type="dxa"/>
            <w:tcBorders>
              <w:top w:val="nil"/>
              <w:left w:val="nil"/>
              <w:bottom w:val="nil"/>
              <w:right w:val="nil"/>
            </w:tcBorders>
          </w:tcPr>
          <w:p w14:paraId="0CB198FB" w14:textId="3DB253E7"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CE03DC">
              <w:rPr>
                <w:color w:val="000000" w:themeColor="text1"/>
                <w:sz w:val="22"/>
              </w:rPr>
              <w:t>-.321*</w:t>
            </w:r>
          </w:p>
        </w:tc>
        <w:tc>
          <w:tcPr>
            <w:tcW w:w="1488" w:type="dxa"/>
            <w:tcBorders>
              <w:top w:val="nil"/>
              <w:left w:val="nil"/>
              <w:bottom w:val="nil"/>
              <w:right w:val="nil"/>
            </w:tcBorders>
          </w:tcPr>
          <w:p w14:paraId="14468B49" w14:textId="0CE643F2"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CE03DC">
              <w:rPr>
                <w:color w:val="000000" w:themeColor="text1"/>
                <w:sz w:val="22"/>
              </w:rPr>
              <w:t>-.349***</w:t>
            </w:r>
          </w:p>
        </w:tc>
        <w:tc>
          <w:tcPr>
            <w:tcW w:w="1488" w:type="dxa"/>
            <w:tcBorders>
              <w:top w:val="nil"/>
              <w:left w:val="nil"/>
              <w:bottom w:val="nil"/>
              <w:right w:val="nil"/>
            </w:tcBorders>
          </w:tcPr>
          <w:p w14:paraId="715A288A" w14:textId="78C94818"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p>
        </w:tc>
        <w:tc>
          <w:tcPr>
            <w:tcW w:w="1489" w:type="dxa"/>
            <w:tcBorders>
              <w:top w:val="nil"/>
              <w:left w:val="nil"/>
              <w:bottom w:val="nil"/>
              <w:right w:val="nil"/>
            </w:tcBorders>
          </w:tcPr>
          <w:p w14:paraId="2AD218BD" w14:textId="77777777"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p>
        </w:tc>
      </w:tr>
      <w:tr w:rsidR="00CA039A" w:rsidRPr="007115F2" w14:paraId="6C42FCBD" w14:textId="77777777" w:rsidTr="00B6286E">
        <w:trPr>
          <w:trHeight w:val="20"/>
        </w:trPr>
        <w:tc>
          <w:tcPr>
            <w:tcW w:w="3687" w:type="dxa"/>
            <w:tcBorders>
              <w:top w:val="nil"/>
              <w:left w:val="nil"/>
              <w:bottom w:val="nil"/>
              <w:right w:val="nil"/>
            </w:tcBorders>
          </w:tcPr>
          <w:p w14:paraId="7562F627"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w:t>
            </w:r>
          </w:p>
        </w:tc>
        <w:tc>
          <w:tcPr>
            <w:tcW w:w="1488" w:type="dxa"/>
            <w:tcBorders>
              <w:top w:val="nil"/>
              <w:left w:val="nil"/>
              <w:bottom w:val="nil"/>
              <w:right w:val="nil"/>
            </w:tcBorders>
          </w:tcPr>
          <w:p w14:paraId="708A2E93" w14:textId="0C442EBA"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(-1.892)</w:t>
            </w:r>
          </w:p>
        </w:tc>
        <w:tc>
          <w:tcPr>
            <w:tcW w:w="1488" w:type="dxa"/>
            <w:tcBorders>
              <w:top w:val="nil"/>
              <w:left w:val="nil"/>
              <w:bottom w:val="nil"/>
              <w:right w:val="nil"/>
            </w:tcBorders>
          </w:tcPr>
          <w:p w14:paraId="0029B9B6" w14:textId="497DB320"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(-2.972)</w:t>
            </w:r>
          </w:p>
        </w:tc>
        <w:tc>
          <w:tcPr>
            <w:tcW w:w="1488" w:type="dxa"/>
            <w:tcBorders>
              <w:top w:val="nil"/>
              <w:left w:val="nil"/>
              <w:bottom w:val="nil"/>
              <w:right w:val="nil"/>
            </w:tcBorders>
          </w:tcPr>
          <w:p w14:paraId="5BC63BC7" w14:textId="764DA3D8"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c>
          <w:tcPr>
            <w:tcW w:w="1489" w:type="dxa"/>
            <w:tcBorders>
              <w:top w:val="nil"/>
              <w:left w:val="nil"/>
              <w:bottom w:val="nil"/>
              <w:right w:val="nil"/>
            </w:tcBorders>
          </w:tcPr>
          <w:p w14:paraId="5EF03821" w14:textId="7777777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r>
      <w:tr w:rsidR="00CA039A" w:rsidRPr="007115F2" w14:paraId="31C5F468" w14:textId="77777777" w:rsidTr="00B6286E">
        <w:trPr>
          <w:trHeight w:val="20"/>
        </w:trPr>
        <w:tc>
          <w:tcPr>
            <w:tcW w:w="3687" w:type="dxa"/>
            <w:tcBorders>
              <w:top w:val="nil"/>
              <w:left w:val="nil"/>
              <w:bottom w:val="nil"/>
              <w:right w:val="nil"/>
            </w:tcBorders>
          </w:tcPr>
          <w:p w14:paraId="60E6DE30"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deal_clan_culture_abs</w:t>
            </w:r>
          </w:p>
        </w:tc>
        <w:tc>
          <w:tcPr>
            <w:tcW w:w="1488" w:type="dxa"/>
            <w:tcBorders>
              <w:top w:val="nil"/>
              <w:left w:val="nil"/>
              <w:bottom w:val="nil"/>
              <w:right w:val="nil"/>
            </w:tcBorders>
          </w:tcPr>
          <w:p w14:paraId="13E6B746" w14:textId="7777777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c>
          <w:tcPr>
            <w:tcW w:w="1488" w:type="dxa"/>
            <w:tcBorders>
              <w:top w:val="nil"/>
              <w:left w:val="nil"/>
              <w:bottom w:val="nil"/>
              <w:right w:val="nil"/>
            </w:tcBorders>
          </w:tcPr>
          <w:p w14:paraId="1511B81F" w14:textId="7777777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c>
          <w:tcPr>
            <w:tcW w:w="1488" w:type="dxa"/>
            <w:tcBorders>
              <w:top w:val="nil"/>
              <w:left w:val="nil"/>
              <w:bottom w:val="nil"/>
              <w:right w:val="nil"/>
            </w:tcBorders>
          </w:tcPr>
          <w:p w14:paraId="63D13FDF" w14:textId="1B9391C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-.092</w:t>
            </w:r>
          </w:p>
        </w:tc>
        <w:tc>
          <w:tcPr>
            <w:tcW w:w="1489" w:type="dxa"/>
            <w:tcBorders>
              <w:top w:val="nil"/>
              <w:left w:val="nil"/>
              <w:bottom w:val="nil"/>
              <w:right w:val="nil"/>
            </w:tcBorders>
          </w:tcPr>
          <w:p w14:paraId="6D8C3A35" w14:textId="133E6A7B"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-.053</w:t>
            </w:r>
          </w:p>
        </w:tc>
      </w:tr>
      <w:tr w:rsidR="00CA039A" w:rsidRPr="007115F2" w14:paraId="189D2AA4" w14:textId="77777777" w:rsidTr="00B6286E">
        <w:trPr>
          <w:trHeight w:val="20"/>
        </w:trPr>
        <w:tc>
          <w:tcPr>
            <w:tcW w:w="3687" w:type="dxa"/>
            <w:tcBorders>
              <w:top w:val="nil"/>
              <w:left w:val="nil"/>
              <w:bottom w:val="nil"/>
              <w:right w:val="nil"/>
            </w:tcBorders>
          </w:tcPr>
          <w:p w14:paraId="123E14F9"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w:t>
            </w:r>
          </w:p>
        </w:tc>
        <w:tc>
          <w:tcPr>
            <w:tcW w:w="1488" w:type="dxa"/>
            <w:tcBorders>
              <w:top w:val="nil"/>
              <w:left w:val="nil"/>
              <w:bottom w:val="nil"/>
              <w:right w:val="nil"/>
            </w:tcBorders>
          </w:tcPr>
          <w:p w14:paraId="72B74A1A" w14:textId="7777777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c>
          <w:tcPr>
            <w:tcW w:w="1488" w:type="dxa"/>
            <w:tcBorders>
              <w:top w:val="nil"/>
              <w:left w:val="nil"/>
              <w:bottom w:val="nil"/>
              <w:right w:val="nil"/>
            </w:tcBorders>
          </w:tcPr>
          <w:p w14:paraId="7CA2C9BE" w14:textId="7777777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c>
          <w:tcPr>
            <w:tcW w:w="1488" w:type="dxa"/>
            <w:tcBorders>
              <w:top w:val="nil"/>
              <w:left w:val="nil"/>
              <w:bottom w:val="nil"/>
              <w:right w:val="nil"/>
            </w:tcBorders>
          </w:tcPr>
          <w:p w14:paraId="0C22796F" w14:textId="5C87A74E"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(-.296)</w:t>
            </w:r>
          </w:p>
        </w:tc>
        <w:tc>
          <w:tcPr>
            <w:tcW w:w="1489" w:type="dxa"/>
            <w:tcBorders>
              <w:top w:val="nil"/>
              <w:left w:val="nil"/>
              <w:bottom w:val="nil"/>
              <w:right w:val="nil"/>
            </w:tcBorders>
          </w:tcPr>
          <w:p w14:paraId="21995119" w14:textId="7FAB1578"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(-.221)</w:t>
            </w:r>
          </w:p>
        </w:tc>
      </w:tr>
      <w:tr w:rsidR="00CA039A" w:rsidRPr="007115F2" w14:paraId="4FC0B8A1" w14:textId="77777777" w:rsidTr="00B6286E">
        <w:trPr>
          <w:trHeight w:val="20"/>
        </w:trPr>
        <w:tc>
          <w:tcPr>
            <w:tcW w:w="3687" w:type="dxa"/>
            <w:tcBorders>
              <w:top w:val="nil"/>
              <w:left w:val="nil"/>
              <w:bottom w:val="nil"/>
              <w:right w:val="nil"/>
            </w:tcBorders>
          </w:tcPr>
          <w:p w14:paraId="6079860E"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deal_adhocracy_culture_abs</w:t>
            </w:r>
          </w:p>
        </w:tc>
        <w:tc>
          <w:tcPr>
            <w:tcW w:w="1488" w:type="dxa"/>
            <w:tcBorders>
              <w:top w:val="nil"/>
              <w:left w:val="nil"/>
              <w:bottom w:val="nil"/>
              <w:right w:val="nil"/>
            </w:tcBorders>
          </w:tcPr>
          <w:p w14:paraId="3118B4EF" w14:textId="7777777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c>
          <w:tcPr>
            <w:tcW w:w="1488" w:type="dxa"/>
            <w:tcBorders>
              <w:top w:val="nil"/>
              <w:left w:val="nil"/>
              <w:bottom w:val="nil"/>
              <w:right w:val="nil"/>
            </w:tcBorders>
          </w:tcPr>
          <w:p w14:paraId="1BE1F33E" w14:textId="7777777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c>
          <w:tcPr>
            <w:tcW w:w="1488" w:type="dxa"/>
            <w:tcBorders>
              <w:top w:val="nil"/>
              <w:left w:val="nil"/>
              <w:bottom w:val="nil"/>
              <w:right w:val="nil"/>
            </w:tcBorders>
          </w:tcPr>
          <w:p w14:paraId="463D50C3" w14:textId="6163A0EA"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.245</w:t>
            </w:r>
          </w:p>
        </w:tc>
        <w:tc>
          <w:tcPr>
            <w:tcW w:w="1489" w:type="dxa"/>
            <w:tcBorders>
              <w:top w:val="nil"/>
              <w:left w:val="nil"/>
              <w:bottom w:val="nil"/>
              <w:right w:val="nil"/>
            </w:tcBorders>
          </w:tcPr>
          <w:p w14:paraId="39502E5E" w14:textId="0127C4C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.050</w:t>
            </w:r>
          </w:p>
        </w:tc>
      </w:tr>
      <w:tr w:rsidR="00CA039A" w:rsidRPr="007115F2" w14:paraId="40786DFE" w14:textId="77777777" w:rsidTr="00B6286E">
        <w:trPr>
          <w:trHeight w:val="20"/>
        </w:trPr>
        <w:tc>
          <w:tcPr>
            <w:tcW w:w="3687" w:type="dxa"/>
            <w:tcBorders>
              <w:top w:val="nil"/>
              <w:left w:val="nil"/>
              <w:bottom w:val="nil"/>
              <w:right w:val="nil"/>
            </w:tcBorders>
          </w:tcPr>
          <w:p w14:paraId="2F77DE51" w14:textId="77777777" w:rsidR="00CA039A" w:rsidRPr="007115F2" w:rsidRDefault="00CA039A" w:rsidP="00CA039A">
            <w:pPr>
              <w:widowControl w:val="0"/>
              <w:autoSpaceDE w:val="0"/>
              <w:autoSpaceDN w:val="0"/>
              <w:adjustRightInd w:val="0"/>
              <w:spacing w:line="240" w:lineRule="auto"/>
              <w:rPr>
                <w:b/>
                <w:bCs/>
                <w:color w:val="000000" w:themeColor="text1"/>
                <w:sz w:val="22"/>
                <w:lang w:val="en-US"/>
              </w:rPr>
            </w:pPr>
            <w:r w:rsidRPr="007E6AC7">
              <w:rPr>
                <w:color w:val="000000" w:themeColor="text1"/>
                <w:sz w:val="22"/>
                <w:lang w:val="en-US"/>
              </w:rPr>
              <w:t xml:space="preserve">  </w:t>
            </w:r>
          </w:p>
        </w:tc>
        <w:tc>
          <w:tcPr>
            <w:tcW w:w="1488" w:type="dxa"/>
            <w:tcBorders>
              <w:top w:val="nil"/>
              <w:left w:val="nil"/>
              <w:bottom w:val="nil"/>
              <w:right w:val="nil"/>
            </w:tcBorders>
          </w:tcPr>
          <w:p w14:paraId="24989D7F" w14:textId="77777777"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p>
        </w:tc>
        <w:tc>
          <w:tcPr>
            <w:tcW w:w="1488" w:type="dxa"/>
            <w:tcBorders>
              <w:top w:val="nil"/>
              <w:left w:val="nil"/>
              <w:bottom w:val="nil"/>
              <w:right w:val="nil"/>
            </w:tcBorders>
          </w:tcPr>
          <w:p w14:paraId="0DDEE356" w14:textId="77777777"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p>
        </w:tc>
        <w:tc>
          <w:tcPr>
            <w:tcW w:w="1488" w:type="dxa"/>
            <w:tcBorders>
              <w:top w:val="nil"/>
              <w:left w:val="nil"/>
              <w:bottom w:val="nil"/>
              <w:right w:val="nil"/>
            </w:tcBorders>
          </w:tcPr>
          <w:p w14:paraId="3AC417AF" w14:textId="6DB4BA84"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CE03DC">
              <w:rPr>
                <w:color w:val="000000" w:themeColor="text1"/>
                <w:sz w:val="22"/>
              </w:rPr>
              <w:t>(.938)</w:t>
            </w:r>
          </w:p>
        </w:tc>
        <w:tc>
          <w:tcPr>
            <w:tcW w:w="1489" w:type="dxa"/>
            <w:tcBorders>
              <w:top w:val="nil"/>
              <w:left w:val="nil"/>
              <w:bottom w:val="nil"/>
              <w:right w:val="nil"/>
            </w:tcBorders>
          </w:tcPr>
          <w:p w14:paraId="0FCD6C52" w14:textId="279C07FF"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CE03DC">
              <w:rPr>
                <w:color w:val="000000" w:themeColor="text1"/>
                <w:sz w:val="22"/>
              </w:rPr>
              <w:t>(.228)</w:t>
            </w:r>
          </w:p>
        </w:tc>
      </w:tr>
      <w:tr w:rsidR="00CA039A" w:rsidRPr="007115F2" w14:paraId="09EF21CB" w14:textId="77777777" w:rsidTr="00B6286E">
        <w:trPr>
          <w:trHeight w:val="20"/>
        </w:trPr>
        <w:tc>
          <w:tcPr>
            <w:tcW w:w="3687" w:type="dxa"/>
            <w:tcBorders>
              <w:top w:val="nil"/>
              <w:left w:val="nil"/>
              <w:bottom w:val="nil"/>
              <w:right w:val="nil"/>
            </w:tcBorders>
          </w:tcPr>
          <w:p w14:paraId="67208AE7"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deal_market_culture_abs</w:t>
            </w:r>
          </w:p>
        </w:tc>
        <w:tc>
          <w:tcPr>
            <w:tcW w:w="1488" w:type="dxa"/>
            <w:tcBorders>
              <w:top w:val="nil"/>
              <w:left w:val="nil"/>
              <w:bottom w:val="nil"/>
              <w:right w:val="nil"/>
            </w:tcBorders>
          </w:tcPr>
          <w:p w14:paraId="667DB3C1" w14:textId="7777777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c>
          <w:tcPr>
            <w:tcW w:w="1488" w:type="dxa"/>
            <w:tcBorders>
              <w:top w:val="nil"/>
              <w:left w:val="nil"/>
              <w:bottom w:val="nil"/>
              <w:right w:val="nil"/>
            </w:tcBorders>
          </w:tcPr>
          <w:p w14:paraId="7F65EC45" w14:textId="7777777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c>
          <w:tcPr>
            <w:tcW w:w="1488" w:type="dxa"/>
            <w:tcBorders>
              <w:top w:val="nil"/>
              <w:left w:val="nil"/>
              <w:bottom w:val="nil"/>
              <w:right w:val="nil"/>
            </w:tcBorders>
          </w:tcPr>
          <w:p w14:paraId="04260842" w14:textId="27EB9290"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-.254</w:t>
            </w:r>
          </w:p>
        </w:tc>
        <w:tc>
          <w:tcPr>
            <w:tcW w:w="1489" w:type="dxa"/>
            <w:tcBorders>
              <w:top w:val="nil"/>
              <w:left w:val="nil"/>
              <w:bottom w:val="nil"/>
              <w:right w:val="nil"/>
            </w:tcBorders>
          </w:tcPr>
          <w:p w14:paraId="421782C0" w14:textId="3EE578AD"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-.424**</w:t>
            </w:r>
          </w:p>
        </w:tc>
      </w:tr>
      <w:tr w:rsidR="00CA039A" w:rsidRPr="007115F2" w14:paraId="201B9527" w14:textId="77777777" w:rsidTr="00B6286E">
        <w:trPr>
          <w:trHeight w:val="20"/>
        </w:trPr>
        <w:tc>
          <w:tcPr>
            <w:tcW w:w="3687" w:type="dxa"/>
            <w:tcBorders>
              <w:top w:val="nil"/>
              <w:left w:val="nil"/>
              <w:bottom w:val="nil"/>
              <w:right w:val="nil"/>
            </w:tcBorders>
          </w:tcPr>
          <w:p w14:paraId="35F00CA3"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w:t>
            </w:r>
          </w:p>
        </w:tc>
        <w:tc>
          <w:tcPr>
            <w:tcW w:w="1488" w:type="dxa"/>
            <w:tcBorders>
              <w:top w:val="nil"/>
              <w:left w:val="nil"/>
              <w:bottom w:val="nil"/>
              <w:right w:val="nil"/>
            </w:tcBorders>
          </w:tcPr>
          <w:p w14:paraId="5521A347" w14:textId="7777777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c>
          <w:tcPr>
            <w:tcW w:w="1488" w:type="dxa"/>
            <w:tcBorders>
              <w:top w:val="nil"/>
              <w:left w:val="nil"/>
              <w:bottom w:val="nil"/>
              <w:right w:val="nil"/>
            </w:tcBorders>
          </w:tcPr>
          <w:p w14:paraId="0681C160" w14:textId="7777777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c>
          <w:tcPr>
            <w:tcW w:w="1488" w:type="dxa"/>
            <w:tcBorders>
              <w:top w:val="nil"/>
              <w:left w:val="nil"/>
              <w:bottom w:val="nil"/>
              <w:right w:val="nil"/>
            </w:tcBorders>
          </w:tcPr>
          <w:p w14:paraId="3AE4268A" w14:textId="04534CDC"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(-1.014)</w:t>
            </w:r>
          </w:p>
        </w:tc>
        <w:tc>
          <w:tcPr>
            <w:tcW w:w="1489" w:type="dxa"/>
            <w:tcBorders>
              <w:top w:val="nil"/>
              <w:left w:val="nil"/>
              <w:bottom w:val="nil"/>
              <w:right w:val="nil"/>
            </w:tcBorders>
          </w:tcPr>
          <w:p w14:paraId="5DA74B7B" w14:textId="580B6315"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(-2.682)</w:t>
            </w:r>
          </w:p>
        </w:tc>
      </w:tr>
      <w:tr w:rsidR="00CA039A" w:rsidRPr="007115F2" w14:paraId="58414775" w14:textId="77777777" w:rsidTr="00B6286E">
        <w:trPr>
          <w:trHeight w:val="20"/>
        </w:trPr>
        <w:tc>
          <w:tcPr>
            <w:tcW w:w="3687" w:type="dxa"/>
            <w:tcBorders>
              <w:top w:val="nil"/>
              <w:left w:val="nil"/>
              <w:bottom w:val="nil"/>
              <w:right w:val="nil"/>
            </w:tcBorders>
          </w:tcPr>
          <w:p w14:paraId="5D35C631"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deal_hierarchy_culture_abs</w:t>
            </w:r>
          </w:p>
        </w:tc>
        <w:tc>
          <w:tcPr>
            <w:tcW w:w="1488" w:type="dxa"/>
            <w:tcBorders>
              <w:top w:val="nil"/>
              <w:left w:val="nil"/>
              <w:bottom w:val="nil"/>
              <w:right w:val="nil"/>
            </w:tcBorders>
          </w:tcPr>
          <w:p w14:paraId="73013B83" w14:textId="7777777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c>
          <w:tcPr>
            <w:tcW w:w="1488" w:type="dxa"/>
            <w:tcBorders>
              <w:top w:val="nil"/>
              <w:left w:val="nil"/>
              <w:bottom w:val="nil"/>
              <w:right w:val="nil"/>
            </w:tcBorders>
          </w:tcPr>
          <w:p w14:paraId="1154F825" w14:textId="7777777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c>
          <w:tcPr>
            <w:tcW w:w="1488" w:type="dxa"/>
            <w:tcBorders>
              <w:top w:val="nil"/>
              <w:left w:val="nil"/>
              <w:bottom w:val="nil"/>
              <w:right w:val="nil"/>
            </w:tcBorders>
          </w:tcPr>
          <w:p w14:paraId="03C0581F" w14:textId="47E504C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-.482</w:t>
            </w:r>
          </w:p>
        </w:tc>
        <w:tc>
          <w:tcPr>
            <w:tcW w:w="1489" w:type="dxa"/>
            <w:tcBorders>
              <w:top w:val="nil"/>
              <w:left w:val="nil"/>
              <w:bottom w:val="nil"/>
              <w:right w:val="nil"/>
            </w:tcBorders>
          </w:tcPr>
          <w:p w14:paraId="050144FA" w14:textId="54A1AA35"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-.251</w:t>
            </w:r>
          </w:p>
        </w:tc>
      </w:tr>
      <w:tr w:rsidR="00CA039A" w:rsidRPr="007115F2" w14:paraId="3A2596DB" w14:textId="77777777" w:rsidTr="00B6286E">
        <w:trPr>
          <w:trHeight w:val="20"/>
        </w:trPr>
        <w:tc>
          <w:tcPr>
            <w:tcW w:w="3687" w:type="dxa"/>
            <w:tcBorders>
              <w:top w:val="nil"/>
              <w:left w:val="nil"/>
              <w:bottom w:val="nil"/>
              <w:right w:val="nil"/>
            </w:tcBorders>
          </w:tcPr>
          <w:p w14:paraId="5B5F2F11"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w:t>
            </w:r>
          </w:p>
        </w:tc>
        <w:tc>
          <w:tcPr>
            <w:tcW w:w="1488" w:type="dxa"/>
            <w:tcBorders>
              <w:top w:val="nil"/>
              <w:left w:val="nil"/>
              <w:bottom w:val="nil"/>
              <w:right w:val="nil"/>
            </w:tcBorders>
          </w:tcPr>
          <w:p w14:paraId="6D9D77AA" w14:textId="7777777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c>
          <w:tcPr>
            <w:tcW w:w="1488" w:type="dxa"/>
            <w:tcBorders>
              <w:top w:val="nil"/>
              <w:left w:val="nil"/>
              <w:bottom w:val="nil"/>
              <w:right w:val="nil"/>
            </w:tcBorders>
          </w:tcPr>
          <w:p w14:paraId="4D04A274" w14:textId="7777777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p>
        </w:tc>
        <w:tc>
          <w:tcPr>
            <w:tcW w:w="1488" w:type="dxa"/>
            <w:tcBorders>
              <w:top w:val="nil"/>
              <w:left w:val="nil"/>
              <w:bottom w:val="nil"/>
              <w:right w:val="nil"/>
            </w:tcBorders>
          </w:tcPr>
          <w:p w14:paraId="45D912FC" w14:textId="590BA2AC"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(-1.464)</w:t>
            </w:r>
          </w:p>
        </w:tc>
        <w:tc>
          <w:tcPr>
            <w:tcW w:w="1489" w:type="dxa"/>
            <w:tcBorders>
              <w:top w:val="nil"/>
              <w:left w:val="nil"/>
              <w:bottom w:val="nil"/>
              <w:right w:val="nil"/>
            </w:tcBorders>
          </w:tcPr>
          <w:p w14:paraId="33BA1508" w14:textId="13302D3B"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(-1.370)</w:t>
            </w:r>
          </w:p>
        </w:tc>
      </w:tr>
      <w:tr w:rsidR="00CA039A" w:rsidRPr="007115F2" w14:paraId="1CA29AEE" w14:textId="77777777" w:rsidTr="00B6286E">
        <w:trPr>
          <w:trHeight w:val="20"/>
        </w:trPr>
        <w:tc>
          <w:tcPr>
            <w:tcW w:w="3687" w:type="dxa"/>
            <w:tcBorders>
              <w:top w:val="nil"/>
              <w:left w:val="nil"/>
              <w:bottom w:val="nil"/>
              <w:right w:val="nil"/>
            </w:tcBorders>
          </w:tcPr>
          <w:p w14:paraId="4F192E1E" w14:textId="77777777" w:rsidR="00CA039A" w:rsidRPr="007115F2" w:rsidRDefault="00CA039A" w:rsidP="00CA039A">
            <w:pPr>
              <w:widowControl w:val="0"/>
              <w:autoSpaceDE w:val="0"/>
              <w:autoSpaceDN w:val="0"/>
              <w:adjustRightInd w:val="0"/>
              <w:spacing w:line="240" w:lineRule="auto"/>
              <w:rPr>
                <w:b/>
                <w:bCs/>
                <w:color w:val="000000" w:themeColor="text1"/>
                <w:sz w:val="22"/>
                <w:lang w:val="en-US"/>
              </w:rPr>
            </w:pPr>
            <w:r w:rsidRPr="007E6AC7">
              <w:rPr>
                <w:color w:val="000000" w:themeColor="text1"/>
                <w:sz w:val="22"/>
                <w:lang w:val="en-US"/>
              </w:rPr>
              <w:t xml:space="preserve"> deal_value_ln</w:t>
            </w:r>
          </w:p>
        </w:tc>
        <w:tc>
          <w:tcPr>
            <w:tcW w:w="1488" w:type="dxa"/>
            <w:tcBorders>
              <w:top w:val="nil"/>
              <w:left w:val="nil"/>
              <w:bottom w:val="nil"/>
              <w:right w:val="nil"/>
            </w:tcBorders>
          </w:tcPr>
          <w:p w14:paraId="140B1795" w14:textId="5C797190"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CE03DC">
              <w:rPr>
                <w:color w:val="000000" w:themeColor="text1"/>
                <w:sz w:val="22"/>
              </w:rPr>
              <w:t>-.037</w:t>
            </w:r>
          </w:p>
        </w:tc>
        <w:tc>
          <w:tcPr>
            <w:tcW w:w="1488" w:type="dxa"/>
            <w:tcBorders>
              <w:top w:val="nil"/>
              <w:left w:val="nil"/>
              <w:bottom w:val="nil"/>
              <w:right w:val="nil"/>
            </w:tcBorders>
          </w:tcPr>
          <w:p w14:paraId="08946B13" w14:textId="25677C13"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CE03DC">
              <w:rPr>
                <w:color w:val="000000" w:themeColor="text1"/>
                <w:sz w:val="22"/>
              </w:rPr>
              <w:t>-.017</w:t>
            </w:r>
          </w:p>
        </w:tc>
        <w:tc>
          <w:tcPr>
            <w:tcW w:w="1488" w:type="dxa"/>
            <w:tcBorders>
              <w:top w:val="nil"/>
              <w:left w:val="nil"/>
              <w:bottom w:val="nil"/>
              <w:right w:val="nil"/>
            </w:tcBorders>
          </w:tcPr>
          <w:p w14:paraId="40DC775E" w14:textId="0B35464C"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CE03DC">
              <w:rPr>
                <w:color w:val="000000" w:themeColor="text1"/>
                <w:sz w:val="22"/>
              </w:rPr>
              <w:t>-.041</w:t>
            </w:r>
          </w:p>
        </w:tc>
        <w:tc>
          <w:tcPr>
            <w:tcW w:w="1489" w:type="dxa"/>
            <w:tcBorders>
              <w:top w:val="nil"/>
              <w:left w:val="nil"/>
              <w:bottom w:val="nil"/>
              <w:right w:val="nil"/>
            </w:tcBorders>
          </w:tcPr>
          <w:p w14:paraId="64DC2537" w14:textId="61521373"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CE03DC">
              <w:rPr>
                <w:color w:val="000000" w:themeColor="text1"/>
                <w:sz w:val="22"/>
              </w:rPr>
              <w:t>-.015</w:t>
            </w:r>
          </w:p>
        </w:tc>
      </w:tr>
      <w:tr w:rsidR="00CA039A" w:rsidRPr="007115F2" w14:paraId="3622F869" w14:textId="77777777" w:rsidTr="00B6286E">
        <w:trPr>
          <w:trHeight w:val="20"/>
        </w:trPr>
        <w:tc>
          <w:tcPr>
            <w:tcW w:w="3687" w:type="dxa"/>
            <w:tcBorders>
              <w:top w:val="nil"/>
              <w:left w:val="nil"/>
              <w:bottom w:val="nil"/>
              <w:right w:val="nil"/>
            </w:tcBorders>
          </w:tcPr>
          <w:p w14:paraId="251E6AEA"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w:t>
            </w:r>
          </w:p>
        </w:tc>
        <w:tc>
          <w:tcPr>
            <w:tcW w:w="1488" w:type="dxa"/>
            <w:tcBorders>
              <w:top w:val="nil"/>
              <w:left w:val="nil"/>
              <w:bottom w:val="nil"/>
              <w:right w:val="nil"/>
            </w:tcBorders>
          </w:tcPr>
          <w:p w14:paraId="1AF84D4E" w14:textId="1A716D88"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(-1.052)</w:t>
            </w:r>
          </w:p>
        </w:tc>
        <w:tc>
          <w:tcPr>
            <w:tcW w:w="1488" w:type="dxa"/>
            <w:tcBorders>
              <w:top w:val="nil"/>
              <w:left w:val="nil"/>
              <w:bottom w:val="nil"/>
              <w:right w:val="nil"/>
            </w:tcBorders>
          </w:tcPr>
          <w:p w14:paraId="42BA68F3" w14:textId="32DDA6D6"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(-.716)</w:t>
            </w:r>
          </w:p>
        </w:tc>
        <w:tc>
          <w:tcPr>
            <w:tcW w:w="1488" w:type="dxa"/>
            <w:tcBorders>
              <w:top w:val="nil"/>
              <w:left w:val="nil"/>
              <w:bottom w:val="nil"/>
              <w:right w:val="nil"/>
            </w:tcBorders>
          </w:tcPr>
          <w:p w14:paraId="0459144A" w14:textId="0F56E40F"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(-1.094)</w:t>
            </w:r>
          </w:p>
        </w:tc>
        <w:tc>
          <w:tcPr>
            <w:tcW w:w="1489" w:type="dxa"/>
            <w:tcBorders>
              <w:top w:val="nil"/>
              <w:left w:val="nil"/>
              <w:bottom w:val="nil"/>
              <w:right w:val="nil"/>
            </w:tcBorders>
          </w:tcPr>
          <w:p w14:paraId="686BFE79" w14:textId="7692B2B2"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(-.646)</w:t>
            </w:r>
          </w:p>
        </w:tc>
      </w:tr>
      <w:tr w:rsidR="00CA039A" w:rsidRPr="007115F2" w14:paraId="5934B461" w14:textId="77777777" w:rsidTr="00B6286E">
        <w:trPr>
          <w:trHeight w:val="20"/>
        </w:trPr>
        <w:tc>
          <w:tcPr>
            <w:tcW w:w="3687" w:type="dxa"/>
            <w:tcBorders>
              <w:top w:val="nil"/>
              <w:left w:val="nil"/>
              <w:bottom w:val="nil"/>
              <w:right w:val="nil"/>
            </w:tcBorders>
          </w:tcPr>
          <w:p w14:paraId="76A0B194"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deal_hofstede_distance</w:t>
            </w:r>
          </w:p>
        </w:tc>
        <w:tc>
          <w:tcPr>
            <w:tcW w:w="1488" w:type="dxa"/>
            <w:tcBorders>
              <w:top w:val="nil"/>
              <w:left w:val="nil"/>
              <w:bottom w:val="nil"/>
              <w:right w:val="nil"/>
            </w:tcBorders>
          </w:tcPr>
          <w:p w14:paraId="0DC96804" w14:textId="0F9DA113"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-.065</w:t>
            </w:r>
          </w:p>
        </w:tc>
        <w:tc>
          <w:tcPr>
            <w:tcW w:w="1488" w:type="dxa"/>
            <w:tcBorders>
              <w:top w:val="nil"/>
              <w:left w:val="nil"/>
              <w:bottom w:val="nil"/>
              <w:right w:val="nil"/>
            </w:tcBorders>
          </w:tcPr>
          <w:p w14:paraId="02A80EA4" w14:textId="7E6EF3D3"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-.152</w:t>
            </w:r>
          </w:p>
        </w:tc>
        <w:tc>
          <w:tcPr>
            <w:tcW w:w="1488" w:type="dxa"/>
            <w:tcBorders>
              <w:top w:val="nil"/>
              <w:left w:val="nil"/>
              <w:bottom w:val="nil"/>
              <w:right w:val="nil"/>
            </w:tcBorders>
          </w:tcPr>
          <w:p w14:paraId="04464B00" w14:textId="12A8F359"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-.128</w:t>
            </w:r>
          </w:p>
        </w:tc>
        <w:tc>
          <w:tcPr>
            <w:tcW w:w="1489" w:type="dxa"/>
            <w:tcBorders>
              <w:top w:val="nil"/>
              <w:left w:val="nil"/>
              <w:bottom w:val="nil"/>
              <w:right w:val="nil"/>
            </w:tcBorders>
          </w:tcPr>
          <w:p w14:paraId="17B7F2EE" w14:textId="7FBD159A"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-.157</w:t>
            </w:r>
          </w:p>
        </w:tc>
      </w:tr>
      <w:tr w:rsidR="00CA039A" w:rsidRPr="007115F2" w14:paraId="06A0E04A" w14:textId="77777777" w:rsidTr="00B6286E">
        <w:trPr>
          <w:trHeight w:val="20"/>
        </w:trPr>
        <w:tc>
          <w:tcPr>
            <w:tcW w:w="3687" w:type="dxa"/>
            <w:tcBorders>
              <w:top w:val="nil"/>
              <w:left w:val="nil"/>
              <w:bottom w:val="nil"/>
              <w:right w:val="nil"/>
            </w:tcBorders>
          </w:tcPr>
          <w:p w14:paraId="55F8D7F9"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w:t>
            </w:r>
          </w:p>
        </w:tc>
        <w:tc>
          <w:tcPr>
            <w:tcW w:w="1488" w:type="dxa"/>
            <w:tcBorders>
              <w:top w:val="nil"/>
              <w:left w:val="nil"/>
              <w:bottom w:val="nil"/>
              <w:right w:val="nil"/>
            </w:tcBorders>
          </w:tcPr>
          <w:p w14:paraId="46824ED0" w14:textId="617280AC"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(-.305)</w:t>
            </w:r>
          </w:p>
        </w:tc>
        <w:tc>
          <w:tcPr>
            <w:tcW w:w="1488" w:type="dxa"/>
            <w:tcBorders>
              <w:top w:val="nil"/>
              <w:left w:val="nil"/>
              <w:bottom w:val="nil"/>
              <w:right w:val="nil"/>
            </w:tcBorders>
          </w:tcPr>
          <w:p w14:paraId="101655DC" w14:textId="3EFA4551"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(-.657)</w:t>
            </w:r>
          </w:p>
        </w:tc>
        <w:tc>
          <w:tcPr>
            <w:tcW w:w="1488" w:type="dxa"/>
            <w:tcBorders>
              <w:top w:val="nil"/>
              <w:left w:val="nil"/>
              <w:bottom w:val="nil"/>
              <w:right w:val="nil"/>
            </w:tcBorders>
          </w:tcPr>
          <w:p w14:paraId="43E899A9" w14:textId="5A864B36"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(-.574)</w:t>
            </w:r>
          </w:p>
        </w:tc>
        <w:tc>
          <w:tcPr>
            <w:tcW w:w="1489" w:type="dxa"/>
            <w:tcBorders>
              <w:top w:val="nil"/>
              <w:left w:val="nil"/>
              <w:bottom w:val="nil"/>
              <w:right w:val="nil"/>
            </w:tcBorders>
          </w:tcPr>
          <w:p w14:paraId="4D5BBFD6" w14:textId="3AC010A5"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(-.655)</w:t>
            </w:r>
          </w:p>
        </w:tc>
      </w:tr>
      <w:tr w:rsidR="00CA039A" w:rsidRPr="007115F2" w14:paraId="1B0A6FDF" w14:textId="77777777" w:rsidTr="00B6286E">
        <w:trPr>
          <w:trHeight w:val="20"/>
        </w:trPr>
        <w:tc>
          <w:tcPr>
            <w:tcW w:w="3687" w:type="dxa"/>
            <w:tcBorders>
              <w:top w:val="nil"/>
              <w:left w:val="nil"/>
              <w:bottom w:val="nil"/>
              <w:right w:val="nil"/>
            </w:tcBorders>
          </w:tcPr>
          <w:p w14:paraId="64C919DF"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deal_all_cash_dummy</w:t>
            </w:r>
          </w:p>
        </w:tc>
        <w:tc>
          <w:tcPr>
            <w:tcW w:w="1488" w:type="dxa"/>
            <w:tcBorders>
              <w:top w:val="nil"/>
              <w:left w:val="nil"/>
              <w:bottom w:val="nil"/>
              <w:right w:val="nil"/>
            </w:tcBorders>
          </w:tcPr>
          <w:p w14:paraId="11F2798C" w14:textId="6490EBBF"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-.019</w:t>
            </w:r>
          </w:p>
        </w:tc>
        <w:tc>
          <w:tcPr>
            <w:tcW w:w="1488" w:type="dxa"/>
            <w:tcBorders>
              <w:top w:val="nil"/>
              <w:left w:val="nil"/>
              <w:bottom w:val="nil"/>
              <w:right w:val="nil"/>
            </w:tcBorders>
          </w:tcPr>
          <w:p w14:paraId="1E2DBB2A" w14:textId="6AB16BBD"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-.069**</w:t>
            </w:r>
          </w:p>
        </w:tc>
        <w:tc>
          <w:tcPr>
            <w:tcW w:w="1488" w:type="dxa"/>
            <w:tcBorders>
              <w:top w:val="nil"/>
              <w:left w:val="nil"/>
              <w:bottom w:val="nil"/>
              <w:right w:val="nil"/>
            </w:tcBorders>
          </w:tcPr>
          <w:p w14:paraId="5B7202C9" w14:textId="2EF11C41"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-.020</w:t>
            </w:r>
          </w:p>
        </w:tc>
        <w:tc>
          <w:tcPr>
            <w:tcW w:w="1489" w:type="dxa"/>
            <w:tcBorders>
              <w:top w:val="nil"/>
              <w:left w:val="nil"/>
              <w:bottom w:val="nil"/>
              <w:right w:val="nil"/>
            </w:tcBorders>
          </w:tcPr>
          <w:p w14:paraId="3FE1D2A1" w14:textId="0DA10BDA"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-.072*</w:t>
            </w:r>
          </w:p>
        </w:tc>
      </w:tr>
      <w:tr w:rsidR="00CA039A" w:rsidRPr="007115F2" w14:paraId="04B20BE4" w14:textId="77777777" w:rsidTr="00B6286E">
        <w:trPr>
          <w:trHeight w:val="20"/>
        </w:trPr>
        <w:tc>
          <w:tcPr>
            <w:tcW w:w="3687" w:type="dxa"/>
            <w:tcBorders>
              <w:top w:val="nil"/>
              <w:left w:val="nil"/>
              <w:bottom w:val="nil"/>
              <w:right w:val="nil"/>
            </w:tcBorders>
          </w:tcPr>
          <w:p w14:paraId="7A728CC3"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w:t>
            </w:r>
          </w:p>
        </w:tc>
        <w:tc>
          <w:tcPr>
            <w:tcW w:w="1488" w:type="dxa"/>
            <w:tcBorders>
              <w:top w:val="nil"/>
              <w:left w:val="nil"/>
              <w:bottom w:val="nil"/>
              <w:right w:val="nil"/>
            </w:tcBorders>
          </w:tcPr>
          <w:p w14:paraId="178F0203" w14:textId="034BEAFD"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(-.360)</w:t>
            </w:r>
          </w:p>
        </w:tc>
        <w:tc>
          <w:tcPr>
            <w:tcW w:w="1488" w:type="dxa"/>
            <w:tcBorders>
              <w:top w:val="nil"/>
              <w:left w:val="nil"/>
              <w:bottom w:val="nil"/>
              <w:right w:val="nil"/>
            </w:tcBorders>
          </w:tcPr>
          <w:p w14:paraId="644CF997" w14:textId="390F604B"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(-2.042)</w:t>
            </w:r>
          </w:p>
        </w:tc>
        <w:tc>
          <w:tcPr>
            <w:tcW w:w="1488" w:type="dxa"/>
            <w:tcBorders>
              <w:top w:val="nil"/>
              <w:left w:val="nil"/>
              <w:bottom w:val="nil"/>
              <w:right w:val="nil"/>
            </w:tcBorders>
          </w:tcPr>
          <w:p w14:paraId="78100126" w14:textId="4D24390D"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(-.394)</w:t>
            </w:r>
          </w:p>
        </w:tc>
        <w:tc>
          <w:tcPr>
            <w:tcW w:w="1489" w:type="dxa"/>
            <w:tcBorders>
              <w:top w:val="nil"/>
              <w:left w:val="nil"/>
              <w:bottom w:val="nil"/>
              <w:right w:val="nil"/>
            </w:tcBorders>
          </w:tcPr>
          <w:p w14:paraId="19091335" w14:textId="7A194E6B"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(-1.968)</w:t>
            </w:r>
          </w:p>
        </w:tc>
      </w:tr>
      <w:tr w:rsidR="00CA039A" w:rsidRPr="007115F2" w14:paraId="6C062769" w14:textId="77777777" w:rsidTr="00B6286E">
        <w:trPr>
          <w:trHeight w:val="20"/>
        </w:trPr>
        <w:tc>
          <w:tcPr>
            <w:tcW w:w="3687" w:type="dxa"/>
            <w:tcBorders>
              <w:top w:val="nil"/>
              <w:left w:val="nil"/>
              <w:bottom w:val="nil"/>
              <w:right w:val="nil"/>
            </w:tcBorders>
          </w:tcPr>
          <w:p w14:paraId="3D7ECA33"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deal_all_stock_dummy</w:t>
            </w:r>
          </w:p>
        </w:tc>
        <w:tc>
          <w:tcPr>
            <w:tcW w:w="1488" w:type="dxa"/>
            <w:tcBorders>
              <w:top w:val="nil"/>
              <w:left w:val="nil"/>
              <w:bottom w:val="nil"/>
              <w:right w:val="nil"/>
            </w:tcBorders>
          </w:tcPr>
          <w:p w14:paraId="441FCBFC" w14:textId="01DF2ABC"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.009</w:t>
            </w:r>
          </w:p>
        </w:tc>
        <w:tc>
          <w:tcPr>
            <w:tcW w:w="1488" w:type="dxa"/>
            <w:tcBorders>
              <w:top w:val="nil"/>
              <w:left w:val="nil"/>
              <w:bottom w:val="nil"/>
              <w:right w:val="nil"/>
            </w:tcBorders>
          </w:tcPr>
          <w:p w14:paraId="12E16B00" w14:textId="1A3D9BC5"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-.010</w:t>
            </w:r>
          </w:p>
        </w:tc>
        <w:tc>
          <w:tcPr>
            <w:tcW w:w="1488" w:type="dxa"/>
            <w:tcBorders>
              <w:top w:val="nil"/>
              <w:left w:val="nil"/>
              <w:bottom w:val="nil"/>
              <w:right w:val="nil"/>
            </w:tcBorders>
          </w:tcPr>
          <w:p w14:paraId="6CD29A6A" w14:textId="7BD93AF0"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.006</w:t>
            </w:r>
          </w:p>
        </w:tc>
        <w:tc>
          <w:tcPr>
            <w:tcW w:w="1489" w:type="dxa"/>
            <w:tcBorders>
              <w:top w:val="nil"/>
              <w:left w:val="nil"/>
              <w:bottom w:val="nil"/>
              <w:right w:val="nil"/>
            </w:tcBorders>
          </w:tcPr>
          <w:p w14:paraId="667AD648" w14:textId="20F3757A"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-.008</w:t>
            </w:r>
          </w:p>
        </w:tc>
      </w:tr>
      <w:tr w:rsidR="00CA039A" w:rsidRPr="007115F2" w14:paraId="4872AAC8" w14:textId="77777777" w:rsidTr="00B6286E">
        <w:trPr>
          <w:trHeight w:val="20"/>
        </w:trPr>
        <w:tc>
          <w:tcPr>
            <w:tcW w:w="3687" w:type="dxa"/>
            <w:tcBorders>
              <w:top w:val="nil"/>
              <w:left w:val="nil"/>
              <w:bottom w:val="nil"/>
              <w:right w:val="nil"/>
            </w:tcBorders>
          </w:tcPr>
          <w:p w14:paraId="4322DC08" w14:textId="77777777" w:rsidR="00CA039A" w:rsidRPr="007115F2" w:rsidRDefault="00CA039A" w:rsidP="00CA039A">
            <w:pPr>
              <w:widowControl w:val="0"/>
              <w:autoSpaceDE w:val="0"/>
              <w:autoSpaceDN w:val="0"/>
              <w:adjustRightInd w:val="0"/>
              <w:spacing w:line="240" w:lineRule="auto"/>
              <w:rPr>
                <w:b/>
                <w:bCs/>
                <w:color w:val="000000" w:themeColor="text1"/>
                <w:sz w:val="22"/>
                <w:lang w:val="en-US"/>
              </w:rPr>
            </w:pPr>
            <w:r w:rsidRPr="007E6AC7">
              <w:rPr>
                <w:color w:val="000000" w:themeColor="text1"/>
                <w:sz w:val="22"/>
                <w:lang w:val="en-US"/>
              </w:rPr>
              <w:t xml:space="preserve">  </w:t>
            </w:r>
          </w:p>
        </w:tc>
        <w:tc>
          <w:tcPr>
            <w:tcW w:w="1488" w:type="dxa"/>
            <w:tcBorders>
              <w:top w:val="nil"/>
              <w:left w:val="nil"/>
              <w:bottom w:val="nil"/>
              <w:right w:val="nil"/>
            </w:tcBorders>
          </w:tcPr>
          <w:p w14:paraId="2B600689" w14:textId="7A7D9E81"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CE03DC">
              <w:rPr>
                <w:color w:val="000000" w:themeColor="text1"/>
                <w:sz w:val="22"/>
              </w:rPr>
              <w:t>(.071)</w:t>
            </w:r>
          </w:p>
        </w:tc>
        <w:tc>
          <w:tcPr>
            <w:tcW w:w="1488" w:type="dxa"/>
            <w:tcBorders>
              <w:top w:val="nil"/>
              <w:left w:val="nil"/>
              <w:bottom w:val="nil"/>
              <w:right w:val="nil"/>
            </w:tcBorders>
          </w:tcPr>
          <w:p w14:paraId="1DE77144" w14:textId="0F0C68FE"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CE03DC">
              <w:rPr>
                <w:color w:val="000000" w:themeColor="text1"/>
                <w:sz w:val="22"/>
              </w:rPr>
              <w:t>(-.131)</w:t>
            </w:r>
          </w:p>
        </w:tc>
        <w:tc>
          <w:tcPr>
            <w:tcW w:w="1488" w:type="dxa"/>
            <w:tcBorders>
              <w:top w:val="nil"/>
              <w:left w:val="nil"/>
              <w:bottom w:val="nil"/>
              <w:right w:val="nil"/>
            </w:tcBorders>
          </w:tcPr>
          <w:p w14:paraId="52F0F9B8" w14:textId="1731B501"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CE03DC">
              <w:rPr>
                <w:color w:val="000000" w:themeColor="text1"/>
                <w:sz w:val="22"/>
              </w:rPr>
              <w:t>(.046)</w:t>
            </w:r>
          </w:p>
        </w:tc>
        <w:tc>
          <w:tcPr>
            <w:tcW w:w="1489" w:type="dxa"/>
            <w:tcBorders>
              <w:top w:val="nil"/>
              <w:left w:val="nil"/>
              <w:bottom w:val="nil"/>
              <w:right w:val="nil"/>
            </w:tcBorders>
          </w:tcPr>
          <w:p w14:paraId="01A8F4A5" w14:textId="49996895"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CE03DC">
              <w:rPr>
                <w:color w:val="000000" w:themeColor="text1"/>
                <w:sz w:val="22"/>
              </w:rPr>
              <w:t>(-.105)</w:t>
            </w:r>
          </w:p>
        </w:tc>
      </w:tr>
      <w:tr w:rsidR="00CA039A" w:rsidRPr="007115F2" w14:paraId="33B472FB" w14:textId="77777777" w:rsidTr="00B6286E">
        <w:trPr>
          <w:trHeight w:val="20"/>
        </w:trPr>
        <w:tc>
          <w:tcPr>
            <w:tcW w:w="3687" w:type="dxa"/>
            <w:tcBorders>
              <w:top w:val="nil"/>
              <w:left w:val="nil"/>
              <w:bottom w:val="nil"/>
              <w:right w:val="nil"/>
            </w:tcBorders>
          </w:tcPr>
          <w:p w14:paraId="720E9C23"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deal_tenderoffer_dummy</w:t>
            </w:r>
          </w:p>
        </w:tc>
        <w:tc>
          <w:tcPr>
            <w:tcW w:w="1488" w:type="dxa"/>
            <w:tcBorders>
              <w:top w:val="nil"/>
              <w:left w:val="nil"/>
              <w:bottom w:val="nil"/>
              <w:right w:val="nil"/>
            </w:tcBorders>
          </w:tcPr>
          <w:p w14:paraId="3588D09E" w14:textId="50B735BA"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-.037</w:t>
            </w:r>
          </w:p>
        </w:tc>
        <w:tc>
          <w:tcPr>
            <w:tcW w:w="1488" w:type="dxa"/>
            <w:tcBorders>
              <w:top w:val="nil"/>
              <w:left w:val="nil"/>
              <w:bottom w:val="nil"/>
              <w:right w:val="nil"/>
            </w:tcBorders>
          </w:tcPr>
          <w:p w14:paraId="5CB8186F" w14:textId="2FBC5250"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.007</w:t>
            </w:r>
          </w:p>
        </w:tc>
        <w:tc>
          <w:tcPr>
            <w:tcW w:w="1488" w:type="dxa"/>
            <w:tcBorders>
              <w:top w:val="nil"/>
              <w:left w:val="nil"/>
              <w:bottom w:val="nil"/>
              <w:right w:val="nil"/>
            </w:tcBorders>
          </w:tcPr>
          <w:p w14:paraId="1D8E4EC4" w14:textId="50A25AA8"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-.043</w:t>
            </w:r>
          </w:p>
        </w:tc>
        <w:tc>
          <w:tcPr>
            <w:tcW w:w="1489" w:type="dxa"/>
            <w:tcBorders>
              <w:top w:val="nil"/>
              <w:left w:val="nil"/>
              <w:bottom w:val="nil"/>
              <w:right w:val="nil"/>
            </w:tcBorders>
          </w:tcPr>
          <w:p w14:paraId="77707304" w14:textId="6D6B849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.006</w:t>
            </w:r>
          </w:p>
        </w:tc>
      </w:tr>
      <w:tr w:rsidR="00CA039A" w:rsidRPr="007115F2" w14:paraId="43D5AC73" w14:textId="77777777" w:rsidTr="00B6286E">
        <w:trPr>
          <w:trHeight w:val="20"/>
        </w:trPr>
        <w:tc>
          <w:tcPr>
            <w:tcW w:w="3687" w:type="dxa"/>
            <w:tcBorders>
              <w:top w:val="nil"/>
              <w:left w:val="nil"/>
              <w:bottom w:val="nil"/>
              <w:right w:val="nil"/>
            </w:tcBorders>
          </w:tcPr>
          <w:p w14:paraId="2CABDFAD"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w:t>
            </w:r>
          </w:p>
        </w:tc>
        <w:tc>
          <w:tcPr>
            <w:tcW w:w="1488" w:type="dxa"/>
            <w:tcBorders>
              <w:top w:val="nil"/>
              <w:left w:val="nil"/>
              <w:bottom w:val="nil"/>
              <w:right w:val="nil"/>
            </w:tcBorders>
          </w:tcPr>
          <w:p w14:paraId="58B0B72E" w14:textId="023066F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(-.625)</w:t>
            </w:r>
          </w:p>
        </w:tc>
        <w:tc>
          <w:tcPr>
            <w:tcW w:w="1488" w:type="dxa"/>
            <w:tcBorders>
              <w:top w:val="nil"/>
              <w:left w:val="nil"/>
              <w:bottom w:val="nil"/>
              <w:right w:val="nil"/>
            </w:tcBorders>
          </w:tcPr>
          <w:p w14:paraId="0E70368E" w14:textId="6A99740E"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(.188)</w:t>
            </w:r>
          </w:p>
        </w:tc>
        <w:tc>
          <w:tcPr>
            <w:tcW w:w="1488" w:type="dxa"/>
            <w:tcBorders>
              <w:top w:val="nil"/>
              <w:left w:val="nil"/>
              <w:bottom w:val="nil"/>
              <w:right w:val="nil"/>
            </w:tcBorders>
          </w:tcPr>
          <w:p w14:paraId="01E9AD12" w14:textId="34A9A5BB"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(-.679)</w:t>
            </w:r>
          </w:p>
        </w:tc>
        <w:tc>
          <w:tcPr>
            <w:tcW w:w="1489" w:type="dxa"/>
            <w:tcBorders>
              <w:top w:val="nil"/>
              <w:left w:val="nil"/>
              <w:bottom w:val="nil"/>
              <w:right w:val="nil"/>
            </w:tcBorders>
          </w:tcPr>
          <w:p w14:paraId="7CA149F3" w14:textId="3BAB5E6A"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(.154)</w:t>
            </w:r>
          </w:p>
        </w:tc>
      </w:tr>
      <w:tr w:rsidR="00CA039A" w:rsidRPr="007115F2" w14:paraId="70B57E14" w14:textId="77777777" w:rsidTr="00B6286E">
        <w:trPr>
          <w:trHeight w:val="20"/>
        </w:trPr>
        <w:tc>
          <w:tcPr>
            <w:tcW w:w="3687" w:type="dxa"/>
            <w:tcBorders>
              <w:top w:val="nil"/>
              <w:left w:val="nil"/>
              <w:bottom w:val="nil"/>
              <w:right w:val="nil"/>
            </w:tcBorders>
          </w:tcPr>
          <w:p w14:paraId="77459728"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deal_friendly_dummy</w:t>
            </w:r>
          </w:p>
        </w:tc>
        <w:tc>
          <w:tcPr>
            <w:tcW w:w="1488" w:type="dxa"/>
            <w:tcBorders>
              <w:top w:val="nil"/>
              <w:left w:val="nil"/>
              <w:bottom w:val="nil"/>
              <w:right w:val="nil"/>
            </w:tcBorders>
          </w:tcPr>
          <w:p w14:paraId="43C4E280" w14:textId="3820451C"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.174*</w:t>
            </w:r>
          </w:p>
        </w:tc>
        <w:tc>
          <w:tcPr>
            <w:tcW w:w="1488" w:type="dxa"/>
            <w:tcBorders>
              <w:top w:val="nil"/>
              <w:left w:val="nil"/>
              <w:bottom w:val="nil"/>
              <w:right w:val="nil"/>
            </w:tcBorders>
          </w:tcPr>
          <w:p w14:paraId="733223D6" w14:textId="54CFAA79"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lang w:val="en-US"/>
              </w:rPr>
              <w:t>.000</w:t>
            </w:r>
          </w:p>
        </w:tc>
        <w:tc>
          <w:tcPr>
            <w:tcW w:w="1488" w:type="dxa"/>
            <w:tcBorders>
              <w:top w:val="nil"/>
              <w:left w:val="nil"/>
              <w:bottom w:val="nil"/>
              <w:right w:val="nil"/>
            </w:tcBorders>
          </w:tcPr>
          <w:p w14:paraId="6595B2B0" w14:textId="4B4B97A5"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.082</w:t>
            </w:r>
          </w:p>
        </w:tc>
        <w:tc>
          <w:tcPr>
            <w:tcW w:w="1489" w:type="dxa"/>
            <w:tcBorders>
              <w:top w:val="nil"/>
              <w:left w:val="nil"/>
              <w:bottom w:val="nil"/>
              <w:right w:val="nil"/>
            </w:tcBorders>
          </w:tcPr>
          <w:p w14:paraId="3AF50425" w14:textId="2188FF8E"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lang w:val="en-US"/>
              </w:rPr>
              <w:t>.000</w:t>
            </w:r>
          </w:p>
        </w:tc>
      </w:tr>
      <w:tr w:rsidR="00CA039A" w:rsidRPr="007115F2" w14:paraId="0749503D" w14:textId="77777777" w:rsidTr="00B6286E">
        <w:trPr>
          <w:trHeight w:val="20"/>
        </w:trPr>
        <w:tc>
          <w:tcPr>
            <w:tcW w:w="3687" w:type="dxa"/>
            <w:tcBorders>
              <w:top w:val="nil"/>
              <w:left w:val="nil"/>
              <w:bottom w:val="nil"/>
              <w:right w:val="nil"/>
            </w:tcBorders>
          </w:tcPr>
          <w:p w14:paraId="7DB2C491"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w:t>
            </w:r>
          </w:p>
        </w:tc>
        <w:tc>
          <w:tcPr>
            <w:tcW w:w="1488" w:type="dxa"/>
            <w:tcBorders>
              <w:top w:val="nil"/>
              <w:left w:val="nil"/>
              <w:bottom w:val="nil"/>
              <w:right w:val="nil"/>
            </w:tcBorders>
          </w:tcPr>
          <w:p w14:paraId="4E2BDFE4" w14:textId="3D7686B9"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(1.886)</w:t>
            </w:r>
          </w:p>
        </w:tc>
        <w:tc>
          <w:tcPr>
            <w:tcW w:w="1488" w:type="dxa"/>
            <w:tcBorders>
              <w:top w:val="nil"/>
              <w:left w:val="nil"/>
              <w:bottom w:val="nil"/>
              <w:right w:val="nil"/>
            </w:tcBorders>
          </w:tcPr>
          <w:p w14:paraId="0439195B" w14:textId="3C13F59A"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lang w:val="en-US"/>
              </w:rPr>
              <w:t>(.000)</w:t>
            </w:r>
          </w:p>
        </w:tc>
        <w:tc>
          <w:tcPr>
            <w:tcW w:w="1488" w:type="dxa"/>
            <w:tcBorders>
              <w:top w:val="nil"/>
              <w:left w:val="nil"/>
              <w:bottom w:val="nil"/>
              <w:right w:val="nil"/>
            </w:tcBorders>
          </w:tcPr>
          <w:p w14:paraId="1D8E5E46" w14:textId="7BF00959"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(.578)</w:t>
            </w:r>
          </w:p>
        </w:tc>
        <w:tc>
          <w:tcPr>
            <w:tcW w:w="1489" w:type="dxa"/>
            <w:tcBorders>
              <w:top w:val="nil"/>
              <w:left w:val="nil"/>
              <w:bottom w:val="nil"/>
              <w:right w:val="nil"/>
            </w:tcBorders>
          </w:tcPr>
          <w:p w14:paraId="79C36F54" w14:textId="184AF743"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lang w:val="en-US"/>
              </w:rPr>
              <w:t>(.000)</w:t>
            </w:r>
          </w:p>
        </w:tc>
      </w:tr>
      <w:tr w:rsidR="00CA039A" w:rsidRPr="007115F2" w14:paraId="1851823C" w14:textId="77777777" w:rsidTr="00B6286E">
        <w:trPr>
          <w:trHeight w:val="20"/>
        </w:trPr>
        <w:tc>
          <w:tcPr>
            <w:tcW w:w="3687" w:type="dxa"/>
            <w:tcBorders>
              <w:top w:val="nil"/>
              <w:left w:val="nil"/>
              <w:bottom w:val="nil"/>
              <w:right w:val="nil"/>
            </w:tcBorders>
          </w:tcPr>
          <w:p w14:paraId="2297DC8C"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deal_relatedness_dummy</w:t>
            </w:r>
          </w:p>
        </w:tc>
        <w:tc>
          <w:tcPr>
            <w:tcW w:w="1488" w:type="dxa"/>
            <w:tcBorders>
              <w:top w:val="nil"/>
              <w:left w:val="nil"/>
              <w:bottom w:val="nil"/>
              <w:right w:val="nil"/>
            </w:tcBorders>
          </w:tcPr>
          <w:p w14:paraId="36F4BD07" w14:textId="0918000E"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-.168***</w:t>
            </w:r>
          </w:p>
        </w:tc>
        <w:tc>
          <w:tcPr>
            <w:tcW w:w="1488" w:type="dxa"/>
            <w:tcBorders>
              <w:top w:val="nil"/>
              <w:left w:val="nil"/>
              <w:bottom w:val="nil"/>
              <w:right w:val="nil"/>
            </w:tcBorders>
          </w:tcPr>
          <w:p w14:paraId="66048B09" w14:textId="7E409ADE"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-.090**</w:t>
            </w:r>
          </w:p>
        </w:tc>
        <w:tc>
          <w:tcPr>
            <w:tcW w:w="1488" w:type="dxa"/>
            <w:tcBorders>
              <w:top w:val="nil"/>
              <w:left w:val="nil"/>
              <w:bottom w:val="nil"/>
              <w:right w:val="nil"/>
            </w:tcBorders>
          </w:tcPr>
          <w:p w14:paraId="5756BBC6" w14:textId="11F7D583"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-.173***</w:t>
            </w:r>
          </w:p>
        </w:tc>
        <w:tc>
          <w:tcPr>
            <w:tcW w:w="1489" w:type="dxa"/>
            <w:tcBorders>
              <w:top w:val="nil"/>
              <w:left w:val="nil"/>
              <w:bottom w:val="nil"/>
              <w:right w:val="nil"/>
            </w:tcBorders>
          </w:tcPr>
          <w:p w14:paraId="356E7D29" w14:textId="450C3044"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-.089**</w:t>
            </w:r>
          </w:p>
        </w:tc>
      </w:tr>
      <w:tr w:rsidR="00CA039A" w:rsidRPr="007115F2" w14:paraId="79582AE4" w14:textId="77777777" w:rsidTr="00B6286E">
        <w:trPr>
          <w:trHeight w:val="20"/>
        </w:trPr>
        <w:tc>
          <w:tcPr>
            <w:tcW w:w="3687" w:type="dxa"/>
            <w:tcBorders>
              <w:top w:val="nil"/>
              <w:left w:val="nil"/>
              <w:bottom w:val="nil"/>
              <w:right w:val="nil"/>
            </w:tcBorders>
          </w:tcPr>
          <w:p w14:paraId="09FDFFBB"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w:t>
            </w:r>
          </w:p>
        </w:tc>
        <w:tc>
          <w:tcPr>
            <w:tcW w:w="1488" w:type="dxa"/>
            <w:tcBorders>
              <w:top w:val="nil"/>
              <w:left w:val="nil"/>
              <w:bottom w:val="nil"/>
              <w:right w:val="nil"/>
            </w:tcBorders>
          </w:tcPr>
          <w:p w14:paraId="70486ACB" w14:textId="62C78622"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(-2.879)</w:t>
            </w:r>
          </w:p>
        </w:tc>
        <w:tc>
          <w:tcPr>
            <w:tcW w:w="1488" w:type="dxa"/>
            <w:tcBorders>
              <w:top w:val="nil"/>
              <w:left w:val="nil"/>
              <w:bottom w:val="nil"/>
              <w:right w:val="nil"/>
            </w:tcBorders>
          </w:tcPr>
          <w:p w14:paraId="2535E0FD" w14:textId="74852228"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(-2.243)</w:t>
            </w:r>
          </w:p>
        </w:tc>
        <w:tc>
          <w:tcPr>
            <w:tcW w:w="1488" w:type="dxa"/>
            <w:tcBorders>
              <w:top w:val="nil"/>
              <w:left w:val="nil"/>
              <w:bottom w:val="nil"/>
              <w:right w:val="nil"/>
            </w:tcBorders>
          </w:tcPr>
          <w:p w14:paraId="1F050B7A" w14:textId="638DE245"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(-2.846)</w:t>
            </w:r>
          </w:p>
        </w:tc>
        <w:tc>
          <w:tcPr>
            <w:tcW w:w="1489" w:type="dxa"/>
            <w:tcBorders>
              <w:top w:val="nil"/>
              <w:left w:val="nil"/>
              <w:bottom w:val="nil"/>
              <w:right w:val="nil"/>
            </w:tcBorders>
          </w:tcPr>
          <w:p w14:paraId="1F95F853" w14:textId="71351BD0"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(-2.073)</w:t>
            </w:r>
          </w:p>
        </w:tc>
      </w:tr>
      <w:tr w:rsidR="00CA039A" w:rsidRPr="007115F2" w14:paraId="798A3BAC" w14:textId="77777777" w:rsidTr="00B6286E">
        <w:trPr>
          <w:trHeight w:val="20"/>
        </w:trPr>
        <w:tc>
          <w:tcPr>
            <w:tcW w:w="3687" w:type="dxa"/>
            <w:tcBorders>
              <w:top w:val="nil"/>
              <w:left w:val="nil"/>
              <w:bottom w:val="nil"/>
              <w:right w:val="nil"/>
            </w:tcBorders>
          </w:tcPr>
          <w:p w14:paraId="46726011"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acq_age</w:t>
            </w:r>
          </w:p>
        </w:tc>
        <w:tc>
          <w:tcPr>
            <w:tcW w:w="1488" w:type="dxa"/>
            <w:tcBorders>
              <w:top w:val="nil"/>
              <w:left w:val="nil"/>
              <w:bottom w:val="nil"/>
              <w:right w:val="nil"/>
            </w:tcBorders>
          </w:tcPr>
          <w:p w14:paraId="2CDC541A" w14:textId="456FA091"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-.001**</w:t>
            </w:r>
          </w:p>
        </w:tc>
        <w:tc>
          <w:tcPr>
            <w:tcW w:w="1488" w:type="dxa"/>
            <w:tcBorders>
              <w:top w:val="nil"/>
              <w:left w:val="nil"/>
              <w:bottom w:val="nil"/>
              <w:right w:val="nil"/>
            </w:tcBorders>
          </w:tcPr>
          <w:p w14:paraId="1B9340D0" w14:textId="6836090F"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-.001*</w:t>
            </w:r>
          </w:p>
        </w:tc>
        <w:tc>
          <w:tcPr>
            <w:tcW w:w="1488" w:type="dxa"/>
            <w:tcBorders>
              <w:top w:val="nil"/>
              <w:left w:val="nil"/>
              <w:bottom w:val="nil"/>
              <w:right w:val="nil"/>
            </w:tcBorders>
          </w:tcPr>
          <w:p w14:paraId="7B2A3D75" w14:textId="2094B26C"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-.001**</w:t>
            </w:r>
          </w:p>
        </w:tc>
        <w:tc>
          <w:tcPr>
            <w:tcW w:w="1489" w:type="dxa"/>
            <w:tcBorders>
              <w:top w:val="nil"/>
              <w:left w:val="nil"/>
              <w:bottom w:val="nil"/>
              <w:right w:val="nil"/>
            </w:tcBorders>
          </w:tcPr>
          <w:p w14:paraId="1E849FCD" w14:textId="68957133"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-.001*</w:t>
            </w:r>
          </w:p>
        </w:tc>
      </w:tr>
      <w:tr w:rsidR="00CA039A" w:rsidRPr="007115F2" w14:paraId="3B53DC22" w14:textId="77777777" w:rsidTr="00B6286E">
        <w:trPr>
          <w:trHeight w:val="20"/>
        </w:trPr>
        <w:tc>
          <w:tcPr>
            <w:tcW w:w="3687" w:type="dxa"/>
            <w:tcBorders>
              <w:top w:val="nil"/>
              <w:left w:val="nil"/>
              <w:bottom w:val="nil"/>
              <w:right w:val="nil"/>
            </w:tcBorders>
          </w:tcPr>
          <w:p w14:paraId="4720255A"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w:t>
            </w:r>
          </w:p>
        </w:tc>
        <w:tc>
          <w:tcPr>
            <w:tcW w:w="1488" w:type="dxa"/>
            <w:tcBorders>
              <w:top w:val="nil"/>
              <w:left w:val="nil"/>
              <w:bottom w:val="nil"/>
              <w:right w:val="nil"/>
            </w:tcBorders>
          </w:tcPr>
          <w:p w14:paraId="3745CEE1" w14:textId="41D76F36"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(-2.317)</w:t>
            </w:r>
          </w:p>
        </w:tc>
        <w:tc>
          <w:tcPr>
            <w:tcW w:w="1488" w:type="dxa"/>
            <w:tcBorders>
              <w:top w:val="nil"/>
              <w:left w:val="nil"/>
              <w:bottom w:val="nil"/>
              <w:right w:val="nil"/>
            </w:tcBorders>
          </w:tcPr>
          <w:p w14:paraId="0C1E57C5" w14:textId="1C6E1BA1"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(-1.756)</w:t>
            </w:r>
          </w:p>
        </w:tc>
        <w:tc>
          <w:tcPr>
            <w:tcW w:w="1488" w:type="dxa"/>
            <w:tcBorders>
              <w:top w:val="nil"/>
              <w:left w:val="nil"/>
              <w:bottom w:val="nil"/>
              <w:right w:val="nil"/>
            </w:tcBorders>
          </w:tcPr>
          <w:p w14:paraId="0319E5BB" w14:textId="3132704D"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(-2.318)</w:t>
            </w:r>
          </w:p>
        </w:tc>
        <w:tc>
          <w:tcPr>
            <w:tcW w:w="1489" w:type="dxa"/>
            <w:tcBorders>
              <w:top w:val="nil"/>
              <w:left w:val="nil"/>
              <w:bottom w:val="nil"/>
              <w:right w:val="nil"/>
            </w:tcBorders>
          </w:tcPr>
          <w:p w14:paraId="138EDD26" w14:textId="7C7D2154"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(-1.719)</w:t>
            </w:r>
          </w:p>
        </w:tc>
      </w:tr>
      <w:tr w:rsidR="00CA039A" w:rsidRPr="007115F2" w14:paraId="36A5921F" w14:textId="77777777" w:rsidTr="00B6286E">
        <w:trPr>
          <w:trHeight w:val="20"/>
        </w:trPr>
        <w:tc>
          <w:tcPr>
            <w:tcW w:w="3687" w:type="dxa"/>
            <w:tcBorders>
              <w:top w:val="nil"/>
              <w:left w:val="nil"/>
              <w:bottom w:val="nil"/>
              <w:right w:val="nil"/>
            </w:tcBorders>
          </w:tcPr>
          <w:p w14:paraId="1B30E16A"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acq_assets_lastyear_ln</w:t>
            </w:r>
          </w:p>
        </w:tc>
        <w:tc>
          <w:tcPr>
            <w:tcW w:w="1488" w:type="dxa"/>
            <w:tcBorders>
              <w:top w:val="nil"/>
              <w:left w:val="nil"/>
              <w:bottom w:val="nil"/>
              <w:right w:val="nil"/>
            </w:tcBorders>
          </w:tcPr>
          <w:p w14:paraId="3D4469E9" w14:textId="7F3F80FB"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-.078***</w:t>
            </w:r>
          </w:p>
        </w:tc>
        <w:tc>
          <w:tcPr>
            <w:tcW w:w="1488" w:type="dxa"/>
            <w:tcBorders>
              <w:top w:val="nil"/>
              <w:left w:val="nil"/>
              <w:bottom w:val="nil"/>
              <w:right w:val="nil"/>
            </w:tcBorders>
          </w:tcPr>
          <w:p w14:paraId="049FF7A6" w14:textId="4C3BF8B6"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-.051***</w:t>
            </w:r>
          </w:p>
        </w:tc>
        <w:tc>
          <w:tcPr>
            <w:tcW w:w="1488" w:type="dxa"/>
            <w:tcBorders>
              <w:top w:val="nil"/>
              <w:left w:val="nil"/>
              <w:bottom w:val="nil"/>
              <w:right w:val="nil"/>
            </w:tcBorders>
          </w:tcPr>
          <w:p w14:paraId="07EC5348" w14:textId="17361C0C"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-.082***</w:t>
            </w:r>
          </w:p>
        </w:tc>
        <w:tc>
          <w:tcPr>
            <w:tcW w:w="1489" w:type="dxa"/>
            <w:tcBorders>
              <w:top w:val="nil"/>
              <w:left w:val="nil"/>
              <w:bottom w:val="nil"/>
              <w:right w:val="nil"/>
            </w:tcBorders>
          </w:tcPr>
          <w:p w14:paraId="10439892" w14:textId="2A30375A"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-.053***</w:t>
            </w:r>
          </w:p>
        </w:tc>
      </w:tr>
      <w:tr w:rsidR="00CA039A" w:rsidRPr="007115F2" w14:paraId="44C770E3" w14:textId="77777777" w:rsidTr="00B6286E">
        <w:trPr>
          <w:trHeight w:val="20"/>
        </w:trPr>
        <w:tc>
          <w:tcPr>
            <w:tcW w:w="3687" w:type="dxa"/>
            <w:tcBorders>
              <w:top w:val="nil"/>
              <w:left w:val="nil"/>
              <w:bottom w:val="nil"/>
              <w:right w:val="nil"/>
            </w:tcBorders>
          </w:tcPr>
          <w:p w14:paraId="08E3728D"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w:t>
            </w:r>
          </w:p>
        </w:tc>
        <w:tc>
          <w:tcPr>
            <w:tcW w:w="1488" w:type="dxa"/>
            <w:tcBorders>
              <w:top w:val="nil"/>
              <w:left w:val="nil"/>
              <w:bottom w:val="nil"/>
              <w:right w:val="nil"/>
            </w:tcBorders>
          </w:tcPr>
          <w:p w14:paraId="18AE430C" w14:textId="196C1A4E"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(-3.355)</w:t>
            </w:r>
          </w:p>
        </w:tc>
        <w:tc>
          <w:tcPr>
            <w:tcW w:w="1488" w:type="dxa"/>
            <w:tcBorders>
              <w:top w:val="nil"/>
              <w:left w:val="nil"/>
              <w:bottom w:val="nil"/>
              <w:right w:val="nil"/>
            </w:tcBorders>
          </w:tcPr>
          <w:p w14:paraId="704EE332" w14:textId="3D2B39F8"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(-2.756)</w:t>
            </w:r>
          </w:p>
        </w:tc>
        <w:tc>
          <w:tcPr>
            <w:tcW w:w="1488" w:type="dxa"/>
            <w:tcBorders>
              <w:top w:val="nil"/>
              <w:left w:val="nil"/>
              <w:bottom w:val="nil"/>
              <w:right w:val="nil"/>
            </w:tcBorders>
          </w:tcPr>
          <w:p w14:paraId="1D6EEC14" w14:textId="5C9F3F5A"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(-3.306)</w:t>
            </w:r>
          </w:p>
        </w:tc>
        <w:tc>
          <w:tcPr>
            <w:tcW w:w="1489" w:type="dxa"/>
            <w:tcBorders>
              <w:top w:val="nil"/>
              <w:left w:val="nil"/>
              <w:bottom w:val="nil"/>
              <w:right w:val="nil"/>
            </w:tcBorders>
          </w:tcPr>
          <w:p w14:paraId="436378EF" w14:textId="2B7A467B"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(-2.796)</w:t>
            </w:r>
          </w:p>
        </w:tc>
      </w:tr>
      <w:tr w:rsidR="00CA039A" w:rsidRPr="007115F2" w14:paraId="70F741F5" w14:textId="77777777" w:rsidTr="00B6286E">
        <w:trPr>
          <w:trHeight w:val="20"/>
        </w:trPr>
        <w:tc>
          <w:tcPr>
            <w:tcW w:w="3687" w:type="dxa"/>
            <w:tcBorders>
              <w:top w:val="nil"/>
              <w:left w:val="nil"/>
              <w:bottom w:val="nil"/>
              <w:right w:val="nil"/>
            </w:tcBorders>
          </w:tcPr>
          <w:p w14:paraId="32429400" w14:textId="77777777" w:rsidR="00CA039A" w:rsidRPr="007115F2" w:rsidRDefault="00CA039A" w:rsidP="00CA039A">
            <w:pPr>
              <w:widowControl w:val="0"/>
              <w:autoSpaceDE w:val="0"/>
              <w:autoSpaceDN w:val="0"/>
              <w:adjustRightInd w:val="0"/>
              <w:spacing w:line="240" w:lineRule="auto"/>
              <w:rPr>
                <w:b/>
                <w:bCs/>
                <w:color w:val="000000" w:themeColor="text1"/>
                <w:sz w:val="22"/>
                <w:lang w:val="en-US"/>
              </w:rPr>
            </w:pPr>
            <w:r w:rsidRPr="007E6AC7">
              <w:rPr>
                <w:color w:val="000000" w:themeColor="text1"/>
                <w:sz w:val="22"/>
                <w:lang w:val="en-US"/>
              </w:rPr>
              <w:t xml:space="preserve"> acq_roa_lastyear</w:t>
            </w:r>
          </w:p>
        </w:tc>
        <w:tc>
          <w:tcPr>
            <w:tcW w:w="1488" w:type="dxa"/>
            <w:tcBorders>
              <w:top w:val="nil"/>
              <w:left w:val="nil"/>
              <w:bottom w:val="nil"/>
              <w:right w:val="nil"/>
            </w:tcBorders>
          </w:tcPr>
          <w:p w14:paraId="3F348E2E" w14:textId="3BAF31EE"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CE03DC">
              <w:rPr>
                <w:color w:val="000000" w:themeColor="text1"/>
                <w:sz w:val="22"/>
              </w:rPr>
              <w:t>.091</w:t>
            </w:r>
          </w:p>
        </w:tc>
        <w:tc>
          <w:tcPr>
            <w:tcW w:w="1488" w:type="dxa"/>
            <w:tcBorders>
              <w:top w:val="nil"/>
              <w:left w:val="nil"/>
              <w:bottom w:val="nil"/>
              <w:right w:val="nil"/>
            </w:tcBorders>
          </w:tcPr>
          <w:p w14:paraId="5E3F4DCE" w14:textId="739496ED"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CE03DC">
              <w:rPr>
                <w:color w:val="000000" w:themeColor="text1"/>
                <w:sz w:val="22"/>
              </w:rPr>
              <w:t>.004</w:t>
            </w:r>
          </w:p>
        </w:tc>
        <w:tc>
          <w:tcPr>
            <w:tcW w:w="1488" w:type="dxa"/>
            <w:tcBorders>
              <w:top w:val="nil"/>
              <w:left w:val="nil"/>
              <w:bottom w:val="nil"/>
              <w:right w:val="nil"/>
            </w:tcBorders>
          </w:tcPr>
          <w:p w14:paraId="3D98C289" w14:textId="0787E609"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CE03DC">
              <w:rPr>
                <w:color w:val="000000" w:themeColor="text1"/>
                <w:sz w:val="22"/>
              </w:rPr>
              <w:t>.084</w:t>
            </w:r>
          </w:p>
        </w:tc>
        <w:tc>
          <w:tcPr>
            <w:tcW w:w="1489" w:type="dxa"/>
            <w:tcBorders>
              <w:top w:val="nil"/>
              <w:left w:val="nil"/>
              <w:bottom w:val="nil"/>
              <w:right w:val="nil"/>
            </w:tcBorders>
          </w:tcPr>
          <w:p w14:paraId="286BCE6C" w14:textId="5FF76740" w:rsidR="00CA039A" w:rsidRPr="007115F2" w:rsidRDefault="00CA039A" w:rsidP="00CA039A">
            <w:pPr>
              <w:widowControl w:val="0"/>
              <w:autoSpaceDE w:val="0"/>
              <w:autoSpaceDN w:val="0"/>
              <w:adjustRightInd w:val="0"/>
              <w:spacing w:line="240" w:lineRule="auto"/>
              <w:jc w:val="center"/>
              <w:rPr>
                <w:b/>
                <w:bCs/>
                <w:color w:val="000000" w:themeColor="text1"/>
                <w:sz w:val="22"/>
                <w:lang w:val="en-US"/>
              </w:rPr>
            </w:pPr>
            <w:r w:rsidRPr="00CE03DC">
              <w:rPr>
                <w:color w:val="000000" w:themeColor="text1"/>
                <w:sz w:val="22"/>
              </w:rPr>
              <w:t>.001</w:t>
            </w:r>
          </w:p>
        </w:tc>
      </w:tr>
      <w:tr w:rsidR="00CA039A" w:rsidRPr="007115F2" w14:paraId="17DD3D37" w14:textId="77777777" w:rsidTr="00B6286E">
        <w:trPr>
          <w:trHeight w:val="20"/>
        </w:trPr>
        <w:tc>
          <w:tcPr>
            <w:tcW w:w="3687" w:type="dxa"/>
            <w:tcBorders>
              <w:top w:val="nil"/>
              <w:left w:val="nil"/>
              <w:bottom w:val="nil"/>
              <w:right w:val="nil"/>
            </w:tcBorders>
          </w:tcPr>
          <w:p w14:paraId="58AA4C1D"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w:t>
            </w:r>
          </w:p>
        </w:tc>
        <w:tc>
          <w:tcPr>
            <w:tcW w:w="1488" w:type="dxa"/>
            <w:tcBorders>
              <w:top w:val="nil"/>
              <w:left w:val="nil"/>
              <w:bottom w:val="nil"/>
              <w:right w:val="nil"/>
            </w:tcBorders>
          </w:tcPr>
          <w:p w14:paraId="1836D4F8" w14:textId="2569D4ED"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(1.313)</w:t>
            </w:r>
          </w:p>
        </w:tc>
        <w:tc>
          <w:tcPr>
            <w:tcW w:w="1488" w:type="dxa"/>
            <w:tcBorders>
              <w:top w:val="nil"/>
              <w:left w:val="nil"/>
              <w:bottom w:val="nil"/>
              <w:right w:val="nil"/>
            </w:tcBorders>
          </w:tcPr>
          <w:p w14:paraId="0A94FF2B" w14:textId="5693ACB6"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(.109)</w:t>
            </w:r>
          </w:p>
        </w:tc>
        <w:tc>
          <w:tcPr>
            <w:tcW w:w="1488" w:type="dxa"/>
            <w:tcBorders>
              <w:top w:val="nil"/>
              <w:left w:val="nil"/>
              <w:bottom w:val="nil"/>
              <w:right w:val="nil"/>
            </w:tcBorders>
          </w:tcPr>
          <w:p w14:paraId="110DDCA1" w14:textId="45380A8B"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(1.231)</w:t>
            </w:r>
          </w:p>
        </w:tc>
        <w:tc>
          <w:tcPr>
            <w:tcW w:w="1489" w:type="dxa"/>
            <w:tcBorders>
              <w:top w:val="nil"/>
              <w:left w:val="nil"/>
              <w:bottom w:val="nil"/>
              <w:right w:val="nil"/>
            </w:tcBorders>
          </w:tcPr>
          <w:p w14:paraId="5BD5D551" w14:textId="21ABE606"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(.025)</w:t>
            </w:r>
          </w:p>
        </w:tc>
      </w:tr>
      <w:tr w:rsidR="00CA039A" w:rsidRPr="007115F2" w14:paraId="0D083E7A" w14:textId="77777777" w:rsidTr="00B6286E">
        <w:trPr>
          <w:trHeight w:val="20"/>
        </w:trPr>
        <w:tc>
          <w:tcPr>
            <w:tcW w:w="3687" w:type="dxa"/>
            <w:tcBorders>
              <w:top w:val="nil"/>
              <w:left w:val="nil"/>
              <w:bottom w:val="nil"/>
              <w:right w:val="nil"/>
            </w:tcBorders>
          </w:tcPr>
          <w:p w14:paraId="1D822C84"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acq_industrygrowth</w:t>
            </w:r>
          </w:p>
        </w:tc>
        <w:tc>
          <w:tcPr>
            <w:tcW w:w="1488" w:type="dxa"/>
            <w:tcBorders>
              <w:top w:val="nil"/>
              <w:left w:val="nil"/>
              <w:bottom w:val="nil"/>
              <w:right w:val="nil"/>
            </w:tcBorders>
          </w:tcPr>
          <w:p w14:paraId="25F28D03" w14:textId="6960C95F"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.823**</w:t>
            </w:r>
          </w:p>
        </w:tc>
        <w:tc>
          <w:tcPr>
            <w:tcW w:w="1488" w:type="dxa"/>
            <w:tcBorders>
              <w:top w:val="nil"/>
              <w:left w:val="nil"/>
              <w:bottom w:val="nil"/>
              <w:right w:val="nil"/>
            </w:tcBorders>
          </w:tcPr>
          <w:p w14:paraId="65186363" w14:textId="225B9493"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.711**</w:t>
            </w:r>
          </w:p>
        </w:tc>
        <w:tc>
          <w:tcPr>
            <w:tcW w:w="1488" w:type="dxa"/>
            <w:tcBorders>
              <w:top w:val="nil"/>
              <w:left w:val="nil"/>
              <w:bottom w:val="nil"/>
              <w:right w:val="nil"/>
            </w:tcBorders>
          </w:tcPr>
          <w:p w14:paraId="73A9A8C0" w14:textId="24816226"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.792*</w:t>
            </w:r>
          </w:p>
        </w:tc>
        <w:tc>
          <w:tcPr>
            <w:tcW w:w="1489" w:type="dxa"/>
            <w:tcBorders>
              <w:top w:val="nil"/>
              <w:left w:val="nil"/>
              <w:bottom w:val="nil"/>
              <w:right w:val="nil"/>
            </w:tcBorders>
          </w:tcPr>
          <w:p w14:paraId="4EBBBB25" w14:textId="7AF324F6"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.695*</w:t>
            </w:r>
          </w:p>
        </w:tc>
      </w:tr>
      <w:tr w:rsidR="00CA039A" w:rsidRPr="007115F2" w14:paraId="7273F8FB" w14:textId="77777777" w:rsidTr="00B6286E">
        <w:trPr>
          <w:trHeight w:val="20"/>
        </w:trPr>
        <w:tc>
          <w:tcPr>
            <w:tcW w:w="3687" w:type="dxa"/>
            <w:tcBorders>
              <w:top w:val="nil"/>
              <w:left w:val="nil"/>
              <w:bottom w:val="nil"/>
              <w:right w:val="nil"/>
            </w:tcBorders>
          </w:tcPr>
          <w:p w14:paraId="10517549"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w:t>
            </w:r>
          </w:p>
        </w:tc>
        <w:tc>
          <w:tcPr>
            <w:tcW w:w="1488" w:type="dxa"/>
            <w:tcBorders>
              <w:top w:val="nil"/>
              <w:left w:val="nil"/>
              <w:bottom w:val="nil"/>
              <w:right w:val="nil"/>
            </w:tcBorders>
          </w:tcPr>
          <w:p w14:paraId="200D3662" w14:textId="46AF20A2"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(2.025)</w:t>
            </w:r>
          </w:p>
        </w:tc>
        <w:tc>
          <w:tcPr>
            <w:tcW w:w="1488" w:type="dxa"/>
            <w:tcBorders>
              <w:top w:val="nil"/>
              <w:left w:val="nil"/>
              <w:bottom w:val="nil"/>
              <w:right w:val="nil"/>
            </w:tcBorders>
          </w:tcPr>
          <w:p w14:paraId="35EBFE4E" w14:textId="2721D9D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(2.216)</w:t>
            </w:r>
          </w:p>
        </w:tc>
        <w:tc>
          <w:tcPr>
            <w:tcW w:w="1488" w:type="dxa"/>
            <w:tcBorders>
              <w:top w:val="nil"/>
              <w:left w:val="nil"/>
              <w:bottom w:val="nil"/>
              <w:right w:val="nil"/>
            </w:tcBorders>
          </w:tcPr>
          <w:p w14:paraId="3987D2B9" w14:textId="48A2464D"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(1.676)</w:t>
            </w:r>
          </w:p>
        </w:tc>
        <w:tc>
          <w:tcPr>
            <w:tcW w:w="1489" w:type="dxa"/>
            <w:tcBorders>
              <w:top w:val="nil"/>
              <w:left w:val="nil"/>
              <w:bottom w:val="nil"/>
              <w:right w:val="nil"/>
            </w:tcBorders>
          </w:tcPr>
          <w:p w14:paraId="2AABDBA0" w14:textId="22383A12"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(1.778)</w:t>
            </w:r>
          </w:p>
        </w:tc>
      </w:tr>
      <w:tr w:rsidR="00CA039A" w:rsidRPr="007115F2" w14:paraId="5110CFCB" w14:textId="77777777" w:rsidTr="00B6286E">
        <w:trPr>
          <w:trHeight w:val="20"/>
        </w:trPr>
        <w:tc>
          <w:tcPr>
            <w:tcW w:w="3687" w:type="dxa"/>
            <w:tcBorders>
              <w:top w:val="nil"/>
              <w:left w:val="nil"/>
              <w:bottom w:val="nil"/>
              <w:right w:val="nil"/>
            </w:tcBorders>
          </w:tcPr>
          <w:p w14:paraId="66239D7B"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acq_dealexperience</w:t>
            </w:r>
          </w:p>
        </w:tc>
        <w:tc>
          <w:tcPr>
            <w:tcW w:w="1488" w:type="dxa"/>
            <w:tcBorders>
              <w:top w:val="nil"/>
              <w:left w:val="nil"/>
              <w:bottom w:val="nil"/>
              <w:right w:val="nil"/>
            </w:tcBorders>
          </w:tcPr>
          <w:p w14:paraId="7F5D71E3" w14:textId="62F9FE02"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-.001</w:t>
            </w:r>
          </w:p>
        </w:tc>
        <w:tc>
          <w:tcPr>
            <w:tcW w:w="1488" w:type="dxa"/>
            <w:tcBorders>
              <w:top w:val="nil"/>
              <w:left w:val="nil"/>
              <w:bottom w:val="nil"/>
              <w:right w:val="nil"/>
            </w:tcBorders>
          </w:tcPr>
          <w:p w14:paraId="3EE71B7C" w14:textId="2C449DE0"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-.002</w:t>
            </w:r>
          </w:p>
        </w:tc>
        <w:tc>
          <w:tcPr>
            <w:tcW w:w="1488" w:type="dxa"/>
            <w:tcBorders>
              <w:top w:val="nil"/>
              <w:left w:val="nil"/>
              <w:bottom w:val="nil"/>
              <w:right w:val="nil"/>
            </w:tcBorders>
          </w:tcPr>
          <w:p w14:paraId="43162E00" w14:textId="678302DB"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.005</w:t>
            </w:r>
          </w:p>
        </w:tc>
        <w:tc>
          <w:tcPr>
            <w:tcW w:w="1489" w:type="dxa"/>
            <w:tcBorders>
              <w:top w:val="nil"/>
              <w:left w:val="nil"/>
              <w:bottom w:val="nil"/>
              <w:right w:val="nil"/>
            </w:tcBorders>
          </w:tcPr>
          <w:p w14:paraId="44EF9A8E" w14:textId="3F8E1EAA"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.0003</w:t>
            </w:r>
          </w:p>
        </w:tc>
      </w:tr>
      <w:tr w:rsidR="00CA039A" w:rsidRPr="007115F2" w14:paraId="1D1BFBB8" w14:textId="77777777" w:rsidTr="00B6286E">
        <w:trPr>
          <w:trHeight w:val="20"/>
        </w:trPr>
        <w:tc>
          <w:tcPr>
            <w:tcW w:w="3687" w:type="dxa"/>
            <w:tcBorders>
              <w:top w:val="nil"/>
              <w:left w:val="nil"/>
              <w:bottom w:val="nil"/>
              <w:right w:val="nil"/>
            </w:tcBorders>
          </w:tcPr>
          <w:p w14:paraId="0D008C12"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w:t>
            </w:r>
          </w:p>
        </w:tc>
        <w:tc>
          <w:tcPr>
            <w:tcW w:w="1488" w:type="dxa"/>
            <w:tcBorders>
              <w:top w:val="nil"/>
              <w:left w:val="nil"/>
              <w:bottom w:val="nil"/>
              <w:right w:val="nil"/>
            </w:tcBorders>
          </w:tcPr>
          <w:p w14:paraId="690A428A" w14:textId="5DE98B12"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(-.028)</w:t>
            </w:r>
          </w:p>
        </w:tc>
        <w:tc>
          <w:tcPr>
            <w:tcW w:w="1488" w:type="dxa"/>
            <w:tcBorders>
              <w:top w:val="nil"/>
              <w:left w:val="nil"/>
              <w:bottom w:val="nil"/>
              <w:right w:val="nil"/>
            </w:tcBorders>
          </w:tcPr>
          <w:p w14:paraId="49A78438" w14:textId="1D9A21FD"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(-.122)</w:t>
            </w:r>
          </w:p>
        </w:tc>
        <w:tc>
          <w:tcPr>
            <w:tcW w:w="1488" w:type="dxa"/>
            <w:tcBorders>
              <w:top w:val="nil"/>
              <w:left w:val="nil"/>
              <w:bottom w:val="nil"/>
              <w:right w:val="nil"/>
            </w:tcBorders>
          </w:tcPr>
          <w:p w14:paraId="3A883B40" w14:textId="27D73202"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(.184)</w:t>
            </w:r>
          </w:p>
        </w:tc>
        <w:tc>
          <w:tcPr>
            <w:tcW w:w="1489" w:type="dxa"/>
            <w:tcBorders>
              <w:top w:val="nil"/>
              <w:left w:val="nil"/>
              <w:bottom w:val="nil"/>
              <w:right w:val="nil"/>
            </w:tcBorders>
          </w:tcPr>
          <w:p w14:paraId="1755D71A" w14:textId="566B137F"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(.015)</w:t>
            </w:r>
          </w:p>
        </w:tc>
      </w:tr>
      <w:tr w:rsidR="00CA039A" w:rsidRPr="007115F2" w14:paraId="6C88CD05" w14:textId="77777777" w:rsidTr="00B6286E">
        <w:trPr>
          <w:trHeight w:val="20"/>
        </w:trPr>
        <w:tc>
          <w:tcPr>
            <w:tcW w:w="3687" w:type="dxa"/>
            <w:tcBorders>
              <w:top w:val="nil"/>
              <w:left w:val="nil"/>
              <w:bottom w:val="nil"/>
              <w:right w:val="nil"/>
            </w:tcBorders>
          </w:tcPr>
          <w:p w14:paraId="55948E32"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acq_rd_intensity</w:t>
            </w:r>
          </w:p>
        </w:tc>
        <w:tc>
          <w:tcPr>
            <w:tcW w:w="1488" w:type="dxa"/>
            <w:tcBorders>
              <w:top w:val="nil"/>
              <w:left w:val="nil"/>
              <w:bottom w:val="nil"/>
              <w:right w:val="nil"/>
            </w:tcBorders>
          </w:tcPr>
          <w:p w14:paraId="3F200887" w14:textId="46850223"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.439**</w:t>
            </w:r>
          </w:p>
        </w:tc>
        <w:tc>
          <w:tcPr>
            <w:tcW w:w="1488" w:type="dxa"/>
            <w:tcBorders>
              <w:top w:val="nil"/>
              <w:left w:val="nil"/>
              <w:bottom w:val="nil"/>
              <w:right w:val="nil"/>
            </w:tcBorders>
          </w:tcPr>
          <w:p w14:paraId="4AF40041" w14:textId="2F8C3EFE"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.073</w:t>
            </w:r>
          </w:p>
        </w:tc>
        <w:tc>
          <w:tcPr>
            <w:tcW w:w="1488" w:type="dxa"/>
            <w:tcBorders>
              <w:top w:val="nil"/>
              <w:left w:val="nil"/>
              <w:bottom w:val="nil"/>
              <w:right w:val="nil"/>
            </w:tcBorders>
          </w:tcPr>
          <w:p w14:paraId="0DBA95F5" w14:textId="28FE7EF0"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.453**</w:t>
            </w:r>
          </w:p>
        </w:tc>
        <w:tc>
          <w:tcPr>
            <w:tcW w:w="1489" w:type="dxa"/>
            <w:tcBorders>
              <w:top w:val="nil"/>
              <w:left w:val="nil"/>
              <w:bottom w:val="nil"/>
              <w:right w:val="nil"/>
            </w:tcBorders>
          </w:tcPr>
          <w:p w14:paraId="4A179166" w14:textId="4CC11A95"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.080</w:t>
            </w:r>
          </w:p>
        </w:tc>
      </w:tr>
      <w:tr w:rsidR="00CA039A" w:rsidRPr="007115F2" w14:paraId="1AE015C8" w14:textId="77777777" w:rsidTr="00B6286E">
        <w:trPr>
          <w:trHeight w:val="20"/>
        </w:trPr>
        <w:tc>
          <w:tcPr>
            <w:tcW w:w="3687" w:type="dxa"/>
            <w:tcBorders>
              <w:top w:val="nil"/>
              <w:left w:val="nil"/>
              <w:bottom w:val="nil"/>
              <w:right w:val="nil"/>
            </w:tcBorders>
          </w:tcPr>
          <w:p w14:paraId="572E2144"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p>
        </w:tc>
        <w:tc>
          <w:tcPr>
            <w:tcW w:w="1488" w:type="dxa"/>
            <w:tcBorders>
              <w:top w:val="nil"/>
              <w:left w:val="nil"/>
              <w:bottom w:val="nil"/>
              <w:right w:val="nil"/>
            </w:tcBorders>
          </w:tcPr>
          <w:p w14:paraId="1FBF0FA3" w14:textId="67C1D26C"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(2.054)</w:t>
            </w:r>
          </w:p>
        </w:tc>
        <w:tc>
          <w:tcPr>
            <w:tcW w:w="1488" w:type="dxa"/>
            <w:tcBorders>
              <w:top w:val="nil"/>
              <w:left w:val="nil"/>
              <w:bottom w:val="nil"/>
              <w:right w:val="nil"/>
            </w:tcBorders>
          </w:tcPr>
          <w:p w14:paraId="7FC7A332" w14:textId="02FB7CA1"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(.253)</w:t>
            </w:r>
          </w:p>
        </w:tc>
        <w:tc>
          <w:tcPr>
            <w:tcW w:w="1488" w:type="dxa"/>
            <w:tcBorders>
              <w:top w:val="nil"/>
              <w:left w:val="nil"/>
              <w:bottom w:val="nil"/>
              <w:right w:val="nil"/>
            </w:tcBorders>
          </w:tcPr>
          <w:p w14:paraId="28CCC434" w14:textId="728373D2"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(2.548)</w:t>
            </w:r>
          </w:p>
        </w:tc>
        <w:tc>
          <w:tcPr>
            <w:tcW w:w="1489" w:type="dxa"/>
            <w:tcBorders>
              <w:top w:val="nil"/>
              <w:left w:val="nil"/>
              <w:bottom w:val="nil"/>
              <w:right w:val="nil"/>
            </w:tcBorders>
          </w:tcPr>
          <w:p w14:paraId="528FCF4A" w14:textId="528744DF"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(.264)</w:t>
            </w:r>
          </w:p>
        </w:tc>
      </w:tr>
      <w:tr w:rsidR="00CA039A" w:rsidRPr="007115F2" w14:paraId="6E7ACE03" w14:textId="77777777" w:rsidTr="00B6286E">
        <w:trPr>
          <w:trHeight w:val="20"/>
        </w:trPr>
        <w:tc>
          <w:tcPr>
            <w:tcW w:w="3687" w:type="dxa"/>
            <w:tcBorders>
              <w:top w:val="nil"/>
              <w:left w:val="nil"/>
              <w:bottom w:val="nil"/>
              <w:right w:val="nil"/>
            </w:tcBorders>
          </w:tcPr>
          <w:p w14:paraId="21B05BD2"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tar_age</w:t>
            </w:r>
          </w:p>
        </w:tc>
        <w:tc>
          <w:tcPr>
            <w:tcW w:w="1488" w:type="dxa"/>
            <w:tcBorders>
              <w:top w:val="nil"/>
              <w:left w:val="nil"/>
              <w:bottom w:val="nil"/>
              <w:right w:val="nil"/>
            </w:tcBorders>
          </w:tcPr>
          <w:p w14:paraId="05BF49AE" w14:textId="40EC58CE"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-.0002</w:t>
            </w:r>
          </w:p>
        </w:tc>
        <w:tc>
          <w:tcPr>
            <w:tcW w:w="1488" w:type="dxa"/>
            <w:tcBorders>
              <w:top w:val="nil"/>
              <w:left w:val="nil"/>
              <w:bottom w:val="nil"/>
              <w:right w:val="nil"/>
            </w:tcBorders>
          </w:tcPr>
          <w:p w14:paraId="167A4924" w14:textId="140763DC"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-.0002</w:t>
            </w:r>
          </w:p>
        </w:tc>
        <w:tc>
          <w:tcPr>
            <w:tcW w:w="1488" w:type="dxa"/>
            <w:tcBorders>
              <w:top w:val="nil"/>
              <w:left w:val="nil"/>
              <w:bottom w:val="nil"/>
              <w:right w:val="nil"/>
            </w:tcBorders>
          </w:tcPr>
          <w:p w14:paraId="6C54B501" w14:textId="51122586"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-.0002</w:t>
            </w:r>
          </w:p>
        </w:tc>
        <w:tc>
          <w:tcPr>
            <w:tcW w:w="1489" w:type="dxa"/>
            <w:tcBorders>
              <w:top w:val="nil"/>
              <w:left w:val="nil"/>
              <w:bottom w:val="nil"/>
              <w:right w:val="nil"/>
            </w:tcBorders>
          </w:tcPr>
          <w:p w14:paraId="08B0D9C8" w14:textId="7FB95178"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-.0002</w:t>
            </w:r>
          </w:p>
        </w:tc>
      </w:tr>
      <w:tr w:rsidR="00CA039A" w:rsidRPr="007115F2" w14:paraId="538C87FD" w14:textId="77777777" w:rsidTr="00B6286E">
        <w:trPr>
          <w:trHeight w:val="20"/>
        </w:trPr>
        <w:tc>
          <w:tcPr>
            <w:tcW w:w="3687" w:type="dxa"/>
            <w:tcBorders>
              <w:top w:val="nil"/>
              <w:left w:val="nil"/>
              <w:bottom w:val="nil"/>
              <w:right w:val="nil"/>
            </w:tcBorders>
          </w:tcPr>
          <w:p w14:paraId="783E3762"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w:t>
            </w:r>
          </w:p>
        </w:tc>
        <w:tc>
          <w:tcPr>
            <w:tcW w:w="1488" w:type="dxa"/>
            <w:tcBorders>
              <w:top w:val="nil"/>
              <w:left w:val="nil"/>
              <w:bottom w:val="nil"/>
              <w:right w:val="nil"/>
            </w:tcBorders>
          </w:tcPr>
          <w:p w14:paraId="05DF92D5" w14:textId="1718EA91"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(-.326)</w:t>
            </w:r>
          </w:p>
        </w:tc>
        <w:tc>
          <w:tcPr>
            <w:tcW w:w="1488" w:type="dxa"/>
            <w:tcBorders>
              <w:top w:val="nil"/>
              <w:left w:val="nil"/>
              <w:bottom w:val="nil"/>
              <w:right w:val="nil"/>
            </w:tcBorders>
          </w:tcPr>
          <w:p w14:paraId="6D109BF7" w14:textId="30C73381"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(-.284)</w:t>
            </w:r>
          </w:p>
        </w:tc>
        <w:tc>
          <w:tcPr>
            <w:tcW w:w="1488" w:type="dxa"/>
            <w:tcBorders>
              <w:top w:val="nil"/>
              <w:left w:val="nil"/>
              <w:bottom w:val="nil"/>
              <w:right w:val="nil"/>
            </w:tcBorders>
          </w:tcPr>
          <w:p w14:paraId="313C417A" w14:textId="25253E4D"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(-.224)</w:t>
            </w:r>
          </w:p>
        </w:tc>
        <w:tc>
          <w:tcPr>
            <w:tcW w:w="1489" w:type="dxa"/>
            <w:tcBorders>
              <w:top w:val="nil"/>
              <w:left w:val="nil"/>
              <w:bottom w:val="nil"/>
              <w:right w:val="nil"/>
            </w:tcBorders>
          </w:tcPr>
          <w:p w14:paraId="6FA8AAC7" w14:textId="77C43B86"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(-.266)</w:t>
            </w:r>
          </w:p>
        </w:tc>
      </w:tr>
      <w:tr w:rsidR="00CA039A" w:rsidRPr="007115F2" w14:paraId="0083C257" w14:textId="77777777" w:rsidTr="00B6286E">
        <w:trPr>
          <w:trHeight w:val="20"/>
        </w:trPr>
        <w:tc>
          <w:tcPr>
            <w:tcW w:w="3687" w:type="dxa"/>
            <w:tcBorders>
              <w:top w:val="nil"/>
              <w:left w:val="nil"/>
              <w:bottom w:val="nil"/>
              <w:right w:val="nil"/>
            </w:tcBorders>
          </w:tcPr>
          <w:p w14:paraId="5149DD96"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tar_assets_lastyear_ln</w:t>
            </w:r>
          </w:p>
        </w:tc>
        <w:tc>
          <w:tcPr>
            <w:tcW w:w="1488" w:type="dxa"/>
            <w:tcBorders>
              <w:top w:val="nil"/>
              <w:left w:val="nil"/>
              <w:bottom w:val="nil"/>
              <w:right w:val="nil"/>
            </w:tcBorders>
          </w:tcPr>
          <w:p w14:paraId="19C693D1" w14:textId="4A5C82FD"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.100***</w:t>
            </w:r>
          </w:p>
        </w:tc>
        <w:tc>
          <w:tcPr>
            <w:tcW w:w="1488" w:type="dxa"/>
            <w:tcBorders>
              <w:top w:val="nil"/>
              <w:left w:val="nil"/>
              <w:bottom w:val="nil"/>
              <w:right w:val="nil"/>
            </w:tcBorders>
          </w:tcPr>
          <w:p w14:paraId="722187F9" w14:textId="303736CC"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.049*</w:t>
            </w:r>
          </w:p>
        </w:tc>
        <w:tc>
          <w:tcPr>
            <w:tcW w:w="1488" w:type="dxa"/>
            <w:tcBorders>
              <w:top w:val="nil"/>
              <w:left w:val="nil"/>
              <w:bottom w:val="nil"/>
              <w:right w:val="nil"/>
            </w:tcBorders>
          </w:tcPr>
          <w:p w14:paraId="0B6A4D80" w14:textId="519AFD45"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.108***</w:t>
            </w:r>
          </w:p>
        </w:tc>
        <w:tc>
          <w:tcPr>
            <w:tcW w:w="1489" w:type="dxa"/>
            <w:tcBorders>
              <w:top w:val="nil"/>
              <w:left w:val="nil"/>
              <w:bottom w:val="nil"/>
              <w:right w:val="nil"/>
            </w:tcBorders>
          </w:tcPr>
          <w:p w14:paraId="082BECAA" w14:textId="2929A8F1"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.053*</w:t>
            </w:r>
          </w:p>
        </w:tc>
      </w:tr>
      <w:tr w:rsidR="00CA039A" w:rsidRPr="007115F2" w14:paraId="70965B0B" w14:textId="77777777" w:rsidTr="00B6286E">
        <w:trPr>
          <w:trHeight w:val="20"/>
        </w:trPr>
        <w:tc>
          <w:tcPr>
            <w:tcW w:w="3687" w:type="dxa"/>
            <w:tcBorders>
              <w:top w:val="nil"/>
              <w:left w:val="nil"/>
              <w:bottom w:val="nil"/>
              <w:right w:val="nil"/>
            </w:tcBorders>
          </w:tcPr>
          <w:p w14:paraId="59C335E2"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w:t>
            </w:r>
          </w:p>
        </w:tc>
        <w:tc>
          <w:tcPr>
            <w:tcW w:w="1488" w:type="dxa"/>
            <w:tcBorders>
              <w:top w:val="nil"/>
              <w:left w:val="nil"/>
              <w:bottom w:val="nil"/>
              <w:right w:val="nil"/>
            </w:tcBorders>
          </w:tcPr>
          <w:p w14:paraId="30F6F45F" w14:textId="29C86276"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(2.853)</w:t>
            </w:r>
          </w:p>
        </w:tc>
        <w:tc>
          <w:tcPr>
            <w:tcW w:w="1488" w:type="dxa"/>
            <w:tcBorders>
              <w:top w:val="nil"/>
              <w:left w:val="nil"/>
              <w:bottom w:val="nil"/>
              <w:right w:val="nil"/>
            </w:tcBorders>
          </w:tcPr>
          <w:p w14:paraId="0D09BA94" w14:textId="57300D2E"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(1.821)</w:t>
            </w:r>
          </w:p>
        </w:tc>
        <w:tc>
          <w:tcPr>
            <w:tcW w:w="1488" w:type="dxa"/>
            <w:tcBorders>
              <w:top w:val="nil"/>
              <w:left w:val="nil"/>
              <w:bottom w:val="nil"/>
              <w:right w:val="nil"/>
            </w:tcBorders>
          </w:tcPr>
          <w:p w14:paraId="49477FFB" w14:textId="00FA8C38"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(2.837)</w:t>
            </w:r>
          </w:p>
        </w:tc>
        <w:tc>
          <w:tcPr>
            <w:tcW w:w="1489" w:type="dxa"/>
            <w:tcBorders>
              <w:top w:val="nil"/>
              <w:left w:val="nil"/>
              <w:bottom w:val="nil"/>
              <w:right w:val="nil"/>
            </w:tcBorders>
          </w:tcPr>
          <w:p w14:paraId="57058D35" w14:textId="42FACBFE"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(1.938)</w:t>
            </w:r>
          </w:p>
        </w:tc>
      </w:tr>
      <w:tr w:rsidR="00CA039A" w:rsidRPr="007115F2" w14:paraId="184416F8" w14:textId="77777777" w:rsidTr="00B6286E">
        <w:trPr>
          <w:trHeight w:val="20"/>
        </w:trPr>
        <w:tc>
          <w:tcPr>
            <w:tcW w:w="3687" w:type="dxa"/>
            <w:tcBorders>
              <w:top w:val="nil"/>
              <w:left w:val="nil"/>
              <w:bottom w:val="nil"/>
              <w:right w:val="nil"/>
            </w:tcBorders>
          </w:tcPr>
          <w:p w14:paraId="532F9B7F"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tar_roa_lastyear</w:t>
            </w:r>
          </w:p>
        </w:tc>
        <w:tc>
          <w:tcPr>
            <w:tcW w:w="1488" w:type="dxa"/>
            <w:tcBorders>
              <w:top w:val="nil"/>
              <w:left w:val="nil"/>
              <w:bottom w:val="nil"/>
              <w:right w:val="nil"/>
            </w:tcBorders>
          </w:tcPr>
          <w:p w14:paraId="646D438E" w14:textId="3D94D06F"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-.018</w:t>
            </w:r>
          </w:p>
        </w:tc>
        <w:tc>
          <w:tcPr>
            <w:tcW w:w="1488" w:type="dxa"/>
            <w:tcBorders>
              <w:top w:val="nil"/>
              <w:left w:val="nil"/>
              <w:bottom w:val="nil"/>
              <w:right w:val="nil"/>
            </w:tcBorders>
          </w:tcPr>
          <w:p w14:paraId="4EC5986B" w14:textId="3DF72927"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-.049</w:t>
            </w:r>
          </w:p>
        </w:tc>
        <w:tc>
          <w:tcPr>
            <w:tcW w:w="1488" w:type="dxa"/>
            <w:tcBorders>
              <w:top w:val="nil"/>
              <w:left w:val="nil"/>
              <w:bottom w:val="nil"/>
              <w:right w:val="nil"/>
            </w:tcBorders>
          </w:tcPr>
          <w:p w14:paraId="0D75280D" w14:textId="6DEB8128"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.007</w:t>
            </w:r>
          </w:p>
        </w:tc>
        <w:tc>
          <w:tcPr>
            <w:tcW w:w="1489" w:type="dxa"/>
            <w:tcBorders>
              <w:top w:val="nil"/>
              <w:left w:val="nil"/>
              <w:bottom w:val="nil"/>
              <w:right w:val="nil"/>
            </w:tcBorders>
          </w:tcPr>
          <w:p w14:paraId="628E32C4" w14:textId="2AA6F28D"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-.026</w:t>
            </w:r>
          </w:p>
        </w:tc>
      </w:tr>
      <w:tr w:rsidR="00CA039A" w:rsidRPr="007115F2" w14:paraId="342CB0C3" w14:textId="77777777" w:rsidTr="00B6286E">
        <w:trPr>
          <w:trHeight w:val="20"/>
        </w:trPr>
        <w:tc>
          <w:tcPr>
            <w:tcW w:w="3687" w:type="dxa"/>
            <w:tcBorders>
              <w:top w:val="nil"/>
              <w:left w:val="nil"/>
              <w:bottom w:val="nil"/>
              <w:right w:val="nil"/>
            </w:tcBorders>
          </w:tcPr>
          <w:p w14:paraId="0731DCEC"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w:t>
            </w:r>
          </w:p>
        </w:tc>
        <w:tc>
          <w:tcPr>
            <w:tcW w:w="1488" w:type="dxa"/>
            <w:tcBorders>
              <w:top w:val="nil"/>
              <w:left w:val="nil"/>
              <w:bottom w:val="nil"/>
              <w:right w:val="nil"/>
            </w:tcBorders>
          </w:tcPr>
          <w:p w14:paraId="1EF4FF63" w14:textId="4984D53B"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(-.341)</w:t>
            </w:r>
          </w:p>
        </w:tc>
        <w:tc>
          <w:tcPr>
            <w:tcW w:w="1488" w:type="dxa"/>
            <w:tcBorders>
              <w:top w:val="nil"/>
              <w:left w:val="nil"/>
              <w:bottom w:val="nil"/>
              <w:right w:val="nil"/>
            </w:tcBorders>
          </w:tcPr>
          <w:p w14:paraId="37F62E8A" w14:textId="60B0CEC1"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(-1.276)</w:t>
            </w:r>
          </w:p>
        </w:tc>
        <w:tc>
          <w:tcPr>
            <w:tcW w:w="1488" w:type="dxa"/>
            <w:tcBorders>
              <w:top w:val="nil"/>
              <w:left w:val="nil"/>
              <w:bottom w:val="nil"/>
              <w:right w:val="nil"/>
            </w:tcBorders>
          </w:tcPr>
          <w:p w14:paraId="7A643919" w14:textId="53C85730"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(.108)</w:t>
            </w:r>
          </w:p>
        </w:tc>
        <w:tc>
          <w:tcPr>
            <w:tcW w:w="1489" w:type="dxa"/>
            <w:tcBorders>
              <w:top w:val="nil"/>
              <w:left w:val="nil"/>
              <w:bottom w:val="nil"/>
              <w:right w:val="nil"/>
            </w:tcBorders>
          </w:tcPr>
          <w:p w14:paraId="71EF7388" w14:textId="06323054"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(-.605)</w:t>
            </w:r>
          </w:p>
        </w:tc>
      </w:tr>
      <w:tr w:rsidR="00CA039A" w:rsidRPr="007115F2" w14:paraId="6A8A1CC8" w14:textId="77777777" w:rsidTr="00B6286E">
        <w:trPr>
          <w:trHeight w:val="20"/>
        </w:trPr>
        <w:tc>
          <w:tcPr>
            <w:tcW w:w="3687" w:type="dxa"/>
            <w:tcBorders>
              <w:top w:val="nil"/>
              <w:left w:val="nil"/>
              <w:bottom w:val="nil"/>
              <w:right w:val="nil"/>
            </w:tcBorders>
          </w:tcPr>
          <w:p w14:paraId="3185EDB3"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tar_mbratio</w:t>
            </w:r>
          </w:p>
        </w:tc>
        <w:tc>
          <w:tcPr>
            <w:tcW w:w="1488" w:type="dxa"/>
            <w:tcBorders>
              <w:top w:val="nil"/>
              <w:left w:val="nil"/>
              <w:bottom w:val="nil"/>
              <w:right w:val="nil"/>
            </w:tcBorders>
          </w:tcPr>
          <w:p w14:paraId="79FCC317" w14:textId="6F9450FE"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.005</w:t>
            </w:r>
          </w:p>
        </w:tc>
        <w:tc>
          <w:tcPr>
            <w:tcW w:w="1488" w:type="dxa"/>
            <w:tcBorders>
              <w:top w:val="nil"/>
              <w:left w:val="nil"/>
              <w:bottom w:val="nil"/>
              <w:right w:val="nil"/>
            </w:tcBorders>
          </w:tcPr>
          <w:p w14:paraId="70D54C1A" w14:textId="5BD3B6F6"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.002*</w:t>
            </w:r>
          </w:p>
        </w:tc>
        <w:tc>
          <w:tcPr>
            <w:tcW w:w="1488" w:type="dxa"/>
            <w:tcBorders>
              <w:top w:val="nil"/>
              <w:left w:val="nil"/>
              <w:bottom w:val="nil"/>
              <w:right w:val="nil"/>
            </w:tcBorders>
          </w:tcPr>
          <w:p w14:paraId="41D5804D" w14:textId="114D1CBE"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.005</w:t>
            </w:r>
          </w:p>
        </w:tc>
        <w:tc>
          <w:tcPr>
            <w:tcW w:w="1489" w:type="dxa"/>
            <w:tcBorders>
              <w:top w:val="nil"/>
              <w:left w:val="nil"/>
              <w:bottom w:val="nil"/>
              <w:right w:val="nil"/>
            </w:tcBorders>
          </w:tcPr>
          <w:p w14:paraId="36A7D161" w14:textId="7F5ABB12"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.002*</w:t>
            </w:r>
          </w:p>
        </w:tc>
      </w:tr>
      <w:tr w:rsidR="00CA039A" w:rsidRPr="007115F2" w14:paraId="67208C5D" w14:textId="77777777" w:rsidTr="00B6286E">
        <w:trPr>
          <w:trHeight w:val="20"/>
        </w:trPr>
        <w:tc>
          <w:tcPr>
            <w:tcW w:w="3687" w:type="dxa"/>
            <w:tcBorders>
              <w:top w:val="nil"/>
              <w:left w:val="nil"/>
              <w:bottom w:val="nil"/>
              <w:right w:val="nil"/>
            </w:tcBorders>
          </w:tcPr>
          <w:p w14:paraId="4F7F06BD"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w:t>
            </w:r>
          </w:p>
        </w:tc>
        <w:tc>
          <w:tcPr>
            <w:tcW w:w="1488" w:type="dxa"/>
            <w:tcBorders>
              <w:top w:val="nil"/>
              <w:left w:val="nil"/>
              <w:bottom w:val="nil"/>
              <w:right w:val="nil"/>
            </w:tcBorders>
          </w:tcPr>
          <w:p w14:paraId="57325195" w14:textId="428973DF"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(1.563)</w:t>
            </w:r>
          </w:p>
        </w:tc>
        <w:tc>
          <w:tcPr>
            <w:tcW w:w="1488" w:type="dxa"/>
            <w:tcBorders>
              <w:top w:val="nil"/>
              <w:left w:val="nil"/>
              <w:bottom w:val="nil"/>
              <w:right w:val="nil"/>
            </w:tcBorders>
          </w:tcPr>
          <w:p w14:paraId="4070A190" w14:textId="5FDD853C"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(1.859)</w:t>
            </w:r>
          </w:p>
        </w:tc>
        <w:tc>
          <w:tcPr>
            <w:tcW w:w="1488" w:type="dxa"/>
            <w:tcBorders>
              <w:top w:val="nil"/>
              <w:left w:val="nil"/>
              <w:bottom w:val="nil"/>
              <w:right w:val="nil"/>
            </w:tcBorders>
          </w:tcPr>
          <w:p w14:paraId="3BF2E263" w14:textId="3C339A58"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(1.628)</w:t>
            </w:r>
          </w:p>
        </w:tc>
        <w:tc>
          <w:tcPr>
            <w:tcW w:w="1489" w:type="dxa"/>
            <w:tcBorders>
              <w:top w:val="nil"/>
              <w:left w:val="nil"/>
              <w:bottom w:val="nil"/>
              <w:right w:val="nil"/>
            </w:tcBorders>
          </w:tcPr>
          <w:p w14:paraId="6FE3B7F8" w14:textId="11B1C275"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rPr>
              <w:t>(1.787)</w:t>
            </w:r>
          </w:p>
        </w:tc>
      </w:tr>
      <w:tr w:rsidR="00CA039A" w:rsidRPr="007115F2" w14:paraId="6A691FFC" w14:textId="77777777" w:rsidTr="00B6286E">
        <w:trPr>
          <w:trHeight w:val="20"/>
        </w:trPr>
        <w:tc>
          <w:tcPr>
            <w:tcW w:w="3687" w:type="dxa"/>
            <w:tcBorders>
              <w:top w:val="nil"/>
              <w:left w:val="nil"/>
              <w:bottom w:val="nil"/>
              <w:right w:val="nil"/>
            </w:tcBorders>
          </w:tcPr>
          <w:p w14:paraId="66B5B834"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Observations</w:t>
            </w:r>
          </w:p>
        </w:tc>
        <w:tc>
          <w:tcPr>
            <w:tcW w:w="1488" w:type="dxa"/>
            <w:tcBorders>
              <w:top w:val="nil"/>
              <w:left w:val="nil"/>
              <w:bottom w:val="nil"/>
              <w:right w:val="nil"/>
            </w:tcBorders>
          </w:tcPr>
          <w:p w14:paraId="64689CB9" w14:textId="4F2BA1D5"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lang w:val="en-US"/>
              </w:rPr>
              <w:t>182</w:t>
            </w:r>
          </w:p>
        </w:tc>
        <w:tc>
          <w:tcPr>
            <w:tcW w:w="1488" w:type="dxa"/>
            <w:tcBorders>
              <w:top w:val="nil"/>
              <w:left w:val="nil"/>
              <w:bottom w:val="nil"/>
              <w:right w:val="nil"/>
            </w:tcBorders>
          </w:tcPr>
          <w:p w14:paraId="1C514C63" w14:textId="1D423531"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lang w:val="en-US"/>
              </w:rPr>
              <w:t>131</w:t>
            </w:r>
          </w:p>
        </w:tc>
        <w:tc>
          <w:tcPr>
            <w:tcW w:w="1488" w:type="dxa"/>
            <w:tcBorders>
              <w:top w:val="nil"/>
              <w:left w:val="nil"/>
              <w:bottom w:val="nil"/>
              <w:right w:val="nil"/>
            </w:tcBorders>
          </w:tcPr>
          <w:p w14:paraId="75EC2A02" w14:textId="51C1BE95"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lang w:val="en-US"/>
              </w:rPr>
              <w:t>182</w:t>
            </w:r>
          </w:p>
        </w:tc>
        <w:tc>
          <w:tcPr>
            <w:tcW w:w="1489" w:type="dxa"/>
            <w:tcBorders>
              <w:top w:val="nil"/>
              <w:left w:val="nil"/>
              <w:bottom w:val="nil"/>
              <w:right w:val="nil"/>
            </w:tcBorders>
          </w:tcPr>
          <w:p w14:paraId="001489D7" w14:textId="2DCBEE98"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lang w:val="en-US"/>
              </w:rPr>
              <w:t>131</w:t>
            </w:r>
          </w:p>
        </w:tc>
      </w:tr>
      <w:tr w:rsidR="00CA039A" w:rsidRPr="007115F2" w14:paraId="44006463" w14:textId="77777777" w:rsidTr="00B6286E">
        <w:trPr>
          <w:trHeight w:val="20"/>
        </w:trPr>
        <w:tc>
          <w:tcPr>
            <w:tcW w:w="3687" w:type="dxa"/>
            <w:tcBorders>
              <w:top w:val="nil"/>
              <w:left w:val="nil"/>
              <w:bottom w:val="nil"/>
              <w:right w:val="nil"/>
            </w:tcBorders>
          </w:tcPr>
          <w:p w14:paraId="5DFD0493"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Adj R2</w:t>
            </w:r>
          </w:p>
        </w:tc>
        <w:tc>
          <w:tcPr>
            <w:tcW w:w="1488" w:type="dxa"/>
            <w:tcBorders>
              <w:top w:val="nil"/>
              <w:left w:val="nil"/>
              <w:bottom w:val="nil"/>
              <w:right w:val="nil"/>
            </w:tcBorders>
            <w:vAlign w:val="center"/>
          </w:tcPr>
          <w:p w14:paraId="4EA5692C" w14:textId="524DDF13"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lang w:val="en-US"/>
              </w:rPr>
              <w:t>.411</w:t>
            </w:r>
          </w:p>
        </w:tc>
        <w:tc>
          <w:tcPr>
            <w:tcW w:w="1488" w:type="dxa"/>
            <w:tcBorders>
              <w:top w:val="nil"/>
              <w:left w:val="nil"/>
              <w:bottom w:val="nil"/>
              <w:right w:val="nil"/>
            </w:tcBorders>
            <w:vAlign w:val="center"/>
          </w:tcPr>
          <w:p w14:paraId="3AC09ACC" w14:textId="43DBF701"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lang w:val="en-US"/>
              </w:rPr>
              <w:t>.255</w:t>
            </w:r>
          </w:p>
        </w:tc>
        <w:tc>
          <w:tcPr>
            <w:tcW w:w="1488" w:type="dxa"/>
            <w:tcBorders>
              <w:top w:val="nil"/>
              <w:left w:val="nil"/>
              <w:bottom w:val="nil"/>
              <w:right w:val="nil"/>
            </w:tcBorders>
            <w:vAlign w:val="center"/>
          </w:tcPr>
          <w:p w14:paraId="09FF4779" w14:textId="51B858C1"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lang w:val="en-US"/>
              </w:rPr>
              <w:t>.402</w:t>
            </w:r>
          </w:p>
        </w:tc>
        <w:tc>
          <w:tcPr>
            <w:tcW w:w="1489" w:type="dxa"/>
            <w:tcBorders>
              <w:top w:val="nil"/>
              <w:left w:val="nil"/>
              <w:bottom w:val="nil"/>
              <w:right w:val="nil"/>
            </w:tcBorders>
            <w:vAlign w:val="center"/>
          </w:tcPr>
          <w:p w14:paraId="2165ABC0" w14:textId="17008EF0"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lang w:val="en-US"/>
              </w:rPr>
              <w:t>.226</w:t>
            </w:r>
          </w:p>
        </w:tc>
      </w:tr>
      <w:tr w:rsidR="00CA039A" w:rsidRPr="007115F2" w14:paraId="5CFAB439" w14:textId="77777777" w:rsidTr="00B6286E">
        <w:trPr>
          <w:trHeight w:val="20"/>
        </w:trPr>
        <w:tc>
          <w:tcPr>
            <w:tcW w:w="3687" w:type="dxa"/>
            <w:tcBorders>
              <w:top w:val="nil"/>
              <w:left w:val="nil"/>
              <w:right w:val="nil"/>
            </w:tcBorders>
          </w:tcPr>
          <w:p w14:paraId="5E17FB1C"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t xml:space="preserve"> Industry FE</w:t>
            </w:r>
          </w:p>
        </w:tc>
        <w:tc>
          <w:tcPr>
            <w:tcW w:w="1488" w:type="dxa"/>
            <w:tcBorders>
              <w:top w:val="nil"/>
              <w:left w:val="nil"/>
              <w:right w:val="nil"/>
            </w:tcBorders>
          </w:tcPr>
          <w:p w14:paraId="59095682" w14:textId="1F4FCBB1"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lang w:val="en-US"/>
              </w:rPr>
              <w:t>Yes</w:t>
            </w:r>
          </w:p>
        </w:tc>
        <w:tc>
          <w:tcPr>
            <w:tcW w:w="1488" w:type="dxa"/>
            <w:tcBorders>
              <w:top w:val="nil"/>
              <w:left w:val="nil"/>
              <w:right w:val="nil"/>
            </w:tcBorders>
          </w:tcPr>
          <w:p w14:paraId="5648A44C" w14:textId="3F90AE84"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lang w:val="en-US"/>
              </w:rPr>
              <w:t>Yes</w:t>
            </w:r>
          </w:p>
        </w:tc>
        <w:tc>
          <w:tcPr>
            <w:tcW w:w="1488" w:type="dxa"/>
            <w:tcBorders>
              <w:top w:val="nil"/>
              <w:left w:val="nil"/>
              <w:right w:val="nil"/>
            </w:tcBorders>
          </w:tcPr>
          <w:p w14:paraId="3BD3E71A" w14:textId="57EC2493"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lang w:val="en-US"/>
              </w:rPr>
              <w:t>Yes</w:t>
            </w:r>
          </w:p>
        </w:tc>
        <w:tc>
          <w:tcPr>
            <w:tcW w:w="1489" w:type="dxa"/>
            <w:tcBorders>
              <w:top w:val="nil"/>
              <w:left w:val="nil"/>
              <w:right w:val="nil"/>
            </w:tcBorders>
          </w:tcPr>
          <w:p w14:paraId="4B55B513" w14:textId="5FA29781"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lang w:val="en-US"/>
              </w:rPr>
              <w:t>Yes</w:t>
            </w:r>
          </w:p>
        </w:tc>
      </w:tr>
      <w:tr w:rsidR="00CA039A" w:rsidRPr="007115F2" w14:paraId="35940626" w14:textId="77777777" w:rsidTr="00B6286E">
        <w:trPr>
          <w:trHeight w:val="20"/>
        </w:trPr>
        <w:tc>
          <w:tcPr>
            <w:tcW w:w="3687" w:type="dxa"/>
            <w:tcBorders>
              <w:top w:val="nil"/>
              <w:left w:val="nil"/>
              <w:bottom w:val="single" w:sz="4" w:space="0" w:color="auto"/>
              <w:right w:val="nil"/>
            </w:tcBorders>
          </w:tcPr>
          <w:p w14:paraId="18E0D86F" w14:textId="77777777" w:rsidR="00CA039A" w:rsidRPr="007115F2" w:rsidRDefault="00CA039A" w:rsidP="00CA039A">
            <w:pPr>
              <w:widowControl w:val="0"/>
              <w:autoSpaceDE w:val="0"/>
              <w:autoSpaceDN w:val="0"/>
              <w:adjustRightInd w:val="0"/>
              <w:spacing w:line="240" w:lineRule="auto"/>
              <w:rPr>
                <w:color w:val="000000" w:themeColor="text1"/>
                <w:sz w:val="22"/>
                <w:lang w:val="en-US"/>
              </w:rPr>
            </w:pPr>
            <w:r w:rsidRPr="007E6AC7">
              <w:rPr>
                <w:color w:val="000000" w:themeColor="text1"/>
                <w:sz w:val="22"/>
                <w:lang w:val="en-US"/>
              </w:rPr>
              <w:lastRenderedPageBreak/>
              <w:t xml:space="preserve"> Year FE</w:t>
            </w:r>
          </w:p>
        </w:tc>
        <w:tc>
          <w:tcPr>
            <w:tcW w:w="1488" w:type="dxa"/>
            <w:tcBorders>
              <w:top w:val="nil"/>
              <w:left w:val="nil"/>
              <w:bottom w:val="single" w:sz="4" w:space="0" w:color="auto"/>
              <w:right w:val="nil"/>
            </w:tcBorders>
          </w:tcPr>
          <w:p w14:paraId="04DBD91E" w14:textId="07513EBD"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lang w:val="en-US"/>
              </w:rPr>
              <w:t>Yes</w:t>
            </w:r>
          </w:p>
        </w:tc>
        <w:tc>
          <w:tcPr>
            <w:tcW w:w="1488" w:type="dxa"/>
            <w:tcBorders>
              <w:top w:val="nil"/>
              <w:left w:val="nil"/>
              <w:bottom w:val="single" w:sz="4" w:space="0" w:color="auto"/>
              <w:right w:val="nil"/>
            </w:tcBorders>
          </w:tcPr>
          <w:p w14:paraId="01250F9F" w14:textId="0917074A"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lang w:val="en-US"/>
              </w:rPr>
              <w:t>Yes</w:t>
            </w:r>
          </w:p>
        </w:tc>
        <w:tc>
          <w:tcPr>
            <w:tcW w:w="1488" w:type="dxa"/>
            <w:tcBorders>
              <w:top w:val="nil"/>
              <w:left w:val="nil"/>
              <w:bottom w:val="single" w:sz="4" w:space="0" w:color="auto"/>
              <w:right w:val="nil"/>
            </w:tcBorders>
          </w:tcPr>
          <w:p w14:paraId="05D4F153" w14:textId="58E3261B"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lang w:val="en-US"/>
              </w:rPr>
              <w:t xml:space="preserve"> Yes</w:t>
            </w:r>
          </w:p>
        </w:tc>
        <w:tc>
          <w:tcPr>
            <w:tcW w:w="1489" w:type="dxa"/>
            <w:tcBorders>
              <w:top w:val="nil"/>
              <w:left w:val="nil"/>
              <w:bottom w:val="single" w:sz="4" w:space="0" w:color="auto"/>
              <w:right w:val="nil"/>
            </w:tcBorders>
          </w:tcPr>
          <w:p w14:paraId="553AB739" w14:textId="4DDB08DE" w:rsidR="00CA039A" w:rsidRPr="007115F2" w:rsidRDefault="00CA039A" w:rsidP="00CA039A">
            <w:pPr>
              <w:widowControl w:val="0"/>
              <w:autoSpaceDE w:val="0"/>
              <w:autoSpaceDN w:val="0"/>
              <w:adjustRightInd w:val="0"/>
              <w:spacing w:line="240" w:lineRule="auto"/>
              <w:jc w:val="center"/>
              <w:rPr>
                <w:color w:val="000000" w:themeColor="text1"/>
                <w:sz w:val="22"/>
                <w:lang w:val="en-US"/>
              </w:rPr>
            </w:pPr>
            <w:r w:rsidRPr="00CE03DC">
              <w:rPr>
                <w:color w:val="000000" w:themeColor="text1"/>
                <w:sz w:val="22"/>
                <w:lang w:val="en-US"/>
              </w:rPr>
              <w:t xml:space="preserve"> Yes</w:t>
            </w:r>
          </w:p>
        </w:tc>
      </w:tr>
      <w:tr w:rsidR="00CA039A" w:rsidRPr="00BE5632" w14:paraId="62C1C3E0" w14:textId="77777777" w:rsidTr="00B6286E">
        <w:trPr>
          <w:trHeight w:val="20"/>
        </w:trPr>
        <w:tc>
          <w:tcPr>
            <w:tcW w:w="9640" w:type="dxa"/>
            <w:gridSpan w:val="5"/>
            <w:tcBorders>
              <w:top w:val="single" w:sz="4" w:space="0" w:color="auto"/>
              <w:left w:val="nil"/>
              <w:right w:val="nil"/>
            </w:tcBorders>
          </w:tcPr>
          <w:p w14:paraId="67D49E17" w14:textId="7A73AB83" w:rsidR="00CA039A" w:rsidRPr="00CE03DC" w:rsidRDefault="00CA039A" w:rsidP="00D137E4">
            <w:pPr>
              <w:widowControl w:val="0"/>
              <w:autoSpaceDE w:val="0"/>
              <w:autoSpaceDN w:val="0"/>
              <w:adjustRightInd w:val="0"/>
              <w:spacing w:line="240" w:lineRule="auto"/>
              <w:rPr>
                <w:color w:val="000000" w:themeColor="text1"/>
                <w:sz w:val="22"/>
                <w:lang w:val="en-US"/>
              </w:rPr>
            </w:pPr>
            <w:r w:rsidRPr="00CE03DC">
              <w:rPr>
                <w:i/>
                <w:iCs/>
                <w:color w:val="000000" w:themeColor="text1"/>
                <w:sz w:val="22"/>
                <w:lang w:val="en-US"/>
              </w:rPr>
              <w:t>Note</w:t>
            </w:r>
            <w:r w:rsidRPr="00CE03DC">
              <w:rPr>
                <w:color w:val="000000" w:themeColor="text1"/>
                <w:sz w:val="22"/>
                <w:lang w:val="en-US"/>
              </w:rPr>
              <w:t xml:space="preserve">. This table reports fixed effects linear OLS regression results predicting the effect of organizational cultural distance between acquirers and targets on long-term synergy gains. The dependent variable for Models 1 and 3 is the acquirer’s growth in return on sales two years after deal completion. The dependent variable for Models 2 and 4 is the acquirer’s growth in return on sales four years after deal completion. The main independent variable in Model 1 and 2 is </w:t>
            </w:r>
            <w:r w:rsidRPr="00CE03DC">
              <w:rPr>
                <w:i/>
                <w:color w:val="000000" w:themeColor="text1"/>
                <w:sz w:val="22"/>
                <w:lang w:val="en-US"/>
              </w:rPr>
              <w:t>deal_culturaldistance</w:t>
            </w:r>
            <w:r w:rsidRPr="00CE03DC">
              <w:rPr>
                <w:color w:val="000000" w:themeColor="text1"/>
                <w:sz w:val="22"/>
                <w:lang w:val="en-US"/>
              </w:rPr>
              <w:t>, with higher values indicating higher cultural dissimilarities between the acquirer and target. The main independent variables in Models 3 and 4 are the absolute cultural differences (in the four Competing Values Framework categories clan, adhocracy, market, hierarchy) between the acquirer and target. A detailed variable description can be found in Appendix B. Constant terms are estimated but not reported. We include the acquirer’s industry and year fixed effects in all models. We cluster standard errors at the 2-digit SIC industry level. t-statistics are reported in parentheses below the coefficients. *, **, *** denote statistical significance at the .10, .05, and .01 levels (using two-tailed tests).</w:t>
            </w:r>
          </w:p>
        </w:tc>
      </w:tr>
    </w:tbl>
    <w:p w14:paraId="2615F92F" w14:textId="77777777" w:rsidR="00F334E6" w:rsidRDefault="00F334E6">
      <w:pPr>
        <w:spacing w:after="160" w:line="259" w:lineRule="auto"/>
        <w:jc w:val="left"/>
        <w:rPr>
          <w:rStyle w:val="SchwacherVerweis"/>
          <w:rFonts w:eastAsiaTheme="majorEastAsia" w:cstheme="majorBidi"/>
          <w:b/>
          <w:caps/>
          <w:smallCaps w:val="0"/>
          <w:color w:val="auto"/>
          <w:szCs w:val="32"/>
          <w:lang w:val="en-US"/>
        </w:rPr>
      </w:pPr>
      <w:r w:rsidRPr="005F2718">
        <w:rPr>
          <w:rStyle w:val="SchwacherVerweis"/>
          <w:smallCaps w:val="0"/>
          <w:color w:val="auto"/>
          <w:lang w:val="en-US"/>
        </w:rPr>
        <w:br w:type="page"/>
      </w:r>
    </w:p>
    <w:p w14:paraId="2ABA5853" w14:textId="2199D891" w:rsidR="00D14819" w:rsidRPr="00D14819" w:rsidRDefault="00D14819" w:rsidP="00D14819">
      <w:pPr>
        <w:pStyle w:val="1fake"/>
        <w:rPr>
          <w:rStyle w:val="SchwacherVerweis"/>
          <w:smallCaps w:val="0"/>
          <w:color w:val="auto"/>
        </w:rPr>
      </w:pPr>
      <w:r w:rsidRPr="00D14819">
        <w:rPr>
          <w:rStyle w:val="SchwacherVerweis"/>
          <w:smallCaps w:val="0"/>
          <w:color w:val="auto"/>
        </w:rPr>
        <w:lastRenderedPageBreak/>
        <w:t>Table 7</w:t>
      </w:r>
    </w:p>
    <w:p w14:paraId="577D268E" w14:textId="157E9EA1" w:rsidR="00D14819" w:rsidRDefault="00106E8D" w:rsidP="00A427E8">
      <w:pPr>
        <w:pStyle w:val="Beschriftung"/>
        <w:rPr>
          <w:rStyle w:val="SchwacherVerweis"/>
          <w:smallCaps w:val="0"/>
          <w:color w:val="auto"/>
        </w:rPr>
      </w:pPr>
      <w:bookmarkStart w:id="615" w:name="_Toc180594843"/>
      <w:r>
        <w:t xml:space="preserve">T - III - </w:t>
      </w:r>
      <w:r>
        <w:fldChar w:fldCharType="begin"/>
      </w:r>
      <w:r w:rsidRPr="00A427E8">
        <w:instrText xml:space="preserve"> SEQ T_-_III_- \* ARABIC </w:instrText>
      </w:r>
      <w:r>
        <w:fldChar w:fldCharType="separate"/>
      </w:r>
      <w:r w:rsidR="00E91088">
        <w:rPr>
          <w:noProof/>
        </w:rPr>
        <w:t>7</w:t>
      </w:r>
      <w:r>
        <w:fldChar w:fldCharType="end"/>
      </w:r>
      <w:r>
        <w:t xml:space="preserve">: </w:t>
      </w:r>
      <w:r w:rsidRPr="001749F9">
        <w:t>H2: Acquisition premium</w:t>
      </w:r>
      <w:r w:rsidR="00A427E8">
        <w:t>s</w:t>
      </w:r>
      <w:bookmarkEnd w:id="615"/>
    </w:p>
    <w:tbl>
      <w:tblPr>
        <w:tblW w:w="9072" w:type="dxa"/>
        <w:tblLayout w:type="fixed"/>
        <w:tblLook w:val="0000" w:firstRow="0" w:lastRow="0" w:firstColumn="0" w:lastColumn="0" w:noHBand="0" w:noVBand="0"/>
      </w:tblPr>
      <w:tblGrid>
        <w:gridCol w:w="2835"/>
        <w:gridCol w:w="1039"/>
        <w:gridCol w:w="1040"/>
        <w:gridCol w:w="1039"/>
        <w:gridCol w:w="1040"/>
        <w:gridCol w:w="1039"/>
        <w:gridCol w:w="1040"/>
      </w:tblGrid>
      <w:tr w:rsidR="00F334E6" w:rsidRPr="007115F2" w14:paraId="3CFCCED6" w14:textId="7B0B40AD" w:rsidTr="00B6286E">
        <w:trPr>
          <w:trHeight w:val="20"/>
        </w:trPr>
        <w:tc>
          <w:tcPr>
            <w:tcW w:w="2835" w:type="dxa"/>
            <w:tcBorders>
              <w:top w:val="single" w:sz="4" w:space="0" w:color="auto"/>
              <w:left w:val="nil"/>
              <w:right w:val="nil"/>
            </w:tcBorders>
          </w:tcPr>
          <w:p w14:paraId="37B9BE9C" w14:textId="48FC7000" w:rsidR="00F334E6" w:rsidRPr="007115F2" w:rsidRDefault="00F334E6" w:rsidP="00F334E6">
            <w:pPr>
              <w:widowControl w:val="0"/>
              <w:autoSpaceDE w:val="0"/>
              <w:autoSpaceDN w:val="0"/>
              <w:adjustRightInd w:val="0"/>
              <w:spacing w:line="240" w:lineRule="auto"/>
              <w:rPr>
                <w:b/>
                <w:bCs/>
                <w:color w:val="000000" w:themeColor="text1"/>
                <w:sz w:val="22"/>
                <w:lang w:val="en-US"/>
              </w:rPr>
            </w:pPr>
            <w:r w:rsidRPr="00D049B6">
              <w:rPr>
                <w:rFonts w:cs="Times New Roman"/>
                <w:b/>
                <w:bCs/>
                <w:color w:val="000000" w:themeColor="text1"/>
                <w:sz w:val="22"/>
                <w:lang w:val="en-US"/>
              </w:rPr>
              <w:t xml:space="preserve">   </w:t>
            </w:r>
          </w:p>
        </w:tc>
        <w:tc>
          <w:tcPr>
            <w:tcW w:w="1039" w:type="dxa"/>
            <w:tcBorders>
              <w:top w:val="single" w:sz="4" w:space="0" w:color="auto"/>
              <w:left w:val="nil"/>
              <w:right w:val="nil"/>
            </w:tcBorders>
          </w:tcPr>
          <w:p w14:paraId="6BD2332C" w14:textId="15EBB805" w:rsidR="00F334E6" w:rsidRPr="007115F2" w:rsidRDefault="00F334E6" w:rsidP="00F334E6">
            <w:pPr>
              <w:widowControl w:val="0"/>
              <w:autoSpaceDE w:val="0"/>
              <w:autoSpaceDN w:val="0"/>
              <w:adjustRightInd w:val="0"/>
              <w:spacing w:line="240" w:lineRule="auto"/>
              <w:jc w:val="center"/>
              <w:rPr>
                <w:b/>
                <w:bCs/>
                <w:color w:val="000000" w:themeColor="text1"/>
                <w:sz w:val="22"/>
                <w:lang w:val="en-US"/>
              </w:rPr>
            </w:pPr>
            <w:r w:rsidRPr="00D049B6">
              <w:rPr>
                <w:rFonts w:cs="Times New Roman"/>
                <w:b/>
                <w:bCs/>
                <w:color w:val="000000" w:themeColor="text1"/>
                <w:sz w:val="22"/>
                <w:lang w:val="en-US"/>
              </w:rPr>
              <w:t xml:space="preserve">  (1)</w:t>
            </w:r>
          </w:p>
        </w:tc>
        <w:tc>
          <w:tcPr>
            <w:tcW w:w="1040" w:type="dxa"/>
            <w:tcBorders>
              <w:top w:val="single" w:sz="4" w:space="0" w:color="auto"/>
              <w:left w:val="nil"/>
              <w:right w:val="nil"/>
            </w:tcBorders>
          </w:tcPr>
          <w:p w14:paraId="7A020A47" w14:textId="7371087C" w:rsidR="00F334E6" w:rsidRPr="007115F2" w:rsidRDefault="00F334E6" w:rsidP="00F334E6">
            <w:pPr>
              <w:widowControl w:val="0"/>
              <w:autoSpaceDE w:val="0"/>
              <w:autoSpaceDN w:val="0"/>
              <w:adjustRightInd w:val="0"/>
              <w:spacing w:line="240" w:lineRule="auto"/>
              <w:jc w:val="center"/>
              <w:rPr>
                <w:b/>
                <w:bCs/>
                <w:color w:val="000000" w:themeColor="text1"/>
                <w:sz w:val="22"/>
                <w:lang w:val="en-US"/>
              </w:rPr>
            </w:pPr>
            <w:r w:rsidRPr="00D049B6">
              <w:rPr>
                <w:rFonts w:cs="Times New Roman"/>
                <w:b/>
                <w:bCs/>
                <w:color w:val="000000" w:themeColor="text1"/>
                <w:sz w:val="22"/>
                <w:lang w:val="en-US"/>
              </w:rPr>
              <w:t xml:space="preserve">  (2)</w:t>
            </w:r>
          </w:p>
        </w:tc>
        <w:tc>
          <w:tcPr>
            <w:tcW w:w="1039" w:type="dxa"/>
            <w:tcBorders>
              <w:top w:val="single" w:sz="4" w:space="0" w:color="auto"/>
              <w:left w:val="nil"/>
              <w:right w:val="nil"/>
            </w:tcBorders>
          </w:tcPr>
          <w:p w14:paraId="3B514A31" w14:textId="315274A8" w:rsidR="00F334E6" w:rsidRPr="007115F2" w:rsidRDefault="00F334E6" w:rsidP="00F334E6">
            <w:pPr>
              <w:widowControl w:val="0"/>
              <w:autoSpaceDE w:val="0"/>
              <w:autoSpaceDN w:val="0"/>
              <w:adjustRightInd w:val="0"/>
              <w:spacing w:line="240" w:lineRule="auto"/>
              <w:jc w:val="center"/>
              <w:rPr>
                <w:b/>
                <w:bCs/>
                <w:color w:val="000000" w:themeColor="text1"/>
                <w:sz w:val="22"/>
                <w:lang w:val="en-US"/>
              </w:rPr>
            </w:pPr>
            <w:r w:rsidRPr="00D049B6">
              <w:rPr>
                <w:rFonts w:cs="Times New Roman"/>
                <w:b/>
                <w:bCs/>
                <w:color w:val="000000" w:themeColor="text1"/>
                <w:sz w:val="22"/>
                <w:lang w:val="en-US"/>
              </w:rPr>
              <w:t xml:space="preserve">  (3)</w:t>
            </w:r>
          </w:p>
        </w:tc>
        <w:tc>
          <w:tcPr>
            <w:tcW w:w="1040" w:type="dxa"/>
            <w:tcBorders>
              <w:top w:val="single" w:sz="4" w:space="0" w:color="auto"/>
              <w:left w:val="nil"/>
              <w:right w:val="nil"/>
            </w:tcBorders>
          </w:tcPr>
          <w:p w14:paraId="38981224" w14:textId="42072166" w:rsidR="00F334E6" w:rsidRPr="007115F2" w:rsidRDefault="00F334E6" w:rsidP="00F334E6">
            <w:pPr>
              <w:widowControl w:val="0"/>
              <w:autoSpaceDE w:val="0"/>
              <w:autoSpaceDN w:val="0"/>
              <w:adjustRightInd w:val="0"/>
              <w:spacing w:line="240" w:lineRule="auto"/>
              <w:jc w:val="center"/>
              <w:rPr>
                <w:b/>
                <w:bCs/>
                <w:color w:val="000000" w:themeColor="text1"/>
                <w:sz w:val="22"/>
                <w:lang w:val="en-US"/>
              </w:rPr>
            </w:pPr>
            <w:r w:rsidRPr="00D049B6">
              <w:rPr>
                <w:rFonts w:cs="Times New Roman"/>
                <w:b/>
                <w:bCs/>
                <w:color w:val="000000" w:themeColor="text1"/>
                <w:sz w:val="22"/>
                <w:lang w:val="en-US"/>
              </w:rPr>
              <w:t xml:space="preserve">  (4)</w:t>
            </w:r>
          </w:p>
        </w:tc>
        <w:tc>
          <w:tcPr>
            <w:tcW w:w="1039" w:type="dxa"/>
            <w:tcBorders>
              <w:top w:val="single" w:sz="4" w:space="0" w:color="auto"/>
              <w:left w:val="nil"/>
              <w:right w:val="nil"/>
            </w:tcBorders>
          </w:tcPr>
          <w:p w14:paraId="06F68C35" w14:textId="26992943" w:rsidR="00F334E6" w:rsidRPr="00CE03DC" w:rsidRDefault="00F334E6" w:rsidP="00F334E6">
            <w:pPr>
              <w:widowControl w:val="0"/>
              <w:autoSpaceDE w:val="0"/>
              <w:autoSpaceDN w:val="0"/>
              <w:adjustRightInd w:val="0"/>
              <w:spacing w:line="240" w:lineRule="auto"/>
              <w:jc w:val="center"/>
              <w:rPr>
                <w:b/>
                <w:bCs/>
                <w:color w:val="000000" w:themeColor="text1"/>
                <w:sz w:val="22"/>
                <w:lang w:val="en-US"/>
              </w:rPr>
            </w:pPr>
            <w:r w:rsidRPr="00D049B6">
              <w:rPr>
                <w:rFonts w:cs="Times New Roman"/>
                <w:b/>
                <w:bCs/>
                <w:color w:val="000000" w:themeColor="text1"/>
                <w:sz w:val="22"/>
                <w:lang w:val="en-US"/>
              </w:rPr>
              <w:t xml:space="preserve">  (5)</w:t>
            </w:r>
          </w:p>
        </w:tc>
        <w:tc>
          <w:tcPr>
            <w:tcW w:w="1040" w:type="dxa"/>
            <w:tcBorders>
              <w:top w:val="single" w:sz="4" w:space="0" w:color="auto"/>
              <w:left w:val="nil"/>
              <w:right w:val="nil"/>
            </w:tcBorders>
          </w:tcPr>
          <w:p w14:paraId="198906A8" w14:textId="5CD0B5B2" w:rsidR="00F334E6" w:rsidRPr="00CE03DC" w:rsidRDefault="00F334E6" w:rsidP="00F334E6">
            <w:pPr>
              <w:widowControl w:val="0"/>
              <w:autoSpaceDE w:val="0"/>
              <w:autoSpaceDN w:val="0"/>
              <w:adjustRightInd w:val="0"/>
              <w:spacing w:line="240" w:lineRule="auto"/>
              <w:jc w:val="center"/>
              <w:rPr>
                <w:b/>
                <w:bCs/>
                <w:color w:val="000000" w:themeColor="text1"/>
                <w:sz w:val="22"/>
                <w:lang w:val="en-US"/>
              </w:rPr>
            </w:pPr>
            <w:r w:rsidRPr="00D049B6">
              <w:rPr>
                <w:rFonts w:cs="Times New Roman"/>
                <w:b/>
                <w:bCs/>
                <w:color w:val="000000" w:themeColor="text1"/>
                <w:sz w:val="22"/>
                <w:lang w:val="en-US"/>
              </w:rPr>
              <w:t xml:space="preserve">  (6)</w:t>
            </w:r>
          </w:p>
        </w:tc>
      </w:tr>
      <w:tr w:rsidR="00F334E6" w:rsidRPr="007115F2" w14:paraId="253FE366" w14:textId="6A19F605" w:rsidTr="00B6286E">
        <w:trPr>
          <w:trHeight w:val="20"/>
        </w:trPr>
        <w:tc>
          <w:tcPr>
            <w:tcW w:w="2835" w:type="dxa"/>
            <w:tcBorders>
              <w:left w:val="nil"/>
              <w:bottom w:val="single" w:sz="10" w:space="0" w:color="auto"/>
              <w:right w:val="nil"/>
            </w:tcBorders>
          </w:tcPr>
          <w:p w14:paraId="4997C6D3" w14:textId="5A17EC6B" w:rsidR="00F334E6" w:rsidRPr="007115F2" w:rsidRDefault="00F334E6" w:rsidP="00F334E6">
            <w:pPr>
              <w:widowControl w:val="0"/>
              <w:autoSpaceDE w:val="0"/>
              <w:autoSpaceDN w:val="0"/>
              <w:adjustRightInd w:val="0"/>
              <w:spacing w:line="240" w:lineRule="auto"/>
              <w:rPr>
                <w:b/>
                <w:bCs/>
                <w:color w:val="000000" w:themeColor="text1"/>
                <w:sz w:val="22"/>
                <w:lang w:val="en-US"/>
              </w:rPr>
            </w:pPr>
            <w:r w:rsidRPr="00D049B6">
              <w:rPr>
                <w:rFonts w:cs="Times New Roman"/>
                <w:b/>
                <w:bCs/>
                <w:color w:val="000000" w:themeColor="text1"/>
                <w:sz w:val="22"/>
                <w:lang w:val="en-US"/>
              </w:rPr>
              <w:t xml:space="preserve">   </w:t>
            </w:r>
          </w:p>
        </w:tc>
        <w:tc>
          <w:tcPr>
            <w:tcW w:w="1039" w:type="dxa"/>
            <w:tcBorders>
              <w:left w:val="nil"/>
              <w:bottom w:val="single" w:sz="10" w:space="0" w:color="auto"/>
              <w:right w:val="nil"/>
            </w:tcBorders>
          </w:tcPr>
          <w:p w14:paraId="5EB379BF" w14:textId="391F5350" w:rsidR="00F334E6" w:rsidRPr="007115F2" w:rsidRDefault="00F334E6" w:rsidP="00F334E6">
            <w:pPr>
              <w:widowControl w:val="0"/>
              <w:autoSpaceDE w:val="0"/>
              <w:autoSpaceDN w:val="0"/>
              <w:adjustRightInd w:val="0"/>
              <w:spacing w:line="240" w:lineRule="auto"/>
              <w:jc w:val="center"/>
              <w:rPr>
                <w:b/>
                <w:bCs/>
                <w:color w:val="000000" w:themeColor="text1"/>
                <w:sz w:val="22"/>
                <w:lang w:val="en-US"/>
              </w:rPr>
            </w:pPr>
            <w:r w:rsidRPr="00D049B6">
              <w:rPr>
                <w:rFonts w:cs="Times New Roman"/>
                <w:b/>
                <w:bCs/>
                <w:color w:val="000000" w:themeColor="text1"/>
                <w:sz w:val="22"/>
                <w:lang w:val="en-US"/>
              </w:rPr>
              <w:t xml:space="preserve">   deal_premium_1day</w:t>
            </w:r>
          </w:p>
        </w:tc>
        <w:tc>
          <w:tcPr>
            <w:tcW w:w="1040" w:type="dxa"/>
            <w:tcBorders>
              <w:left w:val="nil"/>
              <w:bottom w:val="single" w:sz="10" w:space="0" w:color="auto"/>
              <w:right w:val="nil"/>
            </w:tcBorders>
          </w:tcPr>
          <w:p w14:paraId="26528036" w14:textId="0B7EE595" w:rsidR="00F334E6" w:rsidRPr="007115F2" w:rsidRDefault="00F334E6" w:rsidP="00F334E6">
            <w:pPr>
              <w:widowControl w:val="0"/>
              <w:autoSpaceDE w:val="0"/>
              <w:autoSpaceDN w:val="0"/>
              <w:adjustRightInd w:val="0"/>
              <w:spacing w:line="240" w:lineRule="auto"/>
              <w:jc w:val="center"/>
              <w:rPr>
                <w:b/>
                <w:bCs/>
                <w:color w:val="000000" w:themeColor="text1"/>
                <w:sz w:val="22"/>
                <w:lang w:val="en-US"/>
              </w:rPr>
            </w:pPr>
            <w:r w:rsidRPr="00D049B6">
              <w:rPr>
                <w:rFonts w:cs="Times New Roman"/>
                <w:b/>
                <w:bCs/>
                <w:color w:val="000000" w:themeColor="text1"/>
                <w:sz w:val="22"/>
                <w:lang w:val="en-US"/>
              </w:rPr>
              <w:t xml:space="preserve">   deal_premium_1week</w:t>
            </w:r>
          </w:p>
        </w:tc>
        <w:tc>
          <w:tcPr>
            <w:tcW w:w="1039" w:type="dxa"/>
            <w:tcBorders>
              <w:left w:val="nil"/>
              <w:bottom w:val="single" w:sz="10" w:space="0" w:color="auto"/>
              <w:right w:val="nil"/>
            </w:tcBorders>
          </w:tcPr>
          <w:p w14:paraId="460D59B4" w14:textId="3BBCCDEA" w:rsidR="00F334E6" w:rsidRPr="007115F2" w:rsidRDefault="00F334E6" w:rsidP="00F334E6">
            <w:pPr>
              <w:widowControl w:val="0"/>
              <w:autoSpaceDE w:val="0"/>
              <w:autoSpaceDN w:val="0"/>
              <w:adjustRightInd w:val="0"/>
              <w:spacing w:line="240" w:lineRule="auto"/>
              <w:jc w:val="center"/>
              <w:rPr>
                <w:b/>
                <w:bCs/>
                <w:color w:val="000000" w:themeColor="text1"/>
                <w:sz w:val="22"/>
                <w:lang w:val="en-US"/>
              </w:rPr>
            </w:pPr>
            <w:r w:rsidRPr="00D049B6">
              <w:rPr>
                <w:rFonts w:cs="Times New Roman"/>
                <w:b/>
                <w:bCs/>
                <w:color w:val="000000" w:themeColor="text1"/>
                <w:sz w:val="22"/>
                <w:lang w:val="en-US"/>
              </w:rPr>
              <w:t xml:space="preserve">   deal_premium_1month</w:t>
            </w:r>
          </w:p>
        </w:tc>
        <w:tc>
          <w:tcPr>
            <w:tcW w:w="1040" w:type="dxa"/>
            <w:tcBorders>
              <w:left w:val="nil"/>
              <w:bottom w:val="single" w:sz="10" w:space="0" w:color="auto"/>
              <w:right w:val="nil"/>
            </w:tcBorders>
          </w:tcPr>
          <w:p w14:paraId="0937302D" w14:textId="530E9E40" w:rsidR="00F334E6" w:rsidRPr="007115F2" w:rsidRDefault="00F334E6" w:rsidP="00F334E6">
            <w:pPr>
              <w:widowControl w:val="0"/>
              <w:autoSpaceDE w:val="0"/>
              <w:autoSpaceDN w:val="0"/>
              <w:adjustRightInd w:val="0"/>
              <w:spacing w:line="240" w:lineRule="auto"/>
              <w:jc w:val="center"/>
              <w:rPr>
                <w:b/>
                <w:bCs/>
                <w:color w:val="000000" w:themeColor="text1"/>
                <w:sz w:val="22"/>
                <w:lang w:val="en-US"/>
              </w:rPr>
            </w:pPr>
            <w:r w:rsidRPr="00D049B6">
              <w:rPr>
                <w:rFonts w:cs="Times New Roman"/>
                <w:b/>
                <w:bCs/>
                <w:color w:val="000000" w:themeColor="text1"/>
                <w:sz w:val="22"/>
                <w:lang w:val="en-US"/>
              </w:rPr>
              <w:t xml:space="preserve">   deal_premium_1day</w:t>
            </w:r>
          </w:p>
        </w:tc>
        <w:tc>
          <w:tcPr>
            <w:tcW w:w="1039" w:type="dxa"/>
            <w:tcBorders>
              <w:left w:val="nil"/>
              <w:bottom w:val="single" w:sz="10" w:space="0" w:color="auto"/>
              <w:right w:val="nil"/>
            </w:tcBorders>
          </w:tcPr>
          <w:p w14:paraId="70893347" w14:textId="72D9DC08" w:rsidR="00F334E6" w:rsidRPr="00CE03DC" w:rsidRDefault="00F334E6" w:rsidP="00F334E6">
            <w:pPr>
              <w:widowControl w:val="0"/>
              <w:autoSpaceDE w:val="0"/>
              <w:autoSpaceDN w:val="0"/>
              <w:adjustRightInd w:val="0"/>
              <w:spacing w:line="240" w:lineRule="auto"/>
              <w:jc w:val="center"/>
              <w:rPr>
                <w:b/>
                <w:bCs/>
                <w:color w:val="000000" w:themeColor="text1"/>
                <w:sz w:val="22"/>
                <w:lang w:val="en-US"/>
              </w:rPr>
            </w:pPr>
            <w:r w:rsidRPr="00D049B6">
              <w:rPr>
                <w:rFonts w:cs="Times New Roman"/>
                <w:b/>
                <w:bCs/>
                <w:color w:val="000000" w:themeColor="text1"/>
                <w:sz w:val="22"/>
                <w:lang w:val="en-US"/>
              </w:rPr>
              <w:t xml:space="preserve">   deal_premium_1week</w:t>
            </w:r>
          </w:p>
        </w:tc>
        <w:tc>
          <w:tcPr>
            <w:tcW w:w="1040" w:type="dxa"/>
            <w:tcBorders>
              <w:left w:val="nil"/>
              <w:bottom w:val="single" w:sz="10" w:space="0" w:color="auto"/>
              <w:right w:val="nil"/>
            </w:tcBorders>
          </w:tcPr>
          <w:p w14:paraId="48A1D1D4" w14:textId="2ADB167E" w:rsidR="00F334E6" w:rsidRPr="00CE03DC" w:rsidRDefault="00F334E6" w:rsidP="00F334E6">
            <w:pPr>
              <w:widowControl w:val="0"/>
              <w:autoSpaceDE w:val="0"/>
              <w:autoSpaceDN w:val="0"/>
              <w:adjustRightInd w:val="0"/>
              <w:spacing w:line="240" w:lineRule="auto"/>
              <w:jc w:val="center"/>
              <w:rPr>
                <w:b/>
                <w:bCs/>
                <w:color w:val="000000" w:themeColor="text1"/>
                <w:sz w:val="22"/>
                <w:lang w:val="en-US"/>
              </w:rPr>
            </w:pPr>
            <w:r w:rsidRPr="00D049B6">
              <w:rPr>
                <w:rFonts w:cs="Times New Roman"/>
                <w:b/>
                <w:bCs/>
                <w:color w:val="000000" w:themeColor="text1"/>
                <w:sz w:val="22"/>
                <w:lang w:val="en-US"/>
              </w:rPr>
              <w:t xml:space="preserve">   deal_premium_1month</w:t>
            </w:r>
          </w:p>
        </w:tc>
      </w:tr>
      <w:tr w:rsidR="00F334E6" w:rsidRPr="007115F2" w14:paraId="45DE4918" w14:textId="7BC90047" w:rsidTr="00B6286E">
        <w:trPr>
          <w:trHeight w:val="20"/>
        </w:trPr>
        <w:tc>
          <w:tcPr>
            <w:tcW w:w="2835" w:type="dxa"/>
            <w:tcBorders>
              <w:top w:val="nil"/>
              <w:left w:val="nil"/>
              <w:bottom w:val="nil"/>
              <w:right w:val="nil"/>
            </w:tcBorders>
          </w:tcPr>
          <w:p w14:paraId="1F038A9C" w14:textId="7A1A146E" w:rsidR="00F334E6" w:rsidRPr="007115F2" w:rsidRDefault="00F334E6" w:rsidP="00F334E6">
            <w:pPr>
              <w:widowControl w:val="0"/>
              <w:autoSpaceDE w:val="0"/>
              <w:autoSpaceDN w:val="0"/>
              <w:adjustRightInd w:val="0"/>
              <w:spacing w:line="240" w:lineRule="auto"/>
              <w:rPr>
                <w:b/>
                <w:bCs/>
                <w:color w:val="000000" w:themeColor="text1"/>
                <w:sz w:val="22"/>
                <w:lang w:val="en-US"/>
              </w:rPr>
            </w:pPr>
            <w:r w:rsidRPr="00D049B6">
              <w:rPr>
                <w:rFonts w:cs="Times New Roman"/>
                <w:color w:val="000000" w:themeColor="text1"/>
                <w:sz w:val="22"/>
                <w:lang w:val="en-US"/>
              </w:rPr>
              <w:t xml:space="preserve"> deal_culturaldistance</w:t>
            </w:r>
          </w:p>
        </w:tc>
        <w:tc>
          <w:tcPr>
            <w:tcW w:w="1039" w:type="dxa"/>
            <w:tcBorders>
              <w:top w:val="nil"/>
              <w:left w:val="nil"/>
              <w:bottom w:val="nil"/>
              <w:right w:val="nil"/>
            </w:tcBorders>
            <w:vAlign w:val="center"/>
          </w:tcPr>
          <w:p w14:paraId="65E9523E" w14:textId="5DFC3932" w:rsidR="00F334E6" w:rsidRPr="007115F2" w:rsidRDefault="00F334E6" w:rsidP="00F334E6">
            <w:pPr>
              <w:widowControl w:val="0"/>
              <w:autoSpaceDE w:val="0"/>
              <w:autoSpaceDN w:val="0"/>
              <w:adjustRightInd w:val="0"/>
              <w:spacing w:line="240" w:lineRule="auto"/>
              <w:jc w:val="center"/>
              <w:rPr>
                <w:b/>
                <w:bCs/>
                <w:color w:val="000000" w:themeColor="text1"/>
                <w:sz w:val="22"/>
                <w:lang w:val="en-US"/>
              </w:rPr>
            </w:pPr>
            <w:r w:rsidRPr="00D049B6">
              <w:rPr>
                <w:rFonts w:cs="Times New Roman"/>
                <w:color w:val="000000" w:themeColor="text1"/>
                <w:sz w:val="22"/>
                <w:lang w:val="en-US"/>
              </w:rPr>
              <w:t>.465**</w:t>
            </w:r>
          </w:p>
        </w:tc>
        <w:tc>
          <w:tcPr>
            <w:tcW w:w="1040" w:type="dxa"/>
            <w:tcBorders>
              <w:top w:val="nil"/>
              <w:left w:val="nil"/>
              <w:bottom w:val="nil"/>
              <w:right w:val="nil"/>
            </w:tcBorders>
            <w:vAlign w:val="center"/>
          </w:tcPr>
          <w:p w14:paraId="430510FB" w14:textId="01FFEA1D" w:rsidR="00F334E6" w:rsidRPr="007115F2" w:rsidRDefault="00F334E6" w:rsidP="00F334E6">
            <w:pPr>
              <w:widowControl w:val="0"/>
              <w:autoSpaceDE w:val="0"/>
              <w:autoSpaceDN w:val="0"/>
              <w:adjustRightInd w:val="0"/>
              <w:spacing w:line="240" w:lineRule="auto"/>
              <w:jc w:val="center"/>
              <w:rPr>
                <w:b/>
                <w:bCs/>
                <w:color w:val="000000" w:themeColor="text1"/>
                <w:sz w:val="22"/>
                <w:lang w:val="en-US"/>
              </w:rPr>
            </w:pPr>
            <w:r w:rsidRPr="00D049B6">
              <w:rPr>
                <w:rFonts w:cs="Times New Roman"/>
                <w:color w:val="000000" w:themeColor="text1"/>
                <w:sz w:val="22"/>
                <w:lang w:val="en-US"/>
              </w:rPr>
              <w:t>.491**</w:t>
            </w:r>
          </w:p>
        </w:tc>
        <w:tc>
          <w:tcPr>
            <w:tcW w:w="1039" w:type="dxa"/>
            <w:tcBorders>
              <w:top w:val="nil"/>
              <w:left w:val="nil"/>
              <w:bottom w:val="nil"/>
              <w:right w:val="nil"/>
            </w:tcBorders>
            <w:vAlign w:val="center"/>
          </w:tcPr>
          <w:p w14:paraId="34693BB6" w14:textId="51C500BF" w:rsidR="00F334E6" w:rsidRPr="007115F2" w:rsidRDefault="00F334E6" w:rsidP="00F334E6">
            <w:pPr>
              <w:widowControl w:val="0"/>
              <w:autoSpaceDE w:val="0"/>
              <w:autoSpaceDN w:val="0"/>
              <w:adjustRightInd w:val="0"/>
              <w:spacing w:line="240" w:lineRule="auto"/>
              <w:jc w:val="center"/>
              <w:rPr>
                <w:b/>
                <w:bCs/>
                <w:color w:val="000000" w:themeColor="text1"/>
                <w:sz w:val="22"/>
                <w:lang w:val="en-US"/>
              </w:rPr>
            </w:pPr>
            <w:r w:rsidRPr="00D049B6">
              <w:rPr>
                <w:rFonts w:cs="Times New Roman"/>
                <w:color w:val="000000" w:themeColor="text1"/>
                <w:sz w:val="22"/>
                <w:lang w:val="en-US"/>
              </w:rPr>
              <w:t>.503*</w:t>
            </w:r>
          </w:p>
        </w:tc>
        <w:tc>
          <w:tcPr>
            <w:tcW w:w="1040" w:type="dxa"/>
            <w:tcBorders>
              <w:top w:val="nil"/>
              <w:left w:val="nil"/>
              <w:bottom w:val="nil"/>
              <w:right w:val="nil"/>
            </w:tcBorders>
          </w:tcPr>
          <w:p w14:paraId="44247661" w14:textId="77777777" w:rsidR="00F334E6" w:rsidRPr="007115F2" w:rsidRDefault="00F334E6" w:rsidP="00F334E6">
            <w:pPr>
              <w:widowControl w:val="0"/>
              <w:autoSpaceDE w:val="0"/>
              <w:autoSpaceDN w:val="0"/>
              <w:adjustRightInd w:val="0"/>
              <w:spacing w:line="240" w:lineRule="auto"/>
              <w:jc w:val="center"/>
              <w:rPr>
                <w:b/>
                <w:bCs/>
                <w:color w:val="000000" w:themeColor="text1"/>
                <w:sz w:val="22"/>
                <w:lang w:val="en-US"/>
              </w:rPr>
            </w:pPr>
          </w:p>
        </w:tc>
        <w:tc>
          <w:tcPr>
            <w:tcW w:w="1039" w:type="dxa"/>
            <w:tcBorders>
              <w:top w:val="nil"/>
              <w:left w:val="nil"/>
              <w:bottom w:val="nil"/>
              <w:right w:val="nil"/>
            </w:tcBorders>
          </w:tcPr>
          <w:p w14:paraId="2838CBF0" w14:textId="77777777" w:rsidR="00F334E6" w:rsidRPr="007115F2" w:rsidRDefault="00F334E6" w:rsidP="00F334E6">
            <w:pPr>
              <w:widowControl w:val="0"/>
              <w:autoSpaceDE w:val="0"/>
              <w:autoSpaceDN w:val="0"/>
              <w:adjustRightInd w:val="0"/>
              <w:spacing w:line="240" w:lineRule="auto"/>
              <w:jc w:val="center"/>
              <w:rPr>
                <w:b/>
                <w:bCs/>
                <w:color w:val="000000" w:themeColor="text1"/>
                <w:sz w:val="22"/>
                <w:lang w:val="en-US"/>
              </w:rPr>
            </w:pPr>
          </w:p>
        </w:tc>
        <w:tc>
          <w:tcPr>
            <w:tcW w:w="1040" w:type="dxa"/>
            <w:tcBorders>
              <w:top w:val="nil"/>
              <w:left w:val="nil"/>
              <w:bottom w:val="nil"/>
              <w:right w:val="nil"/>
            </w:tcBorders>
          </w:tcPr>
          <w:p w14:paraId="06176EE9" w14:textId="77777777" w:rsidR="00F334E6" w:rsidRPr="007115F2" w:rsidRDefault="00F334E6" w:rsidP="00F334E6">
            <w:pPr>
              <w:widowControl w:val="0"/>
              <w:autoSpaceDE w:val="0"/>
              <w:autoSpaceDN w:val="0"/>
              <w:adjustRightInd w:val="0"/>
              <w:spacing w:line="240" w:lineRule="auto"/>
              <w:jc w:val="center"/>
              <w:rPr>
                <w:b/>
                <w:bCs/>
                <w:color w:val="000000" w:themeColor="text1"/>
                <w:sz w:val="22"/>
                <w:lang w:val="en-US"/>
              </w:rPr>
            </w:pPr>
          </w:p>
        </w:tc>
      </w:tr>
      <w:tr w:rsidR="00F334E6" w:rsidRPr="007115F2" w14:paraId="4477F3BA" w14:textId="0C7B7787" w:rsidTr="00B6286E">
        <w:trPr>
          <w:trHeight w:val="20"/>
        </w:trPr>
        <w:tc>
          <w:tcPr>
            <w:tcW w:w="2835" w:type="dxa"/>
            <w:tcBorders>
              <w:top w:val="nil"/>
              <w:left w:val="nil"/>
              <w:bottom w:val="nil"/>
              <w:right w:val="nil"/>
            </w:tcBorders>
          </w:tcPr>
          <w:p w14:paraId="7BA70019" w14:textId="4972A496"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w:t>
            </w:r>
          </w:p>
        </w:tc>
        <w:tc>
          <w:tcPr>
            <w:tcW w:w="1039" w:type="dxa"/>
            <w:tcBorders>
              <w:top w:val="nil"/>
              <w:left w:val="nil"/>
              <w:bottom w:val="nil"/>
              <w:right w:val="nil"/>
            </w:tcBorders>
            <w:vAlign w:val="center"/>
          </w:tcPr>
          <w:p w14:paraId="50BBABE1" w14:textId="5DF40844"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(2.009)</w:t>
            </w:r>
          </w:p>
        </w:tc>
        <w:tc>
          <w:tcPr>
            <w:tcW w:w="1040" w:type="dxa"/>
            <w:tcBorders>
              <w:top w:val="nil"/>
              <w:left w:val="nil"/>
              <w:bottom w:val="nil"/>
              <w:right w:val="nil"/>
            </w:tcBorders>
            <w:vAlign w:val="center"/>
          </w:tcPr>
          <w:p w14:paraId="4ABDA6B0" w14:textId="488C417B"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(2.012)</w:t>
            </w:r>
          </w:p>
        </w:tc>
        <w:tc>
          <w:tcPr>
            <w:tcW w:w="1039" w:type="dxa"/>
            <w:tcBorders>
              <w:top w:val="nil"/>
              <w:left w:val="nil"/>
              <w:bottom w:val="nil"/>
              <w:right w:val="nil"/>
            </w:tcBorders>
            <w:vAlign w:val="center"/>
          </w:tcPr>
          <w:p w14:paraId="68B08082" w14:textId="47B8ED9D"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(1.983)</w:t>
            </w:r>
          </w:p>
        </w:tc>
        <w:tc>
          <w:tcPr>
            <w:tcW w:w="1040" w:type="dxa"/>
            <w:tcBorders>
              <w:top w:val="nil"/>
              <w:left w:val="nil"/>
              <w:bottom w:val="nil"/>
              <w:right w:val="nil"/>
            </w:tcBorders>
          </w:tcPr>
          <w:p w14:paraId="563EDB82" w14:textId="77777777" w:rsidR="00F334E6" w:rsidRPr="007115F2" w:rsidRDefault="00F334E6" w:rsidP="00F334E6">
            <w:pPr>
              <w:widowControl w:val="0"/>
              <w:autoSpaceDE w:val="0"/>
              <w:autoSpaceDN w:val="0"/>
              <w:adjustRightInd w:val="0"/>
              <w:spacing w:line="240" w:lineRule="auto"/>
              <w:jc w:val="center"/>
              <w:rPr>
                <w:color w:val="000000" w:themeColor="text1"/>
                <w:sz w:val="22"/>
                <w:lang w:val="en-US"/>
              </w:rPr>
            </w:pPr>
          </w:p>
        </w:tc>
        <w:tc>
          <w:tcPr>
            <w:tcW w:w="1039" w:type="dxa"/>
            <w:tcBorders>
              <w:top w:val="nil"/>
              <w:left w:val="nil"/>
              <w:bottom w:val="nil"/>
              <w:right w:val="nil"/>
            </w:tcBorders>
          </w:tcPr>
          <w:p w14:paraId="2F29F20A" w14:textId="77777777" w:rsidR="00F334E6" w:rsidRPr="007115F2" w:rsidRDefault="00F334E6" w:rsidP="00F334E6">
            <w:pPr>
              <w:widowControl w:val="0"/>
              <w:autoSpaceDE w:val="0"/>
              <w:autoSpaceDN w:val="0"/>
              <w:adjustRightInd w:val="0"/>
              <w:spacing w:line="240" w:lineRule="auto"/>
              <w:jc w:val="center"/>
              <w:rPr>
                <w:color w:val="000000" w:themeColor="text1"/>
                <w:sz w:val="22"/>
                <w:lang w:val="en-US"/>
              </w:rPr>
            </w:pPr>
          </w:p>
        </w:tc>
        <w:tc>
          <w:tcPr>
            <w:tcW w:w="1040" w:type="dxa"/>
            <w:tcBorders>
              <w:top w:val="nil"/>
              <w:left w:val="nil"/>
              <w:bottom w:val="nil"/>
              <w:right w:val="nil"/>
            </w:tcBorders>
          </w:tcPr>
          <w:p w14:paraId="30A47200" w14:textId="77777777" w:rsidR="00F334E6" w:rsidRPr="007115F2" w:rsidRDefault="00F334E6" w:rsidP="00F334E6">
            <w:pPr>
              <w:widowControl w:val="0"/>
              <w:autoSpaceDE w:val="0"/>
              <w:autoSpaceDN w:val="0"/>
              <w:adjustRightInd w:val="0"/>
              <w:spacing w:line="240" w:lineRule="auto"/>
              <w:jc w:val="center"/>
              <w:rPr>
                <w:color w:val="000000" w:themeColor="text1"/>
                <w:sz w:val="22"/>
                <w:lang w:val="en-US"/>
              </w:rPr>
            </w:pPr>
          </w:p>
        </w:tc>
      </w:tr>
      <w:tr w:rsidR="00F334E6" w:rsidRPr="007115F2" w14:paraId="499BFE30" w14:textId="1661C30D" w:rsidTr="00B6286E">
        <w:trPr>
          <w:trHeight w:val="20"/>
        </w:trPr>
        <w:tc>
          <w:tcPr>
            <w:tcW w:w="2835" w:type="dxa"/>
            <w:tcBorders>
              <w:top w:val="nil"/>
              <w:left w:val="nil"/>
              <w:bottom w:val="nil"/>
              <w:right w:val="nil"/>
            </w:tcBorders>
          </w:tcPr>
          <w:p w14:paraId="48CDF6D1" w14:textId="0A235D48"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deal_clan_culture_abs</w:t>
            </w:r>
          </w:p>
        </w:tc>
        <w:tc>
          <w:tcPr>
            <w:tcW w:w="1039" w:type="dxa"/>
            <w:tcBorders>
              <w:top w:val="nil"/>
              <w:left w:val="nil"/>
              <w:bottom w:val="nil"/>
              <w:right w:val="nil"/>
            </w:tcBorders>
          </w:tcPr>
          <w:p w14:paraId="20829E5F" w14:textId="77777777" w:rsidR="00F334E6" w:rsidRPr="007115F2" w:rsidRDefault="00F334E6" w:rsidP="00F334E6">
            <w:pPr>
              <w:widowControl w:val="0"/>
              <w:autoSpaceDE w:val="0"/>
              <w:autoSpaceDN w:val="0"/>
              <w:adjustRightInd w:val="0"/>
              <w:spacing w:line="240" w:lineRule="auto"/>
              <w:jc w:val="center"/>
              <w:rPr>
                <w:color w:val="000000" w:themeColor="text1"/>
                <w:sz w:val="22"/>
                <w:lang w:val="en-US"/>
              </w:rPr>
            </w:pPr>
          </w:p>
        </w:tc>
        <w:tc>
          <w:tcPr>
            <w:tcW w:w="1040" w:type="dxa"/>
            <w:tcBorders>
              <w:top w:val="nil"/>
              <w:left w:val="nil"/>
              <w:bottom w:val="nil"/>
              <w:right w:val="nil"/>
            </w:tcBorders>
          </w:tcPr>
          <w:p w14:paraId="4E02724F" w14:textId="77777777" w:rsidR="00F334E6" w:rsidRPr="007115F2" w:rsidRDefault="00F334E6" w:rsidP="00F334E6">
            <w:pPr>
              <w:widowControl w:val="0"/>
              <w:autoSpaceDE w:val="0"/>
              <w:autoSpaceDN w:val="0"/>
              <w:adjustRightInd w:val="0"/>
              <w:spacing w:line="240" w:lineRule="auto"/>
              <w:jc w:val="center"/>
              <w:rPr>
                <w:color w:val="000000" w:themeColor="text1"/>
                <w:sz w:val="22"/>
                <w:lang w:val="en-US"/>
              </w:rPr>
            </w:pPr>
          </w:p>
        </w:tc>
        <w:tc>
          <w:tcPr>
            <w:tcW w:w="1039" w:type="dxa"/>
            <w:tcBorders>
              <w:top w:val="nil"/>
              <w:left w:val="nil"/>
              <w:bottom w:val="nil"/>
              <w:right w:val="nil"/>
            </w:tcBorders>
          </w:tcPr>
          <w:p w14:paraId="4EE82BB2" w14:textId="09BE3D1F" w:rsidR="00F334E6" w:rsidRPr="007115F2" w:rsidRDefault="00F334E6" w:rsidP="00F334E6">
            <w:pPr>
              <w:widowControl w:val="0"/>
              <w:autoSpaceDE w:val="0"/>
              <w:autoSpaceDN w:val="0"/>
              <w:adjustRightInd w:val="0"/>
              <w:spacing w:line="240" w:lineRule="auto"/>
              <w:jc w:val="center"/>
              <w:rPr>
                <w:color w:val="000000" w:themeColor="text1"/>
                <w:sz w:val="22"/>
                <w:lang w:val="en-US"/>
              </w:rPr>
            </w:pPr>
          </w:p>
        </w:tc>
        <w:tc>
          <w:tcPr>
            <w:tcW w:w="1040" w:type="dxa"/>
            <w:tcBorders>
              <w:top w:val="nil"/>
              <w:left w:val="nil"/>
              <w:bottom w:val="nil"/>
              <w:right w:val="nil"/>
            </w:tcBorders>
            <w:vAlign w:val="center"/>
          </w:tcPr>
          <w:p w14:paraId="3BE13431" w14:textId="1E4F13F5"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.003</w:t>
            </w:r>
          </w:p>
        </w:tc>
        <w:tc>
          <w:tcPr>
            <w:tcW w:w="1039" w:type="dxa"/>
            <w:tcBorders>
              <w:top w:val="nil"/>
              <w:left w:val="nil"/>
              <w:bottom w:val="nil"/>
              <w:right w:val="nil"/>
            </w:tcBorders>
            <w:vAlign w:val="center"/>
          </w:tcPr>
          <w:p w14:paraId="1CABBB93" w14:textId="5ABD6303"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-.010</w:t>
            </w:r>
          </w:p>
        </w:tc>
        <w:tc>
          <w:tcPr>
            <w:tcW w:w="1040" w:type="dxa"/>
            <w:tcBorders>
              <w:top w:val="nil"/>
              <w:left w:val="nil"/>
              <w:bottom w:val="nil"/>
              <w:right w:val="nil"/>
            </w:tcBorders>
            <w:vAlign w:val="center"/>
          </w:tcPr>
          <w:p w14:paraId="7E4CC129" w14:textId="2E8C4F18"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.022</w:t>
            </w:r>
          </w:p>
        </w:tc>
      </w:tr>
      <w:tr w:rsidR="00F334E6" w:rsidRPr="007115F2" w14:paraId="0790BE31" w14:textId="5AF1861C" w:rsidTr="00B6286E">
        <w:trPr>
          <w:trHeight w:val="20"/>
        </w:trPr>
        <w:tc>
          <w:tcPr>
            <w:tcW w:w="2835" w:type="dxa"/>
            <w:tcBorders>
              <w:top w:val="nil"/>
              <w:left w:val="nil"/>
              <w:bottom w:val="nil"/>
              <w:right w:val="nil"/>
            </w:tcBorders>
          </w:tcPr>
          <w:p w14:paraId="00734EBC" w14:textId="73AA3A72"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w:t>
            </w:r>
          </w:p>
        </w:tc>
        <w:tc>
          <w:tcPr>
            <w:tcW w:w="1039" w:type="dxa"/>
            <w:tcBorders>
              <w:top w:val="nil"/>
              <w:left w:val="nil"/>
              <w:bottom w:val="nil"/>
              <w:right w:val="nil"/>
            </w:tcBorders>
          </w:tcPr>
          <w:p w14:paraId="62A026DC" w14:textId="77777777" w:rsidR="00F334E6" w:rsidRPr="007115F2" w:rsidRDefault="00F334E6" w:rsidP="00F334E6">
            <w:pPr>
              <w:widowControl w:val="0"/>
              <w:autoSpaceDE w:val="0"/>
              <w:autoSpaceDN w:val="0"/>
              <w:adjustRightInd w:val="0"/>
              <w:spacing w:line="240" w:lineRule="auto"/>
              <w:jc w:val="center"/>
              <w:rPr>
                <w:color w:val="000000" w:themeColor="text1"/>
                <w:sz w:val="22"/>
                <w:lang w:val="en-US"/>
              </w:rPr>
            </w:pPr>
          </w:p>
        </w:tc>
        <w:tc>
          <w:tcPr>
            <w:tcW w:w="1040" w:type="dxa"/>
            <w:tcBorders>
              <w:top w:val="nil"/>
              <w:left w:val="nil"/>
              <w:bottom w:val="nil"/>
              <w:right w:val="nil"/>
            </w:tcBorders>
          </w:tcPr>
          <w:p w14:paraId="34FFB857" w14:textId="77777777" w:rsidR="00F334E6" w:rsidRPr="007115F2" w:rsidRDefault="00F334E6" w:rsidP="00F334E6">
            <w:pPr>
              <w:widowControl w:val="0"/>
              <w:autoSpaceDE w:val="0"/>
              <w:autoSpaceDN w:val="0"/>
              <w:adjustRightInd w:val="0"/>
              <w:spacing w:line="240" w:lineRule="auto"/>
              <w:jc w:val="center"/>
              <w:rPr>
                <w:color w:val="000000" w:themeColor="text1"/>
                <w:sz w:val="22"/>
                <w:lang w:val="en-US"/>
              </w:rPr>
            </w:pPr>
          </w:p>
        </w:tc>
        <w:tc>
          <w:tcPr>
            <w:tcW w:w="1039" w:type="dxa"/>
            <w:tcBorders>
              <w:top w:val="nil"/>
              <w:left w:val="nil"/>
              <w:bottom w:val="nil"/>
              <w:right w:val="nil"/>
            </w:tcBorders>
          </w:tcPr>
          <w:p w14:paraId="514FAE8E" w14:textId="64912D75" w:rsidR="00F334E6" w:rsidRPr="007115F2" w:rsidRDefault="00F334E6" w:rsidP="00F334E6">
            <w:pPr>
              <w:widowControl w:val="0"/>
              <w:autoSpaceDE w:val="0"/>
              <w:autoSpaceDN w:val="0"/>
              <w:adjustRightInd w:val="0"/>
              <w:spacing w:line="240" w:lineRule="auto"/>
              <w:jc w:val="center"/>
              <w:rPr>
                <w:color w:val="000000" w:themeColor="text1"/>
                <w:sz w:val="22"/>
                <w:lang w:val="en-US"/>
              </w:rPr>
            </w:pPr>
          </w:p>
        </w:tc>
        <w:tc>
          <w:tcPr>
            <w:tcW w:w="1040" w:type="dxa"/>
            <w:tcBorders>
              <w:top w:val="nil"/>
              <w:left w:val="nil"/>
              <w:bottom w:val="nil"/>
              <w:right w:val="nil"/>
            </w:tcBorders>
            <w:vAlign w:val="center"/>
          </w:tcPr>
          <w:p w14:paraId="78E86C54" w14:textId="34657146"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(.007)</w:t>
            </w:r>
          </w:p>
        </w:tc>
        <w:tc>
          <w:tcPr>
            <w:tcW w:w="1039" w:type="dxa"/>
            <w:tcBorders>
              <w:top w:val="nil"/>
              <w:left w:val="nil"/>
              <w:bottom w:val="nil"/>
              <w:right w:val="nil"/>
            </w:tcBorders>
            <w:vAlign w:val="center"/>
          </w:tcPr>
          <w:p w14:paraId="6FA8EA45" w14:textId="32B74B65"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(-.021)</w:t>
            </w:r>
          </w:p>
        </w:tc>
        <w:tc>
          <w:tcPr>
            <w:tcW w:w="1040" w:type="dxa"/>
            <w:tcBorders>
              <w:top w:val="nil"/>
              <w:left w:val="nil"/>
              <w:bottom w:val="nil"/>
              <w:right w:val="nil"/>
            </w:tcBorders>
            <w:vAlign w:val="center"/>
          </w:tcPr>
          <w:p w14:paraId="1E0C9658" w14:textId="3CD427AD"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(.046)</w:t>
            </w:r>
          </w:p>
        </w:tc>
      </w:tr>
      <w:tr w:rsidR="00F334E6" w:rsidRPr="007115F2" w14:paraId="283C1ED8" w14:textId="2A714CEF" w:rsidTr="00B6286E">
        <w:trPr>
          <w:trHeight w:val="20"/>
        </w:trPr>
        <w:tc>
          <w:tcPr>
            <w:tcW w:w="2835" w:type="dxa"/>
            <w:tcBorders>
              <w:top w:val="nil"/>
              <w:left w:val="nil"/>
              <w:bottom w:val="nil"/>
              <w:right w:val="nil"/>
            </w:tcBorders>
          </w:tcPr>
          <w:p w14:paraId="56DD1206" w14:textId="33FF15A1"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deal_adhocracy_culture_abs</w:t>
            </w:r>
          </w:p>
        </w:tc>
        <w:tc>
          <w:tcPr>
            <w:tcW w:w="1039" w:type="dxa"/>
            <w:tcBorders>
              <w:top w:val="nil"/>
              <w:left w:val="nil"/>
              <w:bottom w:val="nil"/>
              <w:right w:val="nil"/>
            </w:tcBorders>
          </w:tcPr>
          <w:p w14:paraId="7A09612B" w14:textId="77777777" w:rsidR="00F334E6" w:rsidRPr="007115F2" w:rsidRDefault="00F334E6" w:rsidP="00F334E6">
            <w:pPr>
              <w:widowControl w:val="0"/>
              <w:autoSpaceDE w:val="0"/>
              <w:autoSpaceDN w:val="0"/>
              <w:adjustRightInd w:val="0"/>
              <w:spacing w:line="240" w:lineRule="auto"/>
              <w:jc w:val="center"/>
              <w:rPr>
                <w:color w:val="000000" w:themeColor="text1"/>
                <w:sz w:val="22"/>
                <w:lang w:val="en-US"/>
              </w:rPr>
            </w:pPr>
          </w:p>
        </w:tc>
        <w:tc>
          <w:tcPr>
            <w:tcW w:w="1040" w:type="dxa"/>
            <w:tcBorders>
              <w:top w:val="nil"/>
              <w:left w:val="nil"/>
              <w:bottom w:val="nil"/>
              <w:right w:val="nil"/>
            </w:tcBorders>
          </w:tcPr>
          <w:p w14:paraId="54E1AB87" w14:textId="77777777" w:rsidR="00F334E6" w:rsidRPr="007115F2" w:rsidRDefault="00F334E6" w:rsidP="00F334E6">
            <w:pPr>
              <w:widowControl w:val="0"/>
              <w:autoSpaceDE w:val="0"/>
              <w:autoSpaceDN w:val="0"/>
              <w:adjustRightInd w:val="0"/>
              <w:spacing w:line="240" w:lineRule="auto"/>
              <w:jc w:val="center"/>
              <w:rPr>
                <w:color w:val="000000" w:themeColor="text1"/>
                <w:sz w:val="22"/>
                <w:lang w:val="en-US"/>
              </w:rPr>
            </w:pPr>
          </w:p>
        </w:tc>
        <w:tc>
          <w:tcPr>
            <w:tcW w:w="1039" w:type="dxa"/>
            <w:tcBorders>
              <w:top w:val="nil"/>
              <w:left w:val="nil"/>
              <w:bottom w:val="nil"/>
              <w:right w:val="nil"/>
            </w:tcBorders>
          </w:tcPr>
          <w:p w14:paraId="707E2C16" w14:textId="5BED9F86" w:rsidR="00F334E6" w:rsidRPr="007115F2" w:rsidRDefault="00F334E6" w:rsidP="00F334E6">
            <w:pPr>
              <w:widowControl w:val="0"/>
              <w:autoSpaceDE w:val="0"/>
              <w:autoSpaceDN w:val="0"/>
              <w:adjustRightInd w:val="0"/>
              <w:spacing w:line="240" w:lineRule="auto"/>
              <w:jc w:val="center"/>
              <w:rPr>
                <w:color w:val="000000" w:themeColor="text1"/>
                <w:sz w:val="22"/>
                <w:lang w:val="en-US"/>
              </w:rPr>
            </w:pPr>
          </w:p>
        </w:tc>
        <w:tc>
          <w:tcPr>
            <w:tcW w:w="1040" w:type="dxa"/>
            <w:tcBorders>
              <w:top w:val="nil"/>
              <w:left w:val="nil"/>
              <w:bottom w:val="nil"/>
              <w:right w:val="nil"/>
            </w:tcBorders>
            <w:vAlign w:val="center"/>
          </w:tcPr>
          <w:p w14:paraId="336E4439" w14:textId="1623AFB5"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.337</w:t>
            </w:r>
          </w:p>
        </w:tc>
        <w:tc>
          <w:tcPr>
            <w:tcW w:w="1039" w:type="dxa"/>
            <w:tcBorders>
              <w:top w:val="nil"/>
              <w:left w:val="nil"/>
              <w:bottom w:val="nil"/>
              <w:right w:val="nil"/>
            </w:tcBorders>
            <w:vAlign w:val="center"/>
          </w:tcPr>
          <w:p w14:paraId="5D48727C" w14:textId="72186F98"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.243</w:t>
            </w:r>
          </w:p>
        </w:tc>
        <w:tc>
          <w:tcPr>
            <w:tcW w:w="1040" w:type="dxa"/>
            <w:tcBorders>
              <w:top w:val="nil"/>
              <w:left w:val="nil"/>
              <w:bottom w:val="nil"/>
              <w:right w:val="nil"/>
            </w:tcBorders>
            <w:vAlign w:val="center"/>
          </w:tcPr>
          <w:p w14:paraId="1966B21D" w14:textId="2E7E06F1"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.106</w:t>
            </w:r>
          </w:p>
        </w:tc>
      </w:tr>
      <w:tr w:rsidR="00F334E6" w:rsidRPr="007115F2" w14:paraId="21311AC4" w14:textId="6023C4CF" w:rsidTr="00B6286E">
        <w:trPr>
          <w:trHeight w:val="20"/>
        </w:trPr>
        <w:tc>
          <w:tcPr>
            <w:tcW w:w="2835" w:type="dxa"/>
            <w:tcBorders>
              <w:top w:val="nil"/>
              <w:left w:val="nil"/>
              <w:bottom w:val="nil"/>
              <w:right w:val="nil"/>
            </w:tcBorders>
          </w:tcPr>
          <w:p w14:paraId="2577F9AB" w14:textId="436C5BF8" w:rsidR="00F334E6" w:rsidRPr="007115F2" w:rsidRDefault="00F334E6" w:rsidP="00F334E6">
            <w:pPr>
              <w:widowControl w:val="0"/>
              <w:autoSpaceDE w:val="0"/>
              <w:autoSpaceDN w:val="0"/>
              <w:adjustRightInd w:val="0"/>
              <w:spacing w:line="240" w:lineRule="auto"/>
              <w:rPr>
                <w:b/>
                <w:bCs/>
                <w:color w:val="000000" w:themeColor="text1"/>
                <w:sz w:val="22"/>
                <w:lang w:val="en-US"/>
              </w:rPr>
            </w:pPr>
            <w:r w:rsidRPr="00D049B6">
              <w:rPr>
                <w:rFonts w:cs="Times New Roman"/>
                <w:color w:val="000000" w:themeColor="text1"/>
                <w:sz w:val="22"/>
                <w:lang w:val="en-US"/>
              </w:rPr>
              <w:t xml:space="preserve">  </w:t>
            </w:r>
          </w:p>
        </w:tc>
        <w:tc>
          <w:tcPr>
            <w:tcW w:w="1039" w:type="dxa"/>
            <w:tcBorders>
              <w:top w:val="nil"/>
              <w:left w:val="nil"/>
              <w:bottom w:val="nil"/>
              <w:right w:val="nil"/>
            </w:tcBorders>
          </w:tcPr>
          <w:p w14:paraId="06B1ED9D" w14:textId="77777777" w:rsidR="00F334E6" w:rsidRPr="007115F2" w:rsidRDefault="00F334E6" w:rsidP="00F334E6">
            <w:pPr>
              <w:widowControl w:val="0"/>
              <w:autoSpaceDE w:val="0"/>
              <w:autoSpaceDN w:val="0"/>
              <w:adjustRightInd w:val="0"/>
              <w:spacing w:line="240" w:lineRule="auto"/>
              <w:jc w:val="center"/>
              <w:rPr>
                <w:b/>
                <w:bCs/>
                <w:color w:val="000000" w:themeColor="text1"/>
                <w:sz w:val="22"/>
                <w:lang w:val="en-US"/>
              </w:rPr>
            </w:pPr>
          </w:p>
        </w:tc>
        <w:tc>
          <w:tcPr>
            <w:tcW w:w="1040" w:type="dxa"/>
            <w:tcBorders>
              <w:top w:val="nil"/>
              <w:left w:val="nil"/>
              <w:bottom w:val="nil"/>
              <w:right w:val="nil"/>
            </w:tcBorders>
          </w:tcPr>
          <w:p w14:paraId="72F5675D" w14:textId="77777777" w:rsidR="00F334E6" w:rsidRPr="007115F2" w:rsidRDefault="00F334E6" w:rsidP="00F334E6">
            <w:pPr>
              <w:widowControl w:val="0"/>
              <w:autoSpaceDE w:val="0"/>
              <w:autoSpaceDN w:val="0"/>
              <w:adjustRightInd w:val="0"/>
              <w:spacing w:line="240" w:lineRule="auto"/>
              <w:jc w:val="center"/>
              <w:rPr>
                <w:b/>
                <w:bCs/>
                <w:color w:val="000000" w:themeColor="text1"/>
                <w:sz w:val="22"/>
                <w:lang w:val="en-US"/>
              </w:rPr>
            </w:pPr>
          </w:p>
        </w:tc>
        <w:tc>
          <w:tcPr>
            <w:tcW w:w="1039" w:type="dxa"/>
            <w:tcBorders>
              <w:top w:val="nil"/>
              <w:left w:val="nil"/>
              <w:bottom w:val="nil"/>
              <w:right w:val="nil"/>
            </w:tcBorders>
          </w:tcPr>
          <w:p w14:paraId="4B8B57FD" w14:textId="2F1114E2" w:rsidR="00F334E6" w:rsidRPr="007115F2" w:rsidRDefault="00F334E6" w:rsidP="00F334E6">
            <w:pPr>
              <w:widowControl w:val="0"/>
              <w:autoSpaceDE w:val="0"/>
              <w:autoSpaceDN w:val="0"/>
              <w:adjustRightInd w:val="0"/>
              <w:spacing w:line="240" w:lineRule="auto"/>
              <w:jc w:val="center"/>
              <w:rPr>
                <w:b/>
                <w:bCs/>
                <w:color w:val="000000" w:themeColor="text1"/>
                <w:sz w:val="22"/>
                <w:lang w:val="en-US"/>
              </w:rPr>
            </w:pPr>
          </w:p>
        </w:tc>
        <w:tc>
          <w:tcPr>
            <w:tcW w:w="1040" w:type="dxa"/>
            <w:tcBorders>
              <w:top w:val="nil"/>
              <w:left w:val="nil"/>
              <w:bottom w:val="nil"/>
              <w:right w:val="nil"/>
            </w:tcBorders>
            <w:vAlign w:val="center"/>
          </w:tcPr>
          <w:p w14:paraId="3BBB72D5" w14:textId="63AE9EAE" w:rsidR="00F334E6" w:rsidRPr="007115F2" w:rsidRDefault="00F334E6" w:rsidP="00F334E6">
            <w:pPr>
              <w:widowControl w:val="0"/>
              <w:autoSpaceDE w:val="0"/>
              <w:autoSpaceDN w:val="0"/>
              <w:adjustRightInd w:val="0"/>
              <w:spacing w:line="240" w:lineRule="auto"/>
              <w:jc w:val="center"/>
              <w:rPr>
                <w:b/>
                <w:bCs/>
                <w:color w:val="000000" w:themeColor="text1"/>
                <w:sz w:val="22"/>
                <w:lang w:val="en-US"/>
              </w:rPr>
            </w:pPr>
            <w:r w:rsidRPr="00D049B6">
              <w:rPr>
                <w:rFonts w:cs="Times New Roman"/>
                <w:color w:val="000000" w:themeColor="text1"/>
                <w:sz w:val="22"/>
                <w:lang w:val="en-US"/>
              </w:rPr>
              <w:t>(.980)</w:t>
            </w:r>
          </w:p>
        </w:tc>
        <w:tc>
          <w:tcPr>
            <w:tcW w:w="1039" w:type="dxa"/>
            <w:tcBorders>
              <w:top w:val="nil"/>
              <w:left w:val="nil"/>
              <w:bottom w:val="nil"/>
              <w:right w:val="nil"/>
            </w:tcBorders>
            <w:vAlign w:val="center"/>
          </w:tcPr>
          <w:p w14:paraId="6A9CCFBE" w14:textId="3D0A778A"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(.681)</w:t>
            </w:r>
          </w:p>
        </w:tc>
        <w:tc>
          <w:tcPr>
            <w:tcW w:w="1040" w:type="dxa"/>
            <w:tcBorders>
              <w:top w:val="nil"/>
              <w:left w:val="nil"/>
              <w:bottom w:val="nil"/>
              <w:right w:val="nil"/>
            </w:tcBorders>
            <w:vAlign w:val="center"/>
          </w:tcPr>
          <w:p w14:paraId="0965BF04" w14:textId="5598CC69"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(.342)</w:t>
            </w:r>
          </w:p>
        </w:tc>
      </w:tr>
      <w:tr w:rsidR="00F334E6" w:rsidRPr="007115F2" w14:paraId="353E844F" w14:textId="1F6ADB14" w:rsidTr="00B6286E">
        <w:trPr>
          <w:trHeight w:val="20"/>
        </w:trPr>
        <w:tc>
          <w:tcPr>
            <w:tcW w:w="2835" w:type="dxa"/>
            <w:tcBorders>
              <w:top w:val="nil"/>
              <w:left w:val="nil"/>
              <w:bottom w:val="nil"/>
              <w:right w:val="nil"/>
            </w:tcBorders>
          </w:tcPr>
          <w:p w14:paraId="73DC8C52" w14:textId="6E269599"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deal_market_culture_abs</w:t>
            </w:r>
          </w:p>
        </w:tc>
        <w:tc>
          <w:tcPr>
            <w:tcW w:w="1039" w:type="dxa"/>
            <w:tcBorders>
              <w:top w:val="nil"/>
              <w:left w:val="nil"/>
              <w:bottom w:val="nil"/>
              <w:right w:val="nil"/>
            </w:tcBorders>
          </w:tcPr>
          <w:p w14:paraId="6F000BB0" w14:textId="77777777" w:rsidR="00F334E6" w:rsidRPr="007115F2" w:rsidRDefault="00F334E6" w:rsidP="00F334E6">
            <w:pPr>
              <w:widowControl w:val="0"/>
              <w:autoSpaceDE w:val="0"/>
              <w:autoSpaceDN w:val="0"/>
              <w:adjustRightInd w:val="0"/>
              <w:spacing w:line="240" w:lineRule="auto"/>
              <w:jc w:val="center"/>
              <w:rPr>
                <w:color w:val="000000" w:themeColor="text1"/>
                <w:sz w:val="22"/>
                <w:lang w:val="en-US"/>
              </w:rPr>
            </w:pPr>
          </w:p>
        </w:tc>
        <w:tc>
          <w:tcPr>
            <w:tcW w:w="1040" w:type="dxa"/>
            <w:tcBorders>
              <w:top w:val="nil"/>
              <w:left w:val="nil"/>
              <w:bottom w:val="nil"/>
              <w:right w:val="nil"/>
            </w:tcBorders>
          </w:tcPr>
          <w:p w14:paraId="6FCD6056" w14:textId="77777777" w:rsidR="00F334E6" w:rsidRPr="007115F2" w:rsidRDefault="00F334E6" w:rsidP="00F334E6">
            <w:pPr>
              <w:widowControl w:val="0"/>
              <w:autoSpaceDE w:val="0"/>
              <w:autoSpaceDN w:val="0"/>
              <w:adjustRightInd w:val="0"/>
              <w:spacing w:line="240" w:lineRule="auto"/>
              <w:jc w:val="center"/>
              <w:rPr>
                <w:color w:val="000000" w:themeColor="text1"/>
                <w:sz w:val="22"/>
                <w:lang w:val="en-US"/>
              </w:rPr>
            </w:pPr>
          </w:p>
        </w:tc>
        <w:tc>
          <w:tcPr>
            <w:tcW w:w="1039" w:type="dxa"/>
            <w:tcBorders>
              <w:top w:val="nil"/>
              <w:left w:val="nil"/>
              <w:bottom w:val="nil"/>
              <w:right w:val="nil"/>
            </w:tcBorders>
          </w:tcPr>
          <w:p w14:paraId="34F5B7C2" w14:textId="59460C03" w:rsidR="00F334E6" w:rsidRPr="007115F2" w:rsidRDefault="00F334E6" w:rsidP="00F334E6">
            <w:pPr>
              <w:widowControl w:val="0"/>
              <w:autoSpaceDE w:val="0"/>
              <w:autoSpaceDN w:val="0"/>
              <w:adjustRightInd w:val="0"/>
              <w:spacing w:line="240" w:lineRule="auto"/>
              <w:jc w:val="center"/>
              <w:rPr>
                <w:color w:val="000000" w:themeColor="text1"/>
                <w:sz w:val="22"/>
                <w:lang w:val="en-US"/>
              </w:rPr>
            </w:pPr>
          </w:p>
        </w:tc>
        <w:tc>
          <w:tcPr>
            <w:tcW w:w="1040" w:type="dxa"/>
            <w:tcBorders>
              <w:top w:val="nil"/>
              <w:left w:val="nil"/>
              <w:bottom w:val="nil"/>
              <w:right w:val="nil"/>
            </w:tcBorders>
            <w:vAlign w:val="center"/>
          </w:tcPr>
          <w:p w14:paraId="51975256" w14:textId="2B8FFF7B"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.844***</w:t>
            </w:r>
          </w:p>
        </w:tc>
        <w:tc>
          <w:tcPr>
            <w:tcW w:w="1039" w:type="dxa"/>
            <w:tcBorders>
              <w:top w:val="nil"/>
              <w:left w:val="nil"/>
              <w:bottom w:val="nil"/>
              <w:right w:val="nil"/>
            </w:tcBorders>
            <w:vAlign w:val="center"/>
          </w:tcPr>
          <w:p w14:paraId="0A956FB0" w14:textId="4E48C9F4"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.959***</w:t>
            </w:r>
          </w:p>
        </w:tc>
        <w:tc>
          <w:tcPr>
            <w:tcW w:w="1040" w:type="dxa"/>
            <w:tcBorders>
              <w:top w:val="nil"/>
              <w:left w:val="nil"/>
              <w:bottom w:val="nil"/>
              <w:right w:val="nil"/>
            </w:tcBorders>
            <w:vAlign w:val="center"/>
          </w:tcPr>
          <w:p w14:paraId="67783789" w14:textId="59787F4A"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.906***</w:t>
            </w:r>
          </w:p>
        </w:tc>
      </w:tr>
      <w:tr w:rsidR="00F334E6" w:rsidRPr="007115F2" w14:paraId="4C988395" w14:textId="3BF4389F" w:rsidTr="00B6286E">
        <w:trPr>
          <w:trHeight w:val="20"/>
        </w:trPr>
        <w:tc>
          <w:tcPr>
            <w:tcW w:w="2835" w:type="dxa"/>
            <w:tcBorders>
              <w:top w:val="nil"/>
              <w:left w:val="nil"/>
              <w:bottom w:val="nil"/>
              <w:right w:val="nil"/>
            </w:tcBorders>
          </w:tcPr>
          <w:p w14:paraId="3A66A716" w14:textId="77802A60"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w:t>
            </w:r>
          </w:p>
        </w:tc>
        <w:tc>
          <w:tcPr>
            <w:tcW w:w="1039" w:type="dxa"/>
            <w:tcBorders>
              <w:top w:val="nil"/>
              <w:left w:val="nil"/>
              <w:bottom w:val="nil"/>
              <w:right w:val="nil"/>
            </w:tcBorders>
          </w:tcPr>
          <w:p w14:paraId="0F24CF69" w14:textId="77777777" w:rsidR="00F334E6" w:rsidRPr="007115F2" w:rsidRDefault="00F334E6" w:rsidP="00F334E6">
            <w:pPr>
              <w:widowControl w:val="0"/>
              <w:autoSpaceDE w:val="0"/>
              <w:autoSpaceDN w:val="0"/>
              <w:adjustRightInd w:val="0"/>
              <w:spacing w:line="240" w:lineRule="auto"/>
              <w:jc w:val="center"/>
              <w:rPr>
                <w:color w:val="000000" w:themeColor="text1"/>
                <w:sz w:val="22"/>
                <w:lang w:val="en-US"/>
              </w:rPr>
            </w:pPr>
          </w:p>
        </w:tc>
        <w:tc>
          <w:tcPr>
            <w:tcW w:w="1040" w:type="dxa"/>
            <w:tcBorders>
              <w:top w:val="nil"/>
              <w:left w:val="nil"/>
              <w:bottom w:val="nil"/>
              <w:right w:val="nil"/>
            </w:tcBorders>
          </w:tcPr>
          <w:p w14:paraId="1235AF83" w14:textId="77777777" w:rsidR="00F334E6" w:rsidRPr="007115F2" w:rsidRDefault="00F334E6" w:rsidP="00F334E6">
            <w:pPr>
              <w:widowControl w:val="0"/>
              <w:autoSpaceDE w:val="0"/>
              <w:autoSpaceDN w:val="0"/>
              <w:adjustRightInd w:val="0"/>
              <w:spacing w:line="240" w:lineRule="auto"/>
              <w:jc w:val="center"/>
              <w:rPr>
                <w:color w:val="000000" w:themeColor="text1"/>
                <w:sz w:val="22"/>
                <w:lang w:val="en-US"/>
              </w:rPr>
            </w:pPr>
          </w:p>
        </w:tc>
        <w:tc>
          <w:tcPr>
            <w:tcW w:w="1039" w:type="dxa"/>
            <w:tcBorders>
              <w:top w:val="nil"/>
              <w:left w:val="nil"/>
              <w:bottom w:val="nil"/>
              <w:right w:val="nil"/>
            </w:tcBorders>
          </w:tcPr>
          <w:p w14:paraId="309AE931" w14:textId="0AE69BCA" w:rsidR="00F334E6" w:rsidRPr="007115F2" w:rsidRDefault="00F334E6" w:rsidP="00F334E6">
            <w:pPr>
              <w:widowControl w:val="0"/>
              <w:autoSpaceDE w:val="0"/>
              <w:autoSpaceDN w:val="0"/>
              <w:adjustRightInd w:val="0"/>
              <w:spacing w:line="240" w:lineRule="auto"/>
              <w:jc w:val="center"/>
              <w:rPr>
                <w:color w:val="000000" w:themeColor="text1"/>
                <w:sz w:val="22"/>
                <w:lang w:val="en-US"/>
              </w:rPr>
            </w:pPr>
          </w:p>
        </w:tc>
        <w:tc>
          <w:tcPr>
            <w:tcW w:w="1040" w:type="dxa"/>
            <w:tcBorders>
              <w:top w:val="nil"/>
              <w:left w:val="nil"/>
              <w:bottom w:val="nil"/>
              <w:right w:val="nil"/>
            </w:tcBorders>
            <w:vAlign w:val="center"/>
          </w:tcPr>
          <w:p w14:paraId="41F0C3E8" w14:textId="509F8301"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(2.944)</w:t>
            </w:r>
          </w:p>
        </w:tc>
        <w:tc>
          <w:tcPr>
            <w:tcW w:w="1039" w:type="dxa"/>
            <w:tcBorders>
              <w:top w:val="nil"/>
              <w:left w:val="nil"/>
              <w:bottom w:val="nil"/>
              <w:right w:val="nil"/>
            </w:tcBorders>
            <w:vAlign w:val="center"/>
          </w:tcPr>
          <w:p w14:paraId="38C0DE2C" w14:textId="1271A5BE"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(3.497)</w:t>
            </w:r>
          </w:p>
        </w:tc>
        <w:tc>
          <w:tcPr>
            <w:tcW w:w="1040" w:type="dxa"/>
            <w:tcBorders>
              <w:top w:val="nil"/>
              <w:left w:val="nil"/>
              <w:bottom w:val="nil"/>
              <w:right w:val="nil"/>
            </w:tcBorders>
            <w:vAlign w:val="center"/>
          </w:tcPr>
          <w:p w14:paraId="773D3E11" w14:textId="2CF01E7A"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(2.992)</w:t>
            </w:r>
          </w:p>
        </w:tc>
      </w:tr>
      <w:tr w:rsidR="00F334E6" w:rsidRPr="007115F2" w14:paraId="5D9F8615" w14:textId="1095FE1F" w:rsidTr="00B6286E">
        <w:trPr>
          <w:trHeight w:val="20"/>
        </w:trPr>
        <w:tc>
          <w:tcPr>
            <w:tcW w:w="2835" w:type="dxa"/>
            <w:tcBorders>
              <w:top w:val="nil"/>
              <w:left w:val="nil"/>
              <w:bottom w:val="nil"/>
              <w:right w:val="nil"/>
            </w:tcBorders>
          </w:tcPr>
          <w:p w14:paraId="11FCBEFA" w14:textId="003696F5"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deal_hierarchy_culture_abs</w:t>
            </w:r>
          </w:p>
        </w:tc>
        <w:tc>
          <w:tcPr>
            <w:tcW w:w="1039" w:type="dxa"/>
            <w:tcBorders>
              <w:top w:val="nil"/>
              <w:left w:val="nil"/>
              <w:bottom w:val="nil"/>
              <w:right w:val="nil"/>
            </w:tcBorders>
          </w:tcPr>
          <w:p w14:paraId="28373A1D" w14:textId="77777777" w:rsidR="00F334E6" w:rsidRPr="007115F2" w:rsidRDefault="00F334E6" w:rsidP="00F334E6">
            <w:pPr>
              <w:widowControl w:val="0"/>
              <w:autoSpaceDE w:val="0"/>
              <w:autoSpaceDN w:val="0"/>
              <w:adjustRightInd w:val="0"/>
              <w:spacing w:line="240" w:lineRule="auto"/>
              <w:jc w:val="center"/>
              <w:rPr>
                <w:color w:val="000000" w:themeColor="text1"/>
                <w:sz w:val="22"/>
                <w:lang w:val="en-US"/>
              </w:rPr>
            </w:pPr>
          </w:p>
        </w:tc>
        <w:tc>
          <w:tcPr>
            <w:tcW w:w="1040" w:type="dxa"/>
            <w:tcBorders>
              <w:top w:val="nil"/>
              <w:left w:val="nil"/>
              <w:bottom w:val="nil"/>
              <w:right w:val="nil"/>
            </w:tcBorders>
          </w:tcPr>
          <w:p w14:paraId="69BD3456" w14:textId="77777777" w:rsidR="00F334E6" w:rsidRPr="007115F2" w:rsidRDefault="00F334E6" w:rsidP="00F334E6">
            <w:pPr>
              <w:widowControl w:val="0"/>
              <w:autoSpaceDE w:val="0"/>
              <w:autoSpaceDN w:val="0"/>
              <w:adjustRightInd w:val="0"/>
              <w:spacing w:line="240" w:lineRule="auto"/>
              <w:jc w:val="center"/>
              <w:rPr>
                <w:color w:val="000000" w:themeColor="text1"/>
                <w:sz w:val="22"/>
                <w:lang w:val="en-US"/>
              </w:rPr>
            </w:pPr>
          </w:p>
        </w:tc>
        <w:tc>
          <w:tcPr>
            <w:tcW w:w="1039" w:type="dxa"/>
            <w:tcBorders>
              <w:top w:val="nil"/>
              <w:left w:val="nil"/>
              <w:bottom w:val="nil"/>
              <w:right w:val="nil"/>
            </w:tcBorders>
          </w:tcPr>
          <w:p w14:paraId="1A8DC43A" w14:textId="4949E1BC" w:rsidR="00F334E6" w:rsidRPr="007115F2" w:rsidRDefault="00F334E6" w:rsidP="00F334E6">
            <w:pPr>
              <w:widowControl w:val="0"/>
              <w:autoSpaceDE w:val="0"/>
              <w:autoSpaceDN w:val="0"/>
              <w:adjustRightInd w:val="0"/>
              <w:spacing w:line="240" w:lineRule="auto"/>
              <w:jc w:val="center"/>
              <w:rPr>
                <w:color w:val="000000" w:themeColor="text1"/>
                <w:sz w:val="22"/>
                <w:lang w:val="en-US"/>
              </w:rPr>
            </w:pPr>
          </w:p>
        </w:tc>
        <w:tc>
          <w:tcPr>
            <w:tcW w:w="1040" w:type="dxa"/>
            <w:tcBorders>
              <w:top w:val="nil"/>
              <w:left w:val="nil"/>
              <w:bottom w:val="nil"/>
              <w:right w:val="nil"/>
            </w:tcBorders>
            <w:vAlign w:val="center"/>
          </w:tcPr>
          <w:p w14:paraId="4BAD97A6" w14:textId="0782B8AE"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-.264</w:t>
            </w:r>
          </w:p>
        </w:tc>
        <w:tc>
          <w:tcPr>
            <w:tcW w:w="1039" w:type="dxa"/>
            <w:tcBorders>
              <w:top w:val="nil"/>
              <w:left w:val="nil"/>
              <w:bottom w:val="nil"/>
              <w:right w:val="nil"/>
            </w:tcBorders>
            <w:vAlign w:val="center"/>
          </w:tcPr>
          <w:p w14:paraId="675FC1F4" w14:textId="3CF392EC"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-.267</w:t>
            </w:r>
          </w:p>
        </w:tc>
        <w:tc>
          <w:tcPr>
            <w:tcW w:w="1040" w:type="dxa"/>
            <w:tcBorders>
              <w:top w:val="nil"/>
              <w:left w:val="nil"/>
              <w:bottom w:val="nil"/>
              <w:right w:val="nil"/>
            </w:tcBorders>
            <w:vAlign w:val="center"/>
          </w:tcPr>
          <w:p w14:paraId="54179F92" w14:textId="67584BE9"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-.077</w:t>
            </w:r>
          </w:p>
        </w:tc>
      </w:tr>
      <w:tr w:rsidR="00F334E6" w:rsidRPr="007115F2" w14:paraId="4E84C9D0" w14:textId="49127BD9" w:rsidTr="00B6286E">
        <w:trPr>
          <w:trHeight w:val="20"/>
        </w:trPr>
        <w:tc>
          <w:tcPr>
            <w:tcW w:w="2835" w:type="dxa"/>
            <w:tcBorders>
              <w:top w:val="nil"/>
              <w:left w:val="nil"/>
              <w:bottom w:val="nil"/>
              <w:right w:val="nil"/>
            </w:tcBorders>
          </w:tcPr>
          <w:p w14:paraId="4BE7B81B" w14:textId="602BA534"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w:t>
            </w:r>
          </w:p>
        </w:tc>
        <w:tc>
          <w:tcPr>
            <w:tcW w:w="1039" w:type="dxa"/>
            <w:tcBorders>
              <w:top w:val="nil"/>
              <w:left w:val="nil"/>
              <w:bottom w:val="nil"/>
              <w:right w:val="nil"/>
            </w:tcBorders>
          </w:tcPr>
          <w:p w14:paraId="138ED3E8" w14:textId="77777777" w:rsidR="00F334E6" w:rsidRPr="007115F2" w:rsidRDefault="00F334E6" w:rsidP="00F334E6">
            <w:pPr>
              <w:widowControl w:val="0"/>
              <w:autoSpaceDE w:val="0"/>
              <w:autoSpaceDN w:val="0"/>
              <w:adjustRightInd w:val="0"/>
              <w:spacing w:line="240" w:lineRule="auto"/>
              <w:jc w:val="center"/>
              <w:rPr>
                <w:color w:val="000000" w:themeColor="text1"/>
                <w:sz w:val="22"/>
                <w:lang w:val="en-US"/>
              </w:rPr>
            </w:pPr>
          </w:p>
        </w:tc>
        <w:tc>
          <w:tcPr>
            <w:tcW w:w="1040" w:type="dxa"/>
            <w:tcBorders>
              <w:top w:val="nil"/>
              <w:left w:val="nil"/>
              <w:bottom w:val="nil"/>
              <w:right w:val="nil"/>
            </w:tcBorders>
          </w:tcPr>
          <w:p w14:paraId="69641491" w14:textId="77777777" w:rsidR="00F334E6" w:rsidRPr="007115F2" w:rsidRDefault="00F334E6" w:rsidP="00F334E6">
            <w:pPr>
              <w:widowControl w:val="0"/>
              <w:autoSpaceDE w:val="0"/>
              <w:autoSpaceDN w:val="0"/>
              <w:adjustRightInd w:val="0"/>
              <w:spacing w:line="240" w:lineRule="auto"/>
              <w:jc w:val="center"/>
              <w:rPr>
                <w:color w:val="000000" w:themeColor="text1"/>
                <w:sz w:val="22"/>
                <w:lang w:val="en-US"/>
              </w:rPr>
            </w:pPr>
          </w:p>
        </w:tc>
        <w:tc>
          <w:tcPr>
            <w:tcW w:w="1039" w:type="dxa"/>
            <w:tcBorders>
              <w:top w:val="nil"/>
              <w:left w:val="nil"/>
              <w:bottom w:val="nil"/>
              <w:right w:val="nil"/>
            </w:tcBorders>
          </w:tcPr>
          <w:p w14:paraId="3F75DBBD" w14:textId="056D9775" w:rsidR="00F334E6" w:rsidRPr="007115F2" w:rsidRDefault="00F334E6" w:rsidP="00F334E6">
            <w:pPr>
              <w:widowControl w:val="0"/>
              <w:autoSpaceDE w:val="0"/>
              <w:autoSpaceDN w:val="0"/>
              <w:adjustRightInd w:val="0"/>
              <w:spacing w:line="240" w:lineRule="auto"/>
              <w:jc w:val="center"/>
              <w:rPr>
                <w:color w:val="000000" w:themeColor="text1"/>
                <w:sz w:val="22"/>
                <w:lang w:val="en-US"/>
              </w:rPr>
            </w:pPr>
          </w:p>
        </w:tc>
        <w:tc>
          <w:tcPr>
            <w:tcW w:w="1040" w:type="dxa"/>
            <w:tcBorders>
              <w:top w:val="nil"/>
              <w:left w:val="nil"/>
              <w:bottom w:val="nil"/>
              <w:right w:val="nil"/>
            </w:tcBorders>
            <w:vAlign w:val="center"/>
          </w:tcPr>
          <w:p w14:paraId="277BAC11" w14:textId="4642AF2F"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(-.674)</w:t>
            </w:r>
          </w:p>
        </w:tc>
        <w:tc>
          <w:tcPr>
            <w:tcW w:w="1039" w:type="dxa"/>
            <w:tcBorders>
              <w:top w:val="nil"/>
              <w:left w:val="nil"/>
              <w:bottom w:val="nil"/>
              <w:right w:val="nil"/>
            </w:tcBorders>
            <w:vAlign w:val="center"/>
          </w:tcPr>
          <w:p w14:paraId="3100B73D" w14:textId="074774EB"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(-.709)</w:t>
            </w:r>
          </w:p>
        </w:tc>
        <w:tc>
          <w:tcPr>
            <w:tcW w:w="1040" w:type="dxa"/>
            <w:tcBorders>
              <w:top w:val="nil"/>
              <w:left w:val="nil"/>
              <w:bottom w:val="nil"/>
              <w:right w:val="nil"/>
            </w:tcBorders>
            <w:vAlign w:val="center"/>
          </w:tcPr>
          <w:p w14:paraId="387BF9B6" w14:textId="5B5D22DA"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(-.205)</w:t>
            </w:r>
          </w:p>
        </w:tc>
      </w:tr>
      <w:tr w:rsidR="00F334E6" w:rsidRPr="007115F2" w14:paraId="1F55E8D3" w14:textId="7FA813FF" w:rsidTr="00B6286E">
        <w:trPr>
          <w:trHeight w:val="20"/>
        </w:trPr>
        <w:tc>
          <w:tcPr>
            <w:tcW w:w="2835" w:type="dxa"/>
            <w:tcBorders>
              <w:top w:val="nil"/>
              <w:left w:val="nil"/>
              <w:bottom w:val="nil"/>
              <w:right w:val="nil"/>
            </w:tcBorders>
          </w:tcPr>
          <w:p w14:paraId="573F0EE5" w14:textId="1A32DB10" w:rsidR="00F334E6" w:rsidRPr="007115F2" w:rsidRDefault="00F334E6" w:rsidP="00F334E6">
            <w:pPr>
              <w:widowControl w:val="0"/>
              <w:autoSpaceDE w:val="0"/>
              <w:autoSpaceDN w:val="0"/>
              <w:adjustRightInd w:val="0"/>
              <w:spacing w:line="240" w:lineRule="auto"/>
              <w:rPr>
                <w:b/>
                <w:bCs/>
                <w:color w:val="000000" w:themeColor="text1"/>
                <w:sz w:val="22"/>
                <w:lang w:val="en-US"/>
              </w:rPr>
            </w:pPr>
            <w:r w:rsidRPr="00D049B6">
              <w:rPr>
                <w:rFonts w:cs="Times New Roman"/>
                <w:color w:val="000000" w:themeColor="text1"/>
                <w:sz w:val="22"/>
                <w:lang w:val="en-US"/>
              </w:rPr>
              <w:t xml:space="preserve"> deal_value_ln</w:t>
            </w:r>
          </w:p>
        </w:tc>
        <w:tc>
          <w:tcPr>
            <w:tcW w:w="1039" w:type="dxa"/>
            <w:tcBorders>
              <w:top w:val="nil"/>
              <w:left w:val="nil"/>
              <w:bottom w:val="nil"/>
              <w:right w:val="nil"/>
            </w:tcBorders>
            <w:vAlign w:val="center"/>
          </w:tcPr>
          <w:p w14:paraId="292B5B55" w14:textId="31A75C62" w:rsidR="00F334E6" w:rsidRPr="007115F2" w:rsidRDefault="00F334E6" w:rsidP="00F334E6">
            <w:pPr>
              <w:widowControl w:val="0"/>
              <w:autoSpaceDE w:val="0"/>
              <w:autoSpaceDN w:val="0"/>
              <w:adjustRightInd w:val="0"/>
              <w:spacing w:line="240" w:lineRule="auto"/>
              <w:jc w:val="center"/>
              <w:rPr>
                <w:b/>
                <w:bCs/>
                <w:color w:val="000000" w:themeColor="text1"/>
                <w:sz w:val="22"/>
                <w:lang w:val="en-US"/>
              </w:rPr>
            </w:pPr>
            <w:r w:rsidRPr="00D049B6">
              <w:rPr>
                <w:rFonts w:cs="Times New Roman"/>
                <w:color w:val="000000" w:themeColor="text1"/>
                <w:sz w:val="22"/>
                <w:lang w:val="en-US"/>
              </w:rPr>
              <w:t>-.012</w:t>
            </w:r>
          </w:p>
        </w:tc>
        <w:tc>
          <w:tcPr>
            <w:tcW w:w="1040" w:type="dxa"/>
            <w:tcBorders>
              <w:top w:val="nil"/>
              <w:left w:val="nil"/>
              <w:bottom w:val="nil"/>
              <w:right w:val="nil"/>
            </w:tcBorders>
            <w:vAlign w:val="center"/>
          </w:tcPr>
          <w:p w14:paraId="7F5B942E" w14:textId="355B34AE" w:rsidR="00F334E6" w:rsidRPr="007115F2" w:rsidRDefault="00F334E6" w:rsidP="00F334E6">
            <w:pPr>
              <w:widowControl w:val="0"/>
              <w:autoSpaceDE w:val="0"/>
              <w:autoSpaceDN w:val="0"/>
              <w:adjustRightInd w:val="0"/>
              <w:spacing w:line="240" w:lineRule="auto"/>
              <w:jc w:val="center"/>
              <w:rPr>
                <w:b/>
                <w:bCs/>
                <w:color w:val="000000" w:themeColor="text1"/>
                <w:sz w:val="22"/>
                <w:lang w:val="en-US"/>
              </w:rPr>
            </w:pPr>
            <w:r w:rsidRPr="00D049B6">
              <w:rPr>
                <w:rFonts w:cs="Times New Roman"/>
                <w:color w:val="000000" w:themeColor="text1"/>
                <w:sz w:val="22"/>
                <w:lang w:val="en-US"/>
              </w:rPr>
              <w:t>-.025</w:t>
            </w:r>
          </w:p>
        </w:tc>
        <w:tc>
          <w:tcPr>
            <w:tcW w:w="1039" w:type="dxa"/>
            <w:tcBorders>
              <w:top w:val="nil"/>
              <w:left w:val="nil"/>
              <w:bottom w:val="nil"/>
              <w:right w:val="nil"/>
            </w:tcBorders>
            <w:vAlign w:val="center"/>
          </w:tcPr>
          <w:p w14:paraId="7750B3C6" w14:textId="416CDEEB" w:rsidR="00F334E6" w:rsidRPr="007115F2" w:rsidRDefault="00F334E6" w:rsidP="00F334E6">
            <w:pPr>
              <w:widowControl w:val="0"/>
              <w:autoSpaceDE w:val="0"/>
              <w:autoSpaceDN w:val="0"/>
              <w:adjustRightInd w:val="0"/>
              <w:spacing w:line="240" w:lineRule="auto"/>
              <w:jc w:val="center"/>
              <w:rPr>
                <w:b/>
                <w:bCs/>
                <w:color w:val="000000" w:themeColor="text1"/>
                <w:sz w:val="22"/>
                <w:lang w:val="en-US"/>
              </w:rPr>
            </w:pPr>
            <w:r w:rsidRPr="00D049B6">
              <w:rPr>
                <w:rFonts w:cs="Times New Roman"/>
                <w:color w:val="000000" w:themeColor="text1"/>
                <w:sz w:val="22"/>
                <w:lang w:val="en-US"/>
              </w:rPr>
              <w:t>-.010</w:t>
            </w:r>
          </w:p>
        </w:tc>
        <w:tc>
          <w:tcPr>
            <w:tcW w:w="1040" w:type="dxa"/>
            <w:tcBorders>
              <w:top w:val="nil"/>
              <w:left w:val="nil"/>
              <w:bottom w:val="nil"/>
              <w:right w:val="nil"/>
            </w:tcBorders>
            <w:vAlign w:val="center"/>
          </w:tcPr>
          <w:p w14:paraId="6E0DB7ED" w14:textId="7D4C317A" w:rsidR="00F334E6" w:rsidRPr="007115F2" w:rsidRDefault="00F334E6" w:rsidP="00F334E6">
            <w:pPr>
              <w:widowControl w:val="0"/>
              <w:autoSpaceDE w:val="0"/>
              <w:autoSpaceDN w:val="0"/>
              <w:adjustRightInd w:val="0"/>
              <w:spacing w:line="240" w:lineRule="auto"/>
              <w:jc w:val="center"/>
              <w:rPr>
                <w:b/>
                <w:bCs/>
                <w:color w:val="000000" w:themeColor="text1"/>
                <w:sz w:val="22"/>
                <w:lang w:val="en-US"/>
              </w:rPr>
            </w:pPr>
            <w:r w:rsidRPr="00D049B6">
              <w:rPr>
                <w:rFonts w:cs="Times New Roman"/>
                <w:color w:val="000000" w:themeColor="text1"/>
                <w:sz w:val="22"/>
                <w:lang w:val="en-US"/>
              </w:rPr>
              <w:t>-.007</w:t>
            </w:r>
          </w:p>
        </w:tc>
        <w:tc>
          <w:tcPr>
            <w:tcW w:w="1039" w:type="dxa"/>
            <w:tcBorders>
              <w:top w:val="nil"/>
              <w:left w:val="nil"/>
              <w:bottom w:val="nil"/>
              <w:right w:val="nil"/>
            </w:tcBorders>
            <w:vAlign w:val="center"/>
          </w:tcPr>
          <w:p w14:paraId="3DAB3AB8" w14:textId="6F13136C"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-.021</w:t>
            </w:r>
          </w:p>
        </w:tc>
        <w:tc>
          <w:tcPr>
            <w:tcW w:w="1040" w:type="dxa"/>
            <w:tcBorders>
              <w:top w:val="nil"/>
              <w:left w:val="nil"/>
              <w:bottom w:val="nil"/>
              <w:right w:val="nil"/>
            </w:tcBorders>
            <w:vAlign w:val="center"/>
          </w:tcPr>
          <w:p w14:paraId="117F4FBA" w14:textId="49DD0B0C"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-.007</w:t>
            </w:r>
          </w:p>
        </w:tc>
      </w:tr>
      <w:tr w:rsidR="00F334E6" w:rsidRPr="007115F2" w14:paraId="25BD9B56" w14:textId="16CEFB94" w:rsidTr="00B6286E">
        <w:trPr>
          <w:trHeight w:val="20"/>
        </w:trPr>
        <w:tc>
          <w:tcPr>
            <w:tcW w:w="2835" w:type="dxa"/>
            <w:tcBorders>
              <w:top w:val="nil"/>
              <w:left w:val="nil"/>
              <w:bottom w:val="nil"/>
              <w:right w:val="nil"/>
            </w:tcBorders>
          </w:tcPr>
          <w:p w14:paraId="3DD1A585" w14:textId="01BFDB4E"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w:t>
            </w:r>
          </w:p>
        </w:tc>
        <w:tc>
          <w:tcPr>
            <w:tcW w:w="1039" w:type="dxa"/>
            <w:tcBorders>
              <w:top w:val="nil"/>
              <w:left w:val="nil"/>
              <w:bottom w:val="nil"/>
              <w:right w:val="nil"/>
            </w:tcBorders>
            <w:vAlign w:val="center"/>
          </w:tcPr>
          <w:p w14:paraId="2EC7A201" w14:textId="7BA72040"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(-.482)</w:t>
            </w:r>
          </w:p>
        </w:tc>
        <w:tc>
          <w:tcPr>
            <w:tcW w:w="1040" w:type="dxa"/>
            <w:tcBorders>
              <w:top w:val="nil"/>
              <w:left w:val="nil"/>
              <w:bottom w:val="nil"/>
              <w:right w:val="nil"/>
            </w:tcBorders>
            <w:vAlign w:val="center"/>
          </w:tcPr>
          <w:p w14:paraId="3B9ECD2A" w14:textId="245BDD10"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(-1.050)</w:t>
            </w:r>
          </w:p>
        </w:tc>
        <w:tc>
          <w:tcPr>
            <w:tcW w:w="1039" w:type="dxa"/>
            <w:tcBorders>
              <w:top w:val="nil"/>
              <w:left w:val="nil"/>
              <w:bottom w:val="nil"/>
              <w:right w:val="nil"/>
            </w:tcBorders>
            <w:vAlign w:val="center"/>
          </w:tcPr>
          <w:p w14:paraId="5631A510" w14:textId="6EEC9E8B"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(-.479)</w:t>
            </w:r>
          </w:p>
        </w:tc>
        <w:tc>
          <w:tcPr>
            <w:tcW w:w="1040" w:type="dxa"/>
            <w:tcBorders>
              <w:top w:val="nil"/>
              <w:left w:val="nil"/>
              <w:bottom w:val="nil"/>
              <w:right w:val="nil"/>
            </w:tcBorders>
            <w:vAlign w:val="center"/>
          </w:tcPr>
          <w:p w14:paraId="49964ABA" w14:textId="24638D47"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(-.263)</w:t>
            </w:r>
          </w:p>
        </w:tc>
        <w:tc>
          <w:tcPr>
            <w:tcW w:w="1039" w:type="dxa"/>
            <w:tcBorders>
              <w:top w:val="nil"/>
              <w:left w:val="nil"/>
              <w:bottom w:val="nil"/>
              <w:right w:val="nil"/>
            </w:tcBorders>
            <w:vAlign w:val="center"/>
          </w:tcPr>
          <w:p w14:paraId="120D092D" w14:textId="1A2FB151"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(-.813)</w:t>
            </w:r>
          </w:p>
        </w:tc>
        <w:tc>
          <w:tcPr>
            <w:tcW w:w="1040" w:type="dxa"/>
            <w:tcBorders>
              <w:top w:val="nil"/>
              <w:left w:val="nil"/>
              <w:bottom w:val="nil"/>
              <w:right w:val="nil"/>
            </w:tcBorders>
            <w:vAlign w:val="center"/>
          </w:tcPr>
          <w:p w14:paraId="2A78A570" w14:textId="32B21FB5"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(-.271)</w:t>
            </w:r>
          </w:p>
        </w:tc>
      </w:tr>
      <w:tr w:rsidR="00F334E6" w:rsidRPr="007115F2" w14:paraId="5814C558" w14:textId="20087710" w:rsidTr="00B6286E">
        <w:trPr>
          <w:trHeight w:val="20"/>
        </w:trPr>
        <w:tc>
          <w:tcPr>
            <w:tcW w:w="2835" w:type="dxa"/>
            <w:tcBorders>
              <w:top w:val="nil"/>
              <w:left w:val="nil"/>
              <w:bottom w:val="nil"/>
              <w:right w:val="nil"/>
            </w:tcBorders>
          </w:tcPr>
          <w:p w14:paraId="75FCFCF1" w14:textId="55261E5E"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deal_hofstede_distance</w:t>
            </w:r>
          </w:p>
        </w:tc>
        <w:tc>
          <w:tcPr>
            <w:tcW w:w="1039" w:type="dxa"/>
            <w:tcBorders>
              <w:top w:val="nil"/>
              <w:left w:val="nil"/>
              <w:bottom w:val="nil"/>
              <w:right w:val="nil"/>
            </w:tcBorders>
            <w:vAlign w:val="center"/>
          </w:tcPr>
          <w:p w14:paraId="0580AD6E" w14:textId="5569527E"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.175</w:t>
            </w:r>
          </w:p>
        </w:tc>
        <w:tc>
          <w:tcPr>
            <w:tcW w:w="1040" w:type="dxa"/>
            <w:tcBorders>
              <w:top w:val="nil"/>
              <w:left w:val="nil"/>
              <w:bottom w:val="nil"/>
              <w:right w:val="nil"/>
            </w:tcBorders>
            <w:vAlign w:val="center"/>
          </w:tcPr>
          <w:p w14:paraId="3489FC73" w14:textId="2E29815C"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-.060</w:t>
            </w:r>
          </w:p>
        </w:tc>
        <w:tc>
          <w:tcPr>
            <w:tcW w:w="1039" w:type="dxa"/>
            <w:tcBorders>
              <w:top w:val="nil"/>
              <w:left w:val="nil"/>
              <w:bottom w:val="nil"/>
              <w:right w:val="nil"/>
            </w:tcBorders>
            <w:vAlign w:val="center"/>
          </w:tcPr>
          <w:p w14:paraId="2CA6970E" w14:textId="06C13EEF"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.071</w:t>
            </w:r>
          </w:p>
        </w:tc>
        <w:tc>
          <w:tcPr>
            <w:tcW w:w="1040" w:type="dxa"/>
            <w:tcBorders>
              <w:top w:val="nil"/>
              <w:left w:val="nil"/>
              <w:bottom w:val="nil"/>
              <w:right w:val="nil"/>
            </w:tcBorders>
            <w:vAlign w:val="center"/>
          </w:tcPr>
          <w:p w14:paraId="0DFDAE4F" w14:textId="69C47E29"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.151</w:t>
            </w:r>
          </w:p>
        </w:tc>
        <w:tc>
          <w:tcPr>
            <w:tcW w:w="1039" w:type="dxa"/>
            <w:tcBorders>
              <w:top w:val="nil"/>
              <w:left w:val="nil"/>
              <w:bottom w:val="nil"/>
              <w:right w:val="nil"/>
            </w:tcBorders>
            <w:vAlign w:val="center"/>
          </w:tcPr>
          <w:p w14:paraId="561A5760" w14:textId="3228D4C5"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-.079</w:t>
            </w:r>
          </w:p>
        </w:tc>
        <w:tc>
          <w:tcPr>
            <w:tcW w:w="1040" w:type="dxa"/>
            <w:tcBorders>
              <w:top w:val="nil"/>
              <w:left w:val="nil"/>
              <w:bottom w:val="nil"/>
              <w:right w:val="nil"/>
            </w:tcBorders>
            <w:vAlign w:val="center"/>
          </w:tcPr>
          <w:p w14:paraId="5DA9F42D" w14:textId="6377564B"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.068</w:t>
            </w:r>
          </w:p>
        </w:tc>
      </w:tr>
      <w:tr w:rsidR="00F334E6" w:rsidRPr="007115F2" w14:paraId="01F7274E" w14:textId="5CDBABC7" w:rsidTr="00B6286E">
        <w:trPr>
          <w:trHeight w:val="20"/>
        </w:trPr>
        <w:tc>
          <w:tcPr>
            <w:tcW w:w="2835" w:type="dxa"/>
            <w:tcBorders>
              <w:top w:val="nil"/>
              <w:left w:val="nil"/>
              <w:bottom w:val="nil"/>
              <w:right w:val="nil"/>
            </w:tcBorders>
          </w:tcPr>
          <w:p w14:paraId="2FE3A719" w14:textId="636AFEAA"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w:t>
            </w:r>
          </w:p>
        </w:tc>
        <w:tc>
          <w:tcPr>
            <w:tcW w:w="1039" w:type="dxa"/>
            <w:tcBorders>
              <w:top w:val="nil"/>
              <w:left w:val="nil"/>
              <w:bottom w:val="nil"/>
              <w:right w:val="nil"/>
            </w:tcBorders>
            <w:vAlign w:val="center"/>
          </w:tcPr>
          <w:p w14:paraId="4B8E33A9" w14:textId="36DDD4C6"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(1.083)</w:t>
            </w:r>
          </w:p>
        </w:tc>
        <w:tc>
          <w:tcPr>
            <w:tcW w:w="1040" w:type="dxa"/>
            <w:tcBorders>
              <w:top w:val="nil"/>
              <w:left w:val="nil"/>
              <w:bottom w:val="nil"/>
              <w:right w:val="nil"/>
            </w:tcBorders>
            <w:vAlign w:val="center"/>
          </w:tcPr>
          <w:p w14:paraId="2960C279" w14:textId="4BB182C7"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(-.293)</w:t>
            </w:r>
          </w:p>
        </w:tc>
        <w:tc>
          <w:tcPr>
            <w:tcW w:w="1039" w:type="dxa"/>
            <w:tcBorders>
              <w:top w:val="nil"/>
              <w:left w:val="nil"/>
              <w:bottom w:val="nil"/>
              <w:right w:val="nil"/>
            </w:tcBorders>
            <w:vAlign w:val="center"/>
          </w:tcPr>
          <w:p w14:paraId="00115AE7" w14:textId="48737806"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(.286)</w:t>
            </w:r>
          </w:p>
        </w:tc>
        <w:tc>
          <w:tcPr>
            <w:tcW w:w="1040" w:type="dxa"/>
            <w:tcBorders>
              <w:top w:val="nil"/>
              <w:left w:val="nil"/>
              <w:bottom w:val="nil"/>
              <w:right w:val="nil"/>
            </w:tcBorders>
            <w:vAlign w:val="center"/>
          </w:tcPr>
          <w:p w14:paraId="34D8F336" w14:textId="23C20A02"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(.836)</w:t>
            </w:r>
          </w:p>
        </w:tc>
        <w:tc>
          <w:tcPr>
            <w:tcW w:w="1039" w:type="dxa"/>
            <w:tcBorders>
              <w:top w:val="nil"/>
              <w:left w:val="nil"/>
              <w:bottom w:val="nil"/>
              <w:right w:val="nil"/>
            </w:tcBorders>
            <w:vAlign w:val="center"/>
          </w:tcPr>
          <w:p w14:paraId="77C9B786" w14:textId="6606B23C"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(-.361)</w:t>
            </w:r>
          </w:p>
        </w:tc>
        <w:tc>
          <w:tcPr>
            <w:tcW w:w="1040" w:type="dxa"/>
            <w:tcBorders>
              <w:top w:val="nil"/>
              <w:left w:val="nil"/>
              <w:bottom w:val="nil"/>
              <w:right w:val="nil"/>
            </w:tcBorders>
            <w:vAlign w:val="center"/>
          </w:tcPr>
          <w:p w14:paraId="6911D236" w14:textId="29F09AE3"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(.299)</w:t>
            </w:r>
          </w:p>
        </w:tc>
      </w:tr>
      <w:tr w:rsidR="00F334E6" w:rsidRPr="007115F2" w14:paraId="22685E87" w14:textId="7BCC9242" w:rsidTr="00B6286E">
        <w:trPr>
          <w:trHeight w:val="20"/>
        </w:trPr>
        <w:tc>
          <w:tcPr>
            <w:tcW w:w="2835" w:type="dxa"/>
            <w:tcBorders>
              <w:top w:val="nil"/>
              <w:left w:val="nil"/>
              <w:bottom w:val="nil"/>
              <w:right w:val="nil"/>
            </w:tcBorders>
          </w:tcPr>
          <w:p w14:paraId="01AB7D6F" w14:textId="65AE1201"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deal_all_cash_dummy</w:t>
            </w:r>
          </w:p>
        </w:tc>
        <w:tc>
          <w:tcPr>
            <w:tcW w:w="1039" w:type="dxa"/>
            <w:tcBorders>
              <w:top w:val="nil"/>
              <w:left w:val="nil"/>
              <w:bottom w:val="nil"/>
              <w:right w:val="nil"/>
            </w:tcBorders>
            <w:vAlign w:val="center"/>
          </w:tcPr>
          <w:p w14:paraId="2AF7B13E" w14:textId="29723D20"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.090*</w:t>
            </w:r>
          </w:p>
        </w:tc>
        <w:tc>
          <w:tcPr>
            <w:tcW w:w="1040" w:type="dxa"/>
            <w:tcBorders>
              <w:top w:val="nil"/>
              <w:left w:val="nil"/>
              <w:bottom w:val="nil"/>
              <w:right w:val="nil"/>
            </w:tcBorders>
            <w:vAlign w:val="center"/>
          </w:tcPr>
          <w:p w14:paraId="7B575E8C" w14:textId="71A41536"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.111*</w:t>
            </w:r>
          </w:p>
        </w:tc>
        <w:tc>
          <w:tcPr>
            <w:tcW w:w="1039" w:type="dxa"/>
            <w:tcBorders>
              <w:top w:val="nil"/>
              <w:left w:val="nil"/>
              <w:bottom w:val="nil"/>
              <w:right w:val="nil"/>
            </w:tcBorders>
            <w:vAlign w:val="center"/>
          </w:tcPr>
          <w:p w14:paraId="61D320E9" w14:textId="1CA355E2"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.088</w:t>
            </w:r>
          </w:p>
        </w:tc>
        <w:tc>
          <w:tcPr>
            <w:tcW w:w="1040" w:type="dxa"/>
            <w:tcBorders>
              <w:top w:val="nil"/>
              <w:left w:val="nil"/>
              <w:bottom w:val="nil"/>
              <w:right w:val="nil"/>
            </w:tcBorders>
            <w:vAlign w:val="center"/>
          </w:tcPr>
          <w:p w14:paraId="7BA274D1" w14:textId="61FCC4A7"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.108*</w:t>
            </w:r>
          </w:p>
        </w:tc>
        <w:tc>
          <w:tcPr>
            <w:tcW w:w="1039" w:type="dxa"/>
            <w:tcBorders>
              <w:top w:val="nil"/>
              <w:left w:val="nil"/>
              <w:bottom w:val="nil"/>
              <w:right w:val="nil"/>
            </w:tcBorders>
            <w:vAlign w:val="center"/>
          </w:tcPr>
          <w:p w14:paraId="61FCDEF8" w14:textId="39111508"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.131**</w:t>
            </w:r>
          </w:p>
        </w:tc>
        <w:tc>
          <w:tcPr>
            <w:tcW w:w="1040" w:type="dxa"/>
            <w:tcBorders>
              <w:top w:val="nil"/>
              <w:left w:val="nil"/>
              <w:bottom w:val="nil"/>
              <w:right w:val="nil"/>
            </w:tcBorders>
            <w:vAlign w:val="center"/>
          </w:tcPr>
          <w:p w14:paraId="65C963AB" w14:textId="5F60AFFE"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.105*</w:t>
            </w:r>
          </w:p>
        </w:tc>
      </w:tr>
      <w:tr w:rsidR="00F334E6" w:rsidRPr="007115F2" w14:paraId="209DF0D1" w14:textId="0223A6C5" w:rsidTr="00B6286E">
        <w:trPr>
          <w:trHeight w:val="20"/>
        </w:trPr>
        <w:tc>
          <w:tcPr>
            <w:tcW w:w="2835" w:type="dxa"/>
            <w:tcBorders>
              <w:top w:val="nil"/>
              <w:left w:val="nil"/>
              <w:bottom w:val="nil"/>
              <w:right w:val="nil"/>
            </w:tcBorders>
          </w:tcPr>
          <w:p w14:paraId="18FF2A67" w14:textId="61C4638F"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w:t>
            </w:r>
          </w:p>
        </w:tc>
        <w:tc>
          <w:tcPr>
            <w:tcW w:w="1039" w:type="dxa"/>
            <w:tcBorders>
              <w:top w:val="nil"/>
              <w:left w:val="nil"/>
              <w:bottom w:val="nil"/>
              <w:right w:val="nil"/>
            </w:tcBorders>
            <w:vAlign w:val="center"/>
          </w:tcPr>
          <w:p w14:paraId="100A5E3A" w14:textId="2A633DB4"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(1.657)</w:t>
            </w:r>
          </w:p>
        </w:tc>
        <w:tc>
          <w:tcPr>
            <w:tcW w:w="1040" w:type="dxa"/>
            <w:tcBorders>
              <w:top w:val="nil"/>
              <w:left w:val="nil"/>
              <w:bottom w:val="nil"/>
              <w:right w:val="nil"/>
            </w:tcBorders>
            <w:vAlign w:val="center"/>
          </w:tcPr>
          <w:p w14:paraId="78CDA25F" w14:textId="6E18B487"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(1.975)</w:t>
            </w:r>
          </w:p>
        </w:tc>
        <w:tc>
          <w:tcPr>
            <w:tcW w:w="1039" w:type="dxa"/>
            <w:tcBorders>
              <w:top w:val="nil"/>
              <w:left w:val="nil"/>
              <w:bottom w:val="nil"/>
              <w:right w:val="nil"/>
            </w:tcBorders>
            <w:vAlign w:val="center"/>
          </w:tcPr>
          <w:p w14:paraId="03DB0569" w14:textId="5FBB1FA1"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(1.527)</w:t>
            </w:r>
          </w:p>
        </w:tc>
        <w:tc>
          <w:tcPr>
            <w:tcW w:w="1040" w:type="dxa"/>
            <w:tcBorders>
              <w:top w:val="nil"/>
              <w:left w:val="nil"/>
              <w:bottom w:val="nil"/>
              <w:right w:val="nil"/>
            </w:tcBorders>
            <w:vAlign w:val="center"/>
          </w:tcPr>
          <w:p w14:paraId="046B3A08" w14:textId="67301D24"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(1.944)</w:t>
            </w:r>
          </w:p>
        </w:tc>
        <w:tc>
          <w:tcPr>
            <w:tcW w:w="1039" w:type="dxa"/>
            <w:tcBorders>
              <w:top w:val="nil"/>
              <w:left w:val="nil"/>
              <w:bottom w:val="nil"/>
              <w:right w:val="nil"/>
            </w:tcBorders>
            <w:vAlign w:val="center"/>
          </w:tcPr>
          <w:p w14:paraId="29F06AFD" w14:textId="3BDAD4E1"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(2.362)</w:t>
            </w:r>
          </w:p>
        </w:tc>
        <w:tc>
          <w:tcPr>
            <w:tcW w:w="1040" w:type="dxa"/>
            <w:tcBorders>
              <w:top w:val="nil"/>
              <w:left w:val="nil"/>
              <w:bottom w:val="nil"/>
              <w:right w:val="nil"/>
            </w:tcBorders>
            <w:vAlign w:val="center"/>
          </w:tcPr>
          <w:p w14:paraId="2925A7B0" w14:textId="55259DAB"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(1.871)</w:t>
            </w:r>
          </w:p>
        </w:tc>
      </w:tr>
      <w:tr w:rsidR="00F334E6" w:rsidRPr="007115F2" w14:paraId="48CA1A37" w14:textId="19F5E530" w:rsidTr="00B6286E">
        <w:trPr>
          <w:trHeight w:val="20"/>
        </w:trPr>
        <w:tc>
          <w:tcPr>
            <w:tcW w:w="2835" w:type="dxa"/>
            <w:tcBorders>
              <w:top w:val="nil"/>
              <w:left w:val="nil"/>
              <w:bottom w:val="nil"/>
              <w:right w:val="nil"/>
            </w:tcBorders>
          </w:tcPr>
          <w:p w14:paraId="662C4655" w14:textId="72E5EE44"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deal_all_stock_dummy</w:t>
            </w:r>
          </w:p>
        </w:tc>
        <w:tc>
          <w:tcPr>
            <w:tcW w:w="1039" w:type="dxa"/>
            <w:tcBorders>
              <w:top w:val="nil"/>
              <w:left w:val="nil"/>
              <w:bottom w:val="nil"/>
              <w:right w:val="nil"/>
            </w:tcBorders>
            <w:vAlign w:val="center"/>
          </w:tcPr>
          <w:p w14:paraId="4B9324DD" w14:textId="6B8CD460"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-.119*</w:t>
            </w:r>
          </w:p>
        </w:tc>
        <w:tc>
          <w:tcPr>
            <w:tcW w:w="1040" w:type="dxa"/>
            <w:tcBorders>
              <w:top w:val="nil"/>
              <w:left w:val="nil"/>
              <w:bottom w:val="nil"/>
              <w:right w:val="nil"/>
            </w:tcBorders>
            <w:vAlign w:val="center"/>
          </w:tcPr>
          <w:p w14:paraId="66FA0108" w14:textId="18AED454"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-.122*</w:t>
            </w:r>
          </w:p>
        </w:tc>
        <w:tc>
          <w:tcPr>
            <w:tcW w:w="1039" w:type="dxa"/>
            <w:tcBorders>
              <w:top w:val="nil"/>
              <w:left w:val="nil"/>
              <w:bottom w:val="nil"/>
              <w:right w:val="nil"/>
            </w:tcBorders>
            <w:vAlign w:val="center"/>
          </w:tcPr>
          <w:p w14:paraId="20068C70" w14:textId="561A62C3"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-.109</w:t>
            </w:r>
          </w:p>
        </w:tc>
        <w:tc>
          <w:tcPr>
            <w:tcW w:w="1040" w:type="dxa"/>
            <w:tcBorders>
              <w:top w:val="nil"/>
              <w:left w:val="nil"/>
              <w:bottom w:val="nil"/>
              <w:right w:val="nil"/>
            </w:tcBorders>
            <w:vAlign w:val="center"/>
          </w:tcPr>
          <w:p w14:paraId="36467A2E" w14:textId="6A99C77A"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-.117</w:t>
            </w:r>
          </w:p>
        </w:tc>
        <w:tc>
          <w:tcPr>
            <w:tcW w:w="1039" w:type="dxa"/>
            <w:tcBorders>
              <w:top w:val="nil"/>
              <w:left w:val="nil"/>
              <w:bottom w:val="nil"/>
              <w:right w:val="nil"/>
            </w:tcBorders>
            <w:vAlign w:val="center"/>
          </w:tcPr>
          <w:p w14:paraId="06EDCFCC" w14:textId="28867F12"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-.119*</w:t>
            </w:r>
          </w:p>
        </w:tc>
        <w:tc>
          <w:tcPr>
            <w:tcW w:w="1040" w:type="dxa"/>
            <w:tcBorders>
              <w:top w:val="nil"/>
              <w:left w:val="nil"/>
              <w:bottom w:val="nil"/>
              <w:right w:val="nil"/>
            </w:tcBorders>
            <w:vAlign w:val="center"/>
          </w:tcPr>
          <w:p w14:paraId="7ED276ED" w14:textId="4AC590A8"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-.104</w:t>
            </w:r>
          </w:p>
        </w:tc>
      </w:tr>
      <w:tr w:rsidR="00F334E6" w:rsidRPr="007115F2" w14:paraId="6FB709F0" w14:textId="2CF05D58" w:rsidTr="00B6286E">
        <w:trPr>
          <w:trHeight w:val="20"/>
        </w:trPr>
        <w:tc>
          <w:tcPr>
            <w:tcW w:w="2835" w:type="dxa"/>
            <w:tcBorders>
              <w:top w:val="nil"/>
              <w:left w:val="nil"/>
              <w:bottom w:val="nil"/>
              <w:right w:val="nil"/>
            </w:tcBorders>
          </w:tcPr>
          <w:p w14:paraId="0C5C9237" w14:textId="1F1F45DD" w:rsidR="00F334E6" w:rsidRPr="007115F2" w:rsidRDefault="00F334E6" w:rsidP="00F334E6">
            <w:pPr>
              <w:widowControl w:val="0"/>
              <w:autoSpaceDE w:val="0"/>
              <w:autoSpaceDN w:val="0"/>
              <w:adjustRightInd w:val="0"/>
              <w:spacing w:line="240" w:lineRule="auto"/>
              <w:rPr>
                <w:b/>
                <w:bCs/>
                <w:color w:val="000000" w:themeColor="text1"/>
                <w:sz w:val="22"/>
                <w:lang w:val="en-US"/>
              </w:rPr>
            </w:pPr>
            <w:r w:rsidRPr="00D049B6">
              <w:rPr>
                <w:rFonts w:cs="Times New Roman"/>
                <w:color w:val="000000" w:themeColor="text1"/>
                <w:sz w:val="22"/>
                <w:lang w:val="en-US"/>
              </w:rPr>
              <w:t xml:space="preserve">  </w:t>
            </w:r>
          </w:p>
        </w:tc>
        <w:tc>
          <w:tcPr>
            <w:tcW w:w="1039" w:type="dxa"/>
            <w:tcBorders>
              <w:top w:val="nil"/>
              <w:left w:val="nil"/>
              <w:bottom w:val="nil"/>
              <w:right w:val="nil"/>
            </w:tcBorders>
            <w:vAlign w:val="center"/>
          </w:tcPr>
          <w:p w14:paraId="5662007A" w14:textId="4C4F969A" w:rsidR="00F334E6" w:rsidRPr="007115F2" w:rsidRDefault="00F334E6" w:rsidP="00F334E6">
            <w:pPr>
              <w:widowControl w:val="0"/>
              <w:autoSpaceDE w:val="0"/>
              <w:autoSpaceDN w:val="0"/>
              <w:adjustRightInd w:val="0"/>
              <w:spacing w:line="240" w:lineRule="auto"/>
              <w:jc w:val="center"/>
              <w:rPr>
                <w:b/>
                <w:bCs/>
                <w:color w:val="000000" w:themeColor="text1"/>
                <w:sz w:val="22"/>
                <w:lang w:val="en-US"/>
              </w:rPr>
            </w:pPr>
            <w:r w:rsidRPr="00D049B6">
              <w:rPr>
                <w:rFonts w:cs="Times New Roman"/>
                <w:color w:val="000000" w:themeColor="text1"/>
                <w:sz w:val="22"/>
                <w:lang w:val="en-US"/>
              </w:rPr>
              <w:t>(-1.711)</w:t>
            </w:r>
          </w:p>
        </w:tc>
        <w:tc>
          <w:tcPr>
            <w:tcW w:w="1040" w:type="dxa"/>
            <w:tcBorders>
              <w:top w:val="nil"/>
              <w:left w:val="nil"/>
              <w:bottom w:val="nil"/>
              <w:right w:val="nil"/>
            </w:tcBorders>
            <w:vAlign w:val="center"/>
          </w:tcPr>
          <w:p w14:paraId="08B92084" w14:textId="61C93964" w:rsidR="00F334E6" w:rsidRPr="007115F2" w:rsidRDefault="00F334E6" w:rsidP="00F334E6">
            <w:pPr>
              <w:widowControl w:val="0"/>
              <w:autoSpaceDE w:val="0"/>
              <w:autoSpaceDN w:val="0"/>
              <w:adjustRightInd w:val="0"/>
              <w:spacing w:line="240" w:lineRule="auto"/>
              <w:jc w:val="center"/>
              <w:rPr>
                <w:b/>
                <w:bCs/>
                <w:color w:val="000000" w:themeColor="text1"/>
                <w:sz w:val="22"/>
                <w:lang w:val="en-US"/>
              </w:rPr>
            </w:pPr>
            <w:r w:rsidRPr="00D049B6">
              <w:rPr>
                <w:rFonts w:cs="Times New Roman"/>
                <w:color w:val="000000" w:themeColor="text1"/>
                <w:sz w:val="22"/>
                <w:lang w:val="en-US"/>
              </w:rPr>
              <w:t>(-1.900)</w:t>
            </w:r>
          </w:p>
        </w:tc>
        <w:tc>
          <w:tcPr>
            <w:tcW w:w="1039" w:type="dxa"/>
            <w:tcBorders>
              <w:top w:val="nil"/>
              <w:left w:val="nil"/>
              <w:bottom w:val="nil"/>
              <w:right w:val="nil"/>
            </w:tcBorders>
            <w:vAlign w:val="center"/>
          </w:tcPr>
          <w:p w14:paraId="41211369" w14:textId="7348DF51" w:rsidR="00F334E6" w:rsidRPr="007115F2" w:rsidRDefault="00F334E6" w:rsidP="00F334E6">
            <w:pPr>
              <w:widowControl w:val="0"/>
              <w:autoSpaceDE w:val="0"/>
              <w:autoSpaceDN w:val="0"/>
              <w:adjustRightInd w:val="0"/>
              <w:spacing w:line="240" w:lineRule="auto"/>
              <w:jc w:val="center"/>
              <w:rPr>
                <w:b/>
                <w:bCs/>
                <w:color w:val="000000" w:themeColor="text1"/>
                <w:sz w:val="22"/>
                <w:lang w:val="en-US"/>
              </w:rPr>
            </w:pPr>
            <w:r w:rsidRPr="00D049B6">
              <w:rPr>
                <w:rFonts w:cs="Times New Roman"/>
                <w:color w:val="000000" w:themeColor="text1"/>
                <w:sz w:val="22"/>
                <w:lang w:val="en-US"/>
              </w:rPr>
              <w:t>(-1.551)</w:t>
            </w:r>
          </w:p>
        </w:tc>
        <w:tc>
          <w:tcPr>
            <w:tcW w:w="1040" w:type="dxa"/>
            <w:tcBorders>
              <w:top w:val="nil"/>
              <w:left w:val="nil"/>
              <w:bottom w:val="nil"/>
              <w:right w:val="nil"/>
            </w:tcBorders>
            <w:vAlign w:val="center"/>
          </w:tcPr>
          <w:p w14:paraId="2CF28A79" w14:textId="5D8FA00C" w:rsidR="00F334E6" w:rsidRPr="007115F2" w:rsidRDefault="00F334E6" w:rsidP="00F334E6">
            <w:pPr>
              <w:widowControl w:val="0"/>
              <w:autoSpaceDE w:val="0"/>
              <w:autoSpaceDN w:val="0"/>
              <w:adjustRightInd w:val="0"/>
              <w:spacing w:line="240" w:lineRule="auto"/>
              <w:jc w:val="center"/>
              <w:rPr>
                <w:b/>
                <w:bCs/>
                <w:color w:val="000000" w:themeColor="text1"/>
                <w:sz w:val="22"/>
                <w:lang w:val="en-US"/>
              </w:rPr>
            </w:pPr>
            <w:r w:rsidRPr="00D049B6">
              <w:rPr>
                <w:rFonts w:cs="Times New Roman"/>
                <w:color w:val="000000" w:themeColor="text1"/>
                <w:sz w:val="22"/>
                <w:lang w:val="en-US"/>
              </w:rPr>
              <w:t>(-1.553)</w:t>
            </w:r>
          </w:p>
        </w:tc>
        <w:tc>
          <w:tcPr>
            <w:tcW w:w="1039" w:type="dxa"/>
            <w:tcBorders>
              <w:top w:val="nil"/>
              <w:left w:val="nil"/>
              <w:bottom w:val="nil"/>
              <w:right w:val="nil"/>
            </w:tcBorders>
            <w:vAlign w:val="center"/>
          </w:tcPr>
          <w:p w14:paraId="5A47BCCB" w14:textId="69FBDD0D"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(-1.755)</w:t>
            </w:r>
          </w:p>
        </w:tc>
        <w:tc>
          <w:tcPr>
            <w:tcW w:w="1040" w:type="dxa"/>
            <w:tcBorders>
              <w:top w:val="nil"/>
              <w:left w:val="nil"/>
              <w:bottom w:val="nil"/>
              <w:right w:val="nil"/>
            </w:tcBorders>
            <w:vAlign w:val="center"/>
          </w:tcPr>
          <w:p w14:paraId="2E6AAD2F" w14:textId="7E5C1CC0"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(-1.361)</w:t>
            </w:r>
          </w:p>
        </w:tc>
      </w:tr>
      <w:tr w:rsidR="00F334E6" w:rsidRPr="007115F2" w14:paraId="060C9F9C" w14:textId="6FC3D31A" w:rsidTr="00B6286E">
        <w:trPr>
          <w:trHeight w:val="20"/>
        </w:trPr>
        <w:tc>
          <w:tcPr>
            <w:tcW w:w="2835" w:type="dxa"/>
            <w:tcBorders>
              <w:top w:val="nil"/>
              <w:left w:val="nil"/>
              <w:bottom w:val="nil"/>
              <w:right w:val="nil"/>
            </w:tcBorders>
          </w:tcPr>
          <w:p w14:paraId="5C052F0D" w14:textId="48E48097"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deal_tenderoffer_dummy</w:t>
            </w:r>
          </w:p>
        </w:tc>
        <w:tc>
          <w:tcPr>
            <w:tcW w:w="1039" w:type="dxa"/>
            <w:tcBorders>
              <w:top w:val="nil"/>
              <w:left w:val="nil"/>
              <w:bottom w:val="nil"/>
              <w:right w:val="nil"/>
            </w:tcBorders>
            <w:vAlign w:val="center"/>
          </w:tcPr>
          <w:p w14:paraId="4DEAF118" w14:textId="290C7078"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-.057</w:t>
            </w:r>
          </w:p>
        </w:tc>
        <w:tc>
          <w:tcPr>
            <w:tcW w:w="1040" w:type="dxa"/>
            <w:tcBorders>
              <w:top w:val="nil"/>
              <w:left w:val="nil"/>
              <w:bottom w:val="nil"/>
              <w:right w:val="nil"/>
            </w:tcBorders>
            <w:vAlign w:val="center"/>
          </w:tcPr>
          <w:p w14:paraId="49300AB9" w14:textId="7D2FEC5F"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-.088</w:t>
            </w:r>
          </w:p>
        </w:tc>
        <w:tc>
          <w:tcPr>
            <w:tcW w:w="1039" w:type="dxa"/>
            <w:tcBorders>
              <w:top w:val="nil"/>
              <w:left w:val="nil"/>
              <w:bottom w:val="nil"/>
              <w:right w:val="nil"/>
            </w:tcBorders>
            <w:vAlign w:val="center"/>
          </w:tcPr>
          <w:p w14:paraId="53182F5A" w14:textId="3F6F6F31"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-.084</w:t>
            </w:r>
          </w:p>
        </w:tc>
        <w:tc>
          <w:tcPr>
            <w:tcW w:w="1040" w:type="dxa"/>
            <w:tcBorders>
              <w:top w:val="nil"/>
              <w:left w:val="nil"/>
              <w:bottom w:val="nil"/>
              <w:right w:val="nil"/>
            </w:tcBorders>
            <w:vAlign w:val="center"/>
          </w:tcPr>
          <w:p w14:paraId="61DD68DC" w14:textId="51FF1E1B"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-.059</w:t>
            </w:r>
          </w:p>
        </w:tc>
        <w:tc>
          <w:tcPr>
            <w:tcW w:w="1039" w:type="dxa"/>
            <w:tcBorders>
              <w:top w:val="nil"/>
              <w:left w:val="nil"/>
              <w:bottom w:val="nil"/>
              <w:right w:val="nil"/>
            </w:tcBorders>
            <w:vAlign w:val="center"/>
          </w:tcPr>
          <w:p w14:paraId="017481F6" w14:textId="4332E2CD"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-.089</w:t>
            </w:r>
          </w:p>
        </w:tc>
        <w:tc>
          <w:tcPr>
            <w:tcW w:w="1040" w:type="dxa"/>
            <w:tcBorders>
              <w:top w:val="nil"/>
              <w:left w:val="nil"/>
              <w:bottom w:val="nil"/>
              <w:right w:val="nil"/>
            </w:tcBorders>
            <w:vAlign w:val="center"/>
          </w:tcPr>
          <w:p w14:paraId="2C354640" w14:textId="1233A905"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-.085</w:t>
            </w:r>
          </w:p>
        </w:tc>
      </w:tr>
      <w:tr w:rsidR="00F334E6" w:rsidRPr="007115F2" w14:paraId="469E0856" w14:textId="3394E50E" w:rsidTr="00B6286E">
        <w:trPr>
          <w:trHeight w:val="20"/>
        </w:trPr>
        <w:tc>
          <w:tcPr>
            <w:tcW w:w="2835" w:type="dxa"/>
            <w:tcBorders>
              <w:top w:val="nil"/>
              <w:left w:val="nil"/>
              <w:bottom w:val="nil"/>
              <w:right w:val="nil"/>
            </w:tcBorders>
          </w:tcPr>
          <w:p w14:paraId="2D53D56D" w14:textId="7233B47F"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w:t>
            </w:r>
          </w:p>
        </w:tc>
        <w:tc>
          <w:tcPr>
            <w:tcW w:w="1039" w:type="dxa"/>
            <w:tcBorders>
              <w:top w:val="nil"/>
              <w:left w:val="nil"/>
              <w:bottom w:val="nil"/>
              <w:right w:val="nil"/>
            </w:tcBorders>
            <w:vAlign w:val="center"/>
          </w:tcPr>
          <w:p w14:paraId="042F8174" w14:textId="553327C6"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(-.881)</w:t>
            </w:r>
          </w:p>
        </w:tc>
        <w:tc>
          <w:tcPr>
            <w:tcW w:w="1040" w:type="dxa"/>
            <w:tcBorders>
              <w:top w:val="nil"/>
              <w:left w:val="nil"/>
              <w:bottom w:val="nil"/>
              <w:right w:val="nil"/>
            </w:tcBorders>
            <w:vAlign w:val="center"/>
          </w:tcPr>
          <w:p w14:paraId="2D86043A" w14:textId="0CDED544"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(-1.257)</w:t>
            </w:r>
          </w:p>
        </w:tc>
        <w:tc>
          <w:tcPr>
            <w:tcW w:w="1039" w:type="dxa"/>
            <w:tcBorders>
              <w:top w:val="nil"/>
              <w:left w:val="nil"/>
              <w:bottom w:val="nil"/>
              <w:right w:val="nil"/>
            </w:tcBorders>
            <w:vAlign w:val="center"/>
          </w:tcPr>
          <w:p w14:paraId="095CEAAF" w14:textId="61C623A1"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(-1.212)</w:t>
            </w:r>
          </w:p>
        </w:tc>
        <w:tc>
          <w:tcPr>
            <w:tcW w:w="1040" w:type="dxa"/>
            <w:tcBorders>
              <w:top w:val="nil"/>
              <w:left w:val="nil"/>
              <w:bottom w:val="nil"/>
              <w:right w:val="nil"/>
            </w:tcBorders>
            <w:vAlign w:val="center"/>
          </w:tcPr>
          <w:p w14:paraId="4CA3E53C" w14:textId="23119B62"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(-.823)</w:t>
            </w:r>
          </w:p>
        </w:tc>
        <w:tc>
          <w:tcPr>
            <w:tcW w:w="1039" w:type="dxa"/>
            <w:tcBorders>
              <w:top w:val="nil"/>
              <w:left w:val="nil"/>
              <w:bottom w:val="nil"/>
              <w:right w:val="nil"/>
            </w:tcBorders>
            <w:vAlign w:val="center"/>
          </w:tcPr>
          <w:p w14:paraId="3FF3F5BE" w14:textId="7582B0F3"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(-1.152)</w:t>
            </w:r>
          </w:p>
        </w:tc>
        <w:tc>
          <w:tcPr>
            <w:tcW w:w="1040" w:type="dxa"/>
            <w:tcBorders>
              <w:top w:val="nil"/>
              <w:left w:val="nil"/>
              <w:bottom w:val="nil"/>
              <w:right w:val="nil"/>
            </w:tcBorders>
            <w:vAlign w:val="center"/>
          </w:tcPr>
          <w:p w14:paraId="087CE9B1" w14:textId="31CB5CE1"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(-1.100)</w:t>
            </w:r>
          </w:p>
        </w:tc>
      </w:tr>
      <w:tr w:rsidR="00F334E6" w:rsidRPr="007115F2" w14:paraId="6CA24FB1" w14:textId="6D1348D5" w:rsidTr="00B6286E">
        <w:trPr>
          <w:trHeight w:val="20"/>
        </w:trPr>
        <w:tc>
          <w:tcPr>
            <w:tcW w:w="2835" w:type="dxa"/>
            <w:tcBorders>
              <w:top w:val="nil"/>
              <w:left w:val="nil"/>
              <w:bottom w:val="nil"/>
              <w:right w:val="nil"/>
            </w:tcBorders>
          </w:tcPr>
          <w:p w14:paraId="37B2A768" w14:textId="41E082D2"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deal_friendly_dummy</w:t>
            </w:r>
          </w:p>
        </w:tc>
        <w:tc>
          <w:tcPr>
            <w:tcW w:w="1039" w:type="dxa"/>
            <w:tcBorders>
              <w:top w:val="nil"/>
              <w:left w:val="nil"/>
              <w:bottom w:val="nil"/>
              <w:right w:val="nil"/>
            </w:tcBorders>
            <w:vAlign w:val="center"/>
          </w:tcPr>
          <w:p w14:paraId="5BCD044A" w14:textId="0507E621"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.387***</w:t>
            </w:r>
          </w:p>
        </w:tc>
        <w:tc>
          <w:tcPr>
            <w:tcW w:w="1040" w:type="dxa"/>
            <w:tcBorders>
              <w:top w:val="nil"/>
              <w:left w:val="nil"/>
              <w:bottom w:val="nil"/>
              <w:right w:val="nil"/>
            </w:tcBorders>
            <w:vAlign w:val="center"/>
          </w:tcPr>
          <w:p w14:paraId="632A7DF9" w14:textId="7318161B"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.349**</w:t>
            </w:r>
          </w:p>
        </w:tc>
        <w:tc>
          <w:tcPr>
            <w:tcW w:w="1039" w:type="dxa"/>
            <w:tcBorders>
              <w:top w:val="nil"/>
              <w:left w:val="nil"/>
              <w:bottom w:val="nil"/>
              <w:right w:val="nil"/>
            </w:tcBorders>
            <w:vAlign w:val="center"/>
          </w:tcPr>
          <w:p w14:paraId="702F934B" w14:textId="03B5DA50"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.352***</w:t>
            </w:r>
          </w:p>
        </w:tc>
        <w:tc>
          <w:tcPr>
            <w:tcW w:w="1040" w:type="dxa"/>
            <w:tcBorders>
              <w:top w:val="nil"/>
              <w:left w:val="nil"/>
              <w:bottom w:val="nil"/>
              <w:right w:val="nil"/>
            </w:tcBorders>
            <w:vAlign w:val="center"/>
          </w:tcPr>
          <w:p w14:paraId="6C329C47" w14:textId="6E865EB7"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.280*</w:t>
            </w:r>
          </w:p>
        </w:tc>
        <w:tc>
          <w:tcPr>
            <w:tcW w:w="1039" w:type="dxa"/>
            <w:tcBorders>
              <w:top w:val="nil"/>
              <w:left w:val="nil"/>
              <w:bottom w:val="nil"/>
              <w:right w:val="nil"/>
            </w:tcBorders>
            <w:vAlign w:val="center"/>
          </w:tcPr>
          <w:p w14:paraId="39CBCB52" w14:textId="33EC9562" w:rsidR="00F334E6" w:rsidRPr="00CE03DC"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.245</w:t>
            </w:r>
          </w:p>
        </w:tc>
        <w:tc>
          <w:tcPr>
            <w:tcW w:w="1040" w:type="dxa"/>
            <w:tcBorders>
              <w:top w:val="nil"/>
              <w:left w:val="nil"/>
              <w:bottom w:val="nil"/>
              <w:right w:val="nil"/>
            </w:tcBorders>
            <w:vAlign w:val="center"/>
          </w:tcPr>
          <w:p w14:paraId="02B098B6" w14:textId="162B90AB" w:rsidR="00F334E6" w:rsidRPr="00CE03DC"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.294*</w:t>
            </w:r>
          </w:p>
        </w:tc>
      </w:tr>
      <w:tr w:rsidR="00F334E6" w:rsidRPr="007115F2" w14:paraId="4EDB21CE" w14:textId="399CFB2D" w:rsidTr="00B6286E">
        <w:trPr>
          <w:trHeight w:val="20"/>
        </w:trPr>
        <w:tc>
          <w:tcPr>
            <w:tcW w:w="2835" w:type="dxa"/>
            <w:tcBorders>
              <w:top w:val="nil"/>
              <w:left w:val="nil"/>
              <w:bottom w:val="nil"/>
              <w:right w:val="nil"/>
            </w:tcBorders>
          </w:tcPr>
          <w:p w14:paraId="29D83BE7" w14:textId="2BA38236"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w:t>
            </w:r>
          </w:p>
        </w:tc>
        <w:tc>
          <w:tcPr>
            <w:tcW w:w="1039" w:type="dxa"/>
            <w:tcBorders>
              <w:top w:val="nil"/>
              <w:left w:val="nil"/>
              <w:bottom w:val="nil"/>
              <w:right w:val="nil"/>
            </w:tcBorders>
            <w:vAlign w:val="center"/>
          </w:tcPr>
          <w:p w14:paraId="677ED778" w14:textId="020C8505"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(3.039)</w:t>
            </w:r>
          </w:p>
        </w:tc>
        <w:tc>
          <w:tcPr>
            <w:tcW w:w="1040" w:type="dxa"/>
            <w:tcBorders>
              <w:top w:val="nil"/>
              <w:left w:val="nil"/>
              <w:bottom w:val="nil"/>
              <w:right w:val="nil"/>
            </w:tcBorders>
            <w:vAlign w:val="center"/>
          </w:tcPr>
          <w:p w14:paraId="081D0C89" w14:textId="05654827"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(2.430)</w:t>
            </w:r>
          </w:p>
        </w:tc>
        <w:tc>
          <w:tcPr>
            <w:tcW w:w="1039" w:type="dxa"/>
            <w:tcBorders>
              <w:top w:val="nil"/>
              <w:left w:val="nil"/>
              <w:bottom w:val="nil"/>
              <w:right w:val="nil"/>
            </w:tcBorders>
            <w:vAlign w:val="center"/>
          </w:tcPr>
          <w:p w14:paraId="5D76937F" w14:textId="6E36FB55"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(2.888)</w:t>
            </w:r>
          </w:p>
        </w:tc>
        <w:tc>
          <w:tcPr>
            <w:tcW w:w="1040" w:type="dxa"/>
            <w:tcBorders>
              <w:top w:val="nil"/>
              <w:left w:val="nil"/>
              <w:bottom w:val="nil"/>
              <w:right w:val="nil"/>
            </w:tcBorders>
            <w:vAlign w:val="center"/>
          </w:tcPr>
          <w:p w14:paraId="29056407" w14:textId="28F20A66"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(1.701)</w:t>
            </w:r>
          </w:p>
        </w:tc>
        <w:tc>
          <w:tcPr>
            <w:tcW w:w="1039" w:type="dxa"/>
            <w:tcBorders>
              <w:top w:val="nil"/>
              <w:left w:val="nil"/>
              <w:bottom w:val="nil"/>
              <w:right w:val="nil"/>
            </w:tcBorders>
            <w:vAlign w:val="center"/>
          </w:tcPr>
          <w:p w14:paraId="7571B92A" w14:textId="6885A9B1" w:rsidR="00F334E6" w:rsidRPr="00CE03DC"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(1.425)</w:t>
            </w:r>
          </w:p>
        </w:tc>
        <w:tc>
          <w:tcPr>
            <w:tcW w:w="1040" w:type="dxa"/>
            <w:tcBorders>
              <w:top w:val="nil"/>
              <w:left w:val="nil"/>
              <w:bottom w:val="nil"/>
              <w:right w:val="nil"/>
            </w:tcBorders>
            <w:vAlign w:val="center"/>
          </w:tcPr>
          <w:p w14:paraId="4DD75660" w14:textId="6ACBE5CE" w:rsidR="00F334E6" w:rsidRPr="00CE03DC"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(1.917)</w:t>
            </w:r>
          </w:p>
        </w:tc>
      </w:tr>
      <w:tr w:rsidR="00F334E6" w:rsidRPr="007115F2" w14:paraId="38FF2928" w14:textId="3E2D46D0" w:rsidTr="00B6286E">
        <w:trPr>
          <w:trHeight w:val="20"/>
        </w:trPr>
        <w:tc>
          <w:tcPr>
            <w:tcW w:w="2835" w:type="dxa"/>
            <w:tcBorders>
              <w:top w:val="nil"/>
              <w:left w:val="nil"/>
              <w:bottom w:val="nil"/>
              <w:right w:val="nil"/>
            </w:tcBorders>
          </w:tcPr>
          <w:p w14:paraId="47ACBDB1" w14:textId="3A26429E"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deal_relatedness_dummy</w:t>
            </w:r>
          </w:p>
        </w:tc>
        <w:tc>
          <w:tcPr>
            <w:tcW w:w="1039" w:type="dxa"/>
            <w:tcBorders>
              <w:top w:val="nil"/>
              <w:left w:val="nil"/>
              <w:bottom w:val="nil"/>
              <w:right w:val="nil"/>
            </w:tcBorders>
            <w:vAlign w:val="center"/>
          </w:tcPr>
          <w:p w14:paraId="48F611AE" w14:textId="09FD5DC1"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.084</w:t>
            </w:r>
          </w:p>
        </w:tc>
        <w:tc>
          <w:tcPr>
            <w:tcW w:w="1040" w:type="dxa"/>
            <w:tcBorders>
              <w:top w:val="nil"/>
              <w:left w:val="nil"/>
              <w:bottom w:val="nil"/>
              <w:right w:val="nil"/>
            </w:tcBorders>
            <w:vAlign w:val="center"/>
          </w:tcPr>
          <w:p w14:paraId="23112D02" w14:textId="72337AD7"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.074</w:t>
            </w:r>
          </w:p>
        </w:tc>
        <w:tc>
          <w:tcPr>
            <w:tcW w:w="1039" w:type="dxa"/>
            <w:tcBorders>
              <w:top w:val="nil"/>
              <w:left w:val="nil"/>
              <w:bottom w:val="nil"/>
              <w:right w:val="nil"/>
            </w:tcBorders>
            <w:vAlign w:val="center"/>
          </w:tcPr>
          <w:p w14:paraId="64F875AC" w14:textId="606D0060"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.120**</w:t>
            </w:r>
          </w:p>
        </w:tc>
        <w:tc>
          <w:tcPr>
            <w:tcW w:w="1040" w:type="dxa"/>
            <w:tcBorders>
              <w:top w:val="nil"/>
              <w:left w:val="nil"/>
              <w:bottom w:val="nil"/>
              <w:right w:val="nil"/>
            </w:tcBorders>
            <w:vAlign w:val="center"/>
          </w:tcPr>
          <w:p w14:paraId="2AC7406C" w14:textId="307288A8"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.080</w:t>
            </w:r>
          </w:p>
        </w:tc>
        <w:tc>
          <w:tcPr>
            <w:tcW w:w="1039" w:type="dxa"/>
            <w:tcBorders>
              <w:top w:val="nil"/>
              <w:left w:val="nil"/>
              <w:bottom w:val="nil"/>
              <w:right w:val="nil"/>
            </w:tcBorders>
            <w:vAlign w:val="center"/>
          </w:tcPr>
          <w:p w14:paraId="7D846A41" w14:textId="34F1753D"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.067</w:t>
            </w:r>
          </w:p>
        </w:tc>
        <w:tc>
          <w:tcPr>
            <w:tcW w:w="1040" w:type="dxa"/>
            <w:tcBorders>
              <w:top w:val="nil"/>
              <w:left w:val="nil"/>
              <w:bottom w:val="nil"/>
              <w:right w:val="nil"/>
            </w:tcBorders>
            <w:vAlign w:val="center"/>
          </w:tcPr>
          <w:p w14:paraId="3FC80433" w14:textId="2E2B87B1"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.114**</w:t>
            </w:r>
          </w:p>
        </w:tc>
      </w:tr>
      <w:tr w:rsidR="00F334E6" w:rsidRPr="007115F2" w14:paraId="4F04AD15" w14:textId="783AC8CE" w:rsidTr="00B6286E">
        <w:trPr>
          <w:trHeight w:val="20"/>
        </w:trPr>
        <w:tc>
          <w:tcPr>
            <w:tcW w:w="2835" w:type="dxa"/>
            <w:tcBorders>
              <w:top w:val="nil"/>
              <w:left w:val="nil"/>
              <w:bottom w:val="nil"/>
              <w:right w:val="nil"/>
            </w:tcBorders>
          </w:tcPr>
          <w:p w14:paraId="2FDAA6AB" w14:textId="6BA63F30"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w:t>
            </w:r>
          </w:p>
        </w:tc>
        <w:tc>
          <w:tcPr>
            <w:tcW w:w="1039" w:type="dxa"/>
            <w:tcBorders>
              <w:top w:val="nil"/>
              <w:left w:val="nil"/>
              <w:bottom w:val="nil"/>
              <w:right w:val="nil"/>
            </w:tcBorders>
            <w:vAlign w:val="center"/>
          </w:tcPr>
          <w:p w14:paraId="7238BE5E" w14:textId="32D19481"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(1.340)</w:t>
            </w:r>
          </w:p>
        </w:tc>
        <w:tc>
          <w:tcPr>
            <w:tcW w:w="1040" w:type="dxa"/>
            <w:tcBorders>
              <w:top w:val="nil"/>
              <w:left w:val="nil"/>
              <w:bottom w:val="nil"/>
              <w:right w:val="nil"/>
            </w:tcBorders>
            <w:vAlign w:val="center"/>
          </w:tcPr>
          <w:p w14:paraId="05EC0A99" w14:textId="45A9812A"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(1.249)</w:t>
            </w:r>
          </w:p>
        </w:tc>
        <w:tc>
          <w:tcPr>
            <w:tcW w:w="1039" w:type="dxa"/>
            <w:tcBorders>
              <w:top w:val="nil"/>
              <w:left w:val="nil"/>
              <w:bottom w:val="nil"/>
              <w:right w:val="nil"/>
            </w:tcBorders>
            <w:vAlign w:val="center"/>
          </w:tcPr>
          <w:p w14:paraId="4B5F392B" w14:textId="5BA5C3F9"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(2.145)</w:t>
            </w:r>
          </w:p>
        </w:tc>
        <w:tc>
          <w:tcPr>
            <w:tcW w:w="1040" w:type="dxa"/>
            <w:tcBorders>
              <w:top w:val="nil"/>
              <w:left w:val="nil"/>
              <w:bottom w:val="nil"/>
              <w:right w:val="nil"/>
            </w:tcBorders>
            <w:vAlign w:val="center"/>
          </w:tcPr>
          <w:p w14:paraId="1F20F932" w14:textId="414BB68D"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(1.335)</w:t>
            </w:r>
          </w:p>
        </w:tc>
        <w:tc>
          <w:tcPr>
            <w:tcW w:w="1039" w:type="dxa"/>
            <w:tcBorders>
              <w:top w:val="nil"/>
              <w:left w:val="nil"/>
              <w:bottom w:val="nil"/>
              <w:right w:val="nil"/>
            </w:tcBorders>
            <w:vAlign w:val="center"/>
          </w:tcPr>
          <w:p w14:paraId="36547681" w14:textId="10A70728"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(1.213)</w:t>
            </w:r>
          </w:p>
        </w:tc>
        <w:tc>
          <w:tcPr>
            <w:tcW w:w="1040" w:type="dxa"/>
            <w:tcBorders>
              <w:top w:val="nil"/>
              <w:left w:val="nil"/>
              <w:bottom w:val="nil"/>
              <w:right w:val="nil"/>
            </w:tcBorders>
            <w:vAlign w:val="center"/>
          </w:tcPr>
          <w:p w14:paraId="352C09BF" w14:textId="72CA56DB"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(2.129)</w:t>
            </w:r>
          </w:p>
        </w:tc>
      </w:tr>
      <w:tr w:rsidR="00F334E6" w:rsidRPr="007115F2" w14:paraId="2EEE64D1" w14:textId="01DBB151" w:rsidTr="00B6286E">
        <w:trPr>
          <w:trHeight w:val="20"/>
        </w:trPr>
        <w:tc>
          <w:tcPr>
            <w:tcW w:w="2835" w:type="dxa"/>
            <w:tcBorders>
              <w:top w:val="nil"/>
              <w:left w:val="nil"/>
              <w:bottom w:val="nil"/>
              <w:right w:val="nil"/>
            </w:tcBorders>
          </w:tcPr>
          <w:p w14:paraId="0170E822" w14:textId="710BA1CC"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acq_age</w:t>
            </w:r>
          </w:p>
        </w:tc>
        <w:tc>
          <w:tcPr>
            <w:tcW w:w="1039" w:type="dxa"/>
            <w:tcBorders>
              <w:top w:val="nil"/>
              <w:left w:val="nil"/>
              <w:bottom w:val="nil"/>
              <w:right w:val="nil"/>
            </w:tcBorders>
            <w:vAlign w:val="center"/>
          </w:tcPr>
          <w:p w14:paraId="63860A3C" w14:textId="644493AC"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-.0001</w:t>
            </w:r>
          </w:p>
        </w:tc>
        <w:tc>
          <w:tcPr>
            <w:tcW w:w="1040" w:type="dxa"/>
            <w:tcBorders>
              <w:top w:val="nil"/>
              <w:left w:val="nil"/>
              <w:bottom w:val="nil"/>
              <w:right w:val="nil"/>
            </w:tcBorders>
            <w:vAlign w:val="center"/>
          </w:tcPr>
          <w:p w14:paraId="28438E3E" w14:textId="3F533DE1"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-.0004</w:t>
            </w:r>
          </w:p>
        </w:tc>
        <w:tc>
          <w:tcPr>
            <w:tcW w:w="1039" w:type="dxa"/>
            <w:tcBorders>
              <w:top w:val="nil"/>
              <w:left w:val="nil"/>
              <w:bottom w:val="nil"/>
              <w:right w:val="nil"/>
            </w:tcBorders>
            <w:vAlign w:val="center"/>
          </w:tcPr>
          <w:p w14:paraId="42B4BBC9" w14:textId="13EEF1D4"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-.0003</w:t>
            </w:r>
          </w:p>
        </w:tc>
        <w:tc>
          <w:tcPr>
            <w:tcW w:w="1040" w:type="dxa"/>
            <w:tcBorders>
              <w:top w:val="nil"/>
              <w:left w:val="nil"/>
              <w:bottom w:val="nil"/>
              <w:right w:val="nil"/>
            </w:tcBorders>
            <w:vAlign w:val="center"/>
          </w:tcPr>
          <w:p w14:paraId="2A94F100" w14:textId="736B6FC0"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-.0001</w:t>
            </w:r>
          </w:p>
        </w:tc>
        <w:tc>
          <w:tcPr>
            <w:tcW w:w="1039" w:type="dxa"/>
            <w:tcBorders>
              <w:top w:val="nil"/>
              <w:left w:val="nil"/>
              <w:bottom w:val="nil"/>
              <w:right w:val="nil"/>
            </w:tcBorders>
            <w:vAlign w:val="center"/>
          </w:tcPr>
          <w:p w14:paraId="4B4339BE" w14:textId="7BAB114E"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-.0003</w:t>
            </w:r>
          </w:p>
        </w:tc>
        <w:tc>
          <w:tcPr>
            <w:tcW w:w="1040" w:type="dxa"/>
            <w:tcBorders>
              <w:top w:val="nil"/>
              <w:left w:val="nil"/>
              <w:bottom w:val="nil"/>
              <w:right w:val="nil"/>
            </w:tcBorders>
            <w:vAlign w:val="center"/>
          </w:tcPr>
          <w:p w14:paraId="198B51CC" w14:textId="6CC3E794"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-.0003</w:t>
            </w:r>
          </w:p>
        </w:tc>
      </w:tr>
      <w:tr w:rsidR="00F334E6" w:rsidRPr="007115F2" w14:paraId="2975C8D6" w14:textId="58526707" w:rsidTr="00B6286E">
        <w:trPr>
          <w:trHeight w:val="20"/>
        </w:trPr>
        <w:tc>
          <w:tcPr>
            <w:tcW w:w="2835" w:type="dxa"/>
            <w:tcBorders>
              <w:top w:val="nil"/>
              <w:left w:val="nil"/>
              <w:bottom w:val="nil"/>
              <w:right w:val="nil"/>
            </w:tcBorders>
          </w:tcPr>
          <w:p w14:paraId="0A9E7B46" w14:textId="0B00AD86"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w:t>
            </w:r>
          </w:p>
        </w:tc>
        <w:tc>
          <w:tcPr>
            <w:tcW w:w="1039" w:type="dxa"/>
            <w:tcBorders>
              <w:top w:val="nil"/>
              <w:left w:val="nil"/>
              <w:bottom w:val="nil"/>
              <w:right w:val="nil"/>
            </w:tcBorders>
            <w:vAlign w:val="center"/>
          </w:tcPr>
          <w:p w14:paraId="7CEBDBA2" w14:textId="0A6227E8"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(-.259)</w:t>
            </w:r>
          </w:p>
        </w:tc>
        <w:tc>
          <w:tcPr>
            <w:tcW w:w="1040" w:type="dxa"/>
            <w:tcBorders>
              <w:top w:val="nil"/>
              <w:left w:val="nil"/>
              <w:bottom w:val="nil"/>
              <w:right w:val="nil"/>
            </w:tcBorders>
            <w:vAlign w:val="center"/>
          </w:tcPr>
          <w:p w14:paraId="7F55C052" w14:textId="3B8979B2"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(-.766)</w:t>
            </w:r>
          </w:p>
        </w:tc>
        <w:tc>
          <w:tcPr>
            <w:tcW w:w="1039" w:type="dxa"/>
            <w:tcBorders>
              <w:top w:val="nil"/>
              <w:left w:val="nil"/>
              <w:bottom w:val="nil"/>
              <w:right w:val="nil"/>
            </w:tcBorders>
            <w:vAlign w:val="center"/>
          </w:tcPr>
          <w:p w14:paraId="17C00E57" w14:textId="59E71E12"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(-.707)</w:t>
            </w:r>
          </w:p>
        </w:tc>
        <w:tc>
          <w:tcPr>
            <w:tcW w:w="1040" w:type="dxa"/>
            <w:tcBorders>
              <w:top w:val="nil"/>
              <w:left w:val="nil"/>
              <w:bottom w:val="nil"/>
              <w:right w:val="nil"/>
            </w:tcBorders>
            <w:vAlign w:val="center"/>
          </w:tcPr>
          <w:p w14:paraId="3DF2DF85" w14:textId="5898BFBC"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(-.174)</w:t>
            </w:r>
          </w:p>
        </w:tc>
        <w:tc>
          <w:tcPr>
            <w:tcW w:w="1039" w:type="dxa"/>
            <w:tcBorders>
              <w:top w:val="nil"/>
              <w:left w:val="nil"/>
              <w:bottom w:val="nil"/>
              <w:right w:val="nil"/>
            </w:tcBorders>
            <w:vAlign w:val="center"/>
          </w:tcPr>
          <w:p w14:paraId="5AC96000" w14:textId="770083A8"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(-.694)</w:t>
            </w:r>
          </w:p>
        </w:tc>
        <w:tc>
          <w:tcPr>
            <w:tcW w:w="1040" w:type="dxa"/>
            <w:tcBorders>
              <w:top w:val="nil"/>
              <w:left w:val="nil"/>
              <w:bottom w:val="nil"/>
              <w:right w:val="nil"/>
            </w:tcBorders>
            <w:vAlign w:val="center"/>
          </w:tcPr>
          <w:p w14:paraId="4134548A" w14:textId="69C7C79A"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(-.647)</w:t>
            </w:r>
          </w:p>
        </w:tc>
      </w:tr>
      <w:tr w:rsidR="00F334E6" w:rsidRPr="007115F2" w14:paraId="71A91A5C" w14:textId="094E9427" w:rsidTr="00B6286E">
        <w:trPr>
          <w:trHeight w:val="20"/>
        </w:trPr>
        <w:tc>
          <w:tcPr>
            <w:tcW w:w="2835" w:type="dxa"/>
            <w:tcBorders>
              <w:top w:val="nil"/>
              <w:left w:val="nil"/>
              <w:bottom w:val="nil"/>
              <w:right w:val="nil"/>
            </w:tcBorders>
          </w:tcPr>
          <w:p w14:paraId="26A67337" w14:textId="56B28910"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acq_assets_lastyear_ln</w:t>
            </w:r>
          </w:p>
        </w:tc>
        <w:tc>
          <w:tcPr>
            <w:tcW w:w="1039" w:type="dxa"/>
            <w:tcBorders>
              <w:top w:val="nil"/>
              <w:left w:val="nil"/>
              <w:bottom w:val="nil"/>
              <w:right w:val="nil"/>
            </w:tcBorders>
            <w:vAlign w:val="center"/>
          </w:tcPr>
          <w:p w14:paraId="5A9EC4AB" w14:textId="4C258349"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.017</w:t>
            </w:r>
          </w:p>
        </w:tc>
        <w:tc>
          <w:tcPr>
            <w:tcW w:w="1040" w:type="dxa"/>
            <w:tcBorders>
              <w:top w:val="nil"/>
              <w:left w:val="nil"/>
              <w:bottom w:val="nil"/>
              <w:right w:val="nil"/>
            </w:tcBorders>
            <w:vAlign w:val="center"/>
          </w:tcPr>
          <w:p w14:paraId="17EBBD19" w14:textId="3597B90E"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.024</w:t>
            </w:r>
          </w:p>
        </w:tc>
        <w:tc>
          <w:tcPr>
            <w:tcW w:w="1039" w:type="dxa"/>
            <w:tcBorders>
              <w:top w:val="nil"/>
              <w:left w:val="nil"/>
              <w:bottom w:val="nil"/>
              <w:right w:val="nil"/>
            </w:tcBorders>
            <w:vAlign w:val="center"/>
          </w:tcPr>
          <w:p w14:paraId="49C22DEA" w14:textId="47703310"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.045</w:t>
            </w:r>
          </w:p>
        </w:tc>
        <w:tc>
          <w:tcPr>
            <w:tcW w:w="1040" w:type="dxa"/>
            <w:tcBorders>
              <w:top w:val="nil"/>
              <w:left w:val="nil"/>
              <w:bottom w:val="nil"/>
              <w:right w:val="nil"/>
            </w:tcBorders>
            <w:vAlign w:val="center"/>
          </w:tcPr>
          <w:p w14:paraId="39684EF0" w14:textId="2A7E60B9"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.015</w:t>
            </w:r>
          </w:p>
        </w:tc>
        <w:tc>
          <w:tcPr>
            <w:tcW w:w="1039" w:type="dxa"/>
            <w:tcBorders>
              <w:top w:val="nil"/>
              <w:left w:val="nil"/>
              <w:bottom w:val="nil"/>
              <w:right w:val="nil"/>
            </w:tcBorders>
            <w:vAlign w:val="center"/>
          </w:tcPr>
          <w:p w14:paraId="6C12B2E1" w14:textId="4D516F4D"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.023</w:t>
            </w:r>
          </w:p>
        </w:tc>
        <w:tc>
          <w:tcPr>
            <w:tcW w:w="1040" w:type="dxa"/>
            <w:tcBorders>
              <w:top w:val="nil"/>
              <w:left w:val="nil"/>
              <w:bottom w:val="nil"/>
              <w:right w:val="nil"/>
            </w:tcBorders>
            <w:vAlign w:val="center"/>
          </w:tcPr>
          <w:p w14:paraId="70DA5D3F" w14:textId="4827AB7F"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.044</w:t>
            </w:r>
          </w:p>
        </w:tc>
      </w:tr>
      <w:tr w:rsidR="00F334E6" w:rsidRPr="007115F2" w14:paraId="58EAD565" w14:textId="7123AB78" w:rsidTr="00B6286E">
        <w:trPr>
          <w:trHeight w:val="20"/>
        </w:trPr>
        <w:tc>
          <w:tcPr>
            <w:tcW w:w="2835" w:type="dxa"/>
            <w:tcBorders>
              <w:top w:val="nil"/>
              <w:left w:val="nil"/>
              <w:bottom w:val="nil"/>
              <w:right w:val="nil"/>
            </w:tcBorders>
          </w:tcPr>
          <w:p w14:paraId="7F653F11" w14:textId="38A230B2"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w:t>
            </w:r>
          </w:p>
        </w:tc>
        <w:tc>
          <w:tcPr>
            <w:tcW w:w="1039" w:type="dxa"/>
            <w:tcBorders>
              <w:top w:val="nil"/>
              <w:left w:val="nil"/>
              <w:bottom w:val="nil"/>
              <w:right w:val="nil"/>
            </w:tcBorders>
            <w:vAlign w:val="center"/>
          </w:tcPr>
          <w:p w14:paraId="6A3174EC" w14:textId="5C6F35CA"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(.497)</w:t>
            </w:r>
          </w:p>
        </w:tc>
        <w:tc>
          <w:tcPr>
            <w:tcW w:w="1040" w:type="dxa"/>
            <w:tcBorders>
              <w:top w:val="nil"/>
              <w:left w:val="nil"/>
              <w:bottom w:val="nil"/>
              <w:right w:val="nil"/>
            </w:tcBorders>
            <w:vAlign w:val="center"/>
          </w:tcPr>
          <w:p w14:paraId="065F646B" w14:textId="1D0F8B3D"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(.772)</w:t>
            </w:r>
          </w:p>
        </w:tc>
        <w:tc>
          <w:tcPr>
            <w:tcW w:w="1039" w:type="dxa"/>
            <w:tcBorders>
              <w:top w:val="nil"/>
              <w:left w:val="nil"/>
              <w:bottom w:val="nil"/>
              <w:right w:val="nil"/>
            </w:tcBorders>
            <w:vAlign w:val="center"/>
          </w:tcPr>
          <w:p w14:paraId="149C18D1" w14:textId="30C8B1C4"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(1.203)</w:t>
            </w:r>
          </w:p>
        </w:tc>
        <w:tc>
          <w:tcPr>
            <w:tcW w:w="1040" w:type="dxa"/>
            <w:tcBorders>
              <w:top w:val="nil"/>
              <w:left w:val="nil"/>
              <w:bottom w:val="nil"/>
              <w:right w:val="nil"/>
            </w:tcBorders>
            <w:vAlign w:val="center"/>
          </w:tcPr>
          <w:p w14:paraId="4370C964" w14:textId="43AB3639"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(.402)</w:t>
            </w:r>
          </w:p>
        </w:tc>
        <w:tc>
          <w:tcPr>
            <w:tcW w:w="1039" w:type="dxa"/>
            <w:tcBorders>
              <w:top w:val="nil"/>
              <w:left w:val="nil"/>
              <w:bottom w:val="nil"/>
              <w:right w:val="nil"/>
            </w:tcBorders>
            <w:vAlign w:val="center"/>
          </w:tcPr>
          <w:p w14:paraId="5B4C6745" w14:textId="1A4BF882"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(.665)</w:t>
            </w:r>
          </w:p>
        </w:tc>
        <w:tc>
          <w:tcPr>
            <w:tcW w:w="1040" w:type="dxa"/>
            <w:tcBorders>
              <w:top w:val="nil"/>
              <w:left w:val="nil"/>
              <w:bottom w:val="nil"/>
              <w:right w:val="nil"/>
            </w:tcBorders>
            <w:vAlign w:val="center"/>
          </w:tcPr>
          <w:p w14:paraId="7AC0659E" w14:textId="6F8957DC"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(1.100)</w:t>
            </w:r>
          </w:p>
        </w:tc>
      </w:tr>
      <w:tr w:rsidR="00F334E6" w:rsidRPr="007115F2" w14:paraId="48EE938D" w14:textId="4E730FE8" w:rsidTr="00B6286E">
        <w:trPr>
          <w:trHeight w:val="20"/>
        </w:trPr>
        <w:tc>
          <w:tcPr>
            <w:tcW w:w="2835" w:type="dxa"/>
            <w:tcBorders>
              <w:top w:val="nil"/>
              <w:left w:val="nil"/>
              <w:bottom w:val="nil"/>
              <w:right w:val="nil"/>
            </w:tcBorders>
          </w:tcPr>
          <w:p w14:paraId="44097C40" w14:textId="2B18AD3E" w:rsidR="00F334E6" w:rsidRPr="007115F2" w:rsidRDefault="00F334E6" w:rsidP="00F334E6">
            <w:pPr>
              <w:widowControl w:val="0"/>
              <w:autoSpaceDE w:val="0"/>
              <w:autoSpaceDN w:val="0"/>
              <w:adjustRightInd w:val="0"/>
              <w:spacing w:line="240" w:lineRule="auto"/>
              <w:rPr>
                <w:b/>
                <w:bCs/>
                <w:color w:val="000000" w:themeColor="text1"/>
                <w:sz w:val="22"/>
                <w:lang w:val="en-US"/>
              </w:rPr>
            </w:pPr>
            <w:r w:rsidRPr="00D049B6">
              <w:rPr>
                <w:rFonts w:cs="Times New Roman"/>
                <w:color w:val="000000" w:themeColor="text1"/>
                <w:sz w:val="22"/>
                <w:lang w:val="en-US"/>
              </w:rPr>
              <w:t xml:space="preserve"> acq_roa_lastyear</w:t>
            </w:r>
          </w:p>
        </w:tc>
        <w:tc>
          <w:tcPr>
            <w:tcW w:w="1039" w:type="dxa"/>
            <w:tcBorders>
              <w:top w:val="nil"/>
              <w:left w:val="nil"/>
              <w:bottom w:val="nil"/>
              <w:right w:val="nil"/>
            </w:tcBorders>
            <w:vAlign w:val="center"/>
          </w:tcPr>
          <w:p w14:paraId="3AF0870E" w14:textId="57809C0B" w:rsidR="00F334E6" w:rsidRPr="007115F2" w:rsidRDefault="00F334E6" w:rsidP="00F334E6">
            <w:pPr>
              <w:widowControl w:val="0"/>
              <w:autoSpaceDE w:val="0"/>
              <w:autoSpaceDN w:val="0"/>
              <w:adjustRightInd w:val="0"/>
              <w:spacing w:line="240" w:lineRule="auto"/>
              <w:jc w:val="center"/>
              <w:rPr>
                <w:b/>
                <w:bCs/>
                <w:color w:val="000000" w:themeColor="text1"/>
                <w:sz w:val="22"/>
                <w:lang w:val="en-US"/>
              </w:rPr>
            </w:pPr>
            <w:r w:rsidRPr="00D049B6">
              <w:rPr>
                <w:rFonts w:cs="Times New Roman"/>
                <w:color w:val="000000" w:themeColor="text1"/>
                <w:sz w:val="22"/>
                <w:lang w:val="en-US"/>
              </w:rPr>
              <w:t>.015</w:t>
            </w:r>
          </w:p>
        </w:tc>
        <w:tc>
          <w:tcPr>
            <w:tcW w:w="1040" w:type="dxa"/>
            <w:tcBorders>
              <w:top w:val="nil"/>
              <w:left w:val="nil"/>
              <w:bottom w:val="nil"/>
              <w:right w:val="nil"/>
            </w:tcBorders>
            <w:vAlign w:val="center"/>
          </w:tcPr>
          <w:p w14:paraId="3879FBD4" w14:textId="23D2E700" w:rsidR="00F334E6" w:rsidRPr="007115F2" w:rsidRDefault="00F334E6" w:rsidP="00F334E6">
            <w:pPr>
              <w:widowControl w:val="0"/>
              <w:autoSpaceDE w:val="0"/>
              <w:autoSpaceDN w:val="0"/>
              <w:adjustRightInd w:val="0"/>
              <w:spacing w:line="240" w:lineRule="auto"/>
              <w:jc w:val="center"/>
              <w:rPr>
                <w:b/>
                <w:bCs/>
                <w:color w:val="000000" w:themeColor="text1"/>
                <w:sz w:val="22"/>
                <w:lang w:val="en-US"/>
              </w:rPr>
            </w:pPr>
            <w:r w:rsidRPr="00D049B6">
              <w:rPr>
                <w:rFonts w:cs="Times New Roman"/>
                <w:color w:val="000000" w:themeColor="text1"/>
                <w:sz w:val="22"/>
                <w:lang w:val="en-US"/>
              </w:rPr>
              <w:t>.030*</w:t>
            </w:r>
          </w:p>
        </w:tc>
        <w:tc>
          <w:tcPr>
            <w:tcW w:w="1039" w:type="dxa"/>
            <w:tcBorders>
              <w:top w:val="nil"/>
              <w:left w:val="nil"/>
              <w:bottom w:val="nil"/>
              <w:right w:val="nil"/>
            </w:tcBorders>
            <w:vAlign w:val="center"/>
          </w:tcPr>
          <w:p w14:paraId="3ABEC264" w14:textId="00B27183" w:rsidR="00F334E6" w:rsidRPr="007115F2" w:rsidRDefault="00F334E6" w:rsidP="00F334E6">
            <w:pPr>
              <w:widowControl w:val="0"/>
              <w:autoSpaceDE w:val="0"/>
              <w:autoSpaceDN w:val="0"/>
              <w:adjustRightInd w:val="0"/>
              <w:spacing w:line="240" w:lineRule="auto"/>
              <w:jc w:val="center"/>
              <w:rPr>
                <w:b/>
                <w:bCs/>
                <w:color w:val="000000" w:themeColor="text1"/>
                <w:sz w:val="22"/>
                <w:lang w:val="en-US"/>
              </w:rPr>
            </w:pPr>
            <w:r w:rsidRPr="00D049B6">
              <w:rPr>
                <w:rFonts w:cs="Times New Roman"/>
                <w:color w:val="000000" w:themeColor="text1"/>
                <w:sz w:val="22"/>
                <w:lang w:val="en-US"/>
              </w:rPr>
              <w:t>.030*</w:t>
            </w:r>
          </w:p>
        </w:tc>
        <w:tc>
          <w:tcPr>
            <w:tcW w:w="1040" w:type="dxa"/>
            <w:tcBorders>
              <w:top w:val="nil"/>
              <w:left w:val="nil"/>
              <w:bottom w:val="nil"/>
              <w:right w:val="nil"/>
            </w:tcBorders>
            <w:vAlign w:val="center"/>
          </w:tcPr>
          <w:p w14:paraId="43345004" w14:textId="5ABA7A6F" w:rsidR="00F334E6" w:rsidRPr="007115F2" w:rsidRDefault="00F334E6" w:rsidP="00F334E6">
            <w:pPr>
              <w:widowControl w:val="0"/>
              <w:autoSpaceDE w:val="0"/>
              <w:autoSpaceDN w:val="0"/>
              <w:adjustRightInd w:val="0"/>
              <w:spacing w:line="240" w:lineRule="auto"/>
              <w:jc w:val="center"/>
              <w:rPr>
                <w:b/>
                <w:bCs/>
                <w:color w:val="000000" w:themeColor="text1"/>
                <w:sz w:val="22"/>
                <w:lang w:val="en-US"/>
              </w:rPr>
            </w:pPr>
            <w:r w:rsidRPr="00D049B6">
              <w:rPr>
                <w:rFonts w:cs="Times New Roman"/>
                <w:color w:val="000000" w:themeColor="text1"/>
                <w:sz w:val="22"/>
                <w:lang w:val="en-US"/>
              </w:rPr>
              <w:t>.011</w:t>
            </w:r>
          </w:p>
        </w:tc>
        <w:tc>
          <w:tcPr>
            <w:tcW w:w="1039" w:type="dxa"/>
            <w:tcBorders>
              <w:top w:val="nil"/>
              <w:left w:val="nil"/>
              <w:bottom w:val="nil"/>
              <w:right w:val="nil"/>
            </w:tcBorders>
            <w:vAlign w:val="center"/>
          </w:tcPr>
          <w:p w14:paraId="54A6FABC" w14:textId="3EF7DEDF"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.026</w:t>
            </w:r>
          </w:p>
        </w:tc>
        <w:tc>
          <w:tcPr>
            <w:tcW w:w="1040" w:type="dxa"/>
            <w:tcBorders>
              <w:top w:val="nil"/>
              <w:left w:val="nil"/>
              <w:bottom w:val="nil"/>
              <w:right w:val="nil"/>
            </w:tcBorders>
            <w:vAlign w:val="center"/>
          </w:tcPr>
          <w:p w14:paraId="301E27C2" w14:textId="462DF617"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.029</w:t>
            </w:r>
          </w:p>
        </w:tc>
      </w:tr>
      <w:tr w:rsidR="00F334E6" w:rsidRPr="007115F2" w14:paraId="6458AC16" w14:textId="498C0044" w:rsidTr="00B6286E">
        <w:trPr>
          <w:trHeight w:val="20"/>
        </w:trPr>
        <w:tc>
          <w:tcPr>
            <w:tcW w:w="2835" w:type="dxa"/>
            <w:tcBorders>
              <w:top w:val="nil"/>
              <w:left w:val="nil"/>
              <w:bottom w:val="nil"/>
              <w:right w:val="nil"/>
            </w:tcBorders>
          </w:tcPr>
          <w:p w14:paraId="039F69DC" w14:textId="6E2CEFA3"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w:t>
            </w:r>
          </w:p>
        </w:tc>
        <w:tc>
          <w:tcPr>
            <w:tcW w:w="1039" w:type="dxa"/>
            <w:tcBorders>
              <w:top w:val="nil"/>
              <w:left w:val="nil"/>
              <w:bottom w:val="nil"/>
              <w:right w:val="nil"/>
            </w:tcBorders>
            <w:vAlign w:val="center"/>
          </w:tcPr>
          <w:p w14:paraId="15ACC40A" w14:textId="7FCFD1F7"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(.715)</w:t>
            </w:r>
          </w:p>
        </w:tc>
        <w:tc>
          <w:tcPr>
            <w:tcW w:w="1040" w:type="dxa"/>
            <w:tcBorders>
              <w:top w:val="nil"/>
              <w:left w:val="nil"/>
              <w:bottom w:val="nil"/>
              <w:right w:val="nil"/>
            </w:tcBorders>
            <w:vAlign w:val="center"/>
          </w:tcPr>
          <w:p w14:paraId="1FE96011" w14:textId="201D68F3"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(1.847)</w:t>
            </w:r>
          </w:p>
        </w:tc>
        <w:tc>
          <w:tcPr>
            <w:tcW w:w="1039" w:type="dxa"/>
            <w:tcBorders>
              <w:top w:val="nil"/>
              <w:left w:val="nil"/>
              <w:bottom w:val="nil"/>
              <w:right w:val="nil"/>
            </w:tcBorders>
            <w:vAlign w:val="center"/>
          </w:tcPr>
          <w:p w14:paraId="57173B00" w14:textId="4CDFFB42"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(1.919)</w:t>
            </w:r>
          </w:p>
        </w:tc>
        <w:tc>
          <w:tcPr>
            <w:tcW w:w="1040" w:type="dxa"/>
            <w:tcBorders>
              <w:top w:val="nil"/>
              <w:left w:val="nil"/>
              <w:bottom w:val="nil"/>
              <w:right w:val="nil"/>
            </w:tcBorders>
            <w:vAlign w:val="center"/>
          </w:tcPr>
          <w:p w14:paraId="313F4C23" w14:textId="4E51CEFD"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(.582)</w:t>
            </w:r>
          </w:p>
        </w:tc>
        <w:tc>
          <w:tcPr>
            <w:tcW w:w="1039" w:type="dxa"/>
            <w:tcBorders>
              <w:top w:val="nil"/>
              <w:left w:val="nil"/>
              <w:bottom w:val="nil"/>
              <w:right w:val="nil"/>
            </w:tcBorders>
            <w:vAlign w:val="center"/>
          </w:tcPr>
          <w:p w14:paraId="566C4726" w14:textId="337E90FC"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(1.572)</w:t>
            </w:r>
          </w:p>
        </w:tc>
        <w:tc>
          <w:tcPr>
            <w:tcW w:w="1040" w:type="dxa"/>
            <w:tcBorders>
              <w:top w:val="nil"/>
              <w:left w:val="nil"/>
              <w:bottom w:val="nil"/>
              <w:right w:val="nil"/>
            </w:tcBorders>
            <w:vAlign w:val="center"/>
          </w:tcPr>
          <w:p w14:paraId="55F2EEAD" w14:textId="198CDB8E"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(1.592)</w:t>
            </w:r>
          </w:p>
        </w:tc>
      </w:tr>
      <w:tr w:rsidR="00F334E6" w:rsidRPr="007115F2" w14:paraId="1B13A2B4" w14:textId="7A1EBA33" w:rsidTr="00B6286E">
        <w:trPr>
          <w:trHeight w:val="20"/>
        </w:trPr>
        <w:tc>
          <w:tcPr>
            <w:tcW w:w="2835" w:type="dxa"/>
            <w:tcBorders>
              <w:top w:val="nil"/>
              <w:left w:val="nil"/>
              <w:bottom w:val="nil"/>
              <w:right w:val="nil"/>
            </w:tcBorders>
          </w:tcPr>
          <w:p w14:paraId="38CEABDF" w14:textId="772394A0"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acq_industrygrowth</w:t>
            </w:r>
          </w:p>
        </w:tc>
        <w:tc>
          <w:tcPr>
            <w:tcW w:w="1039" w:type="dxa"/>
            <w:tcBorders>
              <w:top w:val="nil"/>
              <w:left w:val="nil"/>
              <w:bottom w:val="nil"/>
              <w:right w:val="nil"/>
            </w:tcBorders>
            <w:vAlign w:val="center"/>
          </w:tcPr>
          <w:p w14:paraId="6BA468B8" w14:textId="2C3CB7DA"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-1.608**</w:t>
            </w:r>
          </w:p>
        </w:tc>
        <w:tc>
          <w:tcPr>
            <w:tcW w:w="1040" w:type="dxa"/>
            <w:tcBorders>
              <w:top w:val="nil"/>
              <w:left w:val="nil"/>
              <w:bottom w:val="nil"/>
              <w:right w:val="nil"/>
            </w:tcBorders>
            <w:vAlign w:val="center"/>
          </w:tcPr>
          <w:p w14:paraId="1D524B77" w14:textId="5327D5EF"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-1.686***</w:t>
            </w:r>
          </w:p>
        </w:tc>
        <w:tc>
          <w:tcPr>
            <w:tcW w:w="1039" w:type="dxa"/>
            <w:tcBorders>
              <w:top w:val="nil"/>
              <w:left w:val="nil"/>
              <w:bottom w:val="nil"/>
              <w:right w:val="nil"/>
            </w:tcBorders>
            <w:vAlign w:val="center"/>
          </w:tcPr>
          <w:p w14:paraId="7925C801" w14:textId="5346A28A"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-1.912***</w:t>
            </w:r>
          </w:p>
        </w:tc>
        <w:tc>
          <w:tcPr>
            <w:tcW w:w="1040" w:type="dxa"/>
            <w:tcBorders>
              <w:top w:val="nil"/>
              <w:left w:val="nil"/>
              <w:bottom w:val="nil"/>
              <w:right w:val="nil"/>
            </w:tcBorders>
            <w:vAlign w:val="center"/>
          </w:tcPr>
          <w:p w14:paraId="3976BBE9" w14:textId="58FA624A"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-1.751**</w:t>
            </w:r>
          </w:p>
        </w:tc>
        <w:tc>
          <w:tcPr>
            <w:tcW w:w="1039" w:type="dxa"/>
            <w:tcBorders>
              <w:top w:val="nil"/>
              <w:left w:val="nil"/>
              <w:bottom w:val="nil"/>
              <w:right w:val="nil"/>
            </w:tcBorders>
            <w:vAlign w:val="center"/>
          </w:tcPr>
          <w:p w14:paraId="78235064" w14:textId="18998C00"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-1.861***</w:t>
            </w:r>
          </w:p>
        </w:tc>
        <w:tc>
          <w:tcPr>
            <w:tcW w:w="1040" w:type="dxa"/>
            <w:tcBorders>
              <w:top w:val="nil"/>
              <w:left w:val="nil"/>
              <w:bottom w:val="nil"/>
              <w:right w:val="nil"/>
            </w:tcBorders>
            <w:vAlign w:val="center"/>
          </w:tcPr>
          <w:p w14:paraId="1FF76A6A" w14:textId="559C8AAE"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-2.062***</w:t>
            </w:r>
          </w:p>
        </w:tc>
      </w:tr>
      <w:tr w:rsidR="00F334E6" w:rsidRPr="007115F2" w14:paraId="2FD82CC2" w14:textId="55EBDE4A" w:rsidTr="00B6286E">
        <w:trPr>
          <w:trHeight w:val="20"/>
        </w:trPr>
        <w:tc>
          <w:tcPr>
            <w:tcW w:w="2835" w:type="dxa"/>
            <w:tcBorders>
              <w:top w:val="nil"/>
              <w:left w:val="nil"/>
              <w:bottom w:val="nil"/>
              <w:right w:val="nil"/>
            </w:tcBorders>
          </w:tcPr>
          <w:p w14:paraId="5B558AB0" w14:textId="0019CCAA"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w:t>
            </w:r>
          </w:p>
        </w:tc>
        <w:tc>
          <w:tcPr>
            <w:tcW w:w="1039" w:type="dxa"/>
            <w:tcBorders>
              <w:top w:val="nil"/>
              <w:left w:val="nil"/>
              <w:bottom w:val="nil"/>
              <w:right w:val="nil"/>
            </w:tcBorders>
            <w:vAlign w:val="center"/>
          </w:tcPr>
          <w:p w14:paraId="7BB65DB9" w14:textId="76EC8F8D"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(-2.430)</w:t>
            </w:r>
          </w:p>
        </w:tc>
        <w:tc>
          <w:tcPr>
            <w:tcW w:w="1040" w:type="dxa"/>
            <w:tcBorders>
              <w:top w:val="nil"/>
              <w:left w:val="nil"/>
              <w:bottom w:val="nil"/>
              <w:right w:val="nil"/>
            </w:tcBorders>
            <w:vAlign w:val="center"/>
          </w:tcPr>
          <w:p w14:paraId="1E366F9B" w14:textId="3F3F59C2"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(-2.735)</w:t>
            </w:r>
          </w:p>
        </w:tc>
        <w:tc>
          <w:tcPr>
            <w:tcW w:w="1039" w:type="dxa"/>
            <w:tcBorders>
              <w:top w:val="nil"/>
              <w:left w:val="nil"/>
              <w:bottom w:val="nil"/>
              <w:right w:val="nil"/>
            </w:tcBorders>
            <w:vAlign w:val="center"/>
          </w:tcPr>
          <w:p w14:paraId="29644847" w14:textId="0449AF12"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(-2.770)</w:t>
            </w:r>
          </w:p>
        </w:tc>
        <w:tc>
          <w:tcPr>
            <w:tcW w:w="1040" w:type="dxa"/>
            <w:tcBorders>
              <w:top w:val="nil"/>
              <w:left w:val="nil"/>
              <w:bottom w:val="nil"/>
              <w:right w:val="nil"/>
            </w:tcBorders>
            <w:vAlign w:val="center"/>
          </w:tcPr>
          <w:p w14:paraId="0735A3C3" w14:textId="0E275C82"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(-2.433)</w:t>
            </w:r>
          </w:p>
        </w:tc>
        <w:tc>
          <w:tcPr>
            <w:tcW w:w="1039" w:type="dxa"/>
            <w:tcBorders>
              <w:top w:val="nil"/>
              <w:left w:val="nil"/>
              <w:bottom w:val="nil"/>
              <w:right w:val="nil"/>
            </w:tcBorders>
            <w:vAlign w:val="center"/>
          </w:tcPr>
          <w:p w14:paraId="31B9EC5D" w14:textId="171499F5"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(-2.810)</w:t>
            </w:r>
          </w:p>
        </w:tc>
        <w:tc>
          <w:tcPr>
            <w:tcW w:w="1040" w:type="dxa"/>
            <w:tcBorders>
              <w:top w:val="nil"/>
              <w:left w:val="nil"/>
              <w:bottom w:val="nil"/>
              <w:right w:val="nil"/>
            </w:tcBorders>
            <w:vAlign w:val="center"/>
          </w:tcPr>
          <w:p w14:paraId="0ECBE6F8" w14:textId="0C62FE5C"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(-2.718)</w:t>
            </w:r>
          </w:p>
        </w:tc>
      </w:tr>
      <w:tr w:rsidR="00F334E6" w:rsidRPr="007115F2" w14:paraId="6DEBDE9D" w14:textId="3AFF6F7A" w:rsidTr="00B6286E">
        <w:trPr>
          <w:trHeight w:val="20"/>
        </w:trPr>
        <w:tc>
          <w:tcPr>
            <w:tcW w:w="2835" w:type="dxa"/>
            <w:tcBorders>
              <w:top w:val="nil"/>
              <w:left w:val="nil"/>
              <w:bottom w:val="nil"/>
              <w:right w:val="nil"/>
            </w:tcBorders>
          </w:tcPr>
          <w:p w14:paraId="1339DBCE" w14:textId="33D1BF17"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acq_dealexperience</w:t>
            </w:r>
          </w:p>
        </w:tc>
        <w:tc>
          <w:tcPr>
            <w:tcW w:w="1039" w:type="dxa"/>
            <w:tcBorders>
              <w:top w:val="nil"/>
              <w:left w:val="nil"/>
              <w:bottom w:val="nil"/>
              <w:right w:val="nil"/>
            </w:tcBorders>
            <w:vAlign w:val="center"/>
          </w:tcPr>
          <w:p w14:paraId="2DB232B2" w14:textId="6364C094"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-.038</w:t>
            </w:r>
          </w:p>
        </w:tc>
        <w:tc>
          <w:tcPr>
            <w:tcW w:w="1040" w:type="dxa"/>
            <w:tcBorders>
              <w:top w:val="nil"/>
              <w:left w:val="nil"/>
              <w:bottom w:val="nil"/>
              <w:right w:val="nil"/>
            </w:tcBorders>
            <w:vAlign w:val="center"/>
          </w:tcPr>
          <w:p w14:paraId="284FADBC" w14:textId="59C1A8F0"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-.039</w:t>
            </w:r>
          </w:p>
        </w:tc>
        <w:tc>
          <w:tcPr>
            <w:tcW w:w="1039" w:type="dxa"/>
            <w:tcBorders>
              <w:top w:val="nil"/>
              <w:left w:val="nil"/>
              <w:bottom w:val="nil"/>
              <w:right w:val="nil"/>
            </w:tcBorders>
            <w:vAlign w:val="center"/>
          </w:tcPr>
          <w:p w14:paraId="13C8BB53" w14:textId="092EC1D1"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-.037</w:t>
            </w:r>
          </w:p>
        </w:tc>
        <w:tc>
          <w:tcPr>
            <w:tcW w:w="1040" w:type="dxa"/>
            <w:tcBorders>
              <w:top w:val="nil"/>
              <w:left w:val="nil"/>
              <w:bottom w:val="nil"/>
              <w:right w:val="nil"/>
            </w:tcBorders>
            <w:vAlign w:val="center"/>
          </w:tcPr>
          <w:p w14:paraId="16C71135" w14:textId="3BC59E32"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-.033</w:t>
            </w:r>
          </w:p>
        </w:tc>
        <w:tc>
          <w:tcPr>
            <w:tcW w:w="1039" w:type="dxa"/>
            <w:tcBorders>
              <w:top w:val="nil"/>
              <w:left w:val="nil"/>
              <w:bottom w:val="nil"/>
              <w:right w:val="nil"/>
            </w:tcBorders>
            <w:vAlign w:val="center"/>
          </w:tcPr>
          <w:p w14:paraId="4E652E62" w14:textId="2752AD5F"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-.034</w:t>
            </w:r>
          </w:p>
        </w:tc>
        <w:tc>
          <w:tcPr>
            <w:tcW w:w="1040" w:type="dxa"/>
            <w:tcBorders>
              <w:top w:val="nil"/>
              <w:left w:val="nil"/>
              <w:bottom w:val="nil"/>
              <w:right w:val="nil"/>
            </w:tcBorders>
            <w:vAlign w:val="center"/>
          </w:tcPr>
          <w:p w14:paraId="225B6414" w14:textId="29D1DABF"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-.033</w:t>
            </w:r>
          </w:p>
        </w:tc>
      </w:tr>
      <w:tr w:rsidR="00F334E6" w:rsidRPr="007115F2" w14:paraId="18291099" w14:textId="49DEBADF" w:rsidTr="00B6286E">
        <w:trPr>
          <w:trHeight w:val="20"/>
        </w:trPr>
        <w:tc>
          <w:tcPr>
            <w:tcW w:w="2835" w:type="dxa"/>
            <w:tcBorders>
              <w:top w:val="nil"/>
              <w:left w:val="nil"/>
              <w:bottom w:val="nil"/>
              <w:right w:val="nil"/>
            </w:tcBorders>
          </w:tcPr>
          <w:p w14:paraId="0CC82E5D" w14:textId="09E12C9C"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w:t>
            </w:r>
          </w:p>
        </w:tc>
        <w:tc>
          <w:tcPr>
            <w:tcW w:w="1039" w:type="dxa"/>
            <w:tcBorders>
              <w:top w:val="nil"/>
              <w:left w:val="nil"/>
              <w:bottom w:val="nil"/>
              <w:right w:val="nil"/>
            </w:tcBorders>
            <w:vAlign w:val="center"/>
          </w:tcPr>
          <w:p w14:paraId="76A76D0A" w14:textId="25845272"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(-.907)</w:t>
            </w:r>
          </w:p>
        </w:tc>
        <w:tc>
          <w:tcPr>
            <w:tcW w:w="1040" w:type="dxa"/>
            <w:tcBorders>
              <w:top w:val="nil"/>
              <w:left w:val="nil"/>
              <w:bottom w:val="nil"/>
              <w:right w:val="nil"/>
            </w:tcBorders>
            <w:vAlign w:val="center"/>
          </w:tcPr>
          <w:p w14:paraId="100F0EDF" w14:textId="34DCBDF7"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(-1.076)</w:t>
            </w:r>
          </w:p>
        </w:tc>
        <w:tc>
          <w:tcPr>
            <w:tcW w:w="1039" w:type="dxa"/>
            <w:tcBorders>
              <w:top w:val="nil"/>
              <w:left w:val="nil"/>
              <w:bottom w:val="nil"/>
              <w:right w:val="nil"/>
            </w:tcBorders>
            <w:vAlign w:val="center"/>
          </w:tcPr>
          <w:p w14:paraId="2CBA4CC4" w14:textId="5E51E76F"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(-.987)</w:t>
            </w:r>
          </w:p>
        </w:tc>
        <w:tc>
          <w:tcPr>
            <w:tcW w:w="1040" w:type="dxa"/>
            <w:tcBorders>
              <w:top w:val="nil"/>
              <w:left w:val="nil"/>
              <w:bottom w:val="nil"/>
              <w:right w:val="nil"/>
            </w:tcBorders>
            <w:vAlign w:val="center"/>
          </w:tcPr>
          <w:p w14:paraId="021FC72F" w14:textId="3757A1E9"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(-.871)</w:t>
            </w:r>
          </w:p>
        </w:tc>
        <w:tc>
          <w:tcPr>
            <w:tcW w:w="1039" w:type="dxa"/>
            <w:tcBorders>
              <w:top w:val="nil"/>
              <w:left w:val="nil"/>
              <w:bottom w:val="nil"/>
              <w:right w:val="nil"/>
            </w:tcBorders>
            <w:vAlign w:val="center"/>
          </w:tcPr>
          <w:p w14:paraId="204B3C27" w14:textId="37EB2AB5"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(-1.034)</w:t>
            </w:r>
          </w:p>
        </w:tc>
        <w:tc>
          <w:tcPr>
            <w:tcW w:w="1040" w:type="dxa"/>
            <w:tcBorders>
              <w:top w:val="nil"/>
              <w:left w:val="nil"/>
              <w:bottom w:val="nil"/>
              <w:right w:val="nil"/>
            </w:tcBorders>
            <w:vAlign w:val="center"/>
          </w:tcPr>
          <w:p w14:paraId="5442E8A8" w14:textId="53D22B08"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(-.991)</w:t>
            </w:r>
          </w:p>
        </w:tc>
      </w:tr>
      <w:tr w:rsidR="00F334E6" w:rsidRPr="007115F2" w14:paraId="4B38661D" w14:textId="1017E5EB" w:rsidTr="00B6286E">
        <w:trPr>
          <w:trHeight w:val="20"/>
        </w:trPr>
        <w:tc>
          <w:tcPr>
            <w:tcW w:w="2835" w:type="dxa"/>
            <w:tcBorders>
              <w:top w:val="nil"/>
              <w:left w:val="nil"/>
              <w:bottom w:val="nil"/>
              <w:right w:val="nil"/>
            </w:tcBorders>
            <w:vAlign w:val="center"/>
          </w:tcPr>
          <w:p w14:paraId="7A6E6BBD" w14:textId="17832562"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acq_rd_intensity</w:t>
            </w:r>
          </w:p>
        </w:tc>
        <w:tc>
          <w:tcPr>
            <w:tcW w:w="1039" w:type="dxa"/>
            <w:tcBorders>
              <w:top w:val="nil"/>
              <w:left w:val="nil"/>
              <w:bottom w:val="nil"/>
              <w:right w:val="nil"/>
            </w:tcBorders>
            <w:vAlign w:val="center"/>
          </w:tcPr>
          <w:p w14:paraId="79281E4E" w14:textId="6B17313E"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-.532***</w:t>
            </w:r>
          </w:p>
        </w:tc>
        <w:tc>
          <w:tcPr>
            <w:tcW w:w="1040" w:type="dxa"/>
            <w:tcBorders>
              <w:top w:val="nil"/>
              <w:left w:val="nil"/>
              <w:bottom w:val="nil"/>
              <w:right w:val="nil"/>
            </w:tcBorders>
            <w:vAlign w:val="center"/>
          </w:tcPr>
          <w:p w14:paraId="131F7EDD" w14:textId="00D47809"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-.422***</w:t>
            </w:r>
          </w:p>
        </w:tc>
        <w:tc>
          <w:tcPr>
            <w:tcW w:w="1039" w:type="dxa"/>
            <w:tcBorders>
              <w:top w:val="nil"/>
              <w:left w:val="nil"/>
              <w:bottom w:val="nil"/>
              <w:right w:val="nil"/>
            </w:tcBorders>
            <w:vAlign w:val="center"/>
          </w:tcPr>
          <w:p w14:paraId="3A52A6BF" w14:textId="0D796777"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-.365</w:t>
            </w:r>
          </w:p>
        </w:tc>
        <w:tc>
          <w:tcPr>
            <w:tcW w:w="1040" w:type="dxa"/>
            <w:tcBorders>
              <w:top w:val="nil"/>
              <w:left w:val="nil"/>
              <w:bottom w:val="nil"/>
              <w:right w:val="nil"/>
            </w:tcBorders>
            <w:vAlign w:val="center"/>
          </w:tcPr>
          <w:p w14:paraId="0FD3CBA6" w14:textId="0B03017B"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-.375***</w:t>
            </w:r>
          </w:p>
        </w:tc>
        <w:tc>
          <w:tcPr>
            <w:tcW w:w="1039" w:type="dxa"/>
            <w:tcBorders>
              <w:top w:val="nil"/>
              <w:left w:val="nil"/>
              <w:bottom w:val="nil"/>
              <w:right w:val="nil"/>
            </w:tcBorders>
            <w:vAlign w:val="center"/>
          </w:tcPr>
          <w:p w14:paraId="5C8E9EDA" w14:textId="0D5C92A5"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-.248**</w:t>
            </w:r>
          </w:p>
        </w:tc>
        <w:tc>
          <w:tcPr>
            <w:tcW w:w="1040" w:type="dxa"/>
            <w:tcBorders>
              <w:top w:val="nil"/>
              <w:left w:val="nil"/>
              <w:bottom w:val="nil"/>
              <w:right w:val="nil"/>
            </w:tcBorders>
            <w:vAlign w:val="center"/>
          </w:tcPr>
          <w:p w14:paraId="4689A674" w14:textId="337277F1"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-.223</w:t>
            </w:r>
          </w:p>
        </w:tc>
      </w:tr>
      <w:tr w:rsidR="00F334E6" w:rsidRPr="007115F2" w14:paraId="346745A1" w14:textId="3D838A35" w:rsidTr="00B6286E">
        <w:trPr>
          <w:trHeight w:val="20"/>
        </w:trPr>
        <w:tc>
          <w:tcPr>
            <w:tcW w:w="2835" w:type="dxa"/>
            <w:tcBorders>
              <w:top w:val="nil"/>
              <w:left w:val="nil"/>
              <w:bottom w:val="nil"/>
              <w:right w:val="nil"/>
            </w:tcBorders>
            <w:vAlign w:val="center"/>
          </w:tcPr>
          <w:p w14:paraId="4DB232F6" w14:textId="77777777" w:rsidR="00F334E6" w:rsidRPr="007115F2" w:rsidRDefault="00F334E6" w:rsidP="00F334E6">
            <w:pPr>
              <w:widowControl w:val="0"/>
              <w:autoSpaceDE w:val="0"/>
              <w:autoSpaceDN w:val="0"/>
              <w:adjustRightInd w:val="0"/>
              <w:spacing w:line="240" w:lineRule="auto"/>
              <w:rPr>
                <w:color w:val="000000" w:themeColor="text1"/>
                <w:sz w:val="22"/>
                <w:lang w:val="en-US"/>
              </w:rPr>
            </w:pPr>
          </w:p>
        </w:tc>
        <w:tc>
          <w:tcPr>
            <w:tcW w:w="1039" w:type="dxa"/>
            <w:tcBorders>
              <w:top w:val="nil"/>
              <w:left w:val="nil"/>
              <w:bottom w:val="nil"/>
              <w:right w:val="nil"/>
            </w:tcBorders>
            <w:vAlign w:val="center"/>
          </w:tcPr>
          <w:p w14:paraId="4859EBB2" w14:textId="70A0341E"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(-7.378)</w:t>
            </w:r>
          </w:p>
        </w:tc>
        <w:tc>
          <w:tcPr>
            <w:tcW w:w="1040" w:type="dxa"/>
            <w:tcBorders>
              <w:top w:val="nil"/>
              <w:left w:val="nil"/>
              <w:bottom w:val="nil"/>
              <w:right w:val="nil"/>
            </w:tcBorders>
            <w:vAlign w:val="center"/>
          </w:tcPr>
          <w:p w14:paraId="3CB3EDD2" w14:textId="0819BDB7"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(-4.094)</w:t>
            </w:r>
          </w:p>
        </w:tc>
        <w:tc>
          <w:tcPr>
            <w:tcW w:w="1039" w:type="dxa"/>
            <w:tcBorders>
              <w:top w:val="nil"/>
              <w:left w:val="nil"/>
              <w:bottom w:val="nil"/>
              <w:right w:val="nil"/>
            </w:tcBorders>
            <w:vAlign w:val="center"/>
          </w:tcPr>
          <w:p w14:paraId="5DB7692E" w14:textId="4D764CAB"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(-1.155)</w:t>
            </w:r>
          </w:p>
        </w:tc>
        <w:tc>
          <w:tcPr>
            <w:tcW w:w="1040" w:type="dxa"/>
            <w:tcBorders>
              <w:top w:val="nil"/>
              <w:left w:val="nil"/>
              <w:bottom w:val="nil"/>
              <w:right w:val="nil"/>
            </w:tcBorders>
            <w:vAlign w:val="center"/>
          </w:tcPr>
          <w:p w14:paraId="604AE605" w14:textId="082846AD"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(-3.772)</w:t>
            </w:r>
          </w:p>
        </w:tc>
        <w:tc>
          <w:tcPr>
            <w:tcW w:w="1039" w:type="dxa"/>
            <w:tcBorders>
              <w:top w:val="nil"/>
              <w:left w:val="nil"/>
              <w:bottom w:val="nil"/>
              <w:right w:val="nil"/>
            </w:tcBorders>
            <w:vAlign w:val="center"/>
          </w:tcPr>
          <w:p w14:paraId="1814B175" w14:textId="0C2C0629"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(-2.016)</w:t>
            </w:r>
          </w:p>
        </w:tc>
        <w:tc>
          <w:tcPr>
            <w:tcW w:w="1040" w:type="dxa"/>
            <w:tcBorders>
              <w:top w:val="nil"/>
              <w:left w:val="nil"/>
              <w:bottom w:val="nil"/>
              <w:right w:val="nil"/>
            </w:tcBorders>
            <w:vAlign w:val="center"/>
          </w:tcPr>
          <w:p w14:paraId="4F01234D" w14:textId="0FF505ED"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(-.620)</w:t>
            </w:r>
          </w:p>
        </w:tc>
      </w:tr>
      <w:tr w:rsidR="00F334E6" w:rsidRPr="007115F2" w14:paraId="681EF5A3" w14:textId="67BE39D2" w:rsidTr="00B6286E">
        <w:trPr>
          <w:trHeight w:val="20"/>
        </w:trPr>
        <w:tc>
          <w:tcPr>
            <w:tcW w:w="2835" w:type="dxa"/>
            <w:tcBorders>
              <w:top w:val="nil"/>
              <w:left w:val="nil"/>
              <w:bottom w:val="nil"/>
              <w:right w:val="nil"/>
            </w:tcBorders>
          </w:tcPr>
          <w:p w14:paraId="78E6F5F8" w14:textId="4925351F"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tar_age</w:t>
            </w:r>
          </w:p>
        </w:tc>
        <w:tc>
          <w:tcPr>
            <w:tcW w:w="1039" w:type="dxa"/>
            <w:tcBorders>
              <w:top w:val="nil"/>
              <w:left w:val="nil"/>
              <w:bottom w:val="nil"/>
              <w:right w:val="nil"/>
            </w:tcBorders>
            <w:vAlign w:val="center"/>
          </w:tcPr>
          <w:p w14:paraId="4F772C0B" w14:textId="7889AF0A"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-.00001</w:t>
            </w:r>
          </w:p>
        </w:tc>
        <w:tc>
          <w:tcPr>
            <w:tcW w:w="1040" w:type="dxa"/>
            <w:tcBorders>
              <w:top w:val="nil"/>
              <w:left w:val="nil"/>
              <w:bottom w:val="nil"/>
              <w:right w:val="nil"/>
            </w:tcBorders>
            <w:vAlign w:val="center"/>
          </w:tcPr>
          <w:p w14:paraId="29E19311" w14:textId="70CC5698"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-.0001</w:t>
            </w:r>
          </w:p>
        </w:tc>
        <w:tc>
          <w:tcPr>
            <w:tcW w:w="1039" w:type="dxa"/>
            <w:tcBorders>
              <w:top w:val="nil"/>
              <w:left w:val="nil"/>
              <w:bottom w:val="nil"/>
              <w:right w:val="nil"/>
            </w:tcBorders>
            <w:vAlign w:val="center"/>
          </w:tcPr>
          <w:p w14:paraId="4DD3AA53" w14:textId="5A5D8B88"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.0002</w:t>
            </w:r>
          </w:p>
        </w:tc>
        <w:tc>
          <w:tcPr>
            <w:tcW w:w="1040" w:type="dxa"/>
            <w:tcBorders>
              <w:top w:val="nil"/>
              <w:left w:val="nil"/>
              <w:bottom w:val="nil"/>
              <w:right w:val="nil"/>
            </w:tcBorders>
            <w:vAlign w:val="center"/>
          </w:tcPr>
          <w:p w14:paraId="4C3A0001" w14:textId="1FEFD28C"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.00004</w:t>
            </w:r>
          </w:p>
        </w:tc>
        <w:tc>
          <w:tcPr>
            <w:tcW w:w="1039" w:type="dxa"/>
            <w:tcBorders>
              <w:top w:val="nil"/>
              <w:left w:val="nil"/>
              <w:bottom w:val="nil"/>
              <w:right w:val="nil"/>
            </w:tcBorders>
            <w:vAlign w:val="center"/>
          </w:tcPr>
          <w:p w14:paraId="2F603C6B" w14:textId="4E6D1495"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-.00004</w:t>
            </w:r>
          </w:p>
        </w:tc>
        <w:tc>
          <w:tcPr>
            <w:tcW w:w="1040" w:type="dxa"/>
            <w:tcBorders>
              <w:top w:val="nil"/>
              <w:left w:val="nil"/>
              <w:bottom w:val="nil"/>
              <w:right w:val="nil"/>
            </w:tcBorders>
            <w:vAlign w:val="center"/>
          </w:tcPr>
          <w:p w14:paraId="0ED41F76" w14:textId="49BB7C28"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.0002</w:t>
            </w:r>
          </w:p>
        </w:tc>
      </w:tr>
      <w:tr w:rsidR="00F334E6" w:rsidRPr="007115F2" w14:paraId="479A779F" w14:textId="7A00CC12" w:rsidTr="00B6286E">
        <w:trPr>
          <w:trHeight w:val="20"/>
        </w:trPr>
        <w:tc>
          <w:tcPr>
            <w:tcW w:w="2835" w:type="dxa"/>
            <w:tcBorders>
              <w:top w:val="nil"/>
              <w:left w:val="nil"/>
              <w:bottom w:val="nil"/>
              <w:right w:val="nil"/>
            </w:tcBorders>
          </w:tcPr>
          <w:p w14:paraId="06C24ECD" w14:textId="129561BA"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w:t>
            </w:r>
          </w:p>
        </w:tc>
        <w:tc>
          <w:tcPr>
            <w:tcW w:w="1039" w:type="dxa"/>
            <w:tcBorders>
              <w:top w:val="nil"/>
              <w:left w:val="nil"/>
              <w:bottom w:val="nil"/>
              <w:right w:val="nil"/>
            </w:tcBorders>
            <w:vAlign w:val="center"/>
          </w:tcPr>
          <w:p w14:paraId="6755C71E" w14:textId="3DA98C5A"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(-.008)</w:t>
            </w:r>
          </w:p>
        </w:tc>
        <w:tc>
          <w:tcPr>
            <w:tcW w:w="1040" w:type="dxa"/>
            <w:tcBorders>
              <w:top w:val="nil"/>
              <w:left w:val="nil"/>
              <w:bottom w:val="nil"/>
              <w:right w:val="nil"/>
            </w:tcBorders>
            <w:vAlign w:val="center"/>
          </w:tcPr>
          <w:p w14:paraId="60C4B006" w14:textId="6498BE78"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(-.072)</w:t>
            </w:r>
          </w:p>
        </w:tc>
        <w:tc>
          <w:tcPr>
            <w:tcW w:w="1039" w:type="dxa"/>
            <w:tcBorders>
              <w:top w:val="nil"/>
              <w:left w:val="nil"/>
              <w:bottom w:val="nil"/>
              <w:right w:val="nil"/>
            </w:tcBorders>
            <w:vAlign w:val="center"/>
          </w:tcPr>
          <w:p w14:paraId="74A1C61F" w14:textId="0DA8C5E7"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(.343)</w:t>
            </w:r>
          </w:p>
        </w:tc>
        <w:tc>
          <w:tcPr>
            <w:tcW w:w="1040" w:type="dxa"/>
            <w:tcBorders>
              <w:top w:val="nil"/>
              <w:left w:val="nil"/>
              <w:bottom w:val="nil"/>
              <w:right w:val="nil"/>
            </w:tcBorders>
            <w:vAlign w:val="center"/>
          </w:tcPr>
          <w:p w14:paraId="7D3A7B55" w14:textId="4E3ABA64"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(.046)</w:t>
            </w:r>
          </w:p>
        </w:tc>
        <w:tc>
          <w:tcPr>
            <w:tcW w:w="1039" w:type="dxa"/>
            <w:tcBorders>
              <w:top w:val="nil"/>
              <w:left w:val="nil"/>
              <w:bottom w:val="nil"/>
              <w:right w:val="nil"/>
            </w:tcBorders>
            <w:vAlign w:val="center"/>
          </w:tcPr>
          <w:p w14:paraId="3ECE67A8" w14:textId="3E0D6758"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(-.056)</w:t>
            </w:r>
          </w:p>
        </w:tc>
        <w:tc>
          <w:tcPr>
            <w:tcW w:w="1040" w:type="dxa"/>
            <w:tcBorders>
              <w:top w:val="nil"/>
              <w:left w:val="nil"/>
              <w:bottom w:val="nil"/>
              <w:right w:val="nil"/>
            </w:tcBorders>
            <w:vAlign w:val="center"/>
          </w:tcPr>
          <w:p w14:paraId="57727A66" w14:textId="23426CB8"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(.350)</w:t>
            </w:r>
          </w:p>
        </w:tc>
      </w:tr>
      <w:tr w:rsidR="00F334E6" w:rsidRPr="007115F2" w14:paraId="45C9EAE1" w14:textId="58996B60" w:rsidTr="00B6286E">
        <w:trPr>
          <w:trHeight w:val="20"/>
        </w:trPr>
        <w:tc>
          <w:tcPr>
            <w:tcW w:w="2835" w:type="dxa"/>
            <w:tcBorders>
              <w:top w:val="nil"/>
              <w:left w:val="nil"/>
              <w:bottom w:val="nil"/>
              <w:right w:val="nil"/>
            </w:tcBorders>
          </w:tcPr>
          <w:p w14:paraId="0BEBDF77" w14:textId="40FB6A36"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tar_assets_lastyear_ln</w:t>
            </w:r>
          </w:p>
        </w:tc>
        <w:tc>
          <w:tcPr>
            <w:tcW w:w="1039" w:type="dxa"/>
            <w:tcBorders>
              <w:top w:val="nil"/>
              <w:left w:val="nil"/>
              <w:bottom w:val="nil"/>
              <w:right w:val="nil"/>
            </w:tcBorders>
            <w:vAlign w:val="center"/>
          </w:tcPr>
          <w:p w14:paraId="72E87D64" w14:textId="441A18D8"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.027</w:t>
            </w:r>
          </w:p>
        </w:tc>
        <w:tc>
          <w:tcPr>
            <w:tcW w:w="1040" w:type="dxa"/>
            <w:tcBorders>
              <w:top w:val="nil"/>
              <w:left w:val="nil"/>
              <w:bottom w:val="nil"/>
              <w:right w:val="nil"/>
            </w:tcBorders>
            <w:vAlign w:val="center"/>
          </w:tcPr>
          <w:p w14:paraId="5C1F6920" w14:textId="53028FC7"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.035</w:t>
            </w:r>
          </w:p>
        </w:tc>
        <w:tc>
          <w:tcPr>
            <w:tcW w:w="1039" w:type="dxa"/>
            <w:tcBorders>
              <w:top w:val="nil"/>
              <w:left w:val="nil"/>
              <w:bottom w:val="nil"/>
              <w:right w:val="nil"/>
            </w:tcBorders>
            <w:vAlign w:val="center"/>
          </w:tcPr>
          <w:p w14:paraId="3C10DDF2" w14:textId="132AF072"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-.015</w:t>
            </w:r>
          </w:p>
        </w:tc>
        <w:tc>
          <w:tcPr>
            <w:tcW w:w="1040" w:type="dxa"/>
            <w:tcBorders>
              <w:top w:val="nil"/>
              <w:left w:val="nil"/>
              <w:bottom w:val="nil"/>
              <w:right w:val="nil"/>
            </w:tcBorders>
            <w:vAlign w:val="center"/>
          </w:tcPr>
          <w:p w14:paraId="6E1F6746" w14:textId="32042414"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.019</w:t>
            </w:r>
          </w:p>
        </w:tc>
        <w:tc>
          <w:tcPr>
            <w:tcW w:w="1039" w:type="dxa"/>
            <w:tcBorders>
              <w:top w:val="nil"/>
              <w:left w:val="nil"/>
              <w:bottom w:val="nil"/>
              <w:right w:val="nil"/>
            </w:tcBorders>
            <w:vAlign w:val="center"/>
          </w:tcPr>
          <w:p w14:paraId="24F42C9B" w14:textId="63E8D414"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.026</w:t>
            </w:r>
          </w:p>
        </w:tc>
        <w:tc>
          <w:tcPr>
            <w:tcW w:w="1040" w:type="dxa"/>
            <w:tcBorders>
              <w:top w:val="nil"/>
              <w:left w:val="nil"/>
              <w:bottom w:val="nil"/>
              <w:right w:val="nil"/>
            </w:tcBorders>
            <w:vAlign w:val="center"/>
          </w:tcPr>
          <w:p w14:paraId="56EB29E5" w14:textId="761CE1AC"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-.023</w:t>
            </w:r>
          </w:p>
        </w:tc>
      </w:tr>
      <w:tr w:rsidR="00F334E6" w:rsidRPr="007115F2" w14:paraId="328D279B" w14:textId="28496E94" w:rsidTr="00B6286E">
        <w:trPr>
          <w:trHeight w:val="20"/>
        </w:trPr>
        <w:tc>
          <w:tcPr>
            <w:tcW w:w="2835" w:type="dxa"/>
            <w:tcBorders>
              <w:top w:val="nil"/>
              <w:left w:val="nil"/>
              <w:bottom w:val="nil"/>
              <w:right w:val="nil"/>
            </w:tcBorders>
          </w:tcPr>
          <w:p w14:paraId="6E449CB7" w14:textId="26A7517B"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w:t>
            </w:r>
          </w:p>
        </w:tc>
        <w:tc>
          <w:tcPr>
            <w:tcW w:w="1039" w:type="dxa"/>
            <w:tcBorders>
              <w:top w:val="nil"/>
              <w:left w:val="nil"/>
              <w:bottom w:val="nil"/>
              <w:right w:val="nil"/>
            </w:tcBorders>
            <w:vAlign w:val="center"/>
          </w:tcPr>
          <w:p w14:paraId="593D16A9" w14:textId="66546A23"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(.676)</w:t>
            </w:r>
          </w:p>
        </w:tc>
        <w:tc>
          <w:tcPr>
            <w:tcW w:w="1040" w:type="dxa"/>
            <w:tcBorders>
              <w:top w:val="nil"/>
              <w:left w:val="nil"/>
              <w:bottom w:val="nil"/>
              <w:right w:val="nil"/>
            </w:tcBorders>
            <w:vAlign w:val="center"/>
          </w:tcPr>
          <w:p w14:paraId="179B26BE" w14:textId="65E7108B"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(.894)</w:t>
            </w:r>
          </w:p>
        </w:tc>
        <w:tc>
          <w:tcPr>
            <w:tcW w:w="1039" w:type="dxa"/>
            <w:tcBorders>
              <w:top w:val="nil"/>
              <w:left w:val="nil"/>
              <w:bottom w:val="nil"/>
              <w:right w:val="nil"/>
            </w:tcBorders>
            <w:vAlign w:val="center"/>
          </w:tcPr>
          <w:p w14:paraId="3629F63B" w14:textId="00A76C6F"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(-.476)</w:t>
            </w:r>
          </w:p>
        </w:tc>
        <w:tc>
          <w:tcPr>
            <w:tcW w:w="1040" w:type="dxa"/>
            <w:tcBorders>
              <w:top w:val="nil"/>
              <w:left w:val="nil"/>
              <w:bottom w:val="nil"/>
              <w:right w:val="nil"/>
            </w:tcBorders>
            <w:vAlign w:val="center"/>
          </w:tcPr>
          <w:p w14:paraId="02D7F98C" w14:textId="0167B9BD"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(.544)</w:t>
            </w:r>
          </w:p>
        </w:tc>
        <w:tc>
          <w:tcPr>
            <w:tcW w:w="1039" w:type="dxa"/>
            <w:tcBorders>
              <w:top w:val="nil"/>
              <w:left w:val="nil"/>
              <w:bottom w:val="nil"/>
              <w:right w:val="nil"/>
            </w:tcBorders>
            <w:vAlign w:val="center"/>
          </w:tcPr>
          <w:p w14:paraId="688D1635" w14:textId="034D2586"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(.759)</w:t>
            </w:r>
          </w:p>
        </w:tc>
        <w:tc>
          <w:tcPr>
            <w:tcW w:w="1040" w:type="dxa"/>
            <w:tcBorders>
              <w:top w:val="nil"/>
              <w:left w:val="nil"/>
              <w:bottom w:val="nil"/>
              <w:right w:val="nil"/>
            </w:tcBorders>
            <w:vAlign w:val="center"/>
          </w:tcPr>
          <w:p w14:paraId="6E0D997D" w14:textId="41A534B3"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(-.754)</w:t>
            </w:r>
          </w:p>
        </w:tc>
      </w:tr>
      <w:tr w:rsidR="00F334E6" w:rsidRPr="007115F2" w14:paraId="09CCBAF0" w14:textId="0EFF4BF2" w:rsidTr="00B6286E">
        <w:trPr>
          <w:trHeight w:val="20"/>
        </w:trPr>
        <w:tc>
          <w:tcPr>
            <w:tcW w:w="2835" w:type="dxa"/>
            <w:tcBorders>
              <w:top w:val="nil"/>
              <w:left w:val="nil"/>
              <w:bottom w:val="nil"/>
              <w:right w:val="nil"/>
            </w:tcBorders>
          </w:tcPr>
          <w:p w14:paraId="6C35448B" w14:textId="28F47DEF"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tar_roa_lastyear</w:t>
            </w:r>
          </w:p>
        </w:tc>
        <w:tc>
          <w:tcPr>
            <w:tcW w:w="1039" w:type="dxa"/>
            <w:tcBorders>
              <w:top w:val="nil"/>
              <w:left w:val="nil"/>
              <w:bottom w:val="nil"/>
              <w:right w:val="nil"/>
            </w:tcBorders>
            <w:vAlign w:val="center"/>
          </w:tcPr>
          <w:p w14:paraId="5293742B" w14:textId="1CABDC55"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-.488*</w:t>
            </w:r>
          </w:p>
        </w:tc>
        <w:tc>
          <w:tcPr>
            <w:tcW w:w="1040" w:type="dxa"/>
            <w:tcBorders>
              <w:top w:val="nil"/>
              <w:left w:val="nil"/>
              <w:bottom w:val="nil"/>
              <w:right w:val="nil"/>
            </w:tcBorders>
            <w:vAlign w:val="center"/>
          </w:tcPr>
          <w:p w14:paraId="7DDC7035" w14:textId="46E2EC39"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-.397</w:t>
            </w:r>
          </w:p>
        </w:tc>
        <w:tc>
          <w:tcPr>
            <w:tcW w:w="1039" w:type="dxa"/>
            <w:tcBorders>
              <w:top w:val="nil"/>
              <w:left w:val="nil"/>
              <w:bottom w:val="nil"/>
              <w:right w:val="nil"/>
            </w:tcBorders>
            <w:vAlign w:val="center"/>
          </w:tcPr>
          <w:p w14:paraId="0CC99240" w14:textId="654E53B3"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-.245</w:t>
            </w:r>
          </w:p>
        </w:tc>
        <w:tc>
          <w:tcPr>
            <w:tcW w:w="1040" w:type="dxa"/>
            <w:tcBorders>
              <w:top w:val="nil"/>
              <w:left w:val="nil"/>
              <w:bottom w:val="nil"/>
              <w:right w:val="nil"/>
            </w:tcBorders>
            <w:vAlign w:val="center"/>
          </w:tcPr>
          <w:p w14:paraId="2BFC516E" w14:textId="28FC6544"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-.433*</w:t>
            </w:r>
          </w:p>
        </w:tc>
        <w:tc>
          <w:tcPr>
            <w:tcW w:w="1039" w:type="dxa"/>
            <w:tcBorders>
              <w:top w:val="nil"/>
              <w:left w:val="nil"/>
              <w:bottom w:val="nil"/>
              <w:right w:val="nil"/>
            </w:tcBorders>
            <w:vAlign w:val="center"/>
          </w:tcPr>
          <w:p w14:paraId="342B93B7" w14:textId="75C5BBD7"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-.351</w:t>
            </w:r>
          </w:p>
        </w:tc>
        <w:tc>
          <w:tcPr>
            <w:tcW w:w="1040" w:type="dxa"/>
            <w:tcBorders>
              <w:top w:val="nil"/>
              <w:left w:val="nil"/>
              <w:bottom w:val="nil"/>
              <w:right w:val="nil"/>
            </w:tcBorders>
            <w:vAlign w:val="center"/>
          </w:tcPr>
          <w:p w14:paraId="4576E420" w14:textId="3DC414A7"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-.225</w:t>
            </w:r>
          </w:p>
        </w:tc>
      </w:tr>
      <w:tr w:rsidR="00F334E6" w:rsidRPr="007115F2" w14:paraId="1416CE0D" w14:textId="7A122173" w:rsidTr="00B6286E">
        <w:trPr>
          <w:trHeight w:val="20"/>
        </w:trPr>
        <w:tc>
          <w:tcPr>
            <w:tcW w:w="2835" w:type="dxa"/>
            <w:tcBorders>
              <w:top w:val="nil"/>
              <w:left w:val="nil"/>
              <w:bottom w:val="nil"/>
              <w:right w:val="nil"/>
            </w:tcBorders>
          </w:tcPr>
          <w:p w14:paraId="0E2C31BA" w14:textId="42567DDE"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w:t>
            </w:r>
          </w:p>
        </w:tc>
        <w:tc>
          <w:tcPr>
            <w:tcW w:w="1039" w:type="dxa"/>
            <w:tcBorders>
              <w:top w:val="nil"/>
              <w:left w:val="nil"/>
              <w:bottom w:val="nil"/>
              <w:right w:val="nil"/>
            </w:tcBorders>
            <w:vAlign w:val="center"/>
          </w:tcPr>
          <w:p w14:paraId="507C6A50" w14:textId="06D054B9"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(-1.907)</w:t>
            </w:r>
          </w:p>
        </w:tc>
        <w:tc>
          <w:tcPr>
            <w:tcW w:w="1040" w:type="dxa"/>
            <w:tcBorders>
              <w:top w:val="nil"/>
              <w:left w:val="nil"/>
              <w:bottom w:val="nil"/>
              <w:right w:val="nil"/>
            </w:tcBorders>
            <w:vAlign w:val="center"/>
          </w:tcPr>
          <w:p w14:paraId="50074C50" w14:textId="4D93AE50"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(-1.594)</w:t>
            </w:r>
          </w:p>
        </w:tc>
        <w:tc>
          <w:tcPr>
            <w:tcW w:w="1039" w:type="dxa"/>
            <w:tcBorders>
              <w:top w:val="nil"/>
              <w:left w:val="nil"/>
              <w:bottom w:val="nil"/>
              <w:right w:val="nil"/>
            </w:tcBorders>
            <w:vAlign w:val="center"/>
          </w:tcPr>
          <w:p w14:paraId="43077D51" w14:textId="66CD06C2"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(-1.016)</w:t>
            </w:r>
          </w:p>
        </w:tc>
        <w:tc>
          <w:tcPr>
            <w:tcW w:w="1040" w:type="dxa"/>
            <w:tcBorders>
              <w:top w:val="nil"/>
              <w:left w:val="nil"/>
              <w:bottom w:val="nil"/>
              <w:right w:val="nil"/>
            </w:tcBorders>
            <w:vAlign w:val="center"/>
          </w:tcPr>
          <w:p w14:paraId="115F679E" w14:textId="422AB6EF"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(-1.685)</w:t>
            </w:r>
          </w:p>
        </w:tc>
        <w:tc>
          <w:tcPr>
            <w:tcW w:w="1039" w:type="dxa"/>
            <w:tcBorders>
              <w:top w:val="nil"/>
              <w:left w:val="nil"/>
              <w:bottom w:val="nil"/>
              <w:right w:val="nil"/>
            </w:tcBorders>
            <w:vAlign w:val="center"/>
          </w:tcPr>
          <w:p w14:paraId="41DBF476" w14:textId="7BB8B7CD"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(-1.371)</w:t>
            </w:r>
          </w:p>
        </w:tc>
        <w:tc>
          <w:tcPr>
            <w:tcW w:w="1040" w:type="dxa"/>
            <w:tcBorders>
              <w:top w:val="nil"/>
              <w:left w:val="nil"/>
              <w:bottom w:val="nil"/>
              <w:right w:val="nil"/>
            </w:tcBorders>
            <w:vAlign w:val="center"/>
          </w:tcPr>
          <w:p w14:paraId="7D7027DA" w14:textId="78703086"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(-.856)</w:t>
            </w:r>
          </w:p>
        </w:tc>
      </w:tr>
      <w:tr w:rsidR="00F334E6" w:rsidRPr="007115F2" w14:paraId="046CB59B" w14:textId="49835E35" w:rsidTr="00B6286E">
        <w:trPr>
          <w:trHeight w:val="20"/>
        </w:trPr>
        <w:tc>
          <w:tcPr>
            <w:tcW w:w="2835" w:type="dxa"/>
            <w:tcBorders>
              <w:top w:val="nil"/>
              <w:left w:val="nil"/>
              <w:bottom w:val="nil"/>
              <w:right w:val="nil"/>
            </w:tcBorders>
          </w:tcPr>
          <w:p w14:paraId="49EB7E4C" w14:textId="139C593F"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tar_mbratio</w:t>
            </w:r>
          </w:p>
        </w:tc>
        <w:tc>
          <w:tcPr>
            <w:tcW w:w="1039" w:type="dxa"/>
            <w:tcBorders>
              <w:top w:val="nil"/>
              <w:left w:val="nil"/>
              <w:bottom w:val="nil"/>
              <w:right w:val="nil"/>
            </w:tcBorders>
            <w:vAlign w:val="center"/>
          </w:tcPr>
          <w:p w14:paraId="6A58FE93" w14:textId="78089588"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-.007***</w:t>
            </w:r>
          </w:p>
        </w:tc>
        <w:tc>
          <w:tcPr>
            <w:tcW w:w="1040" w:type="dxa"/>
            <w:tcBorders>
              <w:top w:val="nil"/>
              <w:left w:val="nil"/>
              <w:bottom w:val="nil"/>
              <w:right w:val="nil"/>
            </w:tcBorders>
            <w:vAlign w:val="center"/>
          </w:tcPr>
          <w:p w14:paraId="732B4CDA" w14:textId="29BBF42E"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-.006***</w:t>
            </w:r>
          </w:p>
        </w:tc>
        <w:tc>
          <w:tcPr>
            <w:tcW w:w="1039" w:type="dxa"/>
            <w:tcBorders>
              <w:top w:val="nil"/>
              <w:left w:val="nil"/>
              <w:bottom w:val="nil"/>
              <w:right w:val="nil"/>
            </w:tcBorders>
            <w:vAlign w:val="center"/>
          </w:tcPr>
          <w:p w14:paraId="5F304646" w14:textId="7105263D"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-.006***</w:t>
            </w:r>
          </w:p>
        </w:tc>
        <w:tc>
          <w:tcPr>
            <w:tcW w:w="1040" w:type="dxa"/>
            <w:tcBorders>
              <w:top w:val="nil"/>
              <w:left w:val="nil"/>
              <w:bottom w:val="nil"/>
              <w:right w:val="nil"/>
            </w:tcBorders>
            <w:vAlign w:val="center"/>
          </w:tcPr>
          <w:p w14:paraId="5A04C7AA" w14:textId="1FD5E8B0"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-.006***</w:t>
            </w:r>
          </w:p>
        </w:tc>
        <w:tc>
          <w:tcPr>
            <w:tcW w:w="1039" w:type="dxa"/>
            <w:tcBorders>
              <w:top w:val="nil"/>
              <w:left w:val="nil"/>
              <w:bottom w:val="nil"/>
              <w:right w:val="nil"/>
            </w:tcBorders>
            <w:vAlign w:val="center"/>
          </w:tcPr>
          <w:p w14:paraId="2234AE34" w14:textId="6C4C7A6E"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-.004***</w:t>
            </w:r>
          </w:p>
        </w:tc>
        <w:tc>
          <w:tcPr>
            <w:tcW w:w="1040" w:type="dxa"/>
            <w:tcBorders>
              <w:top w:val="nil"/>
              <w:left w:val="nil"/>
              <w:bottom w:val="nil"/>
              <w:right w:val="nil"/>
            </w:tcBorders>
            <w:vAlign w:val="center"/>
          </w:tcPr>
          <w:p w14:paraId="26E3024D" w14:textId="4D01CDA3"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-.005***</w:t>
            </w:r>
          </w:p>
        </w:tc>
      </w:tr>
      <w:tr w:rsidR="00F334E6" w:rsidRPr="007115F2" w14:paraId="46AA449B" w14:textId="613375E5" w:rsidTr="00B6286E">
        <w:trPr>
          <w:trHeight w:val="20"/>
        </w:trPr>
        <w:tc>
          <w:tcPr>
            <w:tcW w:w="2835" w:type="dxa"/>
            <w:tcBorders>
              <w:top w:val="nil"/>
              <w:left w:val="nil"/>
              <w:bottom w:val="nil"/>
              <w:right w:val="nil"/>
            </w:tcBorders>
          </w:tcPr>
          <w:p w14:paraId="597F9D8D" w14:textId="40DD889E"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w:t>
            </w:r>
          </w:p>
        </w:tc>
        <w:tc>
          <w:tcPr>
            <w:tcW w:w="1039" w:type="dxa"/>
            <w:tcBorders>
              <w:top w:val="nil"/>
              <w:left w:val="nil"/>
              <w:bottom w:val="nil"/>
              <w:right w:val="nil"/>
            </w:tcBorders>
            <w:vAlign w:val="center"/>
          </w:tcPr>
          <w:p w14:paraId="0FCC0471" w14:textId="549AA167"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(-5.446)</w:t>
            </w:r>
          </w:p>
        </w:tc>
        <w:tc>
          <w:tcPr>
            <w:tcW w:w="1040" w:type="dxa"/>
            <w:tcBorders>
              <w:top w:val="nil"/>
              <w:left w:val="nil"/>
              <w:bottom w:val="nil"/>
              <w:right w:val="nil"/>
            </w:tcBorders>
            <w:vAlign w:val="center"/>
          </w:tcPr>
          <w:p w14:paraId="20D30AD7" w14:textId="5EC30944"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(-4.164)</w:t>
            </w:r>
          </w:p>
        </w:tc>
        <w:tc>
          <w:tcPr>
            <w:tcW w:w="1039" w:type="dxa"/>
            <w:tcBorders>
              <w:top w:val="nil"/>
              <w:left w:val="nil"/>
              <w:bottom w:val="nil"/>
              <w:right w:val="nil"/>
            </w:tcBorders>
            <w:vAlign w:val="center"/>
          </w:tcPr>
          <w:p w14:paraId="5B539EE3" w14:textId="7A309440"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(-3.431)</w:t>
            </w:r>
          </w:p>
        </w:tc>
        <w:tc>
          <w:tcPr>
            <w:tcW w:w="1040" w:type="dxa"/>
            <w:tcBorders>
              <w:top w:val="nil"/>
              <w:left w:val="nil"/>
              <w:bottom w:val="nil"/>
              <w:right w:val="nil"/>
            </w:tcBorders>
            <w:vAlign w:val="center"/>
          </w:tcPr>
          <w:p w14:paraId="320360ED" w14:textId="059B4919"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(-4.872)</w:t>
            </w:r>
          </w:p>
        </w:tc>
        <w:tc>
          <w:tcPr>
            <w:tcW w:w="1039" w:type="dxa"/>
            <w:tcBorders>
              <w:top w:val="nil"/>
              <w:left w:val="nil"/>
              <w:bottom w:val="nil"/>
              <w:right w:val="nil"/>
            </w:tcBorders>
            <w:vAlign w:val="center"/>
          </w:tcPr>
          <w:p w14:paraId="11B6A1EC" w14:textId="31500412"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(-3.431)</w:t>
            </w:r>
          </w:p>
        </w:tc>
        <w:tc>
          <w:tcPr>
            <w:tcW w:w="1040" w:type="dxa"/>
            <w:tcBorders>
              <w:top w:val="nil"/>
              <w:left w:val="nil"/>
              <w:bottom w:val="nil"/>
              <w:right w:val="nil"/>
            </w:tcBorders>
            <w:vAlign w:val="center"/>
          </w:tcPr>
          <w:p w14:paraId="2D7108C4" w14:textId="65B90506" w:rsidR="00F334E6" w:rsidRPr="00CE03DC" w:rsidRDefault="00F334E6" w:rsidP="00F334E6">
            <w:pPr>
              <w:widowControl w:val="0"/>
              <w:autoSpaceDE w:val="0"/>
              <w:autoSpaceDN w:val="0"/>
              <w:adjustRightInd w:val="0"/>
              <w:spacing w:line="240" w:lineRule="auto"/>
              <w:jc w:val="center"/>
              <w:rPr>
                <w:color w:val="000000" w:themeColor="text1"/>
                <w:sz w:val="22"/>
              </w:rPr>
            </w:pPr>
            <w:r w:rsidRPr="00D049B6">
              <w:rPr>
                <w:rFonts w:cs="Times New Roman"/>
                <w:color w:val="000000" w:themeColor="text1"/>
                <w:sz w:val="22"/>
                <w:lang w:val="en-US"/>
              </w:rPr>
              <w:t>(-3.268)</w:t>
            </w:r>
          </w:p>
        </w:tc>
      </w:tr>
      <w:tr w:rsidR="00F334E6" w:rsidRPr="007115F2" w14:paraId="1CACE26F" w14:textId="164ED597" w:rsidTr="00B6286E">
        <w:trPr>
          <w:trHeight w:val="20"/>
        </w:trPr>
        <w:tc>
          <w:tcPr>
            <w:tcW w:w="2835" w:type="dxa"/>
            <w:tcBorders>
              <w:top w:val="nil"/>
              <w:left w:val="nil"/>
              <w:bottom w:val="nil"/>
              <w:right w:val="nil"/>
            </w:tcBorders>
          </w:tcPr>
          <w:p w14:paraId="0D16C65A" w14:textId="2BCA1B42"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lastRenderedPageBreak/>
              <w:t xml:space="preserve"> Observations</w:t>
            </w:r>
          </w:p>
        </w:tc>
        <w:tc>
          <w:tcPr>
            <w:tcW w:w="1039" w:type="dxa"/>
            <w:tcBorders>
              <w:top w:val="nil"/>
              <w:left w:val="nil"/>
              <w:bottom w:val="nil"/>
              <w:right w:val="nil"/>
            </w:tcBorders>
          </w:tcPr>
          <w:p w14:paraId="3DC42E95" w14:textId="0B18CDC5"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226</w:t>
            </w:r>
          </w:p>
        </w:tc>
        <w:tc>
          <w:tcPr>
            <w:tcW w:w="1040" w:type="dxa"/>
            <w:tcBorders>
              <w:top w:val="nil"/>
              <w:left w:val="nil"/>
              <w:bottom w:val="nil"/>
              <w:right w:val="nil"/>
            </w:tcBorders>
          </w:tcPr>
          <w:p w14:paraId="2A3BD356" w14:textId="389E6B4C"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226</w:t>
            </w:r>
          </w:p>
        </w:tc>
        <w:tc>
          <w:tcPr>
            <w:tcW w:w="1039" w:type="dxa"/>
            <w:tcBorders>
              <w:top w:val="nil"/>
              <w:left w:val="nil"/>
              <w:bottom w:val="nil"/>
              <w:right w:val="nil"/>
            </w:tcBorders>
          </w:tcPr>
          <w:p w14:paraId="54274F7A" w14:textId="46EE80E5"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226</w:t>
            </w:r>
          </w:p>
        </w:tc>
        <w:tc>
          <w:tcPr>
            <w:tcW w:w="1040" w:type="dxa"/>
            <w:tcBorders>
              <w:top w:val="nil"/>
              <w:left w:val="nil"/>
              <w:bottom w:val="nil"/>
              <w:right w:val="nil"/>
            </w:tcBorders>
          </w:tcPr>
          <w:p w14:paraId="0320CEDF" w14:textId="3FE81401"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226</w:t>
            </w:r>
          </w:p>
        </w:tc>
        <w:tc>
          <w:tcPr>
            <w:tcW w:w="1039" w:type="dxa"/>
            <w:tcBorders>
              <w:top w:val="nil"/>
              <w:left w:val="nil"/>
              <w:bottom w:val="nil"/>
              <w:right w:val="nil"/>
            </w:tcBorders>
          </w:tcPr>
          <w:p w14:paraId="7B60B321" w14:textId="4554360A" w:rsidR="00F334E6" w:rsidRPr="00CE03DC"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226</w:t>
            </w:r>
          </w:p>
        </w:tc>
        <w:tc>
          <w:tcPr>
            <w:tcW w:w="1040" w:type="dxa"/>
            <w:tcBorders>
              <w:top w:val="nil"/>
              <w:left w:val="nil"/>
              <w:bottom w:val="nil"/>
              <w:right w:val="nil"/>
            </w:tcBorders>
          </w:tcPr>
          <w:p w14:paraId="549F8A65" w14:textId="4AAA0901" w:rsidR="00F334E6" w:rsidRPr="00CE03DC"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226</w:t>
            </w:r>
          </w:p>
        </w:tc>
      </w:tr>
      <w:tr w:rsidR="00F334E6" w:rsidRPr="007115F2" w14:paraId="34A6D983" w14:textId="56BB78FE" w:rsidTr="00B6286E">
        <w:trPr>
          <w:trHeight w:val="20"/>
        </w:trPr>
        <w:tc>
          <w:tcPr>
            <w:tcW w:w="2835" w:type="dxa"/>
            <w:tcBorders>
              <w:top w:val="nil"/>
              <w:left w:val="nil"/>
              <w:bottom w:val="nil"/>
              <w:right w:val="nil"/>
            </w:tcBorders>
          </w:tcPr>
          <w:p w14:paraId="2F777041" w14:textId="3D9FFA4B"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Adj R</w:t>
            </w:r>
            <w:r w:rsidRPr="00D049B6">
              <w:rPr>
                <w:rFonts w:cs="Times New Roman"/>
                <w:color w:val="000000" w:themeColor="text1"/>
                <w:sz w:val="22"/>
                <w:vertAlign w:val="superscript"/>
                <w:lang w:val="en-US"/>
              </w:rPr>
              <w:t>2</w:t>
            </w:r>
          </w:p>
        </w:tc>
        <w:tc>
          <w:tcPr>
            <w:tcW w:w="1039" w:type="dxa"/>
            <w:tcBorders>
              <w:top w:val="nil"/>
              <w:left w:val="nil"/>
              <w:bottom w:val="nil"/>
              <w:right w:val="nil"/>
            </w:tcBorders>
            <w:vAlign w:val="center"/>
          </w:tcPr>
          <w:p w14:paraId="141A3360" w14:textId="0A50C3B4"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.070</w:t>
            </w:r>
          </w:p>
        </w:tc>
        <w:tc>
          <w:tcPr>
            <w:tcW w:w="1040" w:type="dxa"/>
            <w:tcBorders>
              <w:top w:val="nil"/>
              <w:left w:val="nil"/>
              <w:bottom w:val="nil"/>
              <w:right w:val="nil"/>
            </w:tcBorders>
            <w:vAlign w:val="center"/>
          </w:tcPr>
          <w:p w14:paraId="4C31A179" w14:textId="119F7769"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.080</w:t>
            </w:r>
          </w:p>
        </w:tc>
        <w:tc>
          <w:tcPr>
            <w:tcW w:w="1039" w:type="dxa"/>
            <w:tcBorders>
              <w:top w:val="nil"/>
              <w:left w:val="nil"/>
              <w:bottom w:val="nil"/>
              <w:right w:val="nil"/>
            </w:tcBorders>
            <w:vAlign w:val="center"/>
          </w:tcPr>
          <w:p w14:paraId="270C7042" w14:textId="091ECF20"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.066</w:t>
            </w:r>
          </w:p>
        </w:tc>
        <w:tc>
          <w:tcPr>
            <w:tcW w:w="1040" w:type="dxa"/>
            <w:tcBorders>
              <w:top w:val="nil"/>
              <w:left w:val="nil"/>
              <w:bottom w:val="nil"/>
              <w:right w:val="nil"/>
            </w:tcBorders>
            <w:vAlign w:val="center"/>
          </w:tcPr>
          <w:p w14:paraId="233B4A87" w14:textId="6118AED3"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.077</w:t>
            </w:r>
          </w:p>
        </w:tc>
        <w:tc>
          <w:tcPr>
            <w:tcW w:w="1039" w:type="dxa"/>
            <w:tcBorders>
              <w:top w:val="nil"/>
              <w:left w:val="nil"/>
              <w:bottom w:val="nil"/>
              <w:right w:val="nil"/>
            </w:tcBorders>
            <w:vAlign w:val="center"/>
          </w:tcPr>
          <w:p w14:paraId="69F7A5CA" w14:textId="0AF7BCE2" w:rsidR="00F334E6" w:rsidRPr="00CE03DC"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.090</w:t>
            </w:r>
          </w:p>
        </w:tc>
        <w:tc>
          <w:tcPr>
            <w:tcW w:w="1040" w:type="dxa"/>
            <w:tcBorders>
              <w:top w:val="nil"/>
              <w:left w:val="nil"/>
              <w:bottom w:val="nil"/>
              <w:right w:val="nil"/>
            </w:tcBorders>
            <w:vAlign w:val="center"/>
          </w:tcPr>
          <w:p w14:paraId="4C0CD6C0" w14:textId="5D15D09D" w:rsidR="00F334E6" w:rsidRPr="00CE03DC"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.069</w:t>
            </w:r>
          </w:p>
        </w:tc>
      </w:tr>
      <w:tr w:rsidR="00F334E6" w:rsidRPr="007115F2" w14:paraId="5FA8D7F8" w14:textId="131B4F76" w:rsidTr="00B6286E">
        <w:trPr>
          <w:trHeight w:val="20"/>
        </w:trPr>
        <w:tc>
          <w:tcPr>
            <w:tcW w:w="2835" w:type="dxa"/>
            <w:tcBorders>
              <w:top w:val="nil"/>
              <w:left w:val="nil"/>
              <w:right w:val="nil"/>
            </w:tcBorders>
          </w:tcPr>
          <w:p w14:paraId="7FF34077" w14:textId="406C3AFE"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Industry FE</w:t>
            </w:r>
          </w:p>
        </w:tc>
        <w:tc>
          <w:tcPr>
            <w:tcW w:w="1039" w:type="dxa"/>
            <w:tcBorders>
              <w:top w:val="nil"/>
              <w:left w:val="nil"/>
              <w:right w:val="nil"/>
            </w:tcBorders>
          </w:tcPr>
          <w:p w14:paraId="31FD192E" w14:textId="4D2335B0"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Yes</w:t>
            </w:r>
          </w:p>
        </w:tc>
        <w:tc>
          <w:tcPr>
            <w:tcW w:w="1040" w:type="dxa"/>
            <w:tcBorders>
              <w:top w:val="nil"/>
              <w:left w:val="nil"/>
              <w:right w:val="nil"/>
            </w:tcBorders>
          </w:tcPr>
          <w:p w14:paraId="55BBCE9B" w14:textId="67DC10FA"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Yes</w:t>
            </w:r>
          </w:p>
        </w:tc>
        <w:tc>
          <w:tcPr>
            <w:tcW w:w="1039" w:type="dxa"/>
            <w:tcBorders>
              <w:top w:val="nil"/>
              <w:left w:val="nil"/>
              <w:right w:val="nil"/>
            </w:tcBorders>
          </w:tcPr>
          <w:p w14:paraId="20F1E26F" w14:textId="696CB37A"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Yes</w:t>
            </w:r>
          </w:p>
        </w:tc>
        <w:tc>
          <w:tcPr>
            <w:tcW w:w="1040" w:type="dxa"/>
            <w:tcBorders>
              <w:top w:val="nil"/>
              <w:left w:val="nil"/>
              <w:right w:val="nil"/>
            </w:tcBorders>
          </w:tcPr>
          <w:p w14:paraId="7A8872CB" w14:textId="2A1B8DF1"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Yes</w:t>
            </w:r>
          </w:p>
        </w:tc>
        <w:tc>
          <w:tcPr>
            <w:tcW w:w="1039" w:type="dxa"/>
            <w:tcBorders>
              <w:top w:val="nil"/>
              <w:left w:val="nil"/>
              <w:right w:val="nil"/>
            </w:tcBorders>
          </w:tcPr>
          <w:p w14:paraId="04AC4019" w14:textId="7E212E10" w:rsidR="00F334E6" w:rsidRPr="00CE03DC"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Yes</w:t>
            </w:r>
          </w:p>
        </w:tc>
        <w:tc>
          <w:tcPr>
            <w:tcW w:w="1040" w:type="dxa"/>
            <w:tcBorders>
              <w:top w:val="nil"/>
              <w:left w:val="nil"/>
              <w:right w:val="nil"/>
            </w:tcBorders>
          </w:tcPr>
          <w:p w14:paraId="013EB7E9" w14:textId="59F12202" w:rsidR="00F334E6" w:rsidRPr="00CE03DC"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Yes</w:t>
            </w:r>
          </w:p>
        </w:tc>
      </w:tr>
      <w:tr w:rsidR="00B6286E" w:rsidRPr="007115F2" w14:paraId="0EF9C75E" w14:textId="14620C66" w:rsidTr="00B6286E">
        <w:trPr>
          <w:trHeight w:val="20"/>
        </w:trPr>
        <w:tc>
          <w:tcPr>
            <w:tcW w:w="2835" w:type="dxa"/>
            <w:tcBorders>
              <w:top w:val="nil"/>
              <w:left w:val="nil"/>
              <w:bottom w:val="single" w:sz="4" w:space="0" w:color="auto"/>
              <w:right w:val="nil"/>
            </w:tcBorders>
          </w:tcPr>
          <w:p w14:paraId="6B72399B" w14:textId="66D27723" w:rsidR="00F334E6" w:rsidRPr="007115F2" w:rsidRDefault="00F334E6" w:rsidP="00F334E6">
            <w:pPr>
              <w:widowControl w:val="0"/>
              <w:autoSpaceDE w:val="0"/>
              <w:autoSpaceDN w:val="0"/>
              <w:adjustRightInd w:val="0"/>
              <w:spacing w:line="240" w:lineRule="auto"/>
              <w:rPr>
                <w:color w:val="000000" w:themeColor="text1"/>
                <w:sz w:val="22"/>
                <w:lang w:val="en-US"/>
              </w:rPr>
            </w:pPr>
            <w:r w:rsidRPr="00D049B6">
              <w:rPr>
                <w:rFonts w:cs="Times New Roman"/>
                <w:color w:val="000000" w:themeColor="text1"/>
                <w:sz w:val="22"/>
                <w:lang w:val="en-US"/>
              </w:rPr>
              <w:t xml:space="preserve"> Year FE</w:t>
            </w:r>
          </w:p>
        </w:tc>
        <w:tc>
          <w:tcPr>
            <w:tcW w:w="1039" w:type="dxa"/>
            <w:tcBorders>
              <w:top w:val="nil"/>
              <w:left w:val="nil"/>
              <w:bottom w:val="single" w:sz="4" w:space="0" w:color="auto"/>
              <w:right w:val="nil"/>
            </w:tcBorders>
          </w:tcPr>
          <w:p w14:paraId="1818DA75" w14:textId="088167B1"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Yes</w:t>
            </w:r>
          </w:p>
        </w:tc>
        <w:tc>
          <w:tcPr>
            <w:tcW w:w="1040" w:type="dxa"/>
            <w:tcBorders>
              <w:top w:val="nil"/>
              <w:left w:val="nil"/>
              <w:bottom w:val="single" w:sz="4" w:space="0" w:color="auto"/>
              <w:right w:val="nil"/>
            </w:tcBorders>
          </w:tcPr>
          <w:p w14:paraId="0C818AC1" w14:textId="581853E6"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 xml:space="preserve"> Yes</w:t>
            </w:r>
          </w:p>
        </w:tc>
        <w:tc>
          <w:tcPr>
            <w:tcW w:w="1039" w:type="dxa"/>
            <w:tcBorders>
              <w:top w:val="nil"/>
              <w:left w:val="nil"/>
              <w:bottom w:val="single" w:sz="4" w:space="0" w:color="auto"/>
              <w:right w:val="nil"/>
            </w:tcBorders>
          </w:tcPr>
          <w:p w14:paraId="60B4D631" w14:textId="0FCC3FB1"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 xml:space="preserve"> Yes</w:t>
            </w:r>
          </w:p>
        </w:tc>
        <w:tc>
          <w:tcPr>
            <w:tcW w:w="1040" w:type="dxa"/>
            <w:tcBorders>
              <w:top w:val="nil"/>
              <w:left w:val="nil"/>
              <w:bottom w:val="single" w:sz="4" w:space="0" w:color="auto"/>
              <w:right w:val="nil"/>
            </w:tcBorders>
          </w:tcPr>
          <w:p w14:paraId="148A0BF7" w14:textId="00673173" w:rsidR="00F334E6" w:rsidRPr="007115F2"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 xml:space="preserve"> Yes</w:t>
            </w:r>
          </w:p>
        </w:tc>
        <w:tc>
          <w:tcPr>
            <w:tcW w:w="1039" w:type="dxa"/>
            <w:tcBorders>
              <w:top w:val="nil"/>
              <w:left w:val="nil"/>
              <w:bottom w:val="single" w:sz="4" w:space="0" w:color="auto"/>
              <w:right w:val="nil"/>
            </w:tcBorders>
          </w:tcPr>
          <w:p w14:paraId="7646D7F9" w14:textId="11E0AE52" w:rsidR="00F334E6" w:rsidRPr="00CE03DC"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 xml:space="preserve"> Yes</w:t>
            </w:r>
          </w:p>
        </w:tc>
        <w:tc>
          <w:tcPr>
            <w:tcW w:w="1040" w:type="dxa"/>
            <w:tcBorders>
              <w:top w:val="nil"/>
              <w:left w:val="nil"/>
              <w:bottom w:val="single" w:sz="4" w:space="0" w:color="auto"/>
              <w:right w:val="nil"/>
            </w:tcBorders>
          </w:tcPr>
          <w:p w14:paraId="5D0DCD3A" w14:textId="738C3357" w:rsidR="00F334E6" w:rsidRPr="00CE03DC" w:rsidRDefault="00F334E6" w:rsidP="00F334E6">
            <w:pPr>
              <w:widowControl w:val="0"/>
              <w:autoSpaceDE w:val="0"/>
              <w:autoSpaceDN w:val="0"/>
              <w:adjustRightInd w:val="0"/>
              <w:spacing w:line="240" w:lineRule="auto"/>
              <w:jc w:val="center"/>
              <w:rPr>
                <w:color w:val="000000" w:themeColor="text1"/>
                <w:sz w:val="22"/>
                <w:lang w:val="en-US"/>
              </w:rPr>
            </w:pPr>
            <w:r w:rsidRPr="00D049B6">
              <w:rPr>
                <w:rFonts w:cs="Times New Roman"/>
                <w:color w:val="000000" w:themeColor="text1"/>
                <w:sz w:val="22"/>
                <w:lang w:val="en-US"/>
              </w:rPr>
              <w:t xml:space="preserve"> Yes</w:t>
            </w:r>
          </w:p>
        </w:tc>
      </w:tr>
      <w:tr w:rsidR="00A427E8" w:rsidRPr="00BE5632" w14:paraId="3B4ED639" w14:textId="77777777" w:rsidTr="00B6286E">
        <w:trPr>
          <w:trHeight w:val="20"/>
        </w:trPr>
        <w:tc>
          <w:tcPr>
            <w:tcW w:w="9072" w:type="dxa"/>
            <w:gridSpan w:val="7"/>
            <w:tcBorders>
              <w:top w:val="single" w:sz="4" w:space="0" w:color="auto"/>
              <w:left w:val="nil"/>
              <w:right w:val="nil"/>
            </w:tcBorders>
          </w:tcPr>
          <w:p w14:paraId="030A403B" w14:textId="1E8EC69B" w:rsidR="00A427E8" w:rsidRPr="00D049B6" w:rsidRDefault="00A427E8" w:rsidP="00D137E4">
            <w:pPr>
              <w:widowControl w:val="0"/>
              <w:autoSpaceDE w:val="0"/>
              <w:autoSpaceDN w:val="0"/>
              <w:adjustRightInd w:val="0"/>
              <w:spacing w:line="240" w:lineRule="auto"/>
              <w:rPr>
                <w:rFonts w:cs="Times New Roman"/>
                <w:color w:val="000000" w:themeColor="text1"/>
                <w:sz w:val="22"/>
                <w:lang w:val="en-US"/>
              </w:rPr>
            </w:pPr>
            <w:r w:rsidRPr="00D049B6">
              <w:rPr>
                <w:rFonts w:cs="Times New Roman"/>
                <w:i/>
                <w:iCs/>
                <w:color w:val="000000" w:themeColor="text1"/>
                <w:sz w:val="22"/>
                <w:lang w:val="en-US"/>
              </w:rPr>
              <w:t>Note</w:t>
            </w:r>
            <w:r w:rsidRPr="00D049B6">
              <w:rPr>
                <w:rFonts w:cs="Times New Roman"/>
                <w:color w:val="000000" w:themeColor="text1"/>
                <w:sz w:val="22"/>
                <w:lang w:val="en-US"/>
              </w:rPr>
              <w:t xml:space="preserve">. This table reports fixed effects linear OLS regression results predicting the effect of organizational cultural distance between acquirers and targets on acquisition premiums. The dependent variable for all Models is the acquisition premium paid in relation to the target’s market value, which is measured 1 day, 1 week and 1-month prior deal announcement. The main independent variable in Models 1-3 is </w:t>
            </w:r>
            <w:r w:rsidRPr="00D049B6">
              <w:rPr>
                <w:rFonts w:cs="Times New Roman"/>
                <w:i/>
                <w:color w:val="000000" w:themeColor="text1"/>
                <w:sz w:val="22"/>
                <w:lang w:val="en-US"/>
              </w:rPr>
              <w:t>deal_culturaldistance</w:t>
            </w:r>
            <w:r w:rsidRPr="00D049B6">
              <w:rPr>
                <w:rFonts w:cs="Times New Roman"/>
                <w:color w:val="000000" w:themeColor="text1"/>
                <w:sz w:val="22"/>
                <w:lang w:val="en-US"/>
              </w:rPr>
              <w:t>, with higher values indicating higher cultural dissimilarities between the acquirer and target. The main independent variables in Models 4-6 are the absolute cultural differences (in the four Competing Values Framework categories clan, adhocracy, market, hierarchy) between the acquirer and target. A detailed variable description can be found in Appendix B. Constant terms are estimated but not reported. We include the acquirer’s industry and year fixed effects in all models. We cluster standard errors at the 2-digit SIC industry level. t-statistics are reported in parentheses below the coefficients. *, **, *** denote statistical significance at the .10, .05, and .01 levels (using two-tailed tests).</w:t>
            </w:r>
          </w:p>
        </w:tc>
      </w:tr>
    </w:tbl>
    <w:p w14:paraId="69FC9846" w14:textId="77777777" w:rsidR="00F334E6" w:rsidRDefault="00F334E6">
      <w:pPr>
        <w:spacing w:after="160" w:line="259" w:lineRule="auto"/>
        <w:jc w:val="left"/>
        <w:rPr>
          <w:rStyle w:val="SchwacherVerweis"/>
          <w:rFonts w:eastAsiaTheme="majorEastAsia" w:cstheme="majorBidi"/>
          <w:b/>
          <w:caps/>
          <w:smallCaps w:val="0"/>
          <w:color w:val="auto"/>
          <w:szCs w:val="32"/>
          <w:lang w:val="en-US"/>
        </w:rPr>
      </w:pPr>
      <w:r w:rsidRPr="00A427E8">
        <w:rPr>
          <w:rStyle w:val="SchwacherVerweis"/>
          <w:smallCaps w:val="0"/>
          <w:color w:val="auto"/>
          <w:lang w:val="en-US"/>
        </w:rPr>
        <w:br w:type="page"/>
      </w:r>
    </w:p>
    <w:p w14:paraId="51B4FD3D" w14:textId="36154B75" w:rsidR="00D14819" w:rsidRPr="00D14819" w:rsidRDefault="00D14819" w:rsidP="00D14819">
      <w:pPr>
        <w:pStyle w:val="1fake"/>
        <w:rPr>
          <w:rStyle w:val="SchwacherVerweis"/>
          <w:smallCaps w:val="0"/>
          <w:color w:val="auto"/>
        </w:rPr>
      </w:pPr>
      <w:r w:rsidRPr="00D14819">
        <w:rPr>
          <w:rStyle w:val="SchwacherVerweis"/>
          <w:smallCaps w:val="0"/>
          <w:color w:val="auto"/>
        </w:rPr>
        <w:lastRenderedPageBreak/>
        <w:t>Table 8</w:t>
      </w:r>
    </w:p>
    <w:p w14:paraId="71ED3712" w14:textId="611140E1" w:rsidR="00106E8D" w:rsidRPr="009C7671" w:rsidRDefault="00106E8D" w:rsidP="00106E8D">
      <w:pPr>
        <w:pStyle w:val="Beschriftung"/>
      </w:pPr>
      <w:bookmarkStart w:id="616" w:name="_Toc180594844"/>
      <w:r>
        <w:t xml:space="preserve">T - III - </w:t>
      </w:r>
      <w:r>
        <w:fldChar w:fldCharType="begin"/>
      </w:r>
      <w:r w:rsidRPr="00864F68">
        <w:instrText xml:space="preserve"> SEQ T_-_III_- \* ARABIC </w:instrText>
      </w:r>
      <w:r>
        <w:fldChar w:fldCharType="separate"/>
      </w:r>
      <w:r w:rsidR="00E91088">
        <w:rPr>
          <w:noProof/>
        </w:rPr>
        <w:t>8</w:t>
      </w:r>
      <w:r>
        <w:fldChar w:fldCharType="end"/>
      </w:r>
      <w:r>
        <w:t xml:space="preserve">: </w:t>
      </w:r>
      <w:r w:rsidRPr="00A03440">
        <w:t>H3: Innovation</w:t>
      </w:r>
      <w:bookmarkEnd w:id="616"/>
    </w:p>
    <w:tbl>
      <w:tblPr>
        <w:tblW w:w="9072" w:type="dxa"/>
        <w:tblLayout w:type="fixed"/>
        <w:tblLook w:val="0000" w:firstRow="0" w:lastRow="0" w:firstColumn="0" w:lastColumn="0" w:noHBand="0" w:noVBand="0"/>
      </w:tblPr>
      <w:tblGrid>
        <w:gridCol w:w="3455"/>
        <w:gridCol w:w="1404"/>
        <w:gridCol w:w="1404"/>
        <w:gridCol w:w="1404"/>
        <w:gridCol w:w="1405"/>
      </w:tblGrid>
      <w:tr w:rsidR="00864F68" w:rsidRPr="00EB468D" w14:paraId="0C23932F" w14:textId="77777777" w:rsidTr="00B6286E">
        <w:trPr>
          <w:trHeight w:val="20"/>
        </w:trPr>
        <w:tc>
          <w:tcPr>
            <w:tcW w:w="3687" w:type="dxa"/>
            <w:tcBorders>
              <w:top w:val="single" w:sz="4" w:space="0" w:color="auto"/>
            </w:tcBorders>
          </w:tcPr>
          <w:bookmarkEnd w:id="434"/>
          <w:p w14:paraId="357B6732" w14:textId="77777777" w:rsidR="00864F68" w:rsidRPr="00EB468D" w:rsidRDefault="00864F68" w:rsidP="00864F68">
            <w:pPr>
              <w:widowControl w:val="0"/>
              <w:autoSpaceDE w:val="0"/>
              <w:autoSpaceDN w:val="0"/>
              <w:adjustRightInd w:val="0"/>
              <w:spacing w:line="240" w:lineRule="auto"/>
              <w:rPr>
                <w:b/>
                <w:bCs/>
                <w:color w:val="000000" w:themeColor="text1"/>
                <w:sz w:val="22"/>
                <w:lang w:val="en-US"/>
              </w:rPr>
            </w:pPr>
            <w:r w:rsidRPr="00EB468D">
              <w:rPr>
                <w:b/>
                <w:bCs/>
                <w:color w:val="000000" w:themeColor="text1"/>
                <w:sz w:val="22"/>
                <w:lang w:val="en-US"/>
              </w:rPr>
              <w:t xml:space="preserve">   </w:t>
            </w:r>
          </w:p>
        </w:tc>
        <w:tc>
          <w:tcPr>
            <w:tcW w:w="1488" w:type="dxa"/>
            <w:tcBorders>
              <w:top w:val="single" w:sz="4" w:space="0" w:color="auto"/>
            </w:tcBorders>
          </w:tcPr>
          <w:p w14:paraId="5A32ACF9" w14:textId="77777777" w:rsidR="00864F68" w:rsidRPr="00EB468D" w:rsidRDefault="00864F68" w:rsidP="006F4762">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 xml:space="preserve">  (1)</w:t>
            </w:r>
          </w:p>
        </w:tc>
        <w:tc>
          <w:tcPr>
            <w:tcW w:w="1488" w:type="dxa"/>
            <w:tcBorders>
              <w:top w:val="single" w:sz="4" w:space="0" w:color="auto"/>
            </w:tcBorders>
          </w:tcPr>
          <w:p w14:paraId="6522B50E" w14:textId="77777777" w:rsidR="00864F68" w:rsidRPr="00EB468D" w:rsidRDefault="00864F68" w:rsidP="006F4762">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 xml:space="preserve">  (2)</w:t>
            </w:r>
          </w:p>
        </w:tc>
        <w:tc>
          <w:tcPr>
            <w:tcW w:w="1488" w:type="dxa"/>
            <w:tcBorders>
              <w:top w:val="single" w:sz="4" w:space="0" w:color="auto"/>
            </w:tcBorders>
          </w:tcPr>
          <w:p w14:paraId="7F88C9CD" w14:textId="77777777" w:rsidR="00864F68" w:rsidRPr="00EB468D" w:rsidRDefault="00864F68" w:rsidP="006F4762">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 xml:space="preserve">  (3)</w:t>
            </w:r>
          </w:p>
        </w:tc>
        <w:tc>
          <w:tcPr>
            <w:tcW w:w="1489" w:type="dxa"/>
            <w:tcBorders>
              <w:top w:val="single" w:sz="4" w:space="0" w:color="auto"/>
            </w:tcBorders>
          </w:tcPr>
          <w:p w14:paraId="3DB2B702" w14:textId="77777777" w:rsidR="00864F68" w:rsidRPr="00EB468D" w:rsidRDefault="00864F68" w:rsidP="006F4762">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(4)</w:t>
            </w:r>
          </w:p>
        </w:tc>
      </w:tr>
      <w:tr w:rsidR="00864F68" w:rsidRPr="00EB468D" w14:paraId="7B5881E6" w14:textId="77777777" w:rsidTr="00B6286E">
        <w:trPr>
          <w:trHeight w:val="20"/>
        </w:trPr>
        <w:tc>
          <w:tcPr>
            <w:tcW w:w="3687" w:type="dxa"/>
            <w:tcBorders>
              <w:bottom w:val="single" w:sz="4" w:space="0" w:color="auto"/>
            </w:tcBorders>
          </w:tcPr>
          <w:p w14:paraId="4BD2222E" w14:textId="77777777" w:rsidR="00864F68" w:rsidRPr="00EB468D" w:rsidRDefault="00864F68" w:rsidP="00864F68">
            <w:pPr>
              <w:widowControl w:val="0"/>
              <w:autoSpaceDE w:val="0"/>
              <w:autoSpaceDN w:val="0"/>
              <w:adjustRightInd w:val="0"/>
              <w:spacing w:line="240" w:lineRule="auto"/>
              <w:rPr>
                <w:b/>
                <w:bCs/>
                <w:color w:val="000000" w:themeColor="text1"/>
                <w:sz w:val="22"/>
                <w:lang w:val="en-US"/>
              </w:rPr>
            </w:pPr>
            <w:r w:rsidRPr="00EB468D">
              <w:rPr>
                <w:b/>
                <w:bCs/>
                <w:color w:val="000000" w:themeColor="text1"/>
                <w:sz w:val="22"/>
                <w:lang w:val="en-US"/>
              </w:rPr>
              <w:t xml:space="preserve">   </w:t>
            </w:r>
          </w:p>
        </w:tc>
        <w:tc>
          <w:tcPr>
            <w:tcW w:w="1488" w:type="dxa"/>
            <w:tcBorders>
              <w:bottom w:val="single" w:sz="4" w:space="0" w:color="auto"/>
            </w:tcBorders>
          </w:tcPr>
          <w:p w14:paraId="577609B7" w14:textId="77777777" w:rsidR="00864F68" w:rsidRPr="00EB468D" w:rsidRDefault="00864F68" w:rsidP="006F4762">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 xml:space="preserve">   acq_2yr_patent_growth</w:t>
            </w:r>
          </w:p>
        </w:tc>
        <w:tc>
          <w:tcPr>
            <w:tcW w:w="1488" w:type="dxa"/>
            <w:tcBorders>
              <w:bottom w:val="single" w:sz="4" w:space="0" w:color="auto"/>
            </w:tcBorders>
          </w:tcPr>
          <w:p w14:paraId="665F8480" w14:textId="77777777" w:rsidR="00864F68" w:rsidRPr="00EB468D" w:rsidRDefault="00864F68" w:rsidP="006F4762">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acq_2yr_npd</w:t>
            </w:r>
            <w:r w:rsidRPr="00EB468D">
              <w:rPr>
                <w:b/>
                <w:bCs/>
                <w:color w:val="000000" w:themeColor="text1"/>
                <w:sz w:val="22"/>
                <w:lang w:val="en-US"/>
              </w:rPr>
              <w:br/>
              <w:t>_growth</w:t>
            </w:r>
          </w:p>
        </w:tc>
        <w:tc>
          <w:tcPr>
            <w:tcW w:w="1488" w:type="dxa"/>
            <w:tcBorders>
              <w:bottom w:val="single" w:sz="4" w:space="0" w:color="auto"/>
            </w:tcBorders>
          </w:tcPr>
          <w:p w14:paraId="796B063A" w14:textId="77777777" w:rsidR="00864F68" w:rsidRPr="00EB468D" w:rsidRDefault="00864F68" w:rsidP="006F4762">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acq_2yr_patent_growth</w:t>
            </w:r>
          </w:p>
        </w:tc>
        <w:tc>
          <w:tcPr>
            <w:tcW w:w="1489" w:type="dxa"/>
            <w:tcBorders>
              <w:bottom w:val="single" w:sz="4" w:space="0" w:color="auto"/>
            </w:tcBorders>
          </w:tcPr>
          <w:p w14:paraId="19DAD635" w14:textId="77777777" w:rsidR="00864F68" w:rsidRPr="00EB468D" w:rsidRDefault="00864F68" w:rsidP="006F4762">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acq_2yr_npd</w:t>
            </w:r>
            <w:r w:rsidRPr="00EB468D">
              <w:rPr>
                <w:b/>
                <w:bCs/>
                <w:color w:val="000000" w:themeColor="text1"/>
                <w:sz w:val="22"/>
                <w:lang w:val="en-US"/>
              </w:rPr>
              <w:br/>
              <w:t>_growth</w:t>
            </w:r>
          </w:p>
        </w:tc>
      </w:tr>
      <w:tr w:rsidR="00864F68" w:rsidRPr="00EB468D" w14:paraId="425A5F48" w14:textId="77777777" w:rsidTr="00B6286E">
        <w:trPr>
          <w:trHeight w:val="20"/>
        </w:trPr>
        <w:tc>
          <w:tcPr>
            <w:tcW w:w="3687" w:type="dxa"/>
            <w:tcBorders>
              <w:top w:val="single" w:sz="4" w:space="0" w:color="auto"/>
            </w:tcBorders>
          </w:tcPr>
          <w:p w14:paraId="0D7C3BCF"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deal_culturaldistance</w:t>
            </w:r>
          </w:p>
        </w:tc>
        <w:tc>
          <w:tcPr>
            <w:tcW w:w="1488" w:type="dxa"/>
            <w:tcBorders>
              <w:top w:val="single" w:sz="4" w:space="0" w:color="auto"/>
            </w:tcBorders>
          </w:tcPr>
          <w:p w14:paraId="720F335C"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-.051**</w:t>
            </w:r>
          </w:p>
        </w:tc>
        <w:tc>
          <w:tcPr>
            <w:tcW w:w="1488" w:type="dxa"/>
            <w:tcBorders>
              <w:top w:val="single" w:sz="4" w:space="0" w:color="auto"/>
            </w:tcBorders>
          </w:tcPr>
          <w:p w14:paraId="4C325558"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-.028*</w:t>
            </w:r>
          </w:p>
        </w:tc>
        <w:tc>
          <w:tcPr>
            <w:tcW w:w="1488" w:type="dxa"/>
            <w:tcBorders>
              <w:top w:val="single" w:sz="4" w:space="0" w:color="auto"/>
            </w:tcBorders>
          </w:tcPr>
          <w:p w14:paraId="4200F3CD"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p>
        </w:tc>
        <w:tc>
          <w:tcPr>
            <w:tcW w:w="1489" w:type="dxa"/>
            <w:tcBorders>
              <w:top w:val="single" w:sz="4" w:space="0" w:color="auto"/>
            </w:tcBorders>
          </w:tcPr>
          <w:p w14:paraId="3995C95A"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p>
        </w:tc>
      </w:tr>
      <w:tr w:rsidR="00864F68" w:rsidRPr="00EB468D" w14:paraId="553FD059" w14:textId="77777777" w:rsidTr="00B6286E">
        <w:trPr>
          <w:trHeight w:val="20"/>
        </w:trPr>
        <w:tc>
          <w:tcPr>
            <w:tcW w:w="3687" w:type="dxa"/>
          </w:tcPr>
          <w:p w14:paraId="200621FA"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488" w:type="dxa"/>
          </w:tcPr>
          <w:p w14:paraId="26523EFA"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(-2.573)</w:t>
            </w:r>
          </w:p>
        </w:tc>
        <w:tc>
          <w:tcPr>
            <w:tcW w:w="1488" w:type="dxa"/>
          </w:tcPr>
          <w:p w14:paraId="3C46B76A"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(-1.827)</w:t>
            </w:r>
          </w:p>
        </w:tc>
        <w:tc>
          <w:tcPr>
            <w:tcW w:w="1488" w:type="dxa"/>
          </w:tcPr>
          <w:p w14:paraId="7FF738FE"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p>
        </w:tc>
        <w:tc>
          <w:tcPr>
            <w:tcW w:w="1489" w:type="dxa"/>
          </w:tcPr>
          <w:p w14:paraId="4A526029"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p>
        </w:tc>
      </w:tr>
      <w:tr w:rsidR="00864F68" w:rsidRPr="00EB468D" w14:paraId="1C246AF4" w14:textId="77777777" w:rsidTr="00B6286E">
        <w:trPr>
          <w:trHeight w:val="20"/>
        </w:trPr>
        <w:tc>
          <w:tcPr>
            <w:tcW w:w="3687" w:type="dxa"/>
          </w:tcPr>
          <w:p w14:paraId="0C28BCCE"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deal_clan_culture_abs</w:t>
            </w:r>
          </w:p>
        </w:tc>
        <w:tc>
          <w:tcPr>
            <w:tcW w:w="1488" w:type="dxa"/>
          </w:tcPr>
          <w:p w14:paraId="11DFCF7B"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p>
        </w:tc>
        <w:tc>
          <w:tcPr>
            <w:tcW w:w="1488" w:type="dxa"/>
          </w:tcPr>
          <w:p w14:paraId="52274E57"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p>
        </w:tc>
        <w:tc>
          <w:tcPr>
            <w:tcW w:w="1488" w:type="dxa"/>
          </w:tcPr>
          <w:p w14:paraId="48F54356"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-1.117</w:t>
            </w:r>
          </w:p>
        </w:tc>
        <w:tc>
          <w:tcPr>
            <w:tcW w:w="1489" w:type="dxa"/>
          </w:tcPr>
          <w:p w14:paraId="04250B05"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.218</w:t>
            </w:r>
          </w:p>
        </w:tc>
      </w:tr>
      <w:tr w:rsidR="00864F68" w:rsidRPr="00EB468D" w14:paraId="0F449270" w14:textId="77777777" w:rsidTr="00B6286E">
        <w:trPr>
          <w:trHeight w:val="20"/>
        </w:trPr>
        <w:tc>
          <w:tcPr>
            <w:tcW w:w="3687" w:type="dxa"/>
          </w:tcPr>
          <w:p w14:paraId="3C27C598"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488" w:type="dxa"/>
          </w:tcPr>
          <w:p w14:paraId="5CD41F79"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p>
        </w:tc>
        <w:tc>
          <w:tcPr>
            <w:tcW w:w="1488" w:type="dxa"/>
          </w:tcPr>
          <w:p w14:paraId="50C85B31"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p>
        </w:tc>
        <w:tc>
          <w:tcPr>
            <w:tcW w:w="1488" w:type="dxa"/>
          </w:tcPr>
          <w:p w14:paraId="315F58C5"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(-.967)</w:t>
            </w:r>
          </w:p>
        </w:tc>
        <w:tc>
          <w:tcPr>
            <w:tcW w:w="1489" w:type="dxa"/>
          </w:tcPr>
          <w:p w14:paraId="31DD3B9C"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(.184)</w:t>
            </w:r>
          </w:p>
        </w:tc>
      </w:tr>
      <w:tr w:rsidR="00864F68" w:rsidRPr="00EB468D" w14:paraId="5359D69D" w14:textId="77777777" w:rsidTr="00B6286E">
        <w:trPr>
          <w:trHeight w:val="20"/>
        </w:trPr>
        <w:tc>
          <w:tcPr>
            <w:tcW w:w="3687" w:type="dxa"/>
          </w:tcPr>
          <w:p w14:paraId="54B28018"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deal_adhocracy_culture_abs</w:t>
            </w:r>
          </w:p>
        </w:tc>
        <w:tc>
          <w:tcPr>
            <w:tcW w:w="1488" w:type="dxa"/>
          </w:tcPr>
          <w:p w14:paraId="5EE8F567"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p>
        </w:tc>
        <w:tc>
          <w:tcPr>
            <w:tcW w:w="1488" w:type="dxa"/>
          </w:tcPr>
          <w:p w14:paraId="2A1B64B5"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p>
        </w:tc>
        <w:tc>
          <w:tcPr>
            <w:tcW w:w="1488" w:type="dxa"/>
          </w:tcPr>
          <w:p w14:paraId="77F349FE"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-5.036*</w:t>
            </w:r>
          </w:p>
        </w:tc>
        <w:tc>
          <w:tcPr>
            <w:tcW w:w="1489" w:type="dxa"/>
          </w:tcPr>
          <w:p w14:paraId="4B6A9819"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-.621</w:t>
            </w:r>
          </w:p>
        </w:tc>
      </w:tr>
      <w:tr w:rsidR="00864F68" w:rsidRPr="00EB468D" w14:paraId="6E1D3B2E" w14:textId="77777777" w:rsidTr="00B6286E">
        <w:trPr>
          <w:trHeight w:val="20"/>
        </w:trPr>
        <w:tc>
          <w:tcPr>
            <w:tcW w:w="3687" w:type="dxa"/>
          </w:tcPr>
          <w:p w14:paraId="388B3594"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488" w:type="dxa"/>
          </w:tcPr>
          <w:p w14:paraId="4F9341DC"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p>
        </w:tc>
        <w:tc>
          <w:tcPr>
            <w:tcW w:w="1488" w:type="dxa"/>
          </w:tcPr>
          <w:p w14:paraId="5F527F9E"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p>
        </w:tc>
        <w:tc>
          <w:tcPr>
            <w:tcW w:w="1488" w:type="dxa"/>
          </w:tcPr>
          <w:p w14:paraId="7AF6C369"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(-1.959)</w:t>
            </w:r>
          </w:p>
        </w:tc>
        <w:tc>
          <w:tcPr>
            <w:tcW w:w="1489" w:type="dxa"/>
          </w:tcPr>
          <w:p w14:paraId="67B38C60"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(-.782)</w:t>
            </w:r>
          </w:p>
        </w:tc>
      </w:tr>
      <w:tr w:rsidR="00864F68" w:rsidRPr="00EB468D" w14:paraId="63EFD1FF" w14:textId="77777777" w:rsidTr="00B6286E">
        <w:trPr>
          <w:trHeight w:val="20"/>
        </w:trPr>
        <w:tc>
          <w:tcPr>
            <w:tcW w:w="3687" w:type="dxa"/>
          </w:tcPr>
          <w:p w14:paraId="72743AA9"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deal_market_culture_abs</w:t>
            </w:r>
          </w:p>
        </w:tc>
        <w:tc>
          <w:tcPr>
            <w:tcW w:w="1488" w:type="dxa"/>
          </w:tcPr>
          <w:p w14:paraId="6FFB5569"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p>
        </w:tc>
        <w:tc>
          <w:tcPr>
            <w:tcW w:w="1488" w:type="dxa"/>
          </w:tcPr>
          <w:p w14:paraId="18088C44"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p>
        </w:tc>
        <w:tc>
          <w:tcPr>
            <w:tcW w:w="1488" w:type="dxa"/>
          </w:tcPr>
          <w:p w14:paraId="1AF9CE91"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-.100</w:t>
            </w:r>
          </w:p>
        </w:tc>
        <w:tc>
          <w:tcPr>
            <w:tcW w:w="1489" w:type="dxa"/>
          </w:tcPr>
          <w:p w14:paraId="7C765D8D"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-1.128</w:t>
            </w:r>
          </w:p>
        </w:tc>
      </w:tr>
      <w:tr w:rsidR="00864F68" w:rsidRPr="00EB468D" w14:paraId="3FFB28B1" w14:textId="77777777" w:rsidTr="00B6286E">
        <w:trPr>
          <w:trHeight w:val="20"/>
        </w:trPr>
        <w:tc>
          <w:tcPr>
            <w:tcW w:w="3687" w:type="dxa"/>
          </w:tcPr>
          <w:p w14:paraId="02581382"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488" w:type="dxa"/>
          </w:tcPr>
          <w:p w14:paraId="07F11CF9"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p>
        </w:tc>
        <w:tc>
          <w:tcPr>
            <w:tcW w:w="1488" w:type="dxa"/>
          </w:tcPr>
          <w:p w14:paraId="47F13F85"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p>
        </w:tc>
        <w:tc>
          <w:tcPr>
            <w:tcW w:w="1488" w:type="dxa"/>
          </w:tcPr>
          <w:p w14:paraId="0D1EB198"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(-.085)</w:t>
            </w:r>
          </w:p>
        </w:tc>
        <w:tc>
          <w:tcPr>
            <w:tcW w:w="1489" w:type="dxa"/>
          </w:tcPr>
          <w:p w14:paraId="6D8FC811"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(-1.526)</w:t>
            </w:r>
          </w:p>
        </w:tc>
      </w:tr>
      <w:tr w:rsidR="00864F68" w:rsidRPr="00EB468D" w14:paraId="50102087" w14:textId="77777777" w:rsidTr="00B6286E">
        <w:trPr>
          <w:trHeight w:val="20"/>
        </w:trPr>
        <w:tc>
          <w:tcPr>
            <w:tcW w:w="3687" w:type="dxa"/>
          </w:tcPr>
          <w:p w14:paraId="2154D329"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deal_hierarchy_culture_abs</w:t>
            </w:r>
          </w:p>
        </w:tc>
        <w:tc>
          <w:tcPr>
            <w:tcW w:w="1488" w:type="dxa"/>
          </w:tcPr>
          <w:p w14:paraId="4E35A2F6"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p>
        </w:tc>
        <w:tc>
          <w:tcPr>
            <w:tcW w:w="1488" w:type="dxa"/>
          </w:tcPr>
          <w:p w14:paraId="7AB993C0"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p>
        </w:tc>
        <w:tc>
          <w:tcPr>
            <w:tcW w:w="1488" w:type="dxa"/>
          </w:tcPr>
          <w:p w14:paraId="3C662B87"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-.232</w:t>
            </w:r>
          </w:p>
        </w:tc>
        <w:tc>
          <w:tcPr>
            <w:tcW w:w="1489" w:type="dxa"/>
          </w:tcPr>
          <w:p w14:paraId="36A0C0C5"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-2.008***</w:t>
            </w:r>
          </w:p>
        </w:tc>
      </w:tr>
      <w:tr w:rsidR="00864F68" w:rsidRPr="00EB468D" w14:paraId="7E2F9B75" w14:textId="77777777" w:rsidTr="00B6286E">
        <w:trPr>
          <w:trHeight w:val="20"/>
        </w:trPr>
        <w:tc>
          <w:tcPr>
            <w:tcW w:w="3687" w:type="dxa"/>
          </w:tcPr>
          <w:p w14:paraId="15BCC884"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488" w:type="dxa"/>
          </w:tcPr>
          <w:p w14:paraId="066531E5"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p>
        </w:tc>
        <w:tc>
          <w:tcPr>
            <w:tcW w:w="1488" w:type="dxa"/>
          </w:tcPr>
          <w:p w14:paraId="7337CBAC"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p>
        </w:tc>
        <w:tc>
          <w:tcPr>
            <w:tcW w:w="1488" w:type="dxa"/>
          </w:tcPr>
          <w:p w14:paraId="3E8D6924"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(-.192)</w:t>
            </w:r>
          </w:p>
        </w:tc>
        <w:tc>
          <w:tcPr>
            <w:tcW w:w="1489" w:type="dxa"/>
          </w:tcPr>
          <w:p w14:paraId="52075408"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(-3.085)</w:t>
            </w:r>
          </w:p>
        </w:tc>
      </w:tr>
      <w:tr w:rsidR="00864F68" w:rsidRPr="00EB468D" w14:paraId="5286885A" w14:textId="77777777" w:rsidTr="00B6286E">
        <w:trPr>
          <w:trHeight w:val="20"/>
        </w:trPr>
        <w:tc>
          <w:tcPr>
            <w:tcW w:w="3687" w:type="dxa"/>
          </w:tcPr>
          <w:p w14:paraId="036BCE92"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deal_value_ln</w:t>
            </w:r>
          </w:p>
        </w:tc>
        <w:tc>
          <w:tcPr>
            <w:tcW w:w="1488" w:type="dxa"/>
          </w:tcPr>
          <w:p w14:paraId="59E05C47"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-.057</w:t>
            </w:r>
          </w:p>
        </w:tc>
        <w:tc>
          <w:tcPr>
            <w:tcW w:w="1488" w:type="dxa"/>
          </w:tcPr>
          <w:p w14:paraId="0F40F433"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.034</w:t>
            </w:r>
          </w:p>
        </w:tc>
        <w:tc>
          <w:tcPr>
            <w:tcW w:w="1488" w:type="dxa"/>
          </w:tcPr>
          <w:p w14:paraId="49E50B4A"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-.102</w:t>
            </w:r>
          </w:p>
        </w:tc>
        <w:tc>
          <w:tcPr>
            <w:tcW w:w="1489" w:type="dxa"/>
          </w:tcPr>
          <w:p w14:paraId="72EEE9A6"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.021</w:t>
            </w:r>
          </w:p>
        </w:tc>
      </w:tr>
      <w:tr w:rsidR="00864F68" w:rsidRPr="00EB468D" w14:paraId="77BAE49B" w14:textId="77777777" w:rsidTr="00B6286E">
        <w:trPr>
          <w:trHeight w:val="20"/>
        </w:trPr>
        <w:tc>
          <w:tcPr>
            <w:tcW w:w="3687" w:type="dxa"/>
          </w:tcPr>
          <w:p w14:paraId="0E29D910"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488" w:type="dxa"/>
          </w:tcPr>
          <w:p w14:paraId="7678F1A8"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(-.508)</w:t>
            </w:r>
          </w:p>
        </w:tc>
        <w:tc>
          <w:tcPr>
            <w:tcW w:w="1488" w:type="dxa"/>
          </w:tcPr>
          <w:p w14:paraId="18DBB8BD"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(.261)</w:t>
            </w:r>
          </w:p>
        </w:tc>
        <w:tc>
          <w:tcPr>
            <w:tcW w:w="1488" w:type="dxa"/>
          </w:tcPr>
          <w:p w14:paraId="404AE421"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(-.830)</w:t>
            </w:r>
          </w:p>
        </w:tc>
        <w:tc>
          <w:tcPr>
            <w:tcW w:w="1489" w:type="dxa"/>
          </w:tcPr>
          <w:p w14:paraId="141EAC0B"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(.157)</w:t>
            </w:r>
          </w:p>
        </w:tc>
      </w:tr>
      <w:tr w:rsidR="00864F68" w:rsidRPr="00EB468D" w14:paraId="794DA40A" w14:textId="77777777" w:rsidTr="00B6286E">
        <w:trPr>
          <w:trHeight w:val="20"/>
        </w:trPr>
        <w:tc>
          <w:tcPr>
            <w:tcW w:w="3687" w:type="dxa"/>
          </w:tcPr>
          <w:p w14:paraId="57E0FA81"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deal_hofstede_distance</w:t>
            </w:r>
          </w:p>
        </w:tc>
        <w:tc>
          <w:tcPr>
            <w:tcW w:w="1488" w:type="dxa"/>
          </w:tcPr>
          <w:p w14:paraId="6CF70BCA"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-.109</w:t>
            </w:r>
          </w:p>
        </w:tc>
        <w:tc>
          <w:tcPr>
            <w:tcW w:w="1488" w:type="dxa"/>
          </w:tcPr>
          <w:p w14:paraId="5C8C37EC"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-.679</w:t>
            </w:r>
          </w:p>
        </w:tc>
        <w:tc>
          <w:tcPr>
            <w:tcW w:w="1488" w:type="dxa"/>
          </w:tcPr>
          <w:p w14:paraId="0A4A362C"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.468</w:t>
            </w:r>
          </w:p>
        </w:tc>
        <w:tc>
          <w:tcPr>
            <w:tcW w:w="1489" w:type="dxa"/>
          </w:tcPr>
          <w:p w14:paraId="5C0CFCDD"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-.627</w:t>
            </w:r>
          </w:p>
        </w:tc>
      </w:tr>
      <w:tr w:rsidR="00864F68" w:rsidRPr="00EB468D" w14:paraId="7859298A" w14:textId="77777777" w:rsidTr="00B6286E">
        <w:trPr>
          <w:trHeight w:val="20"/>
        </w:trPr>
        <w:tc>
          <w:tcPr>
            <w:tcW w:w="3687" w:type="dxa"/>
          </w:tcPr>
          <w:p w14:paraId="329B1A35"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488" w:type="dxa"/>
          </w:tcPr>
          <w:p w14:paraId="03491F6D"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(-.082)</w:t>
            </w:r>
          </w:p>
        </w:tc>
        <w:tc>
          <w:tcPr>
            <w:tcW w:w="1488" w:type="dxa"/>
          </w:tcPr>
          <w:p w14:paraId="2747469B"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(-1.267)</w:t>
            </w:r>
          </w:p>
        </w:tc>
        <w:tc>
          <w:tcPr>
            <w:tcW w:w="1488" w:type="dxa"/>
          </w:tcPr>
          <w:p w14:paraId="746C7004"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(.368)</w:t>
            </w:r>
          </w:p>
        </w:tc>
        <w:tc>
          <w:tcPr>
            <w:tcW w:w="1489" w:type="dxa"/>
          </w:tcPr>
          <w:p w14:paraId="7F1233C6"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(-1.330)</w:t>
            </w:r>
          </w:p>
        </w:tc>
      </w:tr>
      <w:tr w:rsidR="00864F68" w:rsidRPr="00EB468D" w14:paraId="5365AD12" w14:textId="77777777" w:rsidTr="00B6286E">
        <w:trPr>
          <w:trHeight w:val="20"/>
        </w:trPr>
        <w:tc>
          <w:tcPr>
            <w:tcW w:w="3687" w:type="dxa"/>
          </w:tcPr>
          <w:p w14:paraId="0F9B81A8"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deal_all_cash_dummy</w:t>
            </w:r>
          </w:p>
        </w:tc>
        <w:tc>
          <w:tcPr>
            <w:tcW w:w="1488" w:type="dxa"/>
          </w:tcPr>
          <w:p w14:paraId="5BC9BA82"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.099</w:t>
            </w:r>
          </w:p>
        </w:tc>
        <w:tc>
          <w:tcPr>
            <w:tcW w:w="1488" w:type="dxa"/>
          </w:tcPr>
          <w:p w14:paraId="6504FB12"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-.253*</w:t>
            </w:r>
          </w:p>
        </w:tc>
        <w:tc>
          <w:tcPr>
            <w:tcW w:w="1488" w:type="dxa"/>
          </w:tcPr>
          <w:p w14:paraId="0B20C652"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.045</w:t>
            </w:r>
          </w:p>
        </w:tc>
        <w:tc>
          <w:tcPr>
            <w:tcW w:w="1489" w:type="dxa"/>
          </w:tcPr>
          <w:p w14:paraId="0364F708"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-.258</w:t>
            </w:r>
          </w:p>
        </w:tc>
      </w:tr>
      <w:tr w:rsidR="00864F68" w:rsidRPr="00EB468D" w14:paraId="57BAD31D" w14:textId="77777777" w:rsidTr="00B6286E">
        <w:trPr>
          <w:trHeight w:val="20"/>
        </w:trPr>
        <w:tc>
          <w:tcPr>
            <w:tcW w:w="3687" w:type="dxa"/>
          </w:tcPr>
          <w:p w14:paraId="7EAD6A18"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488" w:type="dxa"/>
          </w:tcPr>
          <w:p w14:paraId="5DCC23C3"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(.400)</w:t>
            </w:r>
          </w:p>
        </w:tc>
        <w:tc>
          <w:tcPr>
            <w:tcW w:w="1488" w:type="dxa"/>
          </w:tcPr>
          <w:p w14:paraId="7B84D238"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(-1.666)</w:t>
            </w:r>
          </w:p>
        </w:tc>
        <w:tc>
          <w:tcPr>
            <w:tcW w:w="1488" w:type="dxa"/>
          </w:tcPr>
          <w:p w14:paraId="31819B24"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(.250)</w:t>
            </w:r>
          </w:p>
        </w:tc>
        <w:tc>
          <w:tcPr>
            <w:tcW w:w="1489" w:type="dxa"/>
          </w:tcPr>
          <w:p w14:paraId="54298407"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(-1.590)</w:t>
            </w:r>
          </w:p>
        </w:tc>
      </w:tr>
      <w:tr w:rsidR="00864F68" w:rsidRPr="00EB468D" w14:paraId="788F2CD5" w14:textId="77777777" w:rsidTr="00B6286E">
        <w:trPr>
          <w:trHeight w:val="20"/>
        </w:trPr>
        <w:tc>
          <w:tcPr>
            <w:tcW w:w="3687" w:type="dxa"/>
          </w:tcPr>
          <w:p w14:paraId="3541DFD2"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deal_all_stock_dummy</w:t>
            </w:r>
          </w:p>
        </w:tc>
        <w:tc>
          <w:tcPr>
            <w:tcW w:w="1488" w:type="dxa"/>
          </w:tcPr>
          <w:p w14:paraId="3B343E6D"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-.159</w:t>
            </w:r>
          </w:p>
        </w:tc>
        <w:tc>
          <w:tcPr>
            <w:tcW w:w="1488" w:type="dxa"/>
          </w:tcPr>
          <w:p w14:paraId="5E4BABD8"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-.178</w:t>
            </w:r>
          </w:p>
        </w:tc>
        <w:tc>
          <w:tcPr>
            <w:tcW w:w="1488" w:type="dxa"/>
          </w:tcPr>
          <w:p w14:paraId="180C6BEA"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-.136</w:t>
            </w:r>
          </w:p>
        </w:tc>
        <w:tc>
          <w:tcPr>
            <w:tcW w:w="1489" w:type="dxa"/>
          </w:tcPr>
          <w:p w14:paraId="2F94BFCF"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-.182</w:t>
            </w:r>
          </w:p>
        </w:tc>
      </w:tr>
      <w:tr w:rsidR="00864F68" w:rsidRPr="00EB468D" w14:paraId="155B06E2" w14:textId="77777777" w:rsidTr="00B6286E">
        <w:trPr>
          <w:trHeight w:val="20"/>
        </w:trPr>
        <w:tc>
          <w:tcPr>
            <w:tcW w:w="3687" w:type="dxa"/>
          </w:tcPr>
          <w:p w14:paraId="27B7CFE8"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488" w:type="dxa"/>
          </w:tcPr>
          <w:p w14:paraId="51AFB9BE"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(-.413)</w:t>
            </w:r>
          </w:p>
        </w:tc>
        <w:tc>
          <w:tcPr>
            <w:tcW w:w="1488" w:type="dxa"/>
          </w:tcPr>
          <w:p w14:paraId="5D758C48"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(-.642)</w:t>
            </w:r>
          </w:p>
        </w:tc>
        <w:tc>
          <w:tcPr>
            <w:tcW w:w="1488" w:type="dxa"/>
          </w:tcPr>
          <w:p w14:paraId="01939355"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(-.381)</w:t>
            </w:r>
          </w:p>
        </w:tc>
        <w:tc>
          <w:tcPr>
            <w:tcW w:w="1489" w:type="dxa"/>
          </w:tcPr>
          <w:p w14:paraId="1587C9F2"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(-.681)</w:t>
            </w:r>
          </w:p>
        </w:tc>
      </w:tr>
      <w:tr w:rsidR="00864F68" w:rsidRPr="00EB468D" w14:paraId="790E29BE" w14:textId="77777777" w:rsidTr="00B6286E">
        <w:trPr>
          <w:trHeight w:val="20"/>
        </w:trPr>
        <w:tc>
          <w:tcPr>
            <w:tcW w:w="3687" w:type="dxa"/>
          </w:tcPr>
          <w:p w14:paraId="6023D365"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deal_tenderoffer_dummy</w:t>
            </w:r>
          </w:p>
        </w:tc>
        <w:tc>
          <w:tcPr>
            <w:tcW w:w="1488" w:type="dxa"/>
          </w:tcPr>
          <w:p w14:paraId="5971B03B"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-.081</w:t>
            </w:r>
          </w:p>
        </w:tc>
        <w:tc>
          <w:tcPr>
            <w:tcW w:w="1488" w:type="dxa"/>
          </w:tcPr>
          <w:p w14:paraId="7982A431"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.480***</w:t>
            </w:r>
          </w:p>
        </w:tc>
        <w:tc>
          <w:tcPr>
            <w:tcW w:w="1488" w:type="dxa"/>
          </w:tcPr>
          <w:p w14:paraId="23E1E70F"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-.048</w:t>
            </w:r>
          </w:p>
        </w:tc>
        <w:tc>
          <w:tcPr>
            <w:tcW w:w="1489" w:type="dxa"/>
          </w:tcPr>
          <w:p w14:paraId="2C69FCA6"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.472***</w:t>
            </w:r>
          </w:p>
        </w:tc>
      </w:tr>
      <w:tr w:rsidR="00864F68" w:rsidRPr="00EB468D" w14:paraId="53574EB0" w14:textId="77777777" w:rsidTr="00B6286E">
        <w:trPr>
          <w:trHeight w:val="20"/>
        </w:trPr>
        <w:tc>
          <w:tcPr>
            <w:tcW w:w="3687" w:type="dxa"/>
          </w:tcPr>
          <w:p w14:paraId="2F645C21"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488" w:type="dxa"/>
          </w:tcPr>
          <w:p w14:paraId="382F2C70"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(-.288)</w:t>
            </w:r>
          </w:p>
        </w:tc>
        <w:tc>
          <w:tcPr>
            <w:tcW w:w="1488" w:type="dxa"/>
          </w:tcPr>
          <w:p w14:paraId="04C8A559"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(2.812)</w:t>
            </w:r>
          </w:p>
        </w:tc>
        <w:tc>
          <w:tcPr>
            <w:tcW w:w="1488" w:type="dxa"/>
          </w:tcPr>
          <w:p w14:paraId="207C06F3"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(-.185)</w:t>
            </w:r>
          </w:p>
        </w:tc>
        <w:tc>
          <w:tcPr>
            <w:tcW w:w="1489" w:type="dxa"/>
          </w:tcPr>
          <w:p w14:paraId="512353EB"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(2.623)</w:t>
            </w:r>
          </w:p>
        </w:tc>
      </w:tr>
      <w:tr w:rsidR="00864F68" w:rsidRPr="00EB468D" w14:paraId="256293DC" w14:textId="77777777" w:rsidTr="00B6286E">
        <w:trPr>
          <w:trHeight w:val="20"/>
        </w:trPr>
        <w:tc>
          <w:tcPr>
            <w:tcW w:w="3687" w:type="dxa"/>
          </w:tcPr>
          <w:p w14:paraId="57729A7D"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deal_friendly_dummy</w:t>
            </w:r>
          </w:p>
        </w:tc>
        <w:tc>
          <w:tcPr>
            <w:tcW w:w="1488" w:type="dxa"/>
          </w:tcPr>
          <w:p w14:paraId="629DA478"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-4.371***</w:t>
            </w:r>
          </w:p>
        </w:tc>
        <w:tc>
          <w:tcPr>
            <w:tcW w:w="1488" w:type="dxa"/>
          </w:tcPr>
          <w:p w14:paraId="54BB817C"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w:t>
            </w:r>
          </w:p>
        </w:tc>
        <w:tc>
          <w:tcPr>
            <w:tcW w:w="1488" w:type="dxa"/>
          </w:tcPr>
          <w:p w14:paraId="38634F7C"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-3.844***</w:t>
            </w:r>
          </w:p>
        </w:tc>
        <w:tc>
          <w:tcPr>
            <w:tcW w:w="1489" w:type="dxa"/>
          </w:tcPr>
          <w:p w14:paraId="54ED0EEE"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w:t>
            </w:r>
          </w:p>
        </w:tc>
      </w:tr>
      <w:tr w:rsidR="00864F68" w:rsidRPr="00EB468D" w14:paraId="1CDB1C7C" w14:textId="77777777" w:rsidTr="00B6286E">
        <w:trPr>
          <w:trHeight w:val="20"/>
        </w:trPr>
        <w:tc>
          <w:tcPr>
            <w:tcW w:w="3687" w:type="dxa"/>
          </w:tcPr>
          <w:p w14:paraId="51CF18C4"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488" w:type="dxa"/>
          </w:tcPr>
          <w:p w14:paraId="10F5F9BD"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(-5.665)</w:t>
            </w:r>
          </w:p>
        </w:tc>
        <w:tc>
          <w:tcPr>
            <w:tcW w:w="1488" w:type="dxa"/>
          </w:tcPr>
          <w:p w14:paraId="477A75AA"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w:t>
            </w:r>
          </w:p>
        </w:tc>
        <w:tc>
          <w:tcPr>
            <w:tcW w:w="1488" w:type="dxa"/>
          </w:tcPr>
          <w:p w14:paraId="4000E8D4"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(-5.098)</w:t>
            </w:r>
          </w:p>
        </w:tc>
        <w:tc>
          <w:tcPr>
            <w:tcW w:w="1489" w:type="dxa"/>
          </w:tcPr>
          <w:p w14:paraId="7DF0E055"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w:t>
            </w:r>
          </w:p>
        </w:tc>
      </w:tr>
      <w:tr w:rsidR="00864F68" w:rsidRPr="00EB468D" w14:paraId="3AC99ADC" w14:textId="77777777" w:rsidTr="00B6286E">
        <w:trPr>
          <w:trHeight w:val="20"/>
        </w:trPr>
        <w:tc>
          <w:tcPr>
            <w:tcW w:w="3687" w:type="dxa"/>
          </w:tcPr>
          <w:p w14:paraId="1CE0816A"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deal_relatedness_dummy</w:t>
            </w:r>
          </w:p>
        </w:tc>
        <w:tc>
          <w:tcPr>
            <w:tcW w:w="1488" w:type="dxa"/>
          </w:tcPr>
          <w:p w14:paraId="6BD1741B"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-.115</w:t>
            </w:r>
          </w:p>
        </w:tc>
        <w:tc>
          <w:tcPr>
            <w:tcW w:w="1488" w:type="dxa"/>
          </w:tcPr>
          <w:p w14:paraId="5D601D47"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-.133</w:t>
            </w:r>
          </w:p>
        </w:tc>
        <w:tc>
          <w:tcPr>
            <w:tcW w:w="1488" w:type="dxa"/>
          </w:tcPr>
          <w:p w14:paraId="4B50152B"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-.206</w:t>
            </w:r>
          </w:p>
        </w:tc>
        <w:tc>
          <w:tcPr>
            <w:tcW w:w="1489" w:type="dxa"/>
          </w:tcPr>
          <w:p w14:paraId="5A48ED6F"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-.143</w:t>
            </w:r>
          </w:p>
        </w:tc>
      </w:tr>
      <w:tr w:rsidR="00864F68" w:rsidRPr="00EB468D" w14:paraId="33AFC516" w14:textId="77777777" w:rsidTr="00B6286E">
        <w:trPr>
          <w:trHeight w:val="20"/>
        </w:trPr>
        <w:tc>
          <w:tcPr>
            <w:tcW w:w="3687" w:type="dxa"/>
          </w:tcPr>
          <w:p w14:paraId="6346B419"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488" w:type="dxa"/>
          </w:tcPr>
          <w:p w14:paraId="2A781C8B"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(-.570)</w:t>
            </w:r>
          </w:p>
        </w:tc>
        <w:tc>
          <w:tcPr>
            <w:tcW w:w="1488" w:type="dxa"/>
          </w:tcPr>
          <w:p w14:paraId="5CEBC4D4"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(-.907)</w:t>
            </w:r>
          </w:p>
        </w:tc>
        <w:tc>
          <w:tcPr>
            <w:tcW w:w="1488" w:type="dxa"/>
          </w:tcPr>
          <w:p w14:paraId="5BEAEC07"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(-1.031)</w:t>
            </w:r>
          </w:p>
        </w:tc>
        <w:tc>
          <w:tcPr>
            <w:tcW w:w="1489" w:type="dxa"/>
          </w:tcPr>
          <w:p w14:paraId="5E6DC1C7"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(-.930)</w:t>
            </w:r>
          </w:p>
        </w:tc>
      </w:tr>
      <w:tr w:rsidR="00864F68" w:rsidRPr="00EB468D" w14:paraId="2EFF146E" w14:textId="77777777" w:rsidTr="00B6286E">
        <w:trPr>
          <w:trHeight w:val="20"/>
        </w:trPr>
        <w:tc>
          <w:tcPr>
            <w:tcW w:w="3687" w:type="dxa"/>
          </w:tcPr>
          <w:p w14:paraId="7928B601"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acq_age</w:t>
            </w:r>
          </w:p>
        </w:tc>
        <w:tc>
          <w:tcPr>
            <w:tcW w:w="1488" w:type="dxa"/>
          </w:tcPr>
          <w:p w14:paraId="29DB3C7A"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.001</w:t>
            </w:r>
          </w:p>
        </w:tc>
        <w:tc>
          <w:tcPr>
            <w:tcW w:w="1488" w:type="dxa"/>
          </w:tcPr>
          <w:p w14:paraId="5AABCE63"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-.001</w:t>
            </w:r>
          </w:p>
        </w:tc>
        <w:tc>
          <w:tcPr>
            <w:tcW w:w="1488" w:type="dxa"/>
          </w:tcPr>
          <w:p w14:paraId="0C19A367"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.002</w:t>
            </w:r>
          </w:p>
        </w:tc>
        <w:tc>
          <w:tcPr>
            <w:tcW w:w="1489" w:type="dxa"/>
          </w:tcPr>
          <w:p w14:paraId="4E9E6E6C"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-.001</w:t>
            </w:r>
          </w:p>
        </w:tc>
      </w:tr>
      <w:tr w:rsidR="00864F68" w:rsidRPr="00EB468D" w14:paraId="0F38B704" w14:textId="77777777" w:rsidTr="00B6286E">
        <w:trPr>
          <w:trHeight w:val="20"/>
        </w:trPr>
        <w:tc>
          <w:tcPr>
            <w:tcW w:w="3687" w:type="dxa"/>
          </w:tcPr>
          <w:p w14:paraId="0ABF88B8"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488" w:type="dxa"/>
          </w:tcPr>
          <w:p w14:paraId="70ECBCA1"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(.429)</w:t>
            </w:r>
          </w:p>
        </w:tc>
        <w:tc>
          <w:tcPr>
            <w:tcW w:w="1488" w:type="dxa"/>
          </w:tcPr>
          <w:p w14:paraId="450D58C2"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(-.789)</w:t>
            </w:r>
          </w:p>
        </w:tc>
        <w:tc>
          <w:tcPr>
            <w:tcW w:w="1488" w:type="dxa"/>
          </w:tcPr>
          <w:p w14:paraId="2C12F673"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(.864)</w:t>
            </w:r>
          </w:p>
        </w:tc>
        <w:tc>
          <w:tcPr>
            <w:tcW w:w="1489" w:type="dxa"/>
          </w:tcPr>
          <w:p w14:paraId="6E8569CC"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(-.777)</w:t>
            </w:r>
          </w:p>
        </w:tc>
      </w:tr>
      <w:tr w:rsidR="00864F68" w:rsidRPr="00EB468D" w14:paraId="15F13159" w14:textId="77777777" w:rsidTr="00B6286E">
        <w:trPr>
          <w:trHeight w:val="20"/>
        </w:trPr>
        <w:tc>
          <w:tcPr>
            <w:tcW w:w="3687" w:type="dxa"/>
          </w:tcPr>
          <w:p w14:paraId="0DD1CA54"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acq_assets_lastyear_ln</w:t>
            </w:r>
          </w:p>
        </w:tc>
        <w:tc>
          <w:tcPr>
            <w:tcW w:w="1488" w:type="dxa"/>
          </w:tcPr>
          <w:p w14:paraId="444BC2FF"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.182*</w:t>
            </w:r>
          </w:p>
        </w:tc>
        <w:tc>
          <w:tcPr>
            <w:tcW w:w="1488" w:type="dxa"/>
          </w:tcPr>
          <w:p w14:paraId="2984793E"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-.021</w:t>
            </w:r>
          </w:p>
        </w:tc>
        <w:tc>
          <w:tcPr>
            <w:tcW w:w="1488" w:type="dxa"/>
          </w:tcPr>
          <w:p w14:paraId="5A2C19BC"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.231**</w:t>
            </w:r>
          </w:p>
        </w:tc>
        <w:tc>
          <w:tcPr>
            <w:tcW w:w="1489" w:type="dxa"/>
          </w:tcPr>
          <w:p w14:paraId="68E435CF"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-.017</w:t>
            </w:r>
          </w:p>
        </w:tc>
      </w:tr>
      <w:tr w:rsidR="00864F68" w:rsidRPr="00EB468D" w14:paraId="67586CB7" w14:textId="77777777" w:rsidTr="00B6286E">
        <w:trPr>
          <w:trHeight w:val="20"/>
        </w:trPr>
        <w:tc>
          <w:tcPr>
            <w:tcW w:w="3687" w:type="dxa"/>
          </w:tcPr>
          <w:p w14:paraId="60FEF36E"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488" w:type="dxa"/>
          </w:tcPr>
          <w:p w14:paraId="2FCDA378"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(1.859)</w:t>
            </w:r>
          </w:p>
        </w:tc>
        <w:tc>
          <w:tcPr>
            <w:tcW w:w="1488" w:type="dxa"/>
          </w:tcPr>
          <w:p w14:paraId="7F050AA2"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(-.369)</w:t>
            </w:r>
          </w:p>
        </w:tc>
        <w:tc>
          <w:tcPr>
            <w:tcW w:w="1488" w:type="dxa"/>
          </w:tcPr>
          <w:p w14:paraId="7F75D319"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(2.364)</w:t>
            </w:r>
          </w:p>
        </w:tc>
        <w:tc>
          <w:tcPr>
            <w:tcW w:w="1489" w:type="dxa"/>
          </w:tcPr>
          <w:p w14:paraId="663055CC"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(-.284)</w:t>
            </w:r>
          </w:p>
        </w:tc>
      </w:tr>
      <w:tr w:rsidR="00864F68" w:rsidRPr="00EB468D" w14:paraId="7A953D76" w14:textId="77777777" w:rsidTr="00B6286E">
        <w:trPr>
          <w:trHeight w:val="20"/>
        </w:trPr>
        <w:tc>
          <w:tcPr>
            <w:tcW w:w="3687" w:type="dxa"/>
          </w:tcPr>
          <w:p w14:paraId="464FA11D"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acq_roa_lastyear</w:t>
            </w:r>
          </w:p>
        </w:tc>
        <w:tc>
          <w:tcPr>
            <w:tcW w:w="1488" w:type="dxa"/>
          </w:tcPr>
          <w:p w14:paraId="77E4C04E"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.319***</w:t>
            </w:r>
          </w:p>
        </w:tc>
        <w:tc>
          <w:tcPr>
            <w:tcW w:w="1488" w:type="dxa"/>
          </w:tcPr>
          <w:p w14:paraId="1DB26A52"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.010</w:t>
            </w:r>
          </w:p>
        </w:tc>
        <w:tc>
          <w:tcPr>
            <w:tcW w:w="1488" w:type="dxa"/>
          </w:tcPr>
          <w:p w14:paraId="60A59A89"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.351***</w:t>
            </w:r>
          </w:p>
        </w:tc>
        <w:tc>
          <w:tcPr>
            <w:tcW w:w="1489" w:type="dxa"/>
          </w:tcPr>
          <w:p w14:paraId="4C26764D"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.007</w:t>
            </w:r>
          </w:p>
        </w:tc>
      </w:tr>
      <w:tr w:rsidR="00864F68" w:rsidRPr="00EB468D" w14:paraId="54C8C061" w14:textId="77777777" w:rsidTr="00B6286E">
        <w:trPr>
          <w:trHeight w:val="20"/>
        </w:trPr>
        <w:tc>
          <w:tcPr>
            <w:tcW w:w="3687" w:type="dxa"/>
          </w:tcPr>
          <w:p w14:paraId="4A63E1BC"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488" w:type="dxa"/>
          </w:tcPr>
          <w:p w14:paraId="74D7CB86"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(3.096)</w:t>
            </w:r>
          </w:p>
        </w:tc>
        <w:tc>
          <w:tcPr>
            <w:tcW w:w="1488" w:type="dxa"/>
          </w:tcPr>
          <w:p w14:paraId="15A7D8E8"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(.217)</w:t>
            </w:r>
          </w:p>
        </w:tc>
        <w:tc>
          <w:tcPr>
            <w:tcW w:w="1488" w:type="dxa"/>
          </w:tcPr>
          <w:p w14:paraId="6338EE42"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(3.437)</w:t>
            </w:r>
          </w:p>
        </w:tc>
        <w:tc>
          <w:tcPr>
            <w:tcW w:w="1489" w:type="dxa"/>
          </w:tcPr>
          <w:p w14:paraId="1A1939BD"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(.146)</w:t>
            </w:r>
          </w:p>
        </w:tc>
      </w:tr>
      <w:tr w:rsidR="00864F68" w:rsidRPr="00EB468D" w14:paraId="5055497A" w14:textId="77777777" w:rsidTr="00B6286E">
        <w:trPr>
          <w:trHeight w:val="20"/>
        </w:trPr>
        <w:tc>
          <w:tcPr>
            <w:tcW w:w="3687" w:type="dxa"/>
          </w:tcPr>
          <w:p w14:paraId="34893656"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acq_industrygrowth</w:t>
            </w:r>
          </w:p>
        </w:tc>
        <w:tc>
          <w:tcPr>
            <w:tcW w:w="1488" w:type="dxa"/>
          </w:tcPr>
          <w:p w14:paraId="0EF646B4"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-29.689**</w:t>
            </w:r>
          </w:p>
        </w:tc>
        <w:tc>
          <w:tcPr>
            <w:tcW w:w="1488" w:type="dxa"/>
          </w:tcPr>
          <w:p w14:paraId="1903297B"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8.346</w:t>
            </w:r>
          </w:p>
        </w:tc>
        <w:tc>
          <w:tcPr>
            <w:tcW w:w="1488" w:type="dxa"/>
          </w:tcPr>
          <w:p w14:paraId="295B0F1A"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-37.101***</w:t>
            </w:r>
          </w:p>
        </w:tc>
        <w:tc>
          <w:tcPr>
            <w:tcW w:w="1489" w:type="dxa"/>
          </w:tcPr>
          <w:p w14:paraId="255F33DC"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8.285</w:t>
            </w:r>
          </w:p>
        </w:tc>
      </w:tr>
      <w:tr w:rsidR="00864F68" w:rsidRPr="00EB468D" w14:paraId="4C5953FB" w14:textId="77777777" w:rsidTr="00B6286E">
        <w:trPr>
          <w:trHeight w:val="20"/>
        </w:trPr>
        <w:tc>
          <w:tcPr>
            <w:tcW w:w="3687" w:type="dxa"/>
          </w:tcPr>
          <w:p w14:paraId="72F09CE4"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488" w:type="dxa"/>
          </w:tcPr>
          <w:p w14:paraId="13BFD349"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(-2.281)</w:t>
            </w:r>
          </w:p>
        </w:tc>
        <w:tc>
          <w:tcPr>
            <w:tcW w:w="1488" w:type="dxa"/>
          </w:tcPr>
          <w:p w14:paraId="4119661F"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(1.241)</w:t>
            </w:r>
          </w:p>
        </w:tc>
        <w:tc>
          <w:tcPr>
            <w:tcW w:w="1488" w:type="dxa"/>
          </w:tcPr>
          <w:p w14:paraId="066F7B7F"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(-3.068)</w:t>
            </w:r>
          </w:p>
        </w:tc>
        <w:tc>
          <w:tcPr>
            <w:tcW w:w="1489" w:type="dxa"/>
          </w:tcPr>
          <w:p w14:paraId="7DE16E81"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(1.329)</w:t>
            </w:r>
          </w:p>
        </w:tc>
      </w:tr>
      <w:tr w:rsidR="00864F68" w:rsidRPr="00EB468D" w14:paraId="00D0051B" w14:textId="77777777" w:rsidTr="00B6286E">
        <w:trPr>
          <w:trHeight w:val="20"/>
        </w:trPr>
        <w:tc>
          <w:tcPr>
            <w:tcW w:w="3687" w:type="dxa"/>
          </w:tcPr>
          <w:p w14:paraId="19F7AD9C"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acq_dealexperience</w:t>
            </w:r>
          </w:p>
        </w:tc>
        <w:tc>
          <w:tcPr>
            <w:tcW w:w="1488" w:type="dxa"/>
          </w:tcPr>
          <w:p w14:paraId="4DCC02F4"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-.251*</w:t>
            </w:r>
          </w:p>
        </w:tc>
        <w:tc>
          <w:tcPr>
            <w:tcW w:w="1488" w:type="dxa"/>
          </w:tcPr>
          <w:p w14:paraId="269A16D8"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.055</w:t>
            </w:r>
          </w:p>
        </w:tc>
        <w:tc>
          <w:tcPr>
            <w:tcW w:w="1488" w:type="dxa"/>
          </w:tcPr>
          <w:p w14:paraId="006B2BE6"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-.304**</w:t>
            </w:r>
          </w:p>
        </w:tc>
        <w:tc>
          <w:tcPr>
            <w:tcW w:w="1489" w:type="dxa"/>
          </w:tcPr>
          <w:p w14:paraId="2A7FB859"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.078*</w:t>
            </w:r>
          </w:p>
        </w:tc>
      </w:tr>
      <w:tr w:rsidR="00864F68" w:rsidRPr="00EB468D" w14:paraId="02E4037A" w14:textId="77777777" w:rsidTr="00B6286E">
        <w:trPr>
          <w:trHeight w:val="20"/>
        </w:trPr>
        <w:tc>
          <w:tcPr>
            <w:tcW w:w="3687" w:type="dxa"/>
          </w:tcPr>
          <w:p w14:paraId="47608276"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488" w:type="dxa"/>
          </w:tcPr>
          <w:p w14:paraId="5C79BA0D"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(-1.929)</w:t>
            </w:r>
          </w:p>
        </w:tc>
        <w:tc>
          <w:tcPr>
            <w:tcW w:w="1488" w:type="dxa"/>
          </w:tcPr>
          <w:p w14:paraId="44E375DD"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(1.598)</w:t>
            </w:r>
          </w:p>
        </w:tc>
        <w:tc>
          <w:tcPr>
            <w:tcW w:w="1488" w:type="dxa"/>
          </w:tcPr>
          <w:p w14:paraId="652D83C3"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(-2.176)</w:t>
            </w:r>
          </w:p>
        </w:tc>
        <w:tc>
          <w:tcPr>
            <w:tcW w:w="1489" w:type="dxa"/>
          </w:tcPr>
          <w:p w14:paraId="1E24BFEF"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(1.953)</w:t>
            </w:r>
          </w:p>
        </w:tc>
      </w:tr>
      <w:tr w:rsidR="00864F68" w:rsidRPr="00EB468D" w14:paraId="5B7F0CCC" w14:textId="77777777" w:rsidTr="00B6286E">
        <w:trPr>
          <w:trHeight w:val="20"/>
        </w:trPr>
        <w:tc>
          <w:tcPr>
            <w:tcW w:w="3687" w:type="dxa"/>
          </w:tcPr>
          <w:p w14:paraId="00661606"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acq_rd_intensity</w:t>
            </w:r>
          </w:p>
        </w:tc>
        <w:tc>
          <w:tcPr>
            <w:tcW w:w="1488" w:type="dxa"/>
          </w:tcPr>
          <w:p w14:paraId="67678838"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.460</w:t>
            </w:r>
          </w:p>
        </w:tc>
        <w:tc>
          <w:tcPr>
            <w:tcW w:w="1488" w:type="dxa"/>
          </w:tcPr>
          <w:p w14:paraId="09E1CB58"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-1.163</w:t>
            </w:r>
          </w:p>
        </w:tc>
        <w:tc>
          <w:tcPr>
            <w:tcW w:w="1488" w:type="dxa"/>
          </w:tcPr>
          <w:p w14:paraId="3642B3FB"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.548</w:t>
            </w:r>
          </w:p>
        </w:tc>
        <w:tc>
          <w:tcPr>
            <w:tcW w:w="1489" w:type="dxa"/>
          </w:tcPr>
          <w:p w14:paraId="37FF62D3"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-1.042</w:t>
            </w:r>
          </w:p>
        </w:tc>
      </w:tr>
      <w:tr w:rsidR="00864F68" w:rsidRPr="00EB468D" w14:paraId="5701A31B" w14:textId="77777777" w:rsidTr="00B6286E">
        <w:trPr>
          <w:trHeight w:val="20"/>
        </w:trPr>
        <w:tc>
          <w:tcPr>
            <w:tcW w:w="3687" w:type="dxa"/>
          </w:tcPr>
          <w:p w14:paraId="341AC746"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p>
        </w:tc>
        <w:tc>
          <w:tcPr>
            <w:tcW w:w="1488" w:type="dxa"/>
          </w:tcPr>
          <w:p w14:paraId="025BA81E"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(.445)</w:t>
            </w:r>
          </w:p>
        </w:tc>
        <w:tc>
          <w:tcPr>
            <w:tcW w:w="1488" w:type="dxa"/>
          </w:tcPr>
          <w:p w14:paraId="114D38A7"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(-1.181)</w:t>
            </w:r>
          </w:p>
        </w:tc>
        <w:tc>
          <w:tcPr>
            <w:tcW w:w="1488" w:type="dxa"/>
          </w:tcPr>
          <w:p w14:paraId="5A832986"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(.419)</w:t>
            </w:r>
          </w:p>
        </w:tc>
        <w:tc>
          <w:tcPr>
            <w:tcW w:w="1489" w:type="dxa"/>
          </w:tcPr>
          <w:p w14:paraId="74DCD5C3"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(-1.163)</w:t>
            </w:r>
          </w:p>
        </w:tc>
      </w:tr>
      <w:tr w:rsidR="00864F68" w:rsidRPr="00EB468D" w14:paraId="77427669" w14:textId="77777777" w:rsidTr="00B6286E">
        <w:trPr>
          <w:trHeight w:val="20"/>
        </w:trPr>
        <w:tc>
          <w:tcPr>
            <w:tcW w:w="3687" w:type="dxa"/>
          </w:tcPr>
          <w:p w14:paraId="74DB3A04"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tar_age</w:t>
            </w:r>
          </w:p>
        </w:tc>
        <w:tc>
          <w:tcPr>
            <w:tcW w:w="1488" w:type="dxa"/>
          </w:tcPr>
          <w:p w14:paraId="194DAB49"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-.001</w:t>
            </w:r>
          </w:p>
        </w:tc>
        <w:tc>
          <w:tcPr>
            <w:tcW w:w="1488" w:type="dxa"/>
          </w:tcPr>
          <w:p w14:paraId="53B0BE80"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-.003</w:t>
            </w:r>
          </w:p>
        </w:tc>
        <w:tc>
          <w:tcPr>
            <w:tcW w:w="1488" w:type="dxa"/>
          </w:tcPr>
          <w:p w14:paraId="3E890A12"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-.003</w:t>
            </w:r>
          </w:p>
        </w:tc>
        <w:tc>
          <w:tcPr>
            <w:tcW w:w="1489" w:type="dxa"/>
          </w:tcPr>
          <w:p w14:paraId="2A5418A7"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-.002</w:t>
            </w:r>
          </w:p>
        </w:tc>
      </w:tr>
      <w:tr w:rsidR="00864F68" w:rsidRPr="00EB468D" w14:paraId="6213B1F6" w14:textId="77777777" w:rsidTr="00B6286E">
        <w:trPr>
          <w:trHeight w:val="20"/>
        </w:trPr>
        <w:tc>
          <w:tcPr>
            <w:tcW w:w="3687" w:type="dxa"/>
          </w:tcPr>
          <w:p w14:paraId="4BC59FBE"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488" w:type="dxa"/>
          </w:tcPr>
          <w:p w14:paraId="778E10C4"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(-.314)</w:t>
            </w:r>
          </w:p>
        </w:tc>
        <w:tc>
          <w:tcPr>
            <w:tcW w:w="1488" w:type="dxa"/>
          </w:tcPr>
          <w:p w14:paraId="202619C1"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(-1.225)</w:t>
            </w:r>
          </w:p>
        </w:tc>
        <w:tc>
          <w:tcPr>
            <w:tcW w:w="1488" w:type="dxa"/>
          </w:tcPr>
          <w:p w14:paraId="70B6BFFA"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(-1.139)</w:t>
            </w:r>
          </w:p>
        </w:tc>
        <w:tc>
          <w:tcPr>
            <w:tcW w:w="1489" w:type="dxa"/>
          </w:tcPr>
          <w:p w14:paraId="2DEFC2DF"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(-1.083)</w:t>
            </w:r>
          </w:p>
        </w:tc>
      </w:tr>
      <w:tr w:rsidR="00864F68" w:rsidRPr="00EB468D" w14:paraId="782590D6" w14:textId="77777777" w:rsidTr="00B6286E">
        <w:trPr>
          <w:trHeight w:val="20"/>
        </w:trPr>
        <w:tc>
          <w:tcPr>
            <w:tcW w:w="3687" w:type="dxa"/>
          </w:tcPr>
          <w:p w14:paraId="289F191D"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tar_assets_lastyear_ln</w:t>
            </w:r>
          </w:p>
        </w:tc>
        <w:tc>
          <w:tcPr>
            <w:tcW w:w="1488" w:type="dxa"/>
          </w:tcPr>
          <w:p w14:paraId="7A9332D7"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.036</w:t>
            </w:r>
          </w:p>
        </w:tc>
        <w:tc>
          <w:tcPr>
            <w:tcW w:w="1488" w:type="dxa"/>
          </w:tcPr>
          <w:p w14:paraId="7C1262FB"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.006</w:t>
            </w:r>
          </w:p>
        </w:tc>
        <w:tc>
          <w:tcPr>
            <w:tcW w:w="1488" w:type="dxa"/>
          </w:tcPr>
          <w:p w14:paraId="686C2134"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.008</w:t>
            </w:r>
          </w:p>
        </w:tc>
        <w:tc>
          <w:tcPr>
            <w:tcW w:w="1489" w:type="dxa"/>
          </w:tcPr>
          <w:p w14:paraId="1742C8FF"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.002</w:t>
            </w:r>
          </w:p>
        </w:tc>
      </w:tr>
      <w:tr w:rsidR="00864F68" w:rsidRPr="00EB468D" w14:paraId="4D86F1D2" w14:textId="77777777" w:rsidTr="00B6286E">
        <w:trPr>
          <w:trHeight w:val="20"/>
        </w:trPr>
        <w:tc>
          <w:tcPr>
            <w:tcW w:w="3687" w:type="dxa"/>
          </w:tcPr>
          <w:p w14:paraId="54325668"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488" w:type="dxa"/>
          </w:tcPr>
          <w:p w14:paraId="2A29A694"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(.330)</w:t>
            </w:r>
          </w:p>
        </w:tc>
        <w:tc>
          <w:tcPr>
            <w:tcW w:w="1488" w:type="dxa"/>
          </w:tcPr>
          <w:p w14:paraId="1AE84A98"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(.067)</w:t>
            </w:r>
          </w:p>
        </w:tc>
        <w:tc>
          <w:tcPr>
            <w:tcW w:w="1488" w:type="dxa"/>
          </w:tcPr>
          <w:p w14:paraId="5C825FFD"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(.069)</w:t>
            </w:r>
          </w:p>
        </w:tc>
        <w:tc>
          <w:tcPr>
            <w:tcW w:w="1489" w:type="dxa"/>
          </w:tcPr>
          <w:p w14:paraId="10A964A6"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(.022)</w:t>
            </w:r>
          </w:p>
        </w:tc>
      </w:tr>
      <w:tr w:rsidR="00864F68" w:rsidRPr="00EB468D" w14:paraId="1216BF7A" w14:textId="77777777" w:rsidTr="00B6286E">
        <w:trPr>
          <w:trHeight w:val="20"/>
        </w:trPr>
        <w:tc>
          <w:tcPr>
            <w:tcW w:w="3687" w:type="dxa"/>
          </w:tcPr>
          <w:p w14:paraId="4CF7E3FF"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tar_roa_lastyear</w:t>
            </w:r>
          </w:p>
        </w:tc>
        <w:tc>
          <w:tcPr>
            <w:tcW w:w="1488" w:type="dxa"/>
          </w:tcPr>
          <w:p w14:paraId="5CF29E41"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-.110</w:t>
            </w:r>
          </w:p>
        </w:tc>
        <w:tc>
          <w:tcPr>
            <w:tcW w:w="1488" w:type="dxa"/>
          </w:tcPr>
          <w:p w14:paraId="62ADFDAD"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.165</w:t>
            </w:r>
          </w:p>
        </w:tc>
        <w:tc>
          <w:tcPr>
            <w:tcW w:w="1488" w:type="dxa"/>
          </w:tcPr>
          <w:p w14:paraId="47E9BC6D"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-.388</w:t>
            </w:r>
          </w:p>
        </w:tc>
        <w:tc>
          <w:tcPr>
            <w:tcW w:w="1489" w:type="dxa"/>
          </w:tcPr>
          <w:p w14:paraId="6CEE6E9F"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.153</w:t>
            </w:r>
          </w:p>
        </w:tc>
      </w:tr>
      <w:tr w:rsidR="00864F68" w:rsidRPr="00EB468D" w14:paraId="2E859EA7" w14:textId="77777777" w:rsidTr="00B6286E">
        <w:trPr>
          <w:trHeight w:val="20"/>
        </w:trPr>
        <w:tc>
          <w:tcPr>
            <w:tcW w:w="3687" w:type="dxa"/>
          </w:tcPr>
          <w:p w14:paraId="0DBC6C96"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488" w:type="dxa"/>
          </w:tcPr>
          <w:p w14:paraId="109E71FD"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(-.345)</w:t>
            </w:r>
          </w:p>
        </w:tc>
        <w:tc>
          <w:tcPr>
            <w:tcW w:w="1488" w:type="dxa"/>
          </w:tcPr>
          <w:p w14:paraId="2987B2EE"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(.488)</w:t>
            </w:r>
          </w:p>
        </w:tc>
        <w:tc>
          <w:tcPr>
            <w:tcW w:w="1488" w:type="dxa"/>
          </w:tcPr>
          <w:p w14:paraId="55E81AE4"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(-1.072)</w:t>
            </w:r>
          </w:p>
        </w:tc>
        <w:tc>
          <w:tcPr>
            <w:tcW w:w="1489" w:type="dxa"/>
          </w:tcPr>
          <w:p w14:paraId="445C9324"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(.444)</w:t>
            </w:r>
          </w:p>
        </w:tc>
      </w:tr>
      <w:tr w:rsidR="00864F68" w:rsidRPr="00EB468D" w14:paraId="21E95D37" w14:textId="77777777" w:rsidTr="00B6286E">
        <w:trPr>
          <w:trHeight w:val="20"/>
        </w:trPr>
        <w:tc>
          <w:tcPr>
            <w:tcW w:w="3687" w:type="dxa"/>
          </w:tcPr>
          <w:p w14:paraId="57242696"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tar_mbratio</w:t>
            </w:r>
          </w:p>
        </w:tc>
        <w:tc>
          <w:tcPr>
            <w:tcW w:w="1488" w:type="dxa"/>
          </w:tcPr>
          <w:p w14:paraId="20E931FE"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.019***</w:t>
            </w:r>
          </w:p>
        </w:tc>
        <w:tc>
          <w:tcPr>
            <w:tcW w:w="1488" w:type="dxa"/>
          </w:tcPr>
          <w:p w14:paraId="2D2FAD86"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-.010**</w:t>
            </w:r>
          </w:p>
        </w:tc>
        <w:tc>
          <w:tcPr>
            <w:tcW w:w="1488" w:type="dxa"/>
          </w:tcPr>
          <w:p w14:paraId="1920B5C3"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.027***</w:t>
            </w:r>
          </w:p>
        </w:tc>
        <w:tc>
          <w:tcPr>
            <w:tcW w:w="1489" w:type="dxa"/>
          </w:tcPr>
          <w:p w14:paraId="16E9C9A4"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-.010**</w:t>
            </w:r>
          </w:p>
        </w:tc>
      </w:tr>
      <w:tr w:rsidR="00864F68" w:rsidRPr="00EB468D" w14:paraId="4E3CB90F" w14:textId="77777777" w:rsidTr="00B6286E">
        <w:trPr>
          <w:trHeight w:val="20"/>
        </w:trPr>
        <w:tc>
          <w:tcPr>
            <w:tcW w:w="3687" w:type="dxa"/>
          </w:tcPr>
          <w:p w14:paraId="10A9C925"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488" w:type="dxa"/>
          </w:tcPr>
          <w:p w14:paraId="5C9652D4"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(2.733)</w:t>
            </w:r>
          </w:p>
        </w:tc>
        <w:tc>
          <w:tcPr>
            <w:tcW w:w="1488" w:type="dxa"/>
          </w:tcPr>
          <w:p w14:paraId="0DF4664F"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(-2.115)</w:t>
            </w:r>
          </w:p>
        </w:tc>
        <w:tc>
          <w:tcPr>
            <w:tcW w:w="1488" w:type="dxa"/>
          </w:tcPr>
          <w:p w14:paraId="7405AFA0"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(5.762)</w:t>
            </w:r>
          </w:p>
        </w:tc>
        <w:tc>
          <w:tcPr>
            <w:tcW w:w="1489" w:type="dxa"/>
          </w:tcPr>
          <w:p w14:paraId="192F7F8B"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(-2.174)</w:t>
            </w:r>
          </w:p>
        </w:tc>
      </w:tr>
      <w:tr w:rsidR="00864F68" w:rsidRPr="00EB468D" w14:paraId="3D4427C0" w14:textId="77777777" w:rsidTr="00B6286E">
        <w:trPr>
          <w:trHeight w:val="20"/>
        </w:trPr>
        <w:tc>
          <w:tcPr>
            <w:tcW w:w="3687" w:type="dxa"/>
          </w:tcPr>
          <w:p w14:paraId="0A944BD2"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Observations</w:t>
            </w:r>
          </w:p>
        </w:tc>
        <w:tc>
          <w:tcPr>
            <w:tcW w:w="1488" w:type="dxa"/>
          </w:tcPr>
          <w:p w14:paraId="762D62D2"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187</w:t>
            </w:r>
          </w:p>
        </w:tc>
        <w:tc>
          <w:tcPr>
            <w:tcW w:w="1488" w:type="dxa"/>
          </w:tcPr>
          <w:p w14:paraId="46350095"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148</w:t>
            </w:r>
          </w:p>
        </w:tc>
        <w:tc>
          <w:tcPr>
            <w:tcW w:w="1488" w:type="dxa"/>
          </w:tcPr>
          <w:p w14:paraId="7A643C5A"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.185</w:t>
            </w:r>
          </w:p>
        </w:tc>
        <w:tc>
          <w:tcPr>
            <w:tcW w:w="1489" w:type="dxa"/>
          </w:tcPr>
          <w:p w14:paraId="726C3BEF"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.072</w:t>
            </w:r>
          </w:p>
        </w:tc>
      </w:tr>
      <w:tr w:rsidR="00864F68" w:rsidRPr="00EB468D" w14:paraId="7BE1AA32" w14:textId="77777777" w:rsidTr="00B6286E">
        <w:trPr>
          <w:trHeight w:val="20"/>
        </w:trPr>
        <w:tc>
          <w:tcPr>
            <w:tcW w:w="3687" w:type="dxa"/>
          </w:tcPr>
          <w:p w14:paraId="7AB5C830"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Adj R2</w:t>
            </w:r>
          </w:p>
        </w:tc>
        <w:tc>
          <w:tcPr>
            <w:tcW w:w="1488" w:type="dxa"/>
          </w:tcPr>
          <w:p w14:paraId="2ACDD8AB"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.176</w:t>
            </w:r>
          </w:p>
        </w:tc>
        <w:tc>
          <w:tcPr>
            <w:tcW w:w="1488" w:type="dxa"/>
          </w:tcPr>
          <w:p w14:paraId="35FDDC15"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.069</w:t>
            </w:r>
          </w:p>
        </w:tc>
        <w:tc>
          <w:tcPr>
            <w:tcW w:w="1488" w:type="dxa"/>
          </w:tcPr>
          <w:p w14:paraId="66F0E1CD"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.231</w:t>
            </w:r>
          </w:p>
        </w:tc>
        <w:tc>
          <w:tcPr>
            <w:tcW w:w="1489" w:type="dxa"/>
          </w:tcPr>
          <w:p w14:paraId="42135CF3"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.142</w:t>
            </w:r>
          </w:p>
        </w:tc>
      </w:tr>
      <w:tr w:rsidR="00864F68" w:rsidRPr="00EB468D" w14:paraId="16C52658" w14:textId="77777777" w:rsidTr="00B6286E">
        <w:trPr>
          <w:trHeight w:val="20"/>
        </w:trPr>
        <w:tc>
          <w:tcPr>
            <w:tcW w:w="3687" w:type="dxa"/>
          </w:tcPr>
          <w:p w14:paraId="1B4B2ACA"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Industry FE</w:t>
            </w:r>
          </w:p>
        </w:tc>
        <w:tc>
          <w:tcPr>
            <w:tcW w:w="1488" w:type="dxa"/>
          </w:tcPr>
          <w:p w14:paraId="2DB54D24"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c>
          <w:tcPr>
            <w:tcW w:w="1488" w:type="dxa"/>
          </w:tcPr>
          <w:p w14:paraId="1F5D3C0A"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c>
          <w:tcPr>
            <w:tcW w:w="1488" w:type="dxa"/>
          </w:tcPr>
          <w:p w14:paraId="56D51CEE"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c>
          <w:tcPr>
            <w:tcW w:w="1489" w:type="dxa"/>
          </w:tcPr>
          <w:p w14:paraId="48C3B35F"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r>
      <w:tr w:rsidR="00864F68" w:rsidRPr="00EB468D" w14:paraId="36681892" w14:textId="77777777" w:rsidTr="00B6286E">
        <w:trPr>
          <w:trHeight w:val="20"/>
        </w:trPr>
        <w:tc>
          <w:tcPr>
            <w:tcW w:w="3687" w:type="dxa"/>
            <w:tcBorders>
              <w:bottom w:val="single" w:sz="4" w:space="0" w:color="auto"/>
            </w:tcBorders>
          </w:tcPr>
          <w:p w14:paraId="245CC7DA" w14:textId="77777777" w:rsidR="00864F68" w:rsidRPr="00EB468D" w:rsidRDefault="00864F68" w:rsidP="006F4762">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lastRenderedPageBreak/>
              <w:t xml:space="preserve"> Year FE</w:t>
            </w:r>
          </w:p>
        </w:tc>
        <w:tc>
          <w:tcPr>
            <w:tcW w:w="1488" w:type="dxa"/>
            <w:tcBorders>
              <w:bottom w:val="single" w:sz="4" w:space="0" w:color="auto"/>
            </w:tcBorders>
          </w:tcPr>
          <w:p w14:paraId="166BAD6C"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c>
          <w:tcPr>
            <w:tcW w:w="1488" w:type="dxa"/>
            <w:tcBorders>
              <w:bottom w:val="single" w:sz="4" w:space="0" w:color="auto"/>
            </w:tcBorders>
          </w:tcPr>
          <w:p w14:paraId="3BE8B6B1"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 xml:space="preserve"> Yes</w:t>
            </w:r>
          </w:p>
        </w:tc>
        <w:tc>
          <w:tcPr>
            <w:tcW w:w="1488" w:type="dxa"/>
            <w:tcBorders>
              <w:bottom w:val="single" w:sz="4" w:space="0" w:color="auto"/>
            </w:tcBorders>
          </w:tcPr>
          <w:p w14:paraId="69B56F74"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 xml:space="preserve"> Yes</w:t>
            </w:r>
          </w:p>
        </w:tc>
        <w:tc>
          <w:tcPr>
            <w:tcW w:w="1489" w:type="dxa"/>
            <w:tcBorders>
              <w:bottom w:val="single" w:sz="4" w:space="0" w:color="auto"/>
            </w:tcBorders>
          </w:tcPr>
          <w:p w14:paraId="70819618" w14:textId="77777777" w:rsidR="00864F68" w:rsidRPr="00EB468D" w:rsidRDefault="00864F68" w:rsidP="006F4762">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r>
      <w:tr w:rsidR="00864F68" w:rsidRPr="00BE5632" w14:paraId="0E4FDB4F" w14:textId="77777777" w:rsidTr="00B6286E">
        <w:trPr>
          <w:trHeight w:val="20"/>
        </w:trPr>
        <w:tc>
          <w:tcPr>
            <w:tcW w:w="9640" w:type="dxa"/>
            <w:gridSpan w:val="5"/>
            <w:tcBorders>
              <w:top w:val="single" w:sz="4" w:space="0" w:color="auto"/>
            </w:tcBorders>
          </w:tcPr>
          <w:p w14:paraId="4F0502F9" w14:textId="13003092" w:rsidR="00864F68" w:rsidRPr="00EB468D" w:rsidRDefault="00864F68" w:rsidP="00D137E4">
            <w:pPr>
              <w:widowControl w:val="0"/>
              <w:autoSpaceDE w:val="0"/>
              <w:autoSpaceDN w:val="0"/>
              <w:adjustRightInd w:val="0"/>
              <w:spacing w:line="240" w:lineRule="auto"/>
              <w:rPr>
                <w:color w:val="000000" w:themeColor="text1"/>
                <w:sz w:val="22"/>
                <w:lang w:val="en-US"/>
              </w:rPr>
            </w:pPr>
            <w:r w:rsidRPr="00EB468D">
              <w:rPr>
                <w:i/>
                <w:iCs/>
                <w:color w:val="000000" w:themeColor="text1"/>
                <w:sz w:val="22"/>
                <w:lang w:val="en-US"/>
              </w:rPr>
              <w:t>Note</w:t>
            </w:r>
            <w:r w:rsidRPr="00EB468D">
              <w:rPr>
                <w:color w:val="000000" w:themeColor="text1"/>
                <w:sz w:val="22"/>
                <w:lang w:val="en-US"/>
              </w:rPr>
              <w:t xml:space="preserve">. This table reports fixed effects negative binomial regression results predicting the effect of organizational cultural distance between acquirers and targets on innovation. The dependent variable for Models 1 and 3 is the acquirer’s patent growth two years after deal completion compared to one year prior the deal. The dependent variable for Models 2 and 4 is the acquirer’s new product development growth two years after deal completion compared to one year prior the deal.  The main independent variable in Model 1 and 2 is </w:t>
            </w:r>
            <w:r w:rsidRPr="00EB468D">
              <w:rPr>
                <w:i/>
                <w:iCs/>
                <w:color w:val="000000" w:themeColor="text1"/>
                <w:sz w:val="22"/>
                <w:lang w:val="en-US"/>
              </w:rPr>
              <w:t>deal_culturaldistance</w:t>
            </w:r>
            <w:r w:rsidRPr="00EB468D">
              <w:rPr>
                <w:color w:val="000000" w:themeColor="text1"/>
                <w:sz w:val="22"/>
                <w:lang w:val="en-US"/>
              </w:rPr>
              <w:t>, with higher values indicating higher cultural dissimilarities between the acquirer and target. The main independent variables in Model 3 and 4 are the absolute cultural differences (in the four Competing Values Framework categories clan, adhocracy, market, hierarchy) between the acquirer and target. A detailed variable description can be found in Appendix B. Constant terms are estimated but not reported. We include the acquirer’s industry and year fixed effects in all models. We cluster standard errors at the 2-digit SIC industry level. t-statistics are reported in parentheses below the coefficients. *, **, *** denote statistical significance at the .10, .05, and .01 levels (using two-tailed tests).</w:t>
            </w:r>
          </w:p>
        </w:tc>
      </w:tr>
      <w:bookmarkEnd w:id="435"/>
    </w:tbl>
    <w:p w14:paraId="3B571706" w14:textId="77777777" w:rsidR="00EB468D" w:rsidRDefault="00EB468D">
      <w:pPr>
        <w:spacing w:after="160" w:line="259" w:lineRule="auto"/>
        <w:jc w:val="left"/>
        <w:rPr>
          <w:rFonts w:eastAsiaTheme="majorEastAsia" w:cstheme="majorBidi"/>
          <w:b/>
          <w:caps/>
          <w:szCs w:val="32"/>
          <w:lang w:val="en-US"/>
        </w:rPr>
      </w:pPr>
      <w:r w:rsidRPr="00BE5632">
        <w:rPr>
          <w:lang w:val="en-US"/>
        </w:rPr>
        <w:br w:type="page"/>
      </w:r>
    </w:p>
    <w:p w14:paraId="605D75C4" w14:textId="7E7721C2" w:rsidR="003156EF" w:rsidRPr="0011734B" w:rsidRDefault="003156EF" w:rsidP="0011734B">
      <w:pPr>
        <w:pStyle w:val="1fake"/>
      </w:pPr>
      <w:r w:rsidRPr="0011734B">
        <w:lastRenderedPageBreak/>
        <w:t>Appendix</w:t>
      </w:r>
      <w:r w:rsidR="00677B96" w:rsidRPr="0011734B">
        <w:t xml:space="preserve"> A</w:t>
      </w:r>
    </w:p>
    <w:p w14:paraId="0F64C670" w14:textId="2C10C18A" w:rsidR="00106E8D" w:rsidRPr="009579F1" w:rsidRDefault="00106E8D" w:rsidP="00106E8D">
      <w:pPr>
        <w:pStyle w:val="Beschriftung"/>
      </w:pPr>
      <w:bookmarkStart w:id="617" w:name="_Toc180594845"/>
      <w:r>
        <w:t xml:space="preserve">T - III - </w:t>
      </w:r>
      <w:r>
        <w:fldChar w:fldCharType="begin"/>
      </w:r>
      <w:r>
        <w:instrText xml:space="preserve"> SEQ T_-_III_- \* ARABIC </w:instrText>
      </w:r>
      <w:r>
        <w:fldChar w:fldCharType="separate"/>
      </w:r>
      <w:r w:rsidR="00E91088">
        <w:rPr>
          <w:noProof/>
        </w:rPr>
        <w:t>9</w:t>
      </w:r>
      <w:r>
        <w:fldChar w:fldCharType="end"/>
      </w:r>
      <w:r>
        <w:t xml:space="preserve">: </w:t>
      </w:r>
      <w:r w:rsidRPr="000B01B1">
        <w:t>Glassdoor review examples associated with the four dimensions of the Competing Values Framework</w:t>
      </w:r>
      <w:bookmarkEnd w:id="617"/>
    </w:p>
    <w:tbl>
      <w:tblPr>
        <w:tblStyle w:val="Tabellenraster"/>
        <w:tblW w:w="9072" w:type="dxa"/>
        <w:tblLook w:val="04A0" w:firstRow="1" w:lastRow="0" w:firstColumn="1" w:lastColumn="0" w:noHBand="0" w:noVBand="1"/>
      </w:tblPr>
      <w:tblGrid>
        <w:gridCol w:w="1418"/>
        <w:gridCol w:w="843"/>
        <w:gridCol w:w="6811"/>
      </w:tblGrid>
      <w:tr w:rsidR="003156EF" w:rsidRPr="00EB468D" w14:paraId="6E74F42C" w14:textId="77777777" w:rsidTr="00B6286E">
        <w:trPr>
          <w:trHeight w:val="381"/>
        </w:trPr>
        <w:tc>
          <w:tcPr>
            <w:tcW w:w="1409" w:type="dxa"/>
            <w:tcBorders>
              <w:top w:val="single" w:sz="4" w:space="0" w:color="auto"/>
              <w:left w:val="nil"/>
              <w:bottom w:val="single" w:sz="4" w:space="0" w:color="auto"/>
              <w:right w:val="nil"/>
            </w:tcBorders>
            <w:vAlign w:val="center"/>
          </w:tcPr>
          <w:p w14:paraId="3215C43D" w14:textId="77777777" w:rsidR="003156EF" w:rsidRPr="00EB468D" w:rsidRDefault="003156EF" w:rsidP="005A7AF3">
            <w:pPr>
              <w:jc w:val="left"/>
              <w:rPr>
                <w:rFonts w:cs="Times New Roman"/>
                <w:b/>
                <w:bCs/>
                <w:color w:val="000000" w:themeColor="text1"/>
                <w:sz w:val="22"/>
                <w:lang w:val="en-US"/>
              </w:rPr>
            </w:pPr>
            <w:r w:rsidRPr="00EB468D">
              <w:rPr>
                <w:rFonts w:cs="Times New Roman"/>
                <w:b/>
                <w:bCs/>
                <w:color w:val="000000" w:themeColor="text1"/>
                <w:sz w:val="22"/>
                <w:lang w:val="en-US"/>
              </w:rPr>
              <w:t>Culture</w:t>
            </w:r>
          </w:p>
        </w:tc>
        <w:tc>
          <w:tcPr>
            <w:tcW w:w="841" w:type="dxa"/>
            <w:tcBorders>
              <w:top w:val="single" w:sz="4" w:space="0" w:color="auto"/>
              <w:left w:val="nil"/>
              <w:bottom w:val="single" w:sz="4" w:space="0" w:color="auto"/>
              <w:right w:val="nil"/>
            </w:tcBorders>
            <w:vAlign w:val="center"/>
          </w:tcPr>
          <w:p w14:paraId="08161DEC" w14:textId="77777777" w:rsidR="003156EF" w:rsidRPr="00EB468D" w:rsidRDefault="003156EF" w:rsidP="00AB066F">
            <w:pPr>
              <w:jc w:val="center"/>
              <w:rPr>
                <w:rFonts w:cs="Times New Roman"/>
                <w:b/>
                <w:bCs/>
                <w:color w:val="000000" w:themeColor="text1"/>
                <w:sz w:val="22"/>
                <w:lang w:val="en-US"/>
              </w:rPr>
            </w:pPr>
            <w:r w:rsidRPr="00EB468D">
              <w:rPr>
                <w:rFonts w:cs="Times New Roman"/>
                <w:b/>
                <w:bCs/>
                <w:color w:val="000000" w:themeColor="text1"/>
                <w:sz w:val="22"/>
                <w:lang w:val="en-US"/>
              </w:rPr>
              <w:t>Score</w:t>
            </w:r>
          </w:p>
        </w:tc>
        <w:tc>
          <w:tcPr>
            <w:tcW w:w="6793" w:type="dxa"/>
            <w:tcBorders>
              <w:top w:val="single" w:sz="4" w:space="0" w:color="auto"/>
              <w:left w:val="nil"/>
              <w:bottom w:val="single" w:sz="4" w:space="0" w:color="auto"/>
              <w:right w:val="nil"/>
            </w:tcBorders>
            <w:vAlign w:val="center"/>
          </w:tcPr>
          <w:p w14:paraId="53869E55" w14:textId="77777777" w:rsidR="003156EF" w:rsidRPr="00EB468D" w:rsidRDefault="003156EF" w:rsidP="00AB066F">
            <w:pPr>
              <w:jc w:val="center"/>
              <w:rPr>
                <w:rFonts w:cs="Times New Roman"/>
                <w:b/>
                <w:bCs/>
                <w:color w:val="000000" w:themeColor="text1"/>
                <w:sz w:val="22"/>
                <w:lang w:val="en-US"/>
              </w:rPr>
            </w:pPr>
            <w:r w:rsidRPr="00EB468D">
              <w:rPr>
                <w:rFonts w:cs="Times New Roman"/>
                <w:b/>
                <w:bCs/>
                <w:color w:val="000000" w:themeColor="text1"/>
                <w:sz w:val="22"/>
                <w:lang w:val="en-US"/>
              </w:rPr>
              <w:t>Sample Review Text</w:t>
            </w:r>
          </w:p>
        </w:tc>
      </w:tr>
      <w:tr w:rsidR="003156EF" w:rsidRPr="00BE5632" w14:paraId="57923414" w14:textId="77777777" w:rsidTr="00B6286E">
        <w:trPr>
          <w:trHeight w:val="852"/>
        </w:trPr>
        <w:tc>
          <w:tcPr>
            <w:tcW w:w="1409" w:type="dxa"/>
            <w:vMerge w:val="restart"/>
            <w:tcBorders>
              <w:top w:val="single" w:sz="4" w:space="0" w:color="auto"/>
              <w:left w:val="nil"/>
              <w:bottom w:val="nil"/>
              <w:right w:val="nil"/>
            </w:tcBorders>
          </w:tcPr>
          <w:p w14:paraId="17C83F43" w14:textId="77777777" w:rsidR="003156EF" w:rsidRPr="00EB468D" w:rsidRDefault="003156EF" w:rsidP="005A7AF3">
            <w:pPr>
              <w:jc w:val="left"/>
              <w:rPr>
                <w:rFonts w:cs="Times New Roman"/>
                <w:b/>
                <w:bCs/>
                <w:color w:val="000000" w:themeColor="text1"/>
                <w:sz w:val="22"/>
                <w:lang w:val="en-US"/>
              </w:rPr>
            </w:pPr>
            <w:r w:rsidRPr="00EB468D">
              <w:rPr>
                <w:rFonts w:cs="Times New Roman"/>
                <w:b/>
                <w:bCs/>
                <w:color w:val="000000" w:themeColor="text1"/>
                <w:sz w:val="22"/>
                <w:lang w:val="en-US"/>
              </w:rPr>
              <w:t>Adhocracy (create)</w:t>
            </w:r>
          </w:p>
        </w:tc>
        <w:tc>
          <w:tcPr>
            <w:tcW w:w="7634" w:type="dxa"/>
            <w:gridSpan w:val="2"/>
            <w:tcBorders>
              <w:top w:val="single" w:sz="4" w:space="0" w:color="auto"/>
              <w:left w:val="nil"/>
              <w:right w:val="nil"/>
            </w:tcBorders>
            <w:vAlign w:val="center"/>
          </w:tcPr>
          <w:p w14:paraId="782FA9CE" w14:textId="77777777" w:rsidR="003156EF" w:rsidRPr="00EB468D" w:rsidRDefault="003156EF" w:rsidP="00AB066F">
            <w:pPr>
              <w:jc w:val="left"/>
              <w:rPr>
                <w:rFonts w:cs="Times New Roman"/>
                <w:color w:val="000000" w:themeColor="text1"/>
                <w:sz w:val="22"/>
                <w:lang w:val="en-US"/>
              </w:rPr>
            </w:pPr>
            <w:r w:rsidRPr="00EB468D">
              <w:rPr>
                <w:rFonts w:cs="Times New Roman"/>
                <w:color w:val="000000" w:themeColor="text1"/>
                <w:sz w:val="22"/>
                <w:lang w:val="en-US"/>
              </w:rPr>
              <w:t xml:space="preserve">An adhocracy culture focuses on adaptability and flexibility to achieve growth and innovation within the organization. </w:t>
            </w:r>
          </w:p>
        </w:tc>
      </w:tr>
      <w:tr w:rsidR="003156EF" w:rsidRPr="00EB468D" w14:paraId="71234FAB" w14:textId="77777777" w:rsidTr="00B6286E">
        <w:trPr>
          <w:trHeight w:val="578"/>
        </w:trPr>
        <w:tc>
          <w:tcPr>
            <w:tcW w:w="1409" w:type="dxa"/>
            <w:vMerge/>
            <w:tcBorders>
              <w:top w:val="nil"/>
              <w:left w:val="nil"/>
              <w:bottom w:val="single" w:sz="4" w:space="0" w:color="auto"/>
              <w:right w:val="nil"/>
            </w:tcBorders>
          </w:tcPr>
          <w:p w14:paraId="1EE4C101" w14:textId="77777777" w:rsidR="003156EF" w:rsidRPr="00EB468D" w:rsidRDefault="003156EF" w:rsidP="005A7AF3">
            <w:pPr>
              <w:jc w:val="left"/>
              <w:rPr>
                <w:rFonts w:cs="Times New Roman"/>
                <w:color w:val="000000" w:themeColor="text1"/>
                <w:sz w:val="22"/>
                <w:lang w:val="en-US"/>
              </w:rPr>
            </w:pPr>
          </w:p>
        </w:tc>
        <w:tc>
          <w:tcPr>
            <w:tcW w:w="841" w:type="dxa"/>
            <w:tcBorders>
              <w:top w:val="nil"/>
              <w:left w:val="nil"/>
              <w:bottom w:val="single" w:sz="4" w:space="0" w:color="auto"/>
              <w:right w:val="nil"/>
            </w:tcBorders>
          </w:tcPr>
          <w:p w14:paraId="48CCFFC1" w14:textId="77777777" w:rsidR="003156EF" w:rsidRPr="00EB468D" w:rsidRDefault="003156EF" w:rsidP="00AB066F">
            <w:pPr>
              <w:jc w:val="left"/>
              <w:rPr>
                <w:rFonts w:cs="Times New Roman"/>
                <w:color w:val="000000" w:themeColor="text1"/>
                <w:sz w:val="22"/>
                <w:lang w:val="en-US"/>
              </w:rPr>
            </w:pPr>
            <w:r w:rsidRPr="00EB468D">
              <w:rPr>
                <w:rFonts w:cs="Times New Roman"/>
                <w:color w:val="000000" w:themeColor="text1"/>
                <w:sz w:val="22"/>
                <w:lang w:val="en-US"/>
              </w:rPr>
              <w:t>0.0003</w:t>
            </w:r>
          </w:p>
        </w:tc>
        <w:tc>
          <w:tcPr>
            <w:tcW w:w="6793" w:type="dxa"/>
            <w:tcBorders>
              <w:top w:val="nil"/>
              <w:left w:val="nil"/>
              <w:bottom w:val="single" w:sz="4" w:space="0" w:color="auto"/>
              <w:right w:val="nil"/>
            </w:tcBorders>
          </w:tcPr>
          <w:p w14:paraId="7B7C7862" w14:textId="77777777" w:rsidR="003156EF" w:rsidRPr="00EB468D" w:rsidRDefault="003156EF" w:rsidP="00AB066F">
            <w:pPr>
              <w:rPr>
                <w:rFonts w:cs="Times New Roman"/>
                <w:color w:val="000000" w:themeColor="text1"/>
                <w:sz w:val="22"/>
                <w:lang w:val="en-US"/>
              </w:rPr>
            </w:pPr>
            <w:r w:rsidRPr="00EB468D">
              <w:rPr>
                <w:rFonts w:cs="Times New Roman"/>
                <w:color w:val="000000" w:themeColor="text1"/>
                <w:sz w:val="22"/>
                <w:lang w:val="en-US"/>
              </w:rPr>
              <w:t>this review is for the office 365/outlook team.. * great people and management. * family friendly (great work-life balance). * great benefits. * great facilities (medical facilities, sports fields, i hear they even have a treehouse now). * free drinks cooler i've heard nightmares in certain teams, so ymmv depending on the team.. no free food.</w:t>
            </w:r>
          </w:p>
        </w:tc>
      </w:tr>
      <w:tr w:rsidR="003156EF" w:rsidRPr="00AA39E4" w14:paraId="07076F63" w14:textId="77777777" w:rsidTr="00B6286E">
        <w:trPr>
          <w:trHeight w:val="578"/>
        </w:trPr>
        <w:tc>
          <w:tcPr>
            <w:tcW w:w="1409" w:type="dxa"/>
            <w:vMerge/>
            <w:tcBorders>
              <w:top w:val="nil"/>
              <w:left w:val="nil"/>
              <w:bottom w:val="single" w:sz="4" w:space="0" w:color="auto"/>
              <w:right w:val="nil"/>
            </w:tcBorders>
          </w:tcPr>
          <w:p w14:paraId="72B44DED" w14:textId="77777777" w:rsidR="003156EF" w:rsidRPr="00EB468D" w:rsidRDefault="003156EF" w:rsidP="005A7AF3">
            <w:pPr>
              <w:jc w:val="left"/>
              <w:rPr>
                <w:rFonts w:cs="Times New Roman"/>
                <w:color w:val="000000" w:themeColor="text1"/>
                <w:sz w:val="22"/>
                <w:lang w:val="en-US"/>
              </w:rPr>
            </w:pPr>
          </w:p>
        </w:tc>
        <w:tc>
          <w:tcPr>
            <w:tcW w:w="841" w:type="dxa"/>
            <w:tcBorders>
              <w:top w:val="nil"/>
              <w:left w:val="nil"/>
              <w:bottom w:val="single" w:sz="4" w:space="0" w:color="auto"/>
              <w:right w:val="nil"/>
            </w:tcBorders>
          </w:tcPr>
          <w:p w14:paraId="0A1E7237" w14:textId="77777777" w:rsidR="003156EF" w:rsidRPr="00EB468D" w:rsidRDefault="003156EF" w:rsidP="00AB066F">
            <w:pPr>
              <w:jc w:val="left"/>
              <w:rPr>
                <w:rFonts w:cs="Times New Roman"/>
                <w:color w:val="000000" w:themeColor="text1"/>
                <w:sz w:val="22"/>
                <w:lang w:val="en-US"/>
              </w:rPr>
            </w:pPr>
            <w:r w:rsidRPr="00EB468D">
              <w:rPr>
                <w:rFonts w:cs="Times New Roman"/>
                <w:color w:val="000000" w:themeColor="text1"/>
                <w:sz w:val="22"/>
                <w:lang w:val="en-US"/>
              </w:rPr>
              <w:t>0.9956</w:t>
            </w:r>
          </w:p>
        </w:tc>
        <w:tc>
          <w:tcPr>
            <w:tcW w:w="6793" w:type="dxa"/>
            <w:tcBorders>
              <w:top w:val="nil"/>
              <w:left w:val="nil"/>
              <w:bottom w:val="single" w:sz="4" w:space="0" w:color="auto"/>
              <w:right w:val="nil"/>
            </w:tcBorders>
          </w:tcPr>
          <w:p w14:paraId="4D1057DC" w14:textId="77777777" w:rsidR="003156EF" w:rsidRPr="00EB468D" w:rsidRDefault="003156EF" w:rsidP="00AB066F">
            <w:pPr>
              <w:rPr>
                <w:rFonts w:cs="Times New Roman"/>
                <w:color w:val="000000" w:themeColor="text1"/>
                <w:sz w:val="22"/>
                <w:lang w:val="en-US"/>
              </w:rPr>
            </w:pPr>
            <w:r w:rsidRPr="00EB468D">
              <w:rPr>
                <w:rFonts w:cs="Times New Roman"/>
                <w:color w:val="000000" w:themeColor="text1"/>
                <w:sz w:val="22"/>
                <w:lang w:val="en-US"/>
              </w:rPr>
              <w:t>fast paced, new products and technology, exciting opportunities and ability to try new and different things, support from management and colleagues constant re orgs . inconsistent messaging at times. travel. difficult/laborious to get someone promoted . too many systems and logins . holiday schedule</w:t>
            </w:r>
          </w:p>
        </w:tc>
      </w:tr>
      <w:tr w:rsidR="003156EF" w:rsidRPr="00BE5632" w14:paraId="0272AA82" w14:textId="77777777" w:rsidTr="00B6286E">
        <w:trPr>
          <w:trHeight w:val="562"/>
        </w:trPr>
        <w:tc>
          <w:tcPr>
            <w:tcW w:w="1409" w:type="dxa"/>
            <w:vMerge w:val="restart"/>
            <w:tcBorders>
              <w:top w:val="single" w:sz="4" w:space="0" w:color="auto"/>
              <w:left w:val="nil"/>
              <w:bottom w:val="nil"/>
              <w:right w:val="nil"/>
            </w:tcBorders>
          </w:tcPr>
          <w:p w14:paraId="4348E1FC" w14:textId="77777777" w:rsidR="003156EF" w:rsidRPr="00EB468D" w:rsidRDefault="003156EF" w:rsidP="005A7AF3">
            <w:pPr>
              <w:jc w:val="left"/>
              <w:rPr>
                <w:rFonts w:cs="Times New Roman"/>
                <w:b/>
                <w:bCs/>
                <w:color w:val="000000" w:themeColor="text1"/>
                <w:sz w:val="22"/>
                <w:lang w:val="en-US"/>
              </w:rPr>
            </w:pPr>
            <w:r w:rsidRPr="00EB468D">
              <w:rPr>
                <w:rFonts w:cs="Times New Roman"/>
                <w:b/>
                <w:bCs/>
                <w:color w:val="000000" w:themeColor="text1"/>
                <w:sz w:val="22"/>
                <w:lang w:val="en-US"/>
              </w:rPr>
              <w:t>Clan</w:t>
            </w:r>
            <w:r w:rsidRPr="00EB468D">
              <w:rPr>
                <w:rFonts w:cs="Times New Roman"/>
                <w:b/>
                <w:bCs/>
                <w:color w:val="000000" w:themeColor="text1"/>
                <w:sz w:val="22"/>
                <w:lang w:val="en-US"/>
              </w:rPr>
              <w:br/>
              <w:t>(collaborate)</w:t>
            </w:r>
          </w:p>
        </w:tc>
        <w:tc>
          <w:tcPr>
            <w:tcW w:w="7634" w:type="dxa"/>
            <w:gridSpan w:val="2"/>
            <w:tcBorders>
              <w:top w:val="single" w:sz="4" w:space="0" w:color="auto"/>
              <w:left w:val="nil"/>
              <w:right w:val="nil"/>
            </w:tcBorders>
            <w:vAlign w:val="center"/>
          </w:tcPr>
          <w:p w14:paraId="5E126327" w14:textId="77777777" w:rsidR="003156EF" w:rsidRPr="00EB468D" w:rsidRDefault="003156EF" w:rsidP="00AB066F">
            <w:pPr>
              <w:jc w:val="left"/>
              <w:rPr>
                <w:rFonts w:cs="Times New Roman"/>
                <w:color w:val="000000" w:themeColor="text1"/>
                <w:sz w:val="22"/>
                <w:lang w:val="en-US"/>
              </w:rPr>
            </w:pPr>
            <w:r w:rsidRPr="00EB468D">
              <w:rPr>
                <w:rFonts w:cs="Times New Roman"/>
                <w:color w:val="000000" w:themeColor="text1"/>
                <w:sz w:val="22"/>
                <w:lang w:val="en-US"/>
              </w:rPr>
              <w:t>The clan culture emphasizes collaboration, teamwork, and employee development.</w:t>
            </w:r>
          </w:p>
        </w:tc>
      </w:tr>
      <w:tr w:rsidR="003156EF" w:rsidRPr="00AA39E4" w14:paraId="1B330709" w14:textId="77777777" w:rsidTr="00B6286E">
        <w:trPr>
          <w:trHeight w:val="578"/>
        </w:trPr>
        <w:tc>
          <w:tcPr>
            <w:tcW w:w="1409" w:type="dxa"/>
            <w:vMerge/>
            <w:tcBorders>
              <w:top w:val="nil"/>
              <w:left w:val="nil"/>
              <w:bottom w:val="single" w:sz="4" w:space="0" w:color="auto"/>
              <w:right w:val="nil"/>
            </w:tcBorders>
          </w:tcPr>
          <w:p w14:paraId="040400D1" w14:textId="77777777" w:rsidR="003156EF" w:rsidRPr="00EB468D" w:rsidRDefault="003156EF" w:rsidP="005A7AF3">
            <w:pPr>
              <w:jc w:val="left"/>
              <w:rPr>
                <w:rFonts w:cs="Times New Roman"/>
                <w:color w:val="000000" w:themeColor="text1"/>
                <w:sz w:val="22"/>
                <w:lang w:val="en-US"/>
              </w:rPr>
            </w:pPr>
          </w:p>
        </w:tc>
        <w:tc>
          <w:tcPr>
            <w:tcW w:w="841" w:type="dxa"/>
            <w:tcBorders>
              <w:top w:val="nil"/>
              <w:left w:val="nil"/>
              <w:bottom w:val="single" w:sz="4" w:space="0" w:color="auto"/>
              <w:right w:val="nil"/>
            </w:tcBorders>
          </w:tcPr>
          <w:p w14:paraId="289FFF43" w14:textId="77777777" w:rsidR="003156EF" w:rsidRPr="00EB468D" w:rsidRDefault="003156EF" w:rsidP="00AB066F">
            <w:pPr>
              <w:jc w:val="left"/>
              <w:rPr>
                <w:rFonts w:cs="Times New Roman"/>
                <w:color w:val="000000" w:themeColor="text1"/>
                <w:sz w:val="22"/>
                <w:lang w:val="en-US"/>
              </w:rPr>
            </w:pPr>
            <w:r w:rsidRPr="00EB468D">
              <w:rPr>
                <w:rFonts w:cs="Times New Roman"/>
                <w:color w:val="000000" w:themeColor="text1"/>
                <w:sz w:val="22"/>
                <w:lang w:val="en-US"/>
              </w:rPr>
              <w:t>0.0003</w:t>
            </w:r>
          </w:p>
        </w:tc>
        <w:tc>
          <w:tcPr>
            <w:tcW w:w="6793" w:type="dxa"/>
            <w:tcBorders>
              <w:top w:val="nil"/>
              <w:left w:val="nil"/>
              <w:bottom w:val="single" w:sz="4" w:space="0" w:color="auto"/>
              <w:right w:val="nil"/>
            </w:tcBorders>
          </w:tcPr>
          <w:p w14:paraId="1D1073B1" w14:textId="77777777" w:rsidR="003156EF" w:rsidRPr="00EB468D" w:rsidRDefault="003156EF" w:rsidP="00AB066F">
            <w:pPr>
              <w:rPr>
                <w:rFonts w:cs="Times New Roman"/>
                <w:color w:val="000000" w:themeColor="text1"/>
                <w:sz w:val="22"/>
                <w:lang w:val="en-US"/>
              </w:rPr>
            </w:pPr>
            <w:r w:rsidRPr="00EB468D">
              <w:rPr>
                <w:rFonts w:cs="Times New Roman"/>
                <w:color w:val="000000" w:themeColor="text1"/>
                <w:sz w:val="22"/>
                <w:lang w:val="en-US"/>
              </w:rPr>
              <w:t>discounts on services. decent pay. the company has changed a lot, they are only interested in pushing sales and not disclosing the proper information to the customer. providing good customer service is not a concern for them anymore. the information the call center gives customers is not the same as the stores. they are eliminating the need for full time employees. they are eliminating many jobs in the united states. sadly, you deal with a lot of angry and frustrated people. retail hours.</w:t>
            </w:r>
          </w:p>
        </w:tc>
      </w:tr>
      <w:tr w:rsidR="003156EF" w:rsidRPr="00AA39E4" w14:paraId="281E4170" w14:textId="77777777" w:rsidTr="00B6286E">
        <w:trPr>
          <w:trHeight w:val="578"/>
        </w:trPr>
        <w:tc>
          <w:tcPr>
            <w:tcW w:w="1409" w:type="dxa"/>
            <w:vMerge/>
            <w:tcBorders>
              <w:top w:val="nil"/>
              <w:left w:val="nil"/>
              <w:bottom w:val="single" w:sz="4" w:space="0" w:color="auto"/>
              <w:right w:val="nil"/>
            </w:tcBorders>
          </w:tcPr>
          <w:p w14:paraId="0FA1A92B" w14:textId="77777777" w:rsidR="003156EF" w:rsidRPr="00EB468D" w:rsidRDefault="003156EF" w:rsidP="005A7AF3">
            <w:pPr>
              <w:jc w:val="left"/>
              <w:rPr>
                <w:rFonts w:cs="Times New Roman"/>
                <w:color w:val="000000" w:themeColor="text1"/>
                <w:sz w:val="22"/>
                <w:lang w:val="en-US"/>
              </w:rPr>
            </w:pPr>
          </w:p>
        </w:tc>
        <w:tc>
          <w:tcPr>
            <w:tcW w:w="841" w:type="dxa"/>
            <w:tcBorders>
              <w:top w:val="nil"/>
              <w:left w:val="nil"/>
              <w:bottom w:val="single" w:sz="4" w:space="0" w:color="auto"/>
              <w:right w:val="nil"/>
            </w:tcBorders>
          </w:tcPr>
          <w:p w14:paraId="47E39DFD" w14:textId="77777777" w:rsidR="003156EF" w:rsidRPr="00EB468D" w:rsidRDefault="003156EF" w:rsidP="00AB066F">
            <w:pPr>
              <w:jc w:val="left"/>
              <w:rPr>
                <w:rFonts w:cs="Times New Roman"/>
                <w:color w:val="000000" w:themeColor="text1"/>
                <w:sz w:val="22"/>
                <w:lang w:val="en-US"/>
              </w:rPr>
            </w:pPr>
            <w:r w:rsidRPr="00EB468D">
              <w:rPr>
                <w:rFonts w:cs="Times New Roman"/>
                <w:color w:val="000000" w:themeColor="text1"/>
                <w:sz w:val="22"/>
                <w:lang w:val="en-US"/>
              </w:rPr>
              <w:t>0.9979</w:t>
            </w:r>
          </w:p>
        </w:tc>
        <w:tc>
          <w:tcPr>
            <w:tcW w:w="6793" w:type="dxa"/>
            <w:tcBorders>
              <w:top w:val="nil"/>
              <w:left w:val="nil"/>
              <w:bottom w:val="single" w:sz="4" w:space="0" w:color="auto"/>
              <w:right w:val="nil"/>
            </w:tcBorders>
          </w:tcPr>
          <w:p w14:paraId="0230E06C" w14:textId="77777777" w:rsidR="003156EF" w:rsidRPr="00EB468D" w:rsidRDefault="003156EF" w:rsidP="00AB066F">
            <w:pPr>
              <w:rPr>
                <w:rFonts w:cs="Times New Roman"/>
                <w:color w:val="000000" w:themeColor="text1"/>
                <w:sz w:val="22"/>
                <w:lang w:val="en-US"/>
              </w:rPr>
            </w:pPr>
            <w:r w:rsidRPr="00EB468D">
              <w:rPr>
                <w:rFonts w:cs="Times New Roman"/>
                <w:color w:val="000000" w:themeColor="text1"/>
                <w:sz w:val="22"/>
                <w:lang w:val="en-US"/>
              </w:rPr>
              <w:t xml:space="preserve">amazing work life balance, 1 on 1 sales training, friendly work environment, and opportunity to move up. the people here are very nice and the ages of everyone varies from mid twenties and up in a balanced matter. everyone here wants to succeed and that energy is passed on to all employees. The </w:t>
            </w:r>
            <w:r w:rsidRPr="00EB468D">
              <w:rPr>
                <w:rFonts w:cs="Times New Roman"/>
                <w:color w:val="000000" w:themeColor="text1"/>
                <w:sz w:val="22"/>
                <w:lang w:val="en-US"/>
              </w:rPr>
              <w:lastRenderedPageBreak/>
              <w:t>only thing i wish we had were nicer bathrooms, but i can deal with that! commission structure could be better as well. not the best, but modest.</w:t>
            </w:r>
          </w:p>
        </w:tc>
      </w:tr>
      <w:tr w:rsidR="003156EF" w:rsidRPr="00BE5632" w14:paraId="1245DE02" w14:textId="77777777" w:rsidTr="00B6286E">
        <w:trPr>
          <w:trHeight w:val="928"/>
        </w:trPr>
        <w:tc>
          <w:tcPr>
            <w:tcW w:w="1409" w:type="dxa"/>
            <w:vMerge w:val="restart"/>
            <w:tcBorders>
              <w:top w:val="single" w:sz="4" w:space="0" w:color="auto"/>
              <w:left w:val="nil"/>
              <w:bottom w:val="nil"/>
              <w:right w:val="nil"/>
            </w:tcBorders>
          </w:tcPr>
          <w:p w14:paraId="2BC133FE" w14:textId="77777777" w:rsidR="003156EF" w:rsidRPr="00EB468D" w:rsidRDefault="003156EF" w:rsidP="005A7AF3">
            <w:pPr>
              <w:jc w:val="left"/>
              <w:rPr>
                <w:rFonts w:cs="Times New Roman"/>
                <w:b/>
                <w:bCs/>
                <w:color w:val="000000" w:themeColor="text1"/>
                <w:sz w:val="22"/>
                <w:lang w:val="en-US"/>
              </w:rPr>
            </w:pPr>
            <w:r w:rsidRPr="00EB468D">
              <w:rPr>
                <w:rFonts w:cs="Times New Roman"/>
                <w:b/>
                <w:bCs/>
                <w:color w:val="000000" w:themeColor="text1"/>
                <w:sz w:val="22"/>
                <w:lang w:val="en-US"/>
              </w:rPr>
              <w:t>Market</w:t>
            </w:r>
            <w:r w:rsidRPr="00EB468D">
              <w:rPr>
                <w:rFonts w:cs="Times New Roman"/>
                <w:b/>
                <w:bCs/>
                <w:color w:val="000000" w:themeColor="text1"/>
                <w:sz w:val="22"/>
                <w:lang w:val="en-US"/>
              </w:rPr>
              <w:br/>
              <w:t>(compete)</w:t>
            </w:r>
          </w:p>
        </w:tc>
        <w:tc>
          <w:tcPr>
            <w:tcW w:w="7634" w:type="dxa"/>
            <w:gridSpan w:val="2"/>
            <w:tcBorders>
              <w:top w:val="single" w:sz="4" w:space="0" w:color="auto"/>
              <w:left w:val="nil"/>
              <w:right w:val="nil"/>
            </w:tcBorders>
            <w:vAlign w:val="center"/>
          </w:tcPr>
          <w:p w14:paraId="2DF45AA3" w14:textId="77777777" w:rsidR="003156EF" w:rsidRPr="00EB468D" w:rsidRDefault="003156EF" w:rsidP="00AB066F">
            <w:pPr>
              <w:jc w:val="left"/>
              <w:rPr>
                <w:rFonts w:cs="Times New Roman"/>
                <w:color w:val="000000" w:themeColor="text1"/>
                <w:sz w:val="22"/>
                <w:lang w:val="en-US"/>
              </w:rPr>
            </w:pPr>
            <w:r w:rsidRPr="00EB468D">
              <w:rPr>
                <w:rFonts w:cs="Times New Roman"/>
                <w:color w:val="000000" w:themeColor="text1"/>
                <w:sz w:val="22"/>
                <w:lang w:val="en-US"/>
              </w:rPr>
              <w:t>A market culture tries to maximize business or production performance by focusing on task completion and goal achievement.</w:t>
            </w:r>
          </w:p>
        </w:tc>
      </w:tr>
      <w:tr w:rsidR="003156EF" w:rsidRPr="00AA39E4" w14:paraId="529990FF" w14:textId="77777777" w:rsidTr="00B6286E">
        <w:trPr>
          <w:trHeight w:val="578"/>
        </w:trPr>
        <w:tc>
          <w:tcPr>
            <w:tcW w:w="1409" w:type="dxa"/>
            <w:vMerge/>
            <w:tcBorders>
              <w:top w:val="nil"/>
              <w:left w:val="nil"/>
              <w:bottom w:val="single" w:sz="4" w:space="0" w:color="auto"/>
              <w:right w:val="nil"/>
            </w:tcBorders>
          </w:tcPr>
          <w:p w14:paraId="1D62AE72" w14:textId="77777777" w:rsidR="003156EF" w:rsidRPr="00EB468D" w:rsidRDefault="003156EF" w:rsidP="005A7AF3">
            <w:pPr>
              <w:jc w:val="left"/>
              <w:rPr>
                <w:rFonts w:cs="Times New Roman"/>
                <w:color w:val="000000" w:themeColor="text1"/>
                <w:sz w:val="22"/>
                <w:lang w:val="en-US"/>
              </w:rPr>
            </w:pPr>
          </w:p>
        </w:tc>
        <w:tc>
          <w:tcPr>
            <w:tcW w:w="841" w:type="dxa"/>
            <w:tcBorders>
              <w:top w:val="nil"/>
              <w:left w:val="nil"/>
              <w:bottom w:val="single" w:sz="4" w:space="0" w:color="auto"/>
              <w:right w:val="nil"/>
            </w:tcBorders>
          </w:tcPr>
          <w:p w14:paraId="6DCB1C56" w14:textId="77777777" w:rsidR="003156EF" w:rsidRPr="00EB468D" w:rsidRDefault="003156EF" w:rsidP="00AB066F">
            <w:pPr>
              <w:jc w:val="left"/>
              <w:rPr>
                <w:rFonts w:cs="Times New Roman"/>
                <w:color w:val="000000" w:themeColor="text1"/>
                <w:sz w:val="22"/>
                <w:lang w:val="en-US"/>
              </w:rPr>
            </w:pPr>
            <w:r w:rsidRPr="00EB468D">
              <w:rPr>
                <w:rFonts w:cs="Times New Roman"/>
                <w:color w:val="000000" w:themeColor="text1"/>
                <w:sz w:val="22"/>
                <w:lang w:val="en-US"/>
              </w:rPr>
              <w:t>0.0003</w:t>
            </w:r>
          </w:p>
        </w:tc>
        <w:tc>
          <w:tcPr>
            <w:tcW w:w="6793" w:type="dxa"/>
            <w:tcBorders>
              <w:top w:val="nil"/>
              <w:left w:val="nil"/>
              <w:bottom w:val="single" w:sz="4" w:space="0" w:color="auto"/>
              <w:right w:val="nil"/>
            </w:tcBorders>
          </w:tcPr>
          <w:p w14:paraId="240AEFAD" w14:textId="77777777" w:rsidR="003156EF" w:rsidRPr="00EB468D" w:rsidRDefault="003156EF" w:rsidP="00AB066F">
            <w:pPr>
              <w:rPr>
                <w:rFonts w:cs="Times New Roman"/>
                <w:color w:val="000000" w:themeColor="text1"/>
                <w:sz w:val="22"/>
                <w:lang w:val="en-US"/>
              </w:rPr>
            </w:pPr>
            <w:r w:rsidRPr="00EB468D">
              <w:rPr>
                <w:rFonts w:cs="Times New Roman"/>
                <w:color w:val="000000" w:themeColor="text1"/>
                <w:sz w:val="22"/>
                <w:lang w:val="en-US"/>
              </w:rPr>
              <w:t>culture management good learning compensation and benefits policies flexibility cafe vaccination drive well equipped gym inhouse doctors, nurses, nutrition, gym coach and clinic nothing major i can think of. enjoyed working in the company and a great place to learn. inter-department teams work together.</w:t>
            </w:r>
          </w:p>
        </w:tc>
      </w:tr>
      <w:tr w:rsidR="003156EF" w:rsidRPr="00BE5632" w14:paraId="69AF0094" w14:textId="77777777" w:rsidTr="00B6286E">
        <w:trPr>
          <w:trHeight w:val="578"/>
        </w:trPr>
        <w:tc>
          <w:tcPr>
            <w:tcW w:w="1409" w:type="dxa"/>
            <w:vMerge/>
            <w:tcBorders>
              <w:top w:val="nil"/>
              <w:left w:val="nil"/>
              <w:bottom w:val="single" w:sz="4" w:space="0" w:color="auto"/>
              <w:right w:val="nil"/>
            </w:tcBorders>
          </w:tcPr>
          <w:p w14:paraId="685C559C" w14:textId="77777777" w:rsidR="003156EF" w:rsidRPr="00EB468D" w:rsidRDefault="003156EF" w:rsidP="005A7AF3">
            <w:pPr>
              <w:jc w:val="left"/>
              <w:rPr>
                <w:rFonts w:cs="Times New Roman"/>
                <w:color w:val="000000" w:themeColor="text1"/>
                <w:sz w:val="22"/>
                <w:lang w:val="en-US"/>
              </w:rPr>
            </w:pPr>
          </w:p>
        </w:tc>
        <w:tc>
          <w:tcPr>
            <w:tcW w:w="841" w:type="dxa"/>
            <w:tcBorders>
              <w:top w:val="nil"/>
              <w:left w:val="nil"/>
              <w:bottom w:val="single" w:sz="4" w:space="0" w:color="auto"/>
              <w:right w:val="nil"/>
            </w:tcBorders>
          </w:tcPr>
          <w:p w14:paraId="394D2CBF" w14:textId="77777777" w:rsidR="003156EF" w:rsidRPr="00EB468D" w:rsidRDefault="003156EF" w:rsidP="00AB066F">
            <w:pPr>
              <w:jc w:val="left"/>
              <w:rPr>
                <w:rFonts w:cs="Times New Roman"/>
                <w:color w:val="000000" w:themeColor="text1"/>
                <w:sz w:val="22"/>
                <w:lang w:val="en-US"/>
              </w:rPr>
            </w:pPr>
            <w:r w:rsidRPr="00EB468D">
              <w:rPr>
                <w:rFonts w:cs="Times New Roman"/>
                <w:color w:val="000000" w:themeColor="text1"/>
                <w:sz w:val="22"/>
                <w:lang w:val="en-US"/>
              </w:rPr>
              <w:t>0.9970</w:t>
            </w:r>
          </w:p>
        </w:tc>
        <w:tc>
          <w:tcPr>
            <w:tcW w:w="6793" w:type="dxa"/>
            <w:tcBorders>
              <w:top w:val="nil"/>
              <w:left w:val="nil"/>
              <w:bottom w:val="single" w:sz="4" w:space="0" w:color="auto"/>
              <w:right w:val="nil"/>
            </w:tcBorders>
          </w:tcPr>
          <w:p w14:paraId="60BA6484" w14:textId="77777777" w:rsidR="003156EF" w:rsidRPr="00EB468D" w:rsidRDefault="003156EF" w:rsidP="00AB066F">
            <w:pPr>
              <w:rPr>
                <w:rFonts w:cs="Times New Roman"/>
                <w:color w:val="000000" w:themeColor="text1"/>
                <w:sz w:val="22"/>
                <w:lang w:val="en-US"/>
              </w:rPr>
            </w:pPr>
            <w:r w:rsidRPr="00EB468D">
              <w:rPr>
                <w:rFonts w:cs="Times New Roman"/>
                <w:color w:val="000000" w:themeColor="text1"/>
                <w:sz w:val="22"/>
                <w:lang w:val="en-US"/>
              </w:rPr>
              <w:t>nothing is worth the stress and aggregation they put you through. stay away if you can. salary is competitive. 401k is ok. large company so easy to stay close to home if they permit. Overworked as if they are legally breaking labor laws. horrible management too down. management pushes you to fake numbers to improve metrics. questionable patient safety practices in pharmacy. hazardous work conditions many times on the sale floor as there is not enough hours/work ratio to finish work.</w:t>
            </w:r>
          </w:p>
        </w:tc>
      </w:tr>
      <w:tr w:rsidR="003156EF" w:rsidRPr="00BE5632" w14:paraId="0BDCBDD7" w14:textId="77777777" w:rsidTr="00B6286E">
        <w:trPr>
          <w:trHeight w:val="517"/>
        </w:trPr>
        <w:tc>
          <w:tcPr>
            <w:tcW w:w="1409" w:type="dxa"/>
            <w:vMerge w:val="restart"/>
            <w:tcBorders>
              <w:top w:val="single" w:sz="4" w:space="0" w:color="auto"/>
              <w:left w:val="nil"/>
              <w:bottom w:val="nil"/>
              <w:right w:val="nil"/>
            </w:tcBorders>
          </w:tcPr>
          <w:p w14:paraId="79B62BCB" w14:textId="77777777" w:rsidR="003156EF" w:rsidRPr="00EB468D" w:rsidRDefault="003156EF" w:rsidP="005A7AF3">
            <w:pPr>
              <w:jc w:val="left"/>
              <w:rPr>
                <w:rFonts w:cs="Times New Roman"/>
                <w:b/>
                <w:bCs/>
                <w:color w:val="000000" w:themeColor="text1"/>
                <w:sz w:val="22"/>
                <w:lang w:val="en-US"/>
              </w:rPr>
            </w:pPr>
            <w:r w:rsidRPr="00EB468D">
              <w:rPr>
                <w:rFonts w:cs="Times New Roman"/>
                <w:b/>
                <w:bCs/>
                <w:color w:val="000000" w:themeColor="text1"/>
                <w:sz w:val="22"/>
                <w:lang w:val="en-US"/>
              </w:rPr>
              <w:t>Hierarchy (control)</w:t>
            </w:r>
          </w:p>
        </w:tc>
        <w:tc>
          <w:tcPr>
            <w:tcW w:w="7634" w:type="dxa"/>
            <w:gridSpan w:val="2"/>
            <w:tcBorders>
              <w:top w:val="single" w:sz="4" w:space="0" w:color="auto"/>
              <w:left w:val="nil"/>
              <w:right w:val="nil"/>
            </w:tcBorders>
            <w:vAlign w:val="center"/>
          </w:tcPr>
          <w:p w14:paraId="5CBAF884" w14:textId="77777777" w:rsidR="003156EF" w:rsidRPr="00EB468D" w:rsidRDefault="003156EF" w:rsidP="00AB066F">
            <w:pPr>
              <w:jc w:val="left"/>
              <w:rPr>
                <w:rFonts w:cs="Times New Roman"/>
                <w:color w:val="000000" w:themeColor="text1"/>
                <w:sz w:val="22"/>
                <w:lang w:val="en-US"/>
              </w:rPr>
            </w:pPr>
            <w:r w:rsidRPr="00EB468D">
              <w:rPr>
                <w:rFonts w:cs="Times New Roman"/>
                <w:color w:val="000000" w:themeColor="text1"/>
                <w:sz w:val="22"/>
                <w:lang w:val="en-US"/>
              </w:rPr>
              <w:t>The hierarchical culture emphasizes clear rules, explicit instructions, and strict controls.</w:t>
            </w:r>
          </w:p>
        </w:tc>
      </w:tr>
      <w:tr w:rsidR="003156EF" w:rsidRPr="00AA39E4" w14:paraId="2B161881" w14:textId="77777777" w:rsidTr="00B6286E">
        <w:trPr>
          <w:trHeight w:val="1677"/>
        </w:trPr>
        <w:tc>
          <w:tcPr>
            <w:tcW w:w="1409" w:type="dxa"/>
            <w:vMerge/>
            <w:tcBorders>
              <w:top w:val="nil"/>
              <w:left w:val="nil"/>
              <w:bottom w:val="single" w:sz="4" w:space="0" w:color="auto"/>
              <w:right w:val="nil"/>
            </w:tcBorders>
          </w:tcPr>
          <w:p w14:paraId="2E6BAB70" w14:textId="77777777" w:rsidR="003156EF" w:rsidRPr="00EB468D" w:rsidRDefault="003156EF" w:rsidP="005A7AF3">
            <w:pPr>
              <w:jc w:val="left"/>
              <w:rPr>
                <w:rFonts w:cs="Times New Roman"/>
                <w:color w:val="000000" w:themeColor="text1"/>
                <w:sz w:val="22"/>
                <w:lang w:val="en-US"/>
              </w:rPr>
            </w:pPr>
          </w:p>
        </w:tc>
        <w:tc>
          <w:tcPr>
            <w:tcW w:w="841" w:type="dxa"/>
            <w:tcBorders>
              <w:top w:val="nil"/>
              <w:left w:val="nil"/>
              <w:bottom w:val="single" w:sz="4" w:space="0" w:color="auto"/>
              <w:right w:val="nil"/>
            </w:tcBorders>
          </w:tcPr>
          <w:p w14:paraId="739CA25B" w14:textId="77777777" w:rsidR="003156EF" w:rsidRPr="00EB468D" w:rsidRDefault="003156EF" w:rsidP="00AB066F">
            <w:pPr>
              <w:jc w:val="left"/>
              <w:rPr>
                <w:rFonts w:cs="Times New Roman"/>
                <w:color w:val="000000" w:themeColor="text1"/>
                <w:sz w:val="22"/>
                <w:lang w:val="en-US"/>
              </w:rPr>
            </w:pPr>
            <w:r w:rsidRPr="00EB468D">
              <w:rPr>
                <w:rFonts w:cs="Times New Roman"/>
                <w:color w:val="000000" w:themeColor="text1"/>
                <w:sz w:val="22"/>
                <w:lang w:val="en-US"/>
              </w:rPr>
              <w:t>0.0005</w:t>
            </w:r>
          </w:p>
        </w:tc>
        <w:tc>
          <w:tcPr>
            <w:tcW w:w="6793" w:type="dxa"/>
            <w:tcBorders>
              <w:top w:val="nil"/>
              <w:left w:val="nil"/>
              <w:bottom w:val="single" w:sz="4" w:space="0" w:color="auto"/>
              <w:right w:val="nil"/>
            </w:tcBorders>
          </w:tcPr>
          <w:p w14:paraId="5B0D5F83" w14:textId="77777777" w:rsidR="003156EF" w:rsidRPr="00EB468D" w:rsidRDefault="003156EF" w:rsidP="00AB066F">
            <w:pPr>
              <w:rPr>
                <w:rFonts w:cs="Times New Roman"/>
                <w:color w:val="000000" w:themeColor="text1"/>
                <w:sz w:val="22"/>
                <w:lang w:val="en-US"/>
              </w:rPr>
            </w:pPr>
            <w:r w:rsidRPr="00EB468D">
              <w:rPr>
                <w:rFonts w:cs="Times New Roman"/>
                <w:color w:val="000000" w:themeColor="text1"/>
                <w:sz w:val="22"/>
                <w:lang w:val="en-US"/>
              </w:rPr>
              <w:t>the managers are great people, and very kind. i love all of my coworkers, and i love the work. copy center is fast paced and always different. love getting to know the products and learning as i went. the company makes cuts in the wrong places. cutting part time hours to under 25 a week, to save $4 million a year. but sending the higher ups on vacations. not enough hours. obviously, no benefits.</w:t>
            </w:r>
          </w:p>
        </w:tc>
      </w:tr>
      <w:tr w:rsidR="003156EF" w:rsidRPr="00AA39E4" w14:paraId="7E0C0CE9" w14:textId="77777777" w:rsidTr="00B6286E">
        <w:trPr>
          <w:trHeight w:val="2216"/>
        </w:trPr>
        <w:tc>
          <w:tcPr>
            <w:tcW w:w="1409" w:type="dxa"/>
            <w:vMerge/>
            <w:tcBorders>
              <w:top w:val="nil"/>
              <w:left w:val="nil"/>
              <w:bottom w:val="single" w:sz="4" w:space="0" w:color="auto"/>
              <w:right w:val="nil"/>
            </w:tcBorders>
          </w:tcPr>
          <w:p w14:paraId="09B6E6A2" w14:textId="77777777" w:rsidR="003156EF" w:rsidRPr="00EB468D" w:rsidRDefault="003156EF" w:rsidP="005A7AF3">
            <w:pPr>
              <w:jc w:val="left"/>
              <w:rPr>
                <w:rFonts w:cs="Times New Roman"/>
                <w:color w:val="000000" w:themeColor="text1"/>
                <w:sz w:val="22"/>
                <w:lang w:val="en-US"/>
              </w:rPr>
            </w:pPr>
          </w:p>
        </w:tc>
        <w:tc>
          <w:tcPr>
            <w:tcW w:w="841" w:type="dxa"/>
            <w:tcBorders>
              <w:top w:val="nil"/>
              <w:left w:val="nil"/>
              <w:bottom w:val="single" w:sz="4" w:space="0" w:color="auto"/>
              <w:right w:val="nil"/>
            </w:tcBorders>
          </w:tcPr>
          <w:p w14:paraId="48BA7931" w14:textId="77777777" w:rsidR="003156EF" w:rsidRPr="00EB468D" w:rsidRDefault="003156EF" w:rsidP="00AB066F">
            <w:pPr>
              <w:jc w:val="left"/>
              <w:rPr>
                <w:rFonts w:cs="Times New Roman"/>
                <w:color w:val="000000" w:themeColor="text1"/>
                <w:sz w:val="22"/>
                <w:lang w:val="en-US"/>
              </w:rPr>
            </w:pPr>
            <w:r w:rsidRPr="00EB468D">
              <w:rPr>
                <w:rFonts w:cs="Times New Roman"/>
                <w:color w:val="000000" w:themeColor="text1"/>
                <w:sz w:val="22"/>
                <w:lang w:val="en-US"/>
              </w:rPr>
              <w:t>0.9931</w:t>
            </w:r>
          </w:p>
        </w:tc>
        <w:tc>
          <w:tcPr>
            <w:tcW w:w="6793" w:type="dxa"/>
            <w:tcBorders>
              <w:top w:val="nil"/>
              <w:left w:val="nil"/>
              <w:bottom w:val="single" w:sz="4" w:space="0" w:color="auto"/>
              <w:right w:val="nil"/>
            </w:tcBorders>
          </w:tcPr>
          <w:p w14:paraId="34C82A50" w14:textId="77777777" w:rsidR="003156EF" w:rsidRPr="00EB468D" w:rsidRDefault="003156EF" w:rsidP="00AB066F">
            <w:pPr>
              <w:rPr>
                <w:rFonts w:cs="Times New Roman"/>
                <w:color w:val="000000" w:themeColor="text1"/>
                <w:sz w:val="22"/>
                <w:lang w:val="en-US"/>
              </w:rPr>
            </w:pPr>
            <w:r w:rsidRPr="00EB468D">
              <w:rPr>
                <w:rFonts w:cs="Times New Roman"/>
                <w:color w:val="000000" w:themeColor="text1"/>
                <w:sz w:val="22"/>
                <w:lang w:val="en-US"/>
              </w:rPr>
              <w:t>great benefits for full time employees. it's corporate retail, so long periods of standing, and micro managing everything you do. but the biggest problem is stagnant wages, and when you do get a yearly raise it's in the 1-3% range. not somewhere for a career, unless you want to give up most of your personal time and become a salary slave. then your still going to get small raises, your able to compensate somewhat with the store bonus, depending on your store sales.</w:t>
            </w:r>
          </w:p>
        </w:tc>
      </w:tr>
      <w:tr w:rsidR="003156EF" w:rsidRPr="00BE5632" w14:paraId="670D76E3" w14:textId="77777777" w:rsidTr="00B6286E">
        <w:trPr>
          <w:trHeight w:val="578"/>
        </w:trPr>
        <w:tc>
          <w:tcPr>
            <w:tcW w:w="9043" w:type="dxa"/>
            <w:gridSpan w:val="3"/>
            <w:tcBorders>
              <w:top w:val="single" w:sz="4" w:space="0" w:color="auto"/>
              <w:left w:val="nil"/>
              <w:bottom w:val="nil"/>
              <w:right w:val="nil"/>
            </w:tcBorders>
          </w:tcPr>
          <w:p w14:paraId="2F583C49" w14:textId="77777777" w:rsidR="003156EF" w:rsidRPr="00EB468D" w:rsidRDefault="003156EF" w:rsidP="003108A1">
            <w:pPr>
              <w:spacing w:line="240" w:lineRule="auto"/>
              <w:rPr>
                <w:rFonts w:cs="Times New Roman"/>
                <w:color w:val="000000" w:themeColor="text1"/>
                <w:sz w:val="22"/>
                <w:lang w:val="en-US"/>
              </w:rPr>
            </w:pPr>
            <w:r w:rsidRPr="00EB468D">
              <w:rPr>
                <w:rFonts w:cs="Times New Roman"/>
                <w:i/>
                <w:iCs/>
                <w:color w:val="000000" w:themeColor="text1"/>
                <w:sz w:val="22"/>
                <w:lang w:val="en-US"/>
              </w:rPr>
              <w:t>Note</w:t>
            </w:r>
            <w:r w:rsidRPr="00EB468D">
              <w:rPr>
                <w:rFonts w:cs="Times New Roman"/>
                <w:color w:val="000000" w:themeColor="text1"/>
                <w:sz w:val="22"/>
                <w:lang w:val="en-US"/>
              </w:rPr>
              <w:t>. Score represents the probability score inferred from the CultureBERT transformer model, which was manually pre-trained on 2,000 Glassdoor reviews (Koch and Pasch 2022). Higher values indicate a high affiliation to the respective Competing Values Framework (Cameron et al. 2006) culture dimension. Since the dimensions are not mutually exclusive, a firm’s review can have high affiliations with multiple dimensions.</w:t>
            </w:r>
          </w:p>
        </w:tc>
      </w:tr>
    </w:tbl>
    <w:p w14:paraId="0E9CBD51" w14:textId="77777777" w:rsidR="005A7AF3" w:rsidRDefault="005A7AF3">
      <w:pPr>
        <w:spacing w:after="160" w:line="259" w:lineRule="auto"/>
        <w:jc w:val="left"/>
        <w:rPr>
          <w:rFonts w:eastAsiaTheme="majorEastAsia" w:cstheme="majorBidi"/>
          <w:b/>
          <w:caps/>
          <w:szCs w:val="32"/>
          <w:lang w:val="en-US"/>
        </w:rPr>
      </w:pPr>
      <w:r w:rsidRPr="007E4D6F">
        <w:rPr>
          <w:lang w:val="en-US"/>
        </w:rPr>
        <w:br w:type="page"/>
      </w:r>
    </w:p>
    <w:p w14:paraId="17F0563A" w14:textId="2D937FDB" w:rsidR="00677B96" w:rsidRPr="0011734B" w:rsidRDefault="003156EF" w:rsidP="0011734B">
      <w:pPr>
        <w:pStyle w:val="1fake"/>
      </w:pPr>
      <w:r w:rsidRPr="0011734B">
        <w:lastRenderedPageBreak/>
        <w:t xml:space="preserve">Appendix B </w:t>
      </w:r>
    </w:p>
    <w:p w14:paraId="25FA2159" w14:textId="694DA262" w:rsidR="00106E8D" w:rsidRPr="009579F1" w:rsidRDefault="00106E8D" w:rsidP="00106E8D">
      <w:pPr>
        <w:pStyle w:val="Beschriftung"/>
      </w:pPr>
      <w:bookmarkStart w:id="618" w:name="_Toc180594846"/>
      <w:r>
        <w:t xml:space="preserve">T - III - </w:t>
      </w:r>
      <w:r>
        <w:fldChar w:fldCharType="begin"/>
      </w:r>
      <w:r>
        <w:instrText xml:space="preserve"> SEQ T_-_III_- \* ARABIC </w:instrText>
      </w:r>
      <w:r>
        <w:fldChar w:fldCharType="separate"/>
      </w:r>
      <w:r w:rsidR="00E91088">
        <w:rPr>
          <w:noProof/>
        </w:rPr>
        <w:t>10</w:t>
      </w:r>
      <w:r>
        <w:fldChar w:fldCharType="end"/>
      </w:r>
      <w:r>
        <w:t xml:space="preserve">: </w:t>
      </w:r>
      <w:r w:rsidRPr="000C4A02">
        <w:t>Variable definitions</w:t>
      </w:r>
      <w:bookmarkEnd w:id="618"/>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76"/>
        <w:gridCol w:w="5796"/>
      </w:tblGrid>
      <w:tr w:rsidR="003156EF" w:rsidRPr="00EB468D" w14:paraId="46123682" w14:textId="77777777" w:rsidTr="00B6286E">
        <w:trPr>
          <w:trHeight w:val="525"/>
        </w:trPr>
        <w:tc>
          <w:tcPr>
            <w:tcW w:w="3255" w:type="dxa"/>
            <w:tcBorders>
              <w:top w:val="single" w:sz="4" w:space="0" w:color="auto"/>
              <w:bottom w:val="single" w:sz="4" w:space="0" w:color="auto"/>
            </w:tcBorders>
            <w:tcMar>
              <w:left w:w="108" w:type="dxa"/>
              <w:right w:w="108" w:type="dxa"/>
            </w:tcMar>
            <w:vAlign w:val="center"/>
          </w:tcPr>
          <w:p w14:paraId="7389BCD4" w14:textId="77777777" w:rsidR="003156EF" w:rsidRPr="00EB468D" w:rsidRDefault="003156EF" w:rsidP="005A7AF3">
            <w:pPr>
              <w:jc w:val="left"/>
              <w:rPr>
                <w:rFonts w:cs="Times New Roman"/>
                <w:color w:val="000000" w:themeColor="text1"/>
                <w:sz w:val="22"/>
              </w:rPr>
            </w:pPr>
            <w:r w:rsidRPr="00EB468D">
              <w:rPr>
                <w:rFonts w:cs="Times New Roman"/>
                <w:b/>
                <w:bCs/>
                <w:color w:val="000000" w:themeColor="text1"/>
                <w:sz w:val="22"/>
                <w:lang w:val="en-US"/>
              </w:rPr>
              <w:t>Variable</w:t>
            </w:r>
          </w:p>
        </w:tc>
        <w:tc>
          <w:tcPr>
            <w:tcW w:w="5760" w:type="dxa"/>
            <w:tcBorders>
              <w:top w:val="single" w:sz="4" w:space="0" w:color="auto"/>
              <w:bottom w:val="single" w:sz="4" w:space="0" w:color="auto"/>
            </w:tcBorders>
            <w:tcMar>
              <w:left w:w="108" w:type="dxa"/>
              <w:right w:w="108" w:type="dxa"/>
            </w:tcMar>
            <w:vAlign w:val="center"/>
          </w:tcPr>
          <w:p w14:paraId="061DF37A" w14:textId="77777777" w:rsidR="003156EF" w:rsidRPr="00EB468D" w:rsidRDefault="003156EF" w:rsidP="00D15253">
            <w:pPr>
              <w:rPr>
                <w:rFonts w:cs="Times New Roman"/>
                <w:color w:val="000000" w:themeColor="text1"/>
                <w:sz w:val="22"/>
              </w:rPr>
            </w:pPr>
            <w:r w:rsidRPr="00EB468D">
              <w:rPr>
                <w:rFonts w:cs="Times New Roman"/>
                <w:b/>
                <w:bCs/>
                <w:color w:val="000000" w:themeColor="text1"/>
                <w:sz w:val="22"/>
                <w:lang w:val="en-US"/>
              </w:rPr>
              <w:t>Definition</w:t>
            </w:r>
          </w:p>
        </w:tc>
      </w:tr>
      <w:tr w:rsidR="003156EF" w:rsidRPr="00EB468D" w14:paraId="79F88854" w14:textId="77777777" w:rsidTr="00B6286E">
        <w:trPr>
          <w:trHeight w:val="300"/>
        </w:trPr>
        <w:tc>
          <w:tcPr>
            <w:tcW w:w="3255" w:type="dxa"/>
            <w:tcBorders>
              <w:top w:val="single" w:sz="4" w:space="0" w:color="auto"/>
            </w:tcBorders>
            <w:tcMar>
              <w:left w:w="108" w:type="dxa"/>
              <w:right w:w="108" w:type="dxa"/>
            </w:tcMar>
          </w:tcPr>
          <w:p w14:paraId="43C1F2FE" w14:textId="77777777" w:rsidR="003156EF" w:rsidRPr="00EB468D" w:rsidRDefault="003156EF" w:rsidP="005A7AF3">
            <w:pPr>
              <w:jc w:val="left"/>
              <w:rPr>
                <w:rFonts w:cs="Times New Roman"/>
                <w:color w:val="000000" w:themeColor="text1"/>
                <w:sz w:val="22"/>
              </w:rPr>
            </w:pPr>
            <w:r w:rsidRPr="00EB468D">
              <w:rPr>
                <w:rFonts w:cs="Times New Roman"/>
                <w:b/>
                <w:bCs/>
                <w:color w:val="000000" w:themeColor="text1"/>
                <w:sz w:val="22"/>
                <w:lang w:val="en-US"/>
              </w:rPr>
              <w:t>Independent variables</w:t>
            </w:r>
          </w:p>
        </w:tc>
        <w:tc>
          <w:tcPr>
            <w:tcW w:w="5760" w:type="dxa"/>
            <w:tcBorders>
              <w:top w:val="single" w:sz="4" w:space="0" w:color="auto"/>
            </w:tcBorders>
            <w:tcMar>
              <w:left w:w="108" w:type="dxa"/>
              <w:right w:w="108" w:type="dxa"/>
            </w:tcMar>
          </w:tcPr>
          <w:p w14:paraId="0293C4FB" w14:textId="77777777" w:rsidR="003156EF" w:rsidRPr="00EB468D" w:rsidRDefault="003156EF" w:rsidP="00D15253">
            <w:pPr>
              <w:rPr>
                <w:rFonts w:cs="Times New Roman"/>
                <w:color w:val="000000" w:themeColor="text1"/>
                <w:sz w:val="22"/>
              </w:rPr>
            </w:pPr>
            <w:r w:rsidRPr="00EB468D">
              <w:rPr>
                <w:rFonts w:cs="Times New Roman"/>
                <w:color w:val="000000" w:themeColor="text1"/>
                <w:sz w:val="22"/>
                <w:lang w:val="en-US"/>
              </w:rPr>
              <w:t xml:space="preserve"> </w:t>
            </w:r>
          </w:p>
        </w:tc>
      </w:tr>
      <w:tr w:rsidR="003156EF" w:rsidRPr="00BE5632" w14:paraId="7672D12F" w14:textId="77777777" w:rsidTr="00B6286E">
        <w:trPr>
          <w:trHeight w:val="1185"/>
        </w:trPr>
        <w:tc>
          <w:tcPr>
            <w:tcW w:w="3255" w:type="dxa"/>
            <w:tcMar>
              <w:left w:w="108" w:type="dxa"/>
              <w:right w:w="108" w:type="dxa"/>
            </w:tcMar>
          </w:tcPr>
          <w:p w14:paraId="4E92F2BB" w14:textId="77777777" w:rsidR="003156EF" w:rsidRPr="00EB468D" w:rsidRDefault="003156EF" w:rsidP="005A7AF3">
            <w:pPr>
              <w:jc w:val="left"/>
              <w:rPr>
                <w:rFonts w:cs="Times New Roman"/>
                <w:color w:val="000000" w:themeColor="text1"/>
                <w:sz w:val="22"/>
              </w:rPr>
            </w:pPr>
            <w:r w:rsidRPr="00EB468D">
              <w:rPr>
                <w:rFonts w:cs="Times New Roman"/>
                <w:i/>
                <w:iCs/>
                <w:color w:val="000000" w:themeColor="text1"/>
                <w:sz w:val="22"/>
                <w:lang w:val="en-US"/>
              </w:rPr>
              <w:t>acq_clan_culture</w:t>
            </w:r>
          </w:p>
        </w:tc>
        <w:tc>
          <w:tcPr>
            <w:tcW w:w="5760" w:type="dxa"/>
            <w:tcMar>
              <w:left w:w="108" w:type="dxa"/>
              <w:right w:w="108" w:type="dxa"/>
            </w:tcMar>
          </w:tcPr>
          <w:p w14:paraId="7676D635"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t xml:space="preserve">Probability score is determined by applying the CultureBERT transformer (Koch &amp; Pasch, 2022) to firms’ Glassdoor textual reviews. Bound between 0 and 1, with values close to 1 indicating a high clan affiliation. Firms’ culture scores are first averaged by year and then averaged over all years until deal announcement. </w:t>
            </w:r>
          </w:p>
          <w:p w14:paraId="4804AD22"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t>Analogously for the other three competing value framework dimensions (adhocracy, market, hierarchy). Examples for the four dimensions are provided in Appendix A</w:t>
            </w:r>
          </w:p>
        </w:tc>
      </w:tr>
      <w:tr w:rsidR="003156EF" w:rsidRPr="00BE5632" w14:paraId="226B4B86" w14:textId="77777777" w:rsidTr="00B6286E">
        <w:trPr>
          <w:trHeight w:val="1155"/>
        </w:trPr>
        <w:tc>
          <w:tcPr>
            <w:tcW w:w="3255" w:type="dxa"/>
            <w:tcMar>
              <w:left w:w="108" w:type="dxa"/>
              <w:right w:w="108" w:type="dxa"/>
            </w:tcMar>
          </w:tcPr>
          <w:p w14:paraId="2DCFDE21" w14:textId="77777777" w:rsidR="003156EF" w:rsidRPr="00EB468D" w:rsidRDefault="003156EF" w:rsidP="005A7AF3">
            <w:pPr>
              <w:jc w:val="left"/>
              <w:rPr>
                <w:rFonts w:cs="Times New Roman"/>
                <w:color w:val="000000" w:themeColor="text1"/>
                <w:sz w:val="22"/>
              </w:rPr>
            </w:pPr>
            <w:r w:rsidRPr="00EB468D">
              <w:rPr>
                <w:rFonts w:cs="Times New Roman"/>
                <w:i/>
                <w:iCs/>
                <w:color w:val="000000" w:themeColor="text1"/>
                <w:sz w:val="22"/>
                <w:lang w:val="en-US"/>
              </w:rPr>
              <w:t>deal_clan_culture_abs</w:t>
            </w:r>
          </w:p>
        </w:tc>
        <w:tc>
          <w:tcPr>
            <w:tcW w:w="5760" w:type="dxa"/>
            <w:tcMar>
              <w:left w:w="108" w:type="dxa"/>
              <w:right w:w="108" w:type="dxa"/>
            </w:tcMar>
          </w:tcPr>
          <w:p w14:paraId="1A895AC1"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t xml:space="preserve">Absolute difference between the acquirer’s and target’s clan culture. Analogously for the other three competing value framework dimensions (adhocracy, market, hierarchy) </w:t>
            </w:r>
          </w:p>
        </w:tc>
      </w:tr>
      <w:tr w:rsidR="003156EF" w:rsidRPr="00BE5632" w14:paraId="22536B21" w14:textId="77777777" w:rsidTr="00B6286E">
        <w:trPr>
          <w:trHeight w:val="300"/>
        </w:trPr>
        <w:tc>
          <w:tcPr>
            <w:tcW w:w="3255" w:type="dxa"/>
            <w:tcMar>
              <w:left w:w="108" w:type="dxa"/>
              <w:right w:w="108" w:type="dxa"/>
            </w:tcMar>
          </w:tcPr>
          <w:p w14:paraId="093D0A02" w14:textId="77777777" w:rsidR="003156EF" w:rsidRPr="00EB468D" w:rsidRDefault="003156EF" w:rsidP="005A7AF3">
            <w:pPr>
              <w:jc w:val="left"/>
              <w:rPr>
                <w:rFonts w:cs="Times New Roman"/>
                <w:color w:val="000000" w:themeColor="text1"/>
                <w:sz w:val="22"/>
              </w:rPr>
            </w:pPr>
            <w:r w:rsidRPr="00EB468D">
              <w:rPr>
                <w:rFonts w:cs="Times New Roman"/>
                <w:i/>
                <w:iCs/>
                <w:color w:val="000000" w:themeColor="text1"/>
                <w:sz w:val="22"/>
                <w:lang w:val="en-US"/>
              </w:rPr>
              <w:t>deal_culturaldistance</w:t>
            </w:r>
          </w:p>
        </w:tc>
        <w:tc>
          <w:tcPr>
            <w:tcW w:w="5760" w:type="dxa"/>
            <w:tcMar>
              <w:left w:w="108" w:type="dxa"/>
              <w:right w:w="108" w:type="dxa"/>
            </w:tcMar>
          </w:tcPr>
          <w:p w14:paraId="05B5964B"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t xml:space="preserve">Organizational cultural index, adapted from Kogut and Singh (1988) and corrected for quadratic influences according to recommendations from Konara and Mohr (2019). It measures the distance between the acquirer’s and target’s four cultural Competing Values Framework dimensions. Higher values indicate a higher organizational cultural distance between the acquirer and target. </w:t>
            </w:r>
          </w:p>
        </w:tc>
      </w:tr>
      <w:tr w:rsidR="003156EF" w:rsidRPr="00BE5632" w14:paraId="007AE38F" w14:textId="77777777" w:rsidTr="00B6286E">
        <w:trPr>
          <w:trHeight w:val="300"/>
        </w:trPr>
        <w:tc>
          <w:tcPr>
            <w:tcW w:w="3255" w:type="dxa"/>
            <w:tcMar>
              <w:left w:w="108" w:type="dxa"/>
              <w:right w:w="108" w:type="dxa"/>
            </w:tcMar>
          </w:tcPr>
          <w:p w14:paraId="75418715" w14:textId="77777777" w:rsidR="003156EF" w:rsidRPr="00EB468D" w:rsidRDefault="003156EF" w:rsidP="005A7AF3">
            <w:pPr>
              <w:jc w:val="left"/>
              <w:rPr>
                <w:rFonts w:cs="Times New Roman"/>
                <w:i/>
                <w:iCs/>
                <w:color w:val="000000" w:themeColor="text1"/>
                <w:sz w:val="22"/>
                <w:lang w:val="en-US"/>
              </w:rPr>
            </w:pPr>
            <w:r w:rsidRPr="00EB468D">
              <w:rPr>
                <w:rFonts w:cs="Times New Roman"/>
                <w:i/>
                <w:iCs/>
                <w:color w:val="000000" w:themeColor="text1"/>
                <w:sz w:val="22"/>
                <w:lang w:val="en-US"/>
              </w:rPr>
              <w:t>deal_culturaldistance_js</w:t>
            </w:r>
          </w:p>
        </w:tc>
        <w:tc>
          <w:tcPr>
            <w:tcW w:w="5760" w:type="dxa"/>
            <w:tcMar>
              <w:left w:w="108" w:type="dxa"/>
              <w:right w:w="108" w:type="dxa"/>
            </w:tcMar>
          </w:tcPr>
          <w:p w14:paraId="6DE83660"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t>Jensen–Shannon (JS) divergence between the acquirers and targets CVF probability distributions. The measure was adapted from Corritore et al. (2020). Higher values indicate a higher cultural divergence between the acquirer and target.</w:t>
            </w:r>
          </w:p>
        </w:tc>
      </w:tr>
      <w:tr w:rsidR="003156EF" w:rsidRPr="00BE5632" w14:paraId="1FBAE67E" w14:textId="77777777" w:rsidTr="00B6286E">
        <w:trPr>
          <w:trHeight w:val="300"/>
        </w:trPr>
        <w:tc>
          <w:tcPr>
            <w:tcW w:w="3255" w:type="dxa"/>
            <w:tcMar>
              <w:left w:w="108" w:type="dxa"/>
              <w:right w:w="108" w:type="dxa"/>
            </w:tcMar>
          </w:tcPr>
          <w:p w14:paraId="0578A0F8" w14:textId="77777777" w:rsidR="003156EF" w:rsidRPr="00EB468D" w:rsidRDefault="003156EF" w:rsidP="005A7AF3">
            <w:pPr>
              <w:jc w:val="left"/>
              <w:rPr>
                <w:rFonts w:cs="Times New Roman"/>
                <w:i/>
                <w:iCs/>
                <w:color w:val="000000" w:themeColor="text1"/>
                <w:sz w:val="22"/>
                <w:lang w:val="en-US"/>
              </w:rPr>
            </w:pPr>
            <w:r w:rsidRPr="00EB468D">
              <w:rPr>
                <w:rFonts w:cs="Times New Roman"/>
                <w:i/>
                <w:iCs/>
                <w:color w:val="000000" w:themeColor="text1"/>
                <w:sz w:val="22"/>
                <w:lang w:val="en-US"/>
              </w:rPr>
              <w:lastRenderedPageBreak/>
              <w:t>deal_culturaldistance_eucl</w:t>
            </w:r>
          </w:p>
        </w:tc>
        <w:tc>
          <w:tcPr>
            <w:tcW w:w="5760" w:type="dxa"/>
            <w:tcMar>
              <w:left w:w="108" w:type="dxa"/>
              <w:right w:w="108" w:type="dxa"/>
            </w:tcMar>
          </w:tcPr>
          <w:p w14:paraId="7FC41086"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t xml:space="preserve">Euclidean distance between the acquirers and targets. It is defined as </w:t>
            </w:r>
            <m:oMath>
              <m:sSub>
                <m:sSubPr>
                  <m:ctrlPr>
                    <w:rPr>
                      <w:rFonts w:ascii="Cambria Math" w:hAnsi="Cambria Math" w:cs="Times New Roman"/>
                      <w:i/>
                      <w:iCs/>
                      <w:color w:val="000000" w:themeColor="text1"/>
                      <w:sz w:val="22"/>
                      <w:lang w:val="en-US"/>
                    </w:rPr>
                  </m:ctrlPr>
                </m:sSubPr>
                <m:e>
                  <m:r>
                    <w:rPr>
                      <w:rFonts w:ascii="Cambria Math" w:hAnsi="Cambria Math" w:cs="Times New Roman"/>
                      <w:color w:val="000000" w:themeColor="text1"/>
                      <w:sz w:val="22"/>
                      <w:lang w:val="en-US"/>
                    </w:rPr>
                    <m:t>deal_culturaldistance_eucl</m:t>
                  </m:r>
                </m:e>
                <m:sub>
                  <m:r>
                    <w:rPr>
                      <w:rFonts w:ascii="Cambria Math" w:hAnsi="Cambria Math" w:cs="Times New Roman"/>
                      <w:color w:val="000000" w:themeColor="text1"/>
                      <w:sz w:val="22"/>
                      <w:lang w:val="en-US"/>
                    </w:rPr>
                    <m:t>i,j</m:t>
                  </m:r>
                </m:sub>
              </m:sSub>
              <m:r>
                <w:rPr>
                  <w:rFonts w:ascii="Cambria Math" w:hAnsi="Cambria Math" w:cs="Times New Roman"/>
                  <w:color w:val="000000" w:themeColor="text1"/>
                  <w:sz w:val="22"/>
                  <w:lang w:val="en-US"/>
                </w:rPr>
                <m:t xml:space="preserve">= </m:t>
              </m:r>
              <m:rad>
                <m:radPr>
                  <m:degHide m:val="1"/>
                  <m:ctrlPr>
                    <w:rPr>
                      <w:rFonts w:ascii="Cambria Math" w:hAnsi="Cambria Math" w:cs="Times New Roman"/>
                      <w:i/>
                      <w:iCs/>
                      <w:color w:val="000000" w:themeColor="text1"/>
                      <w:sz w:val="22"/>
                      <w:lang w:val="en-US"/>
                    </w:rPr>
                  </m:ctrlPr>
                </m:radPr>
                <m:deg/>
                <m:e>
                  <m:nary>
                    <m:naryPr>
                      <m:chr m:val="∑"/>
                      <m:limLoc m:val="undOvr"/>
                      <m:ctrlPr>
                        <w:rPr>
                          <w:rFonts w:ascii="Cambria Math" w:hAnsi="Cambria Math" w:cs="Times New Roman"/>
                          <w:i/>
                          <w:iCs/>
                          <w:color w:val="000000" w:themeColor="text1"/>
                          <w:sz w:val="22"/>
                          <w:lang w:val="en-US"/>
                        </w:rPr>
                      </m:ctrlPr>
                    </m:naryPr>
                    <m:sub>
                      <m:r>
                        <w:rPr>
                          <w:rFonts w:ascii="Cambria Math" w:hAnsi="Cambria Math" w:cs="Times New Roman"/>
                          <w:color w:val="000000" w:themeColor="text1"/>
                          <w:sz w:val="22"/>
                          <w:lang w:val="en-US"/>
                        </w:rPr>
                        <m:t>i=1</m:t>
                      </m:r>
                    </m:sub>
                    <m:sup>
                      <m:r>
                        <w:rPr>
                          <w:rFonts w:ascii="Cambria Math" w:hAnsi="Cambria Math" w:cs="Times New Roman"/>
                          <w:color w:val="000000" w:themeColor="text1"/>
                          <w:sz w:val="22"/>
                          <w:lang w:val="en-US"/>
                        </w:rPr>
                        <m:t>k</m:t>
                      </m:r>
                    </m:sup>
                    <m:e>
                      <m:sSup>
                        <m:sSupPr>
                          <m:ctrlPr>
                            <w:rPr>
                              <w:rFonts w:ascii="Cambria Math" w:hAnsi="Cambria Math" w:cs="Times New Roman"/>
                              <w:i/>
                              <w:iCs/>
                              <w:color w:val="000000" w:themeColor="text1"/>
                              <w:sz w:val="22"/>
                              <w:lang w:val="en-US"/>
                            </w:rPr>
                          </m:ctrlPr>
                        </m:sSupPr>
                        <m:e>
                          <m:r>
                            <w:rPr>
                              <w:rFonts w:ascii="Cambria Math" w:hAnsi="Cambria Math" w:cs="Times New Roman"/>
                              <w:color w:val="000000" w:themeColor="text1"/>
                              <w:sz w:val="22"/>
                              <w:lang w:val="en-US"/>
                            </w:rPr>
                            <m:t>(</m:t>
                          </m:r>
                          <m:sSub>
                            <m:sSubPr>
                              <m:ctrlPr>
                                <w:rPr>
                                  <w:rFonts w:ascii="Cambria Math" w:hAnsi="Cambria Math" w:cs="Times New Roman"/>
                                  <w:i/>
                                  <w:iCs/>
                                  <w:color w:val="000000" w:themeColor="text1"/>
                                  <w:sz w:val="22"/>
                                  <w:lang w:val="en-US"/>
                                </w:rPr>
                              </m:ctrlPr>
                            </m:sSubPr>
                            <m:e>
                              <m:r>
                                <w:rPr>
                                  <w:rFonts w:ascii="Cambria Math" w:hAnsi="Cambria Math" w:cs="Times New Roman"/>
                                  <w:color w:val="000000" w:themeColor="text1"/>
                                  <w:sz w:val="22"/>
                                  <w:lang w:val="en-US"/>
                                </w:rPr>
                                <m:t>a</m:t>
                              </m:r>
                            </m:e>
                            <m:sub>
                              <m:r>
                                <w:rPr>
                                  <w:rFonts w:ascii="Cambria Math" w:hAnsi="Cambria Math" w:cs="Times New Roman"/>
                                  <w:color w:val="000000" w:themeColor="text1"/>
                                  <w:sz w:val="22"/>
                                  <w:lang w:val="en-US"/>
                                </w:rPr>
                                <m:t>i</m:t>
                              </m:r>
                            </m:sub>
                          </m:sSub>
                          <m:r>
                            <w:rPr>
                              <w:rFonts w:ascii="Cambria Math" w:hAnsi="Cambria Math" w:cs="Times New Roman"/>
                              <w:color w:val="000000" w:themeColor="text1"/>
                              <w:sz w:val="22"/>
                              <w:lang w:val="en-US"/>
                            </w:rPr>
                            <m:t>-</m:t>
                          </m:r>
                          <m:sSub>
                            <m:sSubPr>
                              <m:ctrlPr>
                                <w:rPr>
                                  <w:rFonts w:ascii="Cambria Math" w:hAnsi="Cambria Math" w:cs="Times New Roman"/>
                                  <w:i/>
                                  <w:iCs/>
                                  <w:color w:val="000000" w:themeColor="text1"/>
                                  <w:sz w:val="22"/>
                                  <w:lang w:val="en-US"/>
                                </w:rPr>
                              </m:ctrlPr>
                            </m:sSubPr>
                            <m:e>
                              <m:r>
                                <w:rPr>
                                  <w:rFonts w:ascii="Cambria Math" w:hAnsi="Cambria Math" w:cs="Times New Roman"/>
                                  <w:color w:val="000000" w:themeColor="text1"/>
                                  <w:sz w:val="22"/>
                                  <w:lang w:val="en-US"/>
                                </w:rPr>
                                <m:t>a</m:t>
                              </m:r>
                            </m:e>
                            <m:sub>
                              <m:r>
                                <w:rPr>
                                  <w:rFonts w:ascii="Cambria Math" w:hAnsi="Cambria Math" w:cs="Times New Roman"/>
                                  <w:color w:val="000000" w:themeColor="text1"/>
                                  <w:sz w:val="22"/>
                                  <w:lang w:val="en-US"/>
                                </w:rPr>
                                <m:t>j</m:t>
                              </m:r>
                            </m:sub>
                          </m:sSub>
                          <m:r>
                            <w:rPr>
                              <w:rFonts w:ascii="Cambria Math" w:hAnsi="Cambria Math" w:cs="Times New Roman"/>
                              <w:color w:val="000000" w:themeColor="text1"/>
                              <w:sz w:val="22"/>
                              <w:lang w:val="en-US"/>
                            </w:rPr>
                            <m:t>)</m:t>
                          </m:r>
                        </m:e>
                        <m:sup>
                          <m:r>
                            <w:rPr>
                              <w:rFonts w:ascii="Cambria Math" w:hAnsi="Cambria Math" w:cs="Times New Roman"/>
                              <w:color w:val="000000" w:themeColor="text1"/>
                              <w:sz w:val="22"/>
                              <w:lang w:val="en-US"/>
                            </w:rPr>
                            <m:t>2</m:t>
                          </m:r>
                        </m:sup>
                      </m:sSup>
                    </m:e>
                  </m:nary>
                </m:e>
              </m:rad>
            </m:oMath>
            <w:r w:rsidRPr="00EB468D">
              <w:rPr>
                <w:rFonts w:cs="Times New Roman"/>
                <w:iCs/>
                <w:color w:val="000000" w:themeColor="text1"/>
                <w:sz w:val="22"/>
                <w:lang w:val="en-US"/>
              </w:rPr>
              <w:t xml:space="preserve"> </w:t>
            </w:r>
            <w:r w:rsidRPr="00EB468D">
              <w:rPr>
                <w:rFonts w:cs="Times New Roman"/>
                <w:color w:val="000000" w:themeColor="text1"/>
                <w:sz w:val="22"/>
                <w:lang w:val="en-US"/>
              </w:rPr>
              <w:t>and measures the distance between the four cultural dimensions of the CFV of the acquirer and target. Higher values indicate greater organizational cultural distance between the acquirer and the target.</w:t>
            </w:r>
          </w:p>
        </w:tc>
      </w:tr>
      <w:tr w:rsidR="003156EF" w:rsidRPr="00BE5632" w14:paraId="655AA657" w14:textId="77777777" w:rsidTr="00B6286E">
        <w:trPr>
          <w:trHeight w:val="300"/>
        </w:trPr>
        <w:tc>
          <w:tcPr>
            <w:tcW w:w="3255" w:type="dxa"/>
            <w:tcMar>
              <w:left w:w="108" w:type="dxa"/>
              <w:right w:w="108" w:type="dxa"/>
            </w:tcMar>
          </w:tcPr>
          <w:p w14:paraId="60292319" w14:textId="77777777" w:rsidR="003156EF" w:rsidRPr="00EB468D" w:rsidRDefault="003156EF" w:rsidP="005A7AF3">
            <w:pPr>
              <w:jc w:val="left"/>
              <w:rPr>
                <w:rFonts w:cs="Times New Roman"/>
                <w:i/>
                <w:iCs/>
                <w:color w:val="000000" w:themeColor="text1"/>
                <w:sz w:val="22"/>
                <w:lang w:val="en-US"/>
              </w:rPr>
            </w:pPr>
            <w:r w:rsidRPr="00EB468D">
              <w:rPr>
                <w:rFonts w:cs="Times New Roman"/>
                <w:i/>
                <w:iCs/>
                <w:color w:val="000000" w:themeColor="text1"/>
                <w:sz w:val="22"/>
                <w:lang w:val="en-US"/>
              </w:rPr>
              <w:t>deal_culturaldistance_maha</w:t>
            </w:r>
          </w:p>
        </w:tc>
        <w:tc>
          <w:tcPr>
            <w:tcW w:w="5760" w:type="dxa"/>
            <w:tcMar>
              <w:left w:w="108" w:type="dxa"/>
              <w:right w:w="108" w:type="dxa"/>
            </w:tcMar>
          </w:tcPr>
          <w:p w14:paraId="2534602F"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t>Mahanalobis distance measures the distance between the four cultural dimensions of the Competing Values Framework of the acquirer and the target. It was introduced to the cultural distance literature by Berry et al. (2010) and corrects for potential correlation among the CVF dimensions. Higher values indicate greater organizational cultural distance between the acquirer and the target.</w:t>
            </w:r>
          </w:p>
        </w:tc>
      </w:tr>
      <w:tr w:rsidR="003156EF" w:rsidRPr="00BE5632" w14:paraId="3E081171" w14:textId="77777777" w:rsidTr="00B6286E">
        <w:trPr>
          <w:trHeight w:val="300"/>
        </w:trPr>
        <w:tc>
          <w:tcPr>
            <w:tcW w:w="3255" w:type="dxa"/>
            <w:tcMar>
              <w:left w:w="108" w:type="dxa"/>
              <w:right w:w="108" w:type="dxa"/>
            </w:tcMar>
          </w:tcPr>
          <w:p w14:paraId="61AC4B71" w14:textId="77777777" w:rsidR="003156EF" w:rsidRPr="00EB468D" w:rsidRDefault="003156EF" w:rsidP="005A7AF3">
            <w:pPr>
              <w:jc w:val="left"/>
              <w:rPr>
                <w:rFonts w:cs="Times New Roman"/>
                <w:i/>
                <w:iCs/>
                <w:color w:val="000000" w:themeColor="text1"/>
                <w:sz w:val="22"/>
                <w:lang w:val="en-US"/>
              </w:rPr>
            </w:pPr>
            <w:r w:rsidRPr="00EB468D">
              <w:rPr>
                <w:rFonts w:cs="Times New Roman"/>
                <w:i/>
                <w:iCs/>
                <w:color w:val="000000" w:themeColor="text1"/>
                <w:sz w:val="22"/>
                <w:lang w:val="en-US"/>
              </w:rPr>
              <w:t>deal_culturaldistance_quadr</w:t>
            </w:r>
          </w:p>
        </w:tc>
        <w:tc>
          <w:tcPr>
            <w:tcW w:w="5760" w:type="dxa"/>
            <w:tcMar>
              <w:left w:w="108" w:type="dxa"/>
              <w:right w:w="108" w:type="dxa"/>
            </w:tcMar>
          </w:tcPr>
          <w:p w14:paraId="29D72736"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t xml:space="preserve">This variable is the squared value of the </w:t>
            </w:r>
            <w:r w:rsidRPr="00EB468D">
              <w:rPr>
                <w:rFonts w:cs="Times New Roman"/>
                <w:i/>
                <w:iCs/>
                <w:color w:val="000000" w:themeColor="text1"/>
                <w:sz w:val="22"/>
                <w:lang w:val="en-US"/>
              </w:rPr>
              <w:t>deal_culturaldistance</w:t>
            </w:r>
            <w:r w:rsidRPr="00EB468D">
              <w:rPr>
                <w:rFonts w:cs="Times New Roman"/>
                <w:color w:val="000000" w:themeColor="text1"/>
                <w:sz w:val="22"/>
                <w:lang w:val="en-US"/>
              </w:rPr>
              <w:t xml:space="preserve"> variable. It is used to test for nonlinear relationships in our robustness checks.</w:t>
            </w:r>
          </w:p>
        </w:tc>
      </w:tr>
      <w:tr w:rsidR="003156EF" w:rsidRPr="00BE5632" w14:paraId="6E2E2413" w14:textId="77777777" w:rsidTr="00B6286E">
        <w:trPr>
          <w:trHeight w:val="300"/>
        </w:trPr>
        <w:tc>
          <w:tcPr>
            <w:tcW w:w="3255" w:type="dxa"/>
            <w:tcBorders>
              <w:bottom w:val="single" w:sz="4" w:space="0" w:color="auto"/>
            </w:tcBorders>
            <w:tcMar>
              <w:left w:w="108" w:type="dxa"/>
              <w:right w:w="108" w:type="dxa"/>
            </w:tcMar>
          </w:tcPr>
          <w:p w14:paraId="5691F930" w14:textId="77777777" w:rsidR="003156EF" w:rsidRPr="00EB468D" w:rsidRDefault="003156EF" w:rsidP="005A7AF3">
            <w:pPr>
              <w:jc w:val="left"/>
              <w:rPr>
                <w:rFonts w:cs="Times New Roman"/>
                <w:i/>
                <w:iCs/>
                <w:color w:val="000000" w:themeColor="text1"/>
                <w:sz w:val="22"/>
                <w:lang w:val="en-US"/>
              </w:rPr>
            </w:pPr>
            <w:r w:rsidRPr="00EB468D">
              <w:rPr>
                <w:rFonts w:cs="Times New Roman"/>
                <w:i/>
                <w:iCs/>
                <w:color w:val="000000" w:themeColor="text1"/>
                <w:sz w:val="22"/>
                <w:lang w:val="en-US"/>
              </w:rPr>
              <w:t>deal_high_culturaldistance</w:t>
            </w:r>
          </w:p>
        </w:tc>
        <w:tc>
          <w:tcPr>
            <w:tcW w:w="5760" w:type="dxa"/>
            <w:tcBorders>
              <w:bottom w:val="single" w:sz="4" w:space="0" w:color="auto"/>
            </w:tcBorders>
            <w:tcMar>
              <w:left w:w="108" w:type="dxa"/>
              <w:right w:w="108" w:type="dxa"/>
            </w:tcMar>
          </w:tcPr>
          <w:p w14:paraId="391177CF"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t xml:space="preserve">This binary indicator variable indicates whether the organizational cultural distance between acquirer and target is greater than the 0.8 percentile as measured by </w:t>
            </w:r>
            <w:r w:rsidRPr="00EB468D">
              <w:rPr>
                <w:rFonts w:cs="Times New Roman"/>
                <w:i/>
                <w:iCs/>
                <w:color w:val="000000" w:themeColor="text1"/>
                <w:sz w:val="22"/>
                <w:lang w:val="en-US"/>
              </w:rPr>
              <w:t>deal_culturaldistance</w:t>
            </w:r>
            <w:r w:rsidRPr="00EB468D">
              <w:rPr>
                <w:rFonts w:cs="Times New Roman"/>
                <w:color w:val="000000" w:themeColor="text1"/>
                <w:sz w:val="22"/>
                <w:lang w:val="en-US"/>
              </w:rPr>
              <w:t>.</w:t>
            </w:r>
          </w:p>
        </w:tc>
      </w:tr>
      <w:tr w:rsidR="003156EF" w:rsidRPr="00EB468D" w14:paraId="299B890B" w14:textId="77777777" w:rsidTr="00B6286E">
        <w:trPr>
          <w:trHeight w:val="300"/>
        </w:trPr>
        <w:tc>
          <w:tcPr>
            <w:tcW w:w="3255" w:type="dxa"/>
            <w:tcBorders>
              <w:top w:val="single" w:sz="4" w:space="0" w:color="auto"/>
            </w:tcBorders>
            <w:tcMar>
              <w:left w:w="108" w:type="dxa"/>
              <w:right w:w="108" w:type="dxa"/>
            </w:tcMar>
          </w:tcPr>
          <w:p w14:paraId="7B2AF1F9" w14:textId="77777777" w:rsidR="003156EF" w:rsidRPr="00EB468D" w:rsidRDefault="003156EF" w:rsidP="005A7AF3">
            <w:pPr>
              <w:jc w:val="left"/>
              <w:rPr>
                <w:rFonts w:cs="Times New Roman"/>
                <w:color w:val="000000" w:themeColor="text1"/>
                <w:sz w:val="22"/>
                <w:lang w:val="en-US"/>
              </w:rPr>
            </w:pPr>
            <w:r w:rsidRPr="00EB468D">
              <w:rPr>
                <w:rFonts w:cs="Times New Roman"/>
                <w:b/>
                <w:bCs/>
                <w:color w:val="000000" w:themeColor="text1"/>
                <w:sz w:val="22"/>
                <w:lang w:val="en-US"/>
              </w:rPr>
              <w:t>Dependent variables</w:t>
            </w:r>
          </w:p>
        </w:tc>
        <w:tc>
          <w:tcPr>
            <w:tcW w:w="5760" w:type="dxa"/>
            <w:tcBorders>
              <w:top w:val="single" w:sz="4" w:space="0" w:color="auto"/>
            </w:tcBorders>
            <w:tcMar>
              <w:left w:w="108" w:type="dxa"/>
              <w:right w:w="108" w:type="dxa"/>
            </w:tcMar>
          </w:tcPr>
          <w:p w14:paraId="3991CE13"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t xml:space="preserve"> </w:t>
            </w:r>
          </w:p>
        </w:tc>
      </w:tr>
      <w:tr w:rsidR="003156EF" w:rsidRPr="00BE5632" w14:paraId="6B822087" w14:textId="77777777" w:rsidTr="00B6286E">
        <w:trPr>
          <w:trHeight w:val="611"/>
        </w:trPr>
        <w:tc>
          <w:tcPr>
            <w:tcW w:w="3255" w:type="dxa"/>
            <w:tcMar>
              <w:left w:w="108" w:type="dxa"/>
              <w:right w:w="108" w:type="dxa"/>
            </w:tcMar>
          </w:tcPr>
          <w:p w14:paraId="4EE5322D" w14:textId="77777777" w:rsidR="003156EF" w:rsidRPr="00EB468D" w:rsidRDefault="003156EF" w:rsidP="005A7AF3">
            <w:pPr>
              <w:jc w:val="left"/>
              <w:rPr>
                <w:rFonts w:cs="Times New Roman"/>
                <w:color w:val="000000" w:themeColor="text1"/>
                <w:sz w:val="22"/>
                <w:lang w:val="en-US"/>
              </w:rPr>
            </w:pPr>
            <w:r w:rsidRPr="00EB468D">
              <w:rPr>
                <w:rFonts w:cs="Times New Roman"/>
                <w:i/>
                <w:iCs/>
                <w:color w:val="000000" w:themeColor="text1"/>
                <w:sz w:val="22"/>
                <w:lang w:val="en-US"/>
              </w:rPr>
              <w:t>acq_car5, acq_car10</w:t>
            </w:r>
          </w:p>
        </w:tc>
        <w:tc>
          <w:tcPr>
            <w:tcW w:w="5760" w:type="dxa"/>
            <w:tcMar>
              <w:left w:w="108" w:type="dxa"/>
              <w:right w:w="108" w:type="dxa"/>
            </w:tcMar>
          </w:tcPr>
          <w:p w14:paraId="49C2D79E"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t xml:space="preserve">Acquirer’s cumulative abnormal returns based on market-adjusted returns measured over 10 (20) days around the acquisition announcement. The daily abnormal return is calculated as: </w:t>
            </w:r>
            <w:r w:rsidRPr="00EB468D">
              <w:rPr>
                <w:rFonts w:cs="Times New Roman"/>
                <w:i/>
                <w:color w:val="000000" w:themeColor="text1"/>
                <w:sz w:val="22"/>
                <w:lang w:val="en-US"/>
              </w:rPr>
              <w:br/>
            </w:r>
            <m:oMathPara>
              <m:oMath>
                <m:r>
                  <w:rPr>
                    <w:rFonts w:ascii="Cambria Math" w:hAnsi="Cambria Math" w:cs="Times New Roman"/>
                    <w:color w:val="000000" w:themeColor="text1"/>
                    <w:sz w:val="22"/>
                  </w:rPr>
                  <m:t>A</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R</m:t>
                    </m:r>
                  </m:e>
                  <m:sub>
                    <m:r>
                      <w:rPr>
                        <w:rFonts w:ascii="Cambria Math" w:hAnsi="Cambria Math" w:cs="Times New Roman"/>
                        <w:color w:val="000000" w:themeColor="text1"/>
                        <w:sz w:val="22"/>
                      </w:rPr>
                      <m:t>i</m:t>
                    </m:r>
                    <m:r>
                      <w:rPr>
                        <w:rFonts w:ascii="Cambria Math" w:hAnsi="Cambria Math" w:cs="Times New Roman"/>
                        <w:color w:val="000000" w:themeColor="text1"/>
                        <w:sz w:val="22"/>
                        <w:lang w:val="en-US"/>
                      </w:rPr>
                      <m:t>,</m:t>
                    </m:r>
                    <m:r>
                      <w:rPr>
                        <w:rFonts w:ascii="Cambria Math" w:hAnsi="Cambria Math" w:cs="Times New Roman"/>
                        <w:color w:val="000000" w:themeColor="text1"/>
                        <w:sz w:val="22"/>
                      </w:rPr>
                      <m:t>t</m:t>
                    </m:r>
                  </m:sub>
                </m:sSub>
                <m:r>
                  <w:rPr>
                    <w:rFonts w:ascii="Cambria Math" w:hAnsi="Cambria Math" w:cs="Times New Roman"/>
                    <w:color w:val="000000" w:themeColor="text1"/>
                    <w:sz w:val="22"/>
                    <w:lang w:val="en-US"/>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R</m:t>
                    </m:r>
                  </m:e>
                  <m:sub>
                    <m:r>
                      <w:rPr>
                        <w:rFonts w:ascii="Cambria Math" w:hAnsi="Cambria Math" w:cs="Times New Roman"/>
                        <w:color w:val="000000" w:themeColor="text1"/>
                        <w:sz w:val="22"/>
                      </w:rPr>
                      <m:t>i</m:t>
                    </m:r>
                    <m:r>
                      <w:rPr>
                        <w:rFonts w:ascii="Cambria Math" w:hAnsi="Cambria Math" w:cs="Times New Roman"/>
                        <w:color w:val="000000" w:themeColor="text1"/>
                        <w:sz w:val="22"/>
                        <w:lang w:val="en-US"/>
                      </w:rPr>
                      <m:t>,</m:t>
                    </m:r>
                    <m:r>
                      <w:rPr>
                        <w:rFonts w:ascii="Cambria Math" w:hAnsi="Cambria Math" w:cs="Times New Roman"/>
                        <w:color w:val="000000" w:themeColor="text1"/>
                        <w:sz w:val="22"/>
                      </w:rPr>
                      <m:t>t</m:t>
                    </m:r>
                  </m:sub>
                </m:sSub>
                <m:r>
                  <w:rPr>
                    <w:rFonts w:ascii="Cambria Math" w:hAnsi="Cambria Math" w:cs="Times New Roman"/>
                    <w:color w:val="000000" w:themeColor="text1"/>
                    <w:sz w:val="22"/>
                    <w:lang w:val="en-US"/>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α</m:t>
                    </m:r>
                  </m:e>
                  <m:sub>
                    <m:r>
                      <w:rPr>
                        <w:rFonts w:ascii="Cambria Math" w:hAnsi="Cambria Math" w:cs="Times New Roman"/>
                        <w:color w:val="000000" w:themeColor="text1"/>
                        <w:sz w:val="22"/>
                      </w:rPr>
                      <m:t>i</m:t>
                    </m:r>
                  </m:sub>
                </m:sSub>
                <m:r>
                  <w:rPr>
                    <w:rFonts w:ascii="Cambria Math" w:hAnsi="Cambria Math" w:cs="Times New Roman"/>
                    <w:color w:val="000000" w:themeColor="text1"/>
                    <w:sz w:val="22"/>
                    <w:lang w:val="en-US"/>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i</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R</m:t>
                    </m:r>
                  </m:e>
                  <m:sub>
                    <m:r>
                      <w:rPr>
                        <w:rFonts w:ascii="Cambria Math" w:hAnsi="Cambria Math" w:cs="Times New Roman"/>
                        <w:color w:val="000000" w:themeColor="text1"/>
                        <w:sz w:val="22"/>
                      </w:rPr>
                      <m:t>M</m:t>
                    </m:r>
                    <m:r>
                      <w:rPr>
                        <w:rFonts w:ascii="Cambria Math" w:hAnsi="Cambria Math" w:cs="Times New Roman"/>
                        <w:color w:val="000000" w:themeColor="text1"/>
                        <w:sz w:val="22"/>
                        <w:lang w:val="en-US"/>
                      </w:rPr>
                      <m:t>,</m:t>
                    </m:r>
                    <m:r>
                      <w:rPr>
                        <w:rFonts w:ascii="Cambria Math" w:hAnsi="Cambria Math" w:cs="Times New Roman"/>
                        <w:color w:val="000000" w:themeColor="text1"/>
                        <w:sz w:val="22"/>
                      </w:rPr>
                      <m:t>t</m:t>
                    </m:r>
                  </m:sub>
                </m:sSub>
                <m:r>
                  <w:rPr>
                    <w:rFonts w:ascii="Cambria Math" w:hAnsi="Cambria Math" w:cs="Times New Roman"/>
                    <w:color w:val="000000" w:themeColor="text1"/>
                    <w:sz w:val="22"/>
                    <w:lang w:val="en-US"/>
                  </w:rPr>
                  <m:t>)</m:t>
                </m:r>
              </m:oMath>
            </m:oMathPara>
          </w:p>
          <w:p w14:paraId="52D6981F"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lastRenderedPageBreak/>
              <w:t xml:space="preserve">where R equals the actual stock return of firm </w:t>
            </w:r>
            <w:r w:rsidRPr="00EB468D">
              <w:rPr>
                <w:rFonts w:cs="Times New Roman"/>
                <w:i/>
                <w:iCs/>
                <w:color w:val="000000" w:themeColor="text1"/>
                <w:sz w:val="22"/>
                <w:lang w:val="en-US"/>
              </w:rPr>
              <w:t>i</w:t>
            </w:r>
            <w:r w:rsidRPr="00EB468D">
              <w:rPr>
                <w:rFonts w:cs="Times New Roman"/>
                <w:color w:val="000000" w:themeColor="text1"/>
                <w:sz w:val="22"/>
                <w:lang w:val="en-US"/>
              </w:rPr>
              <w:t xml:space="preserve"> on day </w:t>
            </w:r>
            <w:r w:rsidRPr="00EB468D">
              <w:rPr>
                <w:rFonts w:cs="Times New Roman"/>
                <w:i/>
                <w:iCs/>
                <w:color w:val="000000" w:themeColor="text1"/>
                <w:sz w:val="22"/>
                <w:lang w:val="en-US"/>
              </w:rPr>
              <w:t>t</w:t>
            </w:r>
            <w:r w:rsidRPr="00EB468D">
              <w:rPr>
                <w:rFonts w:cs="Times New Roman"/>
                <w:color w:val="000000" w:themeColor="text1"/>
                <w:sz w:val="22"/>
                <w:lang w:val="en-US"/>
              </w:rPr>
              <w:t xml:space="preserve"> and R</w:t>
            </w:r>
            <w:r w:rsidRPr="00EB468D">
              <w:rPr>
                <w:rFonts w:cs="Times New Roman"/>
                <w:color w:val="000000" w:themeColor="text1"/>
                <w:sz w:val="22"/>
                <w:vertAlign w:val="subscript"/>
                <w:lang w:val="en-US"/>
              </w:rPr>
              <w:t>m</w:t>
            </w:r>
            <w:r w:rsidRPr="00EB468D">
              <w:rPr>
                <w:rFonts w:cs="Times New Roman"/>
                <w:color w:val="000000" w:themeColor="text1"/>
                <w:sz w:val="22"/>
                <w:lang w:val="en-US"/>
              </w:rPr>
              <w:t xml:space="preserve"> equals the market value-weighted return on day </w:t>
            </w:r>
            <w:r w:rsidRPr="00EB468D">
              <w:rPr>
                <w:rFonts w:cs="Times New Roman"/>
                <w:i/>
                <w:iCs/>
                <w:color w:val="000000" w:themeColor="text1"/>
                <w:sz w:val="22"/>
                <w:lang w:val="en-US"/>
              </w:rPr>
              <w:t>t</w:t>
            </w:r>
            <w:r w:rsidRPr="00EB468D">
              <w:rPr>
                <w:rFonts w:cs="Times New Roman"/>
                <w:color w:val="000000" w:themeColor="text1"/>
                <w:sz w:val="22"/>
                <w:lang w:val="en-US"/>
              </w:rPr>
              <w:t xml:space="preserve">. The firm’s alpha and beta are estimated using the market model from -250 to -50 days before deal announcement. Next, the firm’s expected return on day </w:t>
            </w:r>
            <w:r w:rsidRPr="00EB468D">
              <w:rPr>
                <w:rFonts w:cs="Times New Roman"/>
                <w:i/>
                <w:iCs/>
                <w:color w:val="000000" w:themeColor="text1"/>
                <w:sz w:val="22"/>
                <w:lang w:val="en-US"/>
              </w:rPr>
              <w:t>t</w:t>
            </w:r>
            <w:r w:rsidRPr="00EB468D">
              <w:rPr>
                <w:rFonts w:cs="Times New Roman"/>
                <w:color w:val="000000" w:themeColor="text1"/>
                <w:sz w:val="22"/>
                <w:lang w:val="en-US"/>
              </w:rPr>
              <w:t xml:space="preserve"> is predicted using the estimated alpha and beta in combination with the remarket turn on day </w:t>
            </w:r>
            <w:r w:rsidRPr="00EB468D">
              <w:rPr>
                <w:rFonts w:cs="Times New Roman"/>
                <w:i/>
                <w:iCs/>
                <w:color w:val="000000" w:themeColor="text1"/>
                <w:sz w:val="22"/>
                <w:lang w:val="en-US"/>
              </w:rPr>
              <w:t>t</w:t>
            </w:r>
            <w:r w:rsidRPr="00EB468D">
              <w:rPr>
                <w:rFonts w:cs="Times New Roman"/>
                <w:color w:val="000000" w:themeColor="text1"/>
                <w:sz w:val="22"/>
                <w:lang w:val="en-US"/>
              </w:rPr>
              <w:t>, which is then subtracted from the firm’s actual return. Lastly, the daily abnormal returns are aggregated over [-5, 5] and [-10, 10] days around the announcement date.</w:t>
            </w:r>
          </w:p>
          <w:p w14:paraId="0D96C14B"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t>Information on stock market reactions was obtained from S&amp;P Global Inc.'s Capital IQ database</w:t>
            </w:r>
          </w:p>
        </w:tc>
      </w:tr>
      <w:tr w:rsidR="003156EF" w:rsidRPr="00BE5632" w14:paraId="41C08B0E" w14:textId="77777777" w:rsidTr="00B6286E">
        <w:trPr>
          <w:trHeight w:val="1140"/>
        </w:trPr>
        <w:tc>
          <w:tcPr>
            <w:tcW w:w="3255" w:type="dxa"/>
            <w:tcMar>
              <w:left w:w="108" w:type="dxa"/>
              <w:right w:w="108" w:type="dxa"/>
            </w:tcMar>
          </w:tcPr>
          <w:p w14:paraId="7A26C36A" w14:textId="77777777" w:rsidR="003156EF" w:rsidRPr="00EB468D" w:rsidRDefault="003156EF" w:rsidP="005A7AF3">
            <w:pPr>
              <w:jc w:val="left"/>
              <w:rPr>
                <w:rFonts w:cs="Times New Roman"/>
                <w:color w:val="000000" w:themeColor="text1"/>
                <w:sz w:val="22"/>
              </w:rPr>
            </w:pPr>
            <w:r w:rsidRPr="00EB468D">
              <w:rPr>
                <w:rFonts w:cs="Times New Roman"/>
                <w:i/>
                <w:iCs/>
                <w:color w:val="000000" w:themeColor="text1"/>
                <w:sz w:val="22"/>
                <w:lang w:val="en-US"/>
              </w:rPr>
              <w:t>deal_car_weighted</w:t>
            </w:r>
          </w:p>
        </w:tc>
        <w:tc>
          <w:tcPr>
            <w:tcW w:w="5760" w:type="dxa"/>
            <w:tcMar>
              <w:left w:w="108" w:type="dxa"/>
              <w:right w:w="108" w:type="dxa"/>
            </w:tcMar>
          </w:tcPr>
          <w:p w14:paraId="3C23BAC2"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t>Market value-weighted combination of the cumulative abnormal returns of the acquirer and the target [-5, 5] days around the announcement date, using relative market values as weights</w:t>
            </w:r>
          </w:p>
        </w:tc>
      </w:tr>
      <w:tr w:rsidR="003156EF" w:rsidRPr="00BE5632" w14:paraId="32BD0A8F" w14:textId="77777777" w:rsidTr="00B6286E">
        <w:trPr>
          <w:trHeight w:val="611"/>
        </w:trPr>
        <w:tc>
          <w:tcPr>
            <w:tcW w:w="3255" w:type="dxa"/>
            <w:tcMar>
              <w:left w:w="108" w:type="dxa"/>
              <w:right w:w="108" w:type="dxa"/>
            </w:tcMar>
          </w:tcPr>
          <w:p w14:paraId="12A3651E" w14:textId="77777777" w:rsidR="003156EF" w:rsidRPr="00EB468D" w:rsidRDefault="003156EF" w:rsidP="005A7AF3">
            <w:pPr>
              <w:jc w:val="left"/>
              <w:rPr>
                <w:rFonts w:cs="Times New Roman"/>
                <w:color w:val="000000" w:themeColor="text1"/>
                <w:sz w:val="22"/>
                <w:lang w:val="en-US"/>
              </w:rPr>
            </w:pPr>
            <w:r w:rsidRPr="00EB468D">
              <w:rPr>
                <w:rFonts w:cs="Times New Roman"/>
                <w:i/>
                <w:iCs/>
                <w:color w:val="000000" w:themeColor="text1"/>
                <w:sz w:val="22"/>
                <w:lang w:val="en-US"/>
              </w:rPr>
              <w:t xml:space="preserve">deal_premium_1day, </w:t>
            </w:r>
            <w:r w:rsidRPr="00EB468D">
              <w:rPr>
                <w:rFonts w:cs="Times New Roman"/>
                <w:i/>
                <w:iCs/>
                <w:color w:val="000000" w:themeColor="text1"/>
                <w:sz w:val="22"/>
                <w:lang w:val="en-US"/>
              </w:rPr>
              <w:br/>
              <w:t xml:space="preserve">deal_premium_1week, </w:t>
            </w:r>
            <w:r w:rsidRPr="00EB468D">
              <w:rPr>
                <w:rFonts w:cs="Times New Roman"/>
                <w:i/>
                <w:iCs/>
                <w:color w:val="000000" w:themeColor="text1"/>
                <w:sz w:val="22"/>
                <w:lang w:val="en-US"/>
              </w:rPr>
              <w:br/>
              <w:t>deal_premium_1month</w:t>
            </w:r>
          </w:p>
        </w:tc>
        <w:tc>
          <w:tcPr>
            <w:tcW w:w="5760" w:type="dxa"/>
            <w:tcMar>
              <w:left w:w="108" w:type="dxa"/>
              <w:right w:w="108" w:type="dxa"/>
            </w:tcMar>
          </w:tcPr>
          <w:p w14:paraId="216AD8E3"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t xml:space="preserve">Difference between the acquirer's payment and the target's market value, divided by the target's market value, measured one day (one week; one month) prior to the deal announcement. </w:t>
            </w:r>
          </w:p>
          <w:p w14:paraId="1B0F3DA8"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t>Information on M&amp;A payments was obtained from S&amp;P Global Inc.'s Capital IQ database</w:t>
            </w:r>
          </w:p>
        </w:tc>
      </w:tr>
      <w:tr w:rsidR="003156EF" w:rsidRPr="00BE5632" w14:paraId="1F9E5DFB" w14:textId="77777777" w:rsidTr="00B6286E">
        <w:trPr>
          <w:trHeight w:val="840"/>
        </w:trPr>
        <w:tc>
          <w:tcPr>
            <w:tcW w:w="3255" w:type="dxa"/>
            <w:tcMar>
              <w:left w:w="108" w:type="dxa"/>
              <w:right w:w="108" w:type="dxa"/>
            </w:tcMar>
          </w:tcPr>
          <w:p w14:paraId="194AD017" w14:textId="77777777" w:rsidR="003156EF" w:rsidRPr="00EB468D" w:rsidRDefault="003156EF" w:rsidP="005A7AF3">
            <w:pPr>
              <w:jc w:val="left"/>
              <w:rPr>
                <w:rFonts w:cs="Times New Roman"/>
                <w:color w:val="000000" w:themeColor="text1"/>
                <w:sz w:val="22"/>
                <w:lang w:val="en-US"/>
              </w:rPr>
            </w:pPr>
            <w:r w:rsidRPr="00EB468D">
              <w:rPr>
                <w:rFonts w:cs="Times New Roman"/>
                <w:i/>
                <w:iCs/>
                <w:color w:val="000000" w:themeColor="text1"/>
                <w:sz w:val="22"/>
                <w:lang w:val="en-US"/>
              </w:rPr>
              <w:t>acq_2yr_sales_growth,</w:t>
            </w:r>
            <w:r w:rsidRPr="00EB468D">
              <w:rPr>
                <w:rFonts w:cs="Times New Roman"/>
                <w:i/>
                <w:iCs/>
                <w:color w:val="000000" w:themeColor="text1"/>
                <w:sz w:val="22"/>
                <w:lang w:val="en-US"/>
              </w:rPr>
              <w:br/>
              <w:t>acq_4yr_sales_growth</w:t>
            </w:r>
          </w:p>
        </w:tc>
        <w:tc>
          <w:tcPr>
            <w:tcW w:w="5760" w:type="dxa"/>
            <w:tcMar>
              <w:left w:w="108" w:type="dxa"/>
              <w:right w:w="108" w:type="dxa"/>
            </w:tcMar>
          </w:tcPr>
          <w:p w14:paraId="661DC869"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t>Growth rate of sales two years after an M&amp;A announcement compared to sales in the year before the announcement. Financial information was obtained from S&amp;P Global Inc.'s Capital IQ database</w:t>
            </w:r>
          </w:p>
        </w:tc>
      </w:tr>
      <w:tr w:rsidR="003156EF" w:rsidRPr="00BE5632" w14:paraId="7BAF181A" w14:textId="77777777" w:rsidTr="00B6286E">
        <w:trPr>
          <w:trHeight w:val="840"/>
        </w:trPr>
        <w:tc>
          <w:tcPr>
            <w:tcW w:w="3255" w:type="dxa"/>
            <w:tcMar>
              <w:left w:w="108" w:type="dxa"/>
              <w:right w:w="108" w:type="dxa"/>
            </w:tcMar>
          </w:tcPr>
          <w:p w14:paraId="19882700" w14:textId="77777777" w:rsidR="003156EF" w:rsidRPr="00EB468D" w:rsidRDefault="003156EF" w:rsidP="005A7AF3">
            <w:pPr>
              <w:jc w:val="left"/>
              <w:rPr>
                <w:rFonts w:cs="Times New Roman"/>
                <w:i/>
                <w:iCs/>
                <w:color w:val="000000" w:themeColor="text1"/>
                <w:sz w:val="22"/>
                <w:lang w:val="en-US"/>
              </w:rPr>
            </w:pPr>
            <w:r w:rsidRPr="00EB468D">
              <w:rPr>
                <w:rFonts w:cs="Times New Roman"/>
                <w:i/>
                <w:iCs/>
                <w:color w:val="000000" w:themeColor="text1"/>
                <w:sz w:val="22"/>
                <w:lang w:val="en-US"/>
              </w:rPr>
              <w:t>comb_2yr_sales_growth,</w:t>
            </w:r>
          </w:p>
        </w:tc>
        <w:tc>
          <w:tcPr>
            <w:tcW w:w="5760" w:type="dxa"/>
            <w:tcMar>
              <w:left w:w="108" w:type="dxa"/>
              <w:right w:w="108" w:type="dxa"/>
            </w:tcMar>
          </w:tcPr>
          <w:p w14:paraId="174CE30D"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t>Growth rate of average sales two years after an M&amp;A announcement compared to average sales of acquirer and target in the year before the announcement. Financial information was obtained from S&amp;P Global Inc.'s Capital IQ database.</w:t>
            </w:r>
          </w:p>
        </w:tc>
      </w:tr>
      <w:tr w:rsidR="003156EF" w:rsidRPr="00BE5632" w14:paraId="0F044BFE" w14:textId="77777777" w:rsidTr="00B6286E">
        <w:trPr>
          <w:trHeight w:val="1113"/>
        </w:trPr>
        <w:tc>
          <w:tcPr>
            <w:tcW w:w="3255" w:type="dxa"/>
            <w:tcMar>
              <w:left w:w="108" w:type="dxa"/>
              <w:right w:w="108" w:type="dxa"/>
            </w:tcMar>
          </w:tcPr>
          <w:p w14:paraId="073C87FF" w14:textId="77777777" w:rsidR="003156EF" w:rsidRPr="00EB468D" w:rsidRDefault="003156EF" w:rsidP="005A7AF3">
            <w:pPr>
              <w:jc w:val="left"/>
              <w:rPr>
                <w:rFonts w:cs="Times New Roman"/>
                <w:i/>
                <w:iCs/>
                <w:color w:val="000000" w:themeColor="text1"/>
                <w:sz w:val="22"/>
                <w:lang w:val="en-US"/>
              </w:rPr>
            </w:pPr>
            <w:r w:rsidRPr="00EB468D">
              <w:rPr>
                <w:rFonts w:cs="Times New Roman"/>
                <w:i/>
                <w:iCs/>
                <w:color w:val="000000" w:themeColor="text1"/>
                <w:sz w:val="22"/>
                <w:lang w:val="en-US"/>
              </w:rPr>
              <w:lastRenderedPageBreak/>
              <w:t>acq_2yr_patent_growth</w:t>
            </w:r>
            <w:r w:rsidRPr="00EB468D">
              <w:rPr>
                <w:rFonts w:cs="Times New Roman"/>
                <w:i/>
                <w:iCs/>
                <w:color w:val="000000" w:themeColor="text1"/>
                <w:sz w:val="22"/>
                <w:lang w:val="en-US"/>
              </w:rPr>
              <w:tab/>
            </w:r>
          </w:p>
          <w:p w14:paraId="383A0081" w14:textId="77777777" w:rsidR="003156EF" w:rsidRPr="00EB468D" w:rsidRDefault="003156EF" w:rsidP="005A7AF3">
            <w:pPr>
              <w:jc w:val="left"/>
              <w:rPr>
                <w:rFonts w:cs="Times New Roman"/>
                <w:i/>
                <w:iCs/>
                <w:color w:val="000000" w:themeColor="text1"/>
                <w:sz w:val="22"/>
                <w:lang w:val="en-US"/>
              </w:rPr>
            </w:pPr>
          </w:p>
        </w:tc>
        <w:tc>
          <w:tcPr>
            <w:tcW w:w="5760" w:type="dxa"/>
            <w:tcMar>
              <w:left w:w="108" w:type="dxa"/>
              <w:right w:w="108" w:type="dxa"/>
            </w:tcMar>
          </w:tcPr>
          <w:p w14:paraId="2432178D"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t>Growth rate of patents filed two years after an M&amp;A announcement compared to the number of patents filed in the year before the announcement.</w:t>
            </w:r>
          </w:p>
          <w:p w14:paraId="30BE4907"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t>Patent filing data were obtained from the USPTO, the Canadian Intellectual Property Office, AusPat, and the UK Patent Document and Information Service</w:t>
            </w:r>
          </w:p>
        </w:tc>
      </w:tr>
      <w:tr w:rsidR="003156EF" w:rsidRPr="00BE5632" w14:paraId="1E23E82C" w14:textId="77777777" w:rsidTr="00B6286E">
        <w:trPr>
          <w:trHeight w:val="1113"/>
        </w:trPr>
        <w:tc>
          <w:tcPr>
            <w:tcW w:w="3255" w:type="dxa"/>
            <w:tcBorders>
              <w:bottom w:val="single" w:sz="4" w:space="0" w:color="auto"/>
            </w:tcBorders>
            <w:tcMar>
              <w:left w:w="108" w:type="dxa"/>
              <w:right w:w="108" w:type="dxa"/>
            </w:tcMar>
          </w:tcPr>
          <w:p w14:paraId="32E3F676" w14:textId="77777777" w:rsidR="003156EF" w:rsidRPr="00EB468D" w:rsidRDefault="003156EF" w:rsidP="005A7AF3">
            <w:pPr>
              <w:jc w:val="left"/>
              <w:rPr>
                <w:rFonts w:cs="Times New Roman"/>
                <w:i/>
                <w:iCs/>
                <w:color w:val="000000" w:themeColor="text1"/>
                <w:sz w:val="22"/>
                <w:lang w:val="en-US"/>
              </w:rPr>
            </w:pPr>
            <w:r w:rsidRPr="00EB468D">
              <w:rPr>
                <w:rFonts w:cs="Times New Roman"/>
                <w:i/>
                <w:iCs/>
                <w:color w:val="000000" w:themeColor="text1"/>
                <w:sz w:val="22"/>
                <w:lang w:val="en-US"/>
              </w:rPr>
              <w:t>acq_2yr_npd_growth</w:t>
            </w:r>
          </w:p>
        </w:tc>
        <w:tc>
          <w:tcPr>
            <w:tcW w:w="5760" w:type="dxa"/>
            <w:tcBorders>
              <w:bottom w:val="single" w:sz="4" w:space="0" w:color="auto"/>
            </w:tcBorders>
            <w:tcMar>
              <w:left w:w="108" w:type="dxa"/>
              <w:right w:w="108" w:type="dxa"/>
            </w:tcMar>
          </w:tcPr>
          <w:p w14:paraId="6E72E6A1"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t>Growth rate of new product launches two years after an M&amp;A announcement versus the number of product launches in the year prior to the announcement.</w:t>
            </w:r>
          </w:p>
          <w:p w14:paraId="49069F8E"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t>Information on new product launches by the acquirer was obtained from S&amp;P Global Inc.'s Capital IQ database</w:t>
            </w:r>
          </w:p>
        </w:tc>
      </w:tr>
      <w:tr w:rsidR="003156EF" w:rsidRPr="00EB468D" w14:paraId="7E1483DD" w14:textId="77777777" w:rsidTr="00B6286E">
        <w:trPr>
          <w:trHeight w:val="75"/>
        </w:trPr>
        <w:tc>
          <w:tcPr>
            <w:tcW w:w="3255" w:type="dxa"/>
            <w:tcBorders>
              <w:top w:val="single" w:sz="4" w:space="0" w:color="auto"/>
            </w:tcBorders>
            <w:tcMar>
              <w:left w:w="108" w:type="dxa"/>
              <w:right w:w="108" w:type="dxa"/>
            </w:tcMar>
          </w:tcPr>
          <w:p w14:paraId="628EB4CD" w14:textId="77777777" w:rsidR="003156EF" w:rsidRPr="00EB468D" w:rsidRDefault="003156EF" w:rsidP="005A7AF3">
            <w:pPr>
              <w:jc w:val="left"/>
              <w:rPr>
                <w:rFonts w:cs="Times New Roman"/>
                <w:color w:val="000000" w:themeColor="text1"/>
                <w:sz w:val="22"/>
              </w:rPr>
            </w:pPr>
            <w:r w:rsidRPr="00EB468D">
              <w:rPr>
                <w:rFonts w:cs="Times New Roman"/>
                <w:b/>
                <w:bCs/>
                <w:color w:val="000000" w:themeColor="text1"/>
                <w:sz w:val="22"/>
                <w:lang w:val="en-US"/>
              </w:rPr>
              <w:t>Deal controls</w:t>
            </w:r>
          </w:p>
        </w:tc>
        <w:tc>
          <w:tcPr>
            <w:tcW w:w="5760" w:type="dxa"/>
            <w:tcBorders>
              <w:top w:val="single" w:sz="4" w:space="0" w:color="auto"/>
            </w:tcBorders>
            <w:tcMar>
              <w:left w:w="108" w:type="dxa"/>
              <w:right w:w="108" w:type="dxa"/>
            </w:tcMar>
          </w:tcPr>
          <w:p w14:paraId="17BB0DFE" w14:textId="77777777" w:rsidR="003156EF" w:rsidRPr="00EB468D" w:rsidRDefault="003156EF" w:rsidP="00D15253">
            <w:pPr>
              <w:rPr>
                <w:rFonts w:cs="Times New Roman"/>
                <w:color w:val="000000" w:themeColor="text1"/>
                <w:sz w:val="22"/>
              </w:rPr>
            </w:pPr>
            <w:r w:rsidRPr="00EB468D">
              <w:rPr>
                <w:rFonts w:cs="Times New Roman"/>
                <w:color w:val="000000" w:themeColor="text1"/>
                <w:sz w:val="22"/>
                <w:lang w:val="en-US"/>
              </w:rPr>
              <w:t xml:space="preserve"> </w:t>
            </w:r>
          </w:p>
        </w:tc>
      </w:tr>
      <w:tr w:rsidR="003156EF" w:rsidRPr="00BE5632" w14:paraId="599E4E8F" w14:textId="77777777" w:rsidTr="00B6286E">
        <w:trPr>
          <w:trHeight w:val="720"/>
        </w:trPr>
        <w:tc>
          <w:tcPr>
            <w:tcW w:w="3255" w:type="dxa"/>
            <w:tcMar>
              <w:left w:w="108" w:type="dxa"/>
              <w:right w:w="108" w:type="dxa"/>
            </w:tcMar>
          </w:tcPr>
          <w:p w14:paraId="7413B722" w14:textId="77777777" w:rsidR="003156EF" w:rsidRPr="00EB468D" w:rsidRDefault="003156EF" w:rsidP="005A7AF3">
            <w:pPr>
              <w:jc w:val="left"/>
              <w:rPr>
                <w:rFonts w:cs="Times New Roman"/>
                <w:color w:val="000000" w:themeColor="text1"/>
                <w:sz w:val="22"/>
              </w:rPr>
            </w:pPr>
            <w:r w:rsidRPr="00EB468D">
              <w:rPr>
                <w:rFonts w:cs="Times New Roman"/>
                <w:i/>
                <w:iCs/>
                <w:color w:val="000000" w:themeColor="text1"/>
                <w:sz w:val="22"/>
                <w:lang w:val="en-US"/>
              </w:rPr>
              <w:t>deal_value_ln</w:t>
            </w:r>
          </w:p>
        </w:tc>
        <w:tc>
          <w:tcPr>
            <w:tcW w:w="5760" w:type="dxa"/>
            <w:tcMar>
              <w:left w:w="108" w:type="dxa"/>
              <w:right w:w="108" w:type="dxa"/>
            </w:tcMar>
          </w:tcPr>
          <w:p w14:paraId="33658B50"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t xml:space="preserve">Natural logarithm of the total value of consideration paid by the acquirer, excluding fees and reported expenses </w:t>
            </w:r>
          </w:p>
        </w:tc>
      </w:tr>
      <w:tr w:rsidR="003156EF" w:rsidRPr="00BE5632" w14:paraId="278FAD3E" w14:textId="77777777" w:rsidTr="00B6286E">
        <w:trPr>
          <w:trHeight w:val="471"/>
        </w:trPr>
        <w:tc>
          <w:tcPr>
            <w:tcW w:w="3255" w:type="dxa"/>
            <w:tcMar>
              <w:left w:w="108" w:type="dxa"/>
              <w:right w:w="108" w:type="dxa"/>
            </w:tcMar>
          </w:tcPr>
          <w:p w14:paraId="29389D44" w14:textId="77777777" w:rsidR="003156EF" w:rsidRPr="00EB468D" w:rsidRDefault="003156EF" w:rsidP="005A7AF3">
            <w:pPr>
              <w:jc w:val="left"/>
              <w:rPr>
                <w:rFonts w:cs="Times New Roman"/>
                <w:color w:val="000000" w:themeColor="text1"/>
                <w:sz w:val="22"/>
              </w:rPr>
            </w:pPr>
            <w:r w:rsidRPr="00EB468D">
              <w:rPr>
                <w:rFonts w:cs="Times New Roman"/>
                <w:i/>
                <w:iCs/>
                <w:color w:val="000000" w:themeColor="text1"/>
                <w:sz w:val="22"/>
                <w:lang w:val="en-US"/>
              </w:rPr>
              <w:t>deal_all_cash_dummy</w:t>
            </w:r>
          </w:p>
        </w:tc>
        <w:tc>
          <w:tcPr>
            <w:tcW w:w="5760" w:type="dxa"/>
            <w:tcMar>
              <w:left w:w="108" w:type="dxa"/>
              <w:right w:w="108" w:type="dxa"/>
            </w:tcMar>
          </w:tcPr>
          <w:p w14:paraId="7BF600F5"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t>Dummy variable that equals one if the deal was fully paid in cash</w:t>
            </w:r>
          </w:p>
        </w:tc>
      </w:tr>
      <w:tr w:rsidR="003156EF" w:rsidRPr="00BE5632" w14:paraId="05B36074" w14:textId="77777777" w:rsidTr="00B6286E">
        <w:trPr>
          <w:trHeight w:val="405"/>
        </w:trPr>
        <w:tc>
          <w:tcPr>
            <w:tcW w:w="3255" w:type="dxa"/>
            <w:tcMar>
              <w:left w:w="108" w:type="dxa"/>
              <w:right w:w="108" w:type="dxa"/>
            </w:tcMar>
          </w:tcPr>
          <w:p w14:paraId="4DF5EF47" w14:textId="77777777" w:rsidR="003156EF" w:rsidRPr="00EB468D" w:rsidRDefault="003156EF" w:rsidP="005A7AF3">
            <w:pPr>
              <w:jc w:val="left"/>
              <w:rPr>
                <w:rFonts w:cs="Times New Roman"/>
                <w:color w:val="000000" w:themeColor="text1"/>
                <w:sz w:val="22"/>
              </w:rPr>
            </w:pPr>
            <w:r w:rsidRPr="00EB468D">
              <w:rPr>
                <w:rFonts w:cs="Times New Roman"/>
                <w:i/>
                <w:iCs/>
                <w:color w:val="000000" w:themeColor="text1"/>
                <w:sz w:val="22"/>
                <w:lang w:val="en-US"/>
              </w:rPr>
              <w:t>deal_all_stock_dummy</w:t>
            </w:r>
          </w:p>
        </w:tc>
        <w:tc>
          <w:tcPr>
            <w:tcW w:w="5760" w:type="dxa"/>
            <w:tcMar>
              <w:left w:w="108" w:type="dxa"/>
              <w:right w:w="108" w:type="dxa"/>
            </w:tcMar>
          </w:tcPr>
          <w:p w14:paraId="6EE942C5"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t>Dummy variable that equals one if the deal was fully paid in stocks</w:t>
            </w:r>
          </w:p>
        </w:tc>
      </w:tr>
      <w:tr w:rsidR="003156EF" w:rsidRPr="00BE5632" w14:paraId="458B1795" w14:textId="77777777" w:rsidTr="00B6286E">
        <w:trPr>
          <w:trHeight w:val="765"/>
        </w:trPr>
        <w:tc>
          <w:tcPr>
            <w:tcW w:w="3255" w:type="dxa"/>
            <w:tcMar>
              <w:left w:w="108" w:type="dxa"/>
              <w:right w:w="108" w:type="dxa"/>
            </w:tcMar>
          </w:tcPr>
          <w:p w14:paraId="4D87F05F" w14:textId="77777777" w:rsidR="003156EF" w:rsidRPr="00EB468D" w:rsidRDefault="003156EF" w:rsidP="005A7AF3">
            <w:pPr>
              <w:jc w:val="left"/>
              <w:rPr>
                <w:rFonts w:cs="Times New Roman"/>
                <w:color w:val="000000" w:themeColor="text1"/>
                <w:sz w:val="22"/>
              </w:rPr>
            </w:pPr>
            <w:r w:rsidRPr="00EB468D">
              <w:rPr>
                <w:rFonts w:cs="Times New Roman"/>
                <w:i/>
                <w:iCs/>
                <w:color w:val="000000" w:themeColor="text1"/>
                <w:sz w:val="22"/>
                <w:lang w:val="en-US"/>
              </w:rPr>
              <w:t>deal_tenderoffer_dummy</w:t>
            </w:r>
          </w:p>
        </w:tc>
        <w:tc>
          <w:tcPr>
            <w:tcW w:w="5760" w:type="dxa"/>
            <w:tcMar>
              <w:left w:w="108" w:type="dxa"/>
              <w:right w:w="108" w:type="dxa"/>
            </w:tcMar>
          </w:tcPr>
          <w:p w14:paraId="731D491F"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t>Dummy variable that equals one when a tender offer is launched for the target</w:t>
            </w:r>
          </w:p>
        </w:tc>
      </w:tr>
      <w:tr w:rsidR="003156EF" w:rsidRPr="00BE5632" w14:paraId="2E4E7EB8" w14:textId="77777777" w:rsidTr="00B6286E">
        <w:trPr>
          <w:trHeight w:val="300"/>
        </w:trPr>
        <w:tc>
          <w:tcPr>
            <w:tcW w:w="3255" w:type="dxa"/>
            <w:tcMar>
              <w:left w:w="108" w:type="dxa"/>
              <w:right w:w="108" w:type="dxa"/>
            </w:tcMar>
          </w:tcPr>
          <w:p w14:paraId="04148992" w14:textId="77777777" w:rsidR="003156EF" w:rsidRPr="00EB468D" w:rsidRDefault="003156EF" w:rsidP="005A7AF3">
            <w:pPr>
              <w:jc w:val="left"/>
              <w:rPr>
                <w:rFonts w:cs="Times New Roman"/>
                <w:color w:val="000000" w:themeColor="text1"/>
                <w:sz w:val="22"/>
              </w:rPr>
            </w:pPr>
            <w:r w:rsidRPr="00EB468D">
              <w:rPr>
                <w:rFonts w:cs="Times New Roman"/>
                <w:i/>
                <w:iCs/>
                <w:color w:val="000000" w:themeColor="text1"/>
                <w:sz w:val="22"/>
                <w:lang w:val="en-US"/>
              </w:rPr>
              <w:t>deal_friendly_dummy</w:t>
            </w:r>
          </w:p>
        </w:tc>
        <w:tc>
          <w:tcPr>
            <w:tcW w:w="5760" w:type="dxa"/>
            <w:tcMar>
              <w:left w:w="108" w:type="dxa"/>
              <w:right w:w="108" w:type="dxa"/>
            </w:tcMar>
          </w:tcPr>
          <w:p w14:paraId="22EE62BC"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t>Dummy variable that equals one if the deal is marked as friendly</w:t>
            </w:r>
          </w:p>
        </w:tc>
      </w:tr>
      <w:tr w:rsidR="003156EF" w:rsidRPr="00EB468D" w14:paraId="0CB6F9DA" w14:textId="77777777" w:rsidTr="00B6286E">
        <w:trPr>
          <w:trHeight w:val="300"/>
        </w:trPr>
        <w:tc>
          <w:tcPr>
            <w:tcW w:w="3255" w:type="dxa"/>
            <w:tcMar>
              <w:left w:w="108" w:type="dxa"/>
              <w:right w:w="108" w:type="dxa"/>
            </w:tcMar>
          </w:tcPr>
          <w:p w14:paraId="14602A12" w14:textId="77777777" w:rsidR="003156EF" w:rsidRPr="00EB468D" w:rsidRDefault="003156EF" w:rsidP="005A7AF3">
            <w:pPr>
              <w:jc w:val="left"/>
              <w:rPr>
                <w:rFonts w:cs="Times New Roman"/>
                <w:color w:val="000000" w:themeColor="text1"/>
                <w:sz w:val="22"/>
              </w:rPr>
            </w:pPr>
            <w:r w:rsidRPr="00EB468D">
              <w:rPr>
                <w:rFonts w:cs="Times New Roman"/>
                <w:i/>
                <w:iCs/>
                <w:color w:val="000000" w:themeColor="text1"/>
                <w:sz w:val="22"/>
                <w:lang w:val="en-US"/>
              </w:rPr>
              <w:t>deal_hofstede_distance</w:t>
            </w:r>
          </w:p>
        </w:tc>
        <w:tc>
          <w:tcPr>
            <w:tcW w:w="5760" w:type="dxa"/>
            <w:tcMar>
              <w:left w:w="108" w:type="dxa"/>
              <w:right w:w="108" w:type="dxa"/>
            </w:tcMar>
          </w:tcPr>
          <w:p w14:paraId="483AA41E"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t>National cultural distance between the acquirer’s and target’s nations, computed as the Euclidean distance of Hofstede’s six cultural dimensions (Individualism, Power Distance, Uncertainty Avoidance, Femininity, Indulgence, Long-term orientation). Each distance is bound between 0 and 1</w:t>
            </w:r>
          </w:p>
        </w:tc>
      </w:tr>
      <w:tr w:rsidR="003156EF" w:rsidRPr="00BE5632" w14:paraId="3BA556C7" w14:textId="77777777" w:rsidTr="00B6286E">
        <w:trPr>
          <w:trHeight w:val="300"/>
        </w:trPr>
        <w:tc>
          <w:tcPr>
            <w:tcW w:w="3255" w:type="dxa"/>
            <w:tcMar>
              <w:left w:w="108" w:type="dxa"/>
              <w:right w:w="108" w:type="dxa"/>
            </w:tcMar>
          </w:tcPr>
          <w:p w14:paraId="629BE9B3" w14:textId="77777777" w:rsidR="003156EF" w:rsidRPr="00EB468D" w:rsidRDefault="003156EF" w:rsidP="005A7AF3">
            <w:pPr>
              <w:jc w:val="left"/>
              <w:rPr>
                <w:rFonts w:cs="Times New Roman"/>
                <w:i/>
                <w:iCs/>
                <w:color w:val="000000" w:themeColor="text1"/>
                <w:sz w:val="22"/>
                <w:lang w:val="en-US"/>
              </w:rPr>
            </w:pPr>
            <w:r w:rsidRPr="00EB468D">
              <w:rPr>
                <w:rFonts w:cs="Times New Roman"/>
                <w:i/>
                <w:iCs/>
                <w:color w:val="000000" w:themeColor="text1"/>
                <w:sz w:val="22"/>
                <w:lang w:val="en-US"/>
              </w:rPr>
              <w:t>deal_age_difference</w:t>
            </w:r>
          </w:p>
        </w:tc>
        <w:tc>
          <w:tcPr>
            <w:tcW w:w="5760" w:type="dxa"/>
            <w:tcMar>
              <w:left w:w="108" w:type="dxa"/>
              <w:right w:w="108" w:type="dxa"/>
            </w:tcMar>
          </w:tcPr>
          <w:p w14:paraId="12615923"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t xml:space="preserve">Absolute difference of </w:t>
            </w:r>
            <w:r w:rsidRPr="00EB468D">
              <w:rPr>
                <w:rFonts w:cs="Times New Roman"/>
                <w:i/>
                <w:iCs/>
                <w:color w:val="000000" w:themeColor="text1"/>
                <w:sz w:val="22"/>
                <w:lang w:val="en-US"/>
              </w:rPr>
              <w:t xml:space="preserve">firm_age </w:t>
            </w:r>
            <w:r w:rsidRPr="00EB468D">
              <w:rPr>
                <w:rFonts w:cs="Times New Roman"/>
                <w:color w:val="000000" w:themeColor="text1"/>
                <w:sz w:val="22"/>
                <w:lang w:val="en-US"/>
              </w:rPr>
              <w:t>between acquirer and target.</w:t>
            </w:r>
            <w:r w:rsidRPr="00EB468D">
              <w:rPr>
                <w:rFonts w:cs="Times New Roman"/>
                <w:i/>
                <w:iCs/>
                <w:color w:val="000000" w:themeColor="text1"/>
                <w:sz w:val="22"/>
                <w:lang w:val="en-US"/>
              </w:rPr>
              <w:t xml:space="preserve">  </w:t>
            </w:r>
          </w:p>
        </w:tc>
      </w:tr>
      <w:tr w:rsidR="003156EF" w:rsidRPr="00BE5632" w14:paraId="476A11BC" w14:textId="77777777" w:rsidTr="00B6286E">
        <w:trPr>
          <w:trHeight w:val="300"/>
        </w:trPr>
        <w:tc>
          <w:tcPr>
            <w:tcW w:w="3255" w:type="dxa"/>
            <w:tcMar>
              <w:left w:w="108" w:type="dxa"/>
              <w:right w:w="108" w:type="dxa"/>
            </w:tcMar>
          </w:tcPr>
          <w:p w14:paraId="50FED992" w14:textId="77777777" w:rsidR="003156EF" w:rsidRPr="00EB468D" w:rsidRDefault="003156EF" w:rsidP="005A7AF3">
            <w:pPr>
              <w:jc w:val="left"/>
              <w:rPr>
                <w:rFonts w:cs="Times New Roman"/>
                <w:i/>
                <w:iCs/>
                <w:color w:val="000000" w:themeColor="text1"/>
                <w:sz w:val="22"/>
                <w:lang w:val="en-US"/>
              </w:rPr>
            </w:pPr>
            <w:r w:rsidRPr="00EB468D">
              <w:rPr>
                <w:rFonts w:cs="Times New Roman"/>
                <w:i/>
                <w:iCs/>
                <w:color w:val="000000" w:themeColor="text1"/>
                <w:sz w:val="22"/>
                <w:lang w:val="en-US"/>
              </w:rPr>
              <w:lastRenderedPageBreak/>
              <w:t>deal_size_difference</w:t>
            </w:r>
          </w:p>
        </w:tc>
        <w:tc>
          <w:tcPr>
            <w:tcW w:w="5760" w:type="dxa"/>
            <w:tcMar>
              <w:left w:w="108" w:type="dxa"/>
              <w:right w:w="108" w:type="dxa"/>
            </w:tcMar>
          </w:tcPr>
          <w:p w14:paraId="5BEDA89A"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t xml:space="preserve">Absolute difference of </w:t>
            </w:r>
            <w:r w:rsidRPr="00EB468D">
              <w:rPr>
                <w:rFonts w:cs="Times New Roman"/>
                <w:i/>
                <w:iCs/>
                <w:color w:val="000000" w:themeColor="text1"/>
                <w:sz w:val="22"/>
                <w:lang w:val="en-US"/>
              </w:rPr>
              <w:t xml:space="preserve">firm_assets_lastyear_ln </w:t>
            </w:r>
            <w:r w:rsidRPr="00EB468D">
              <w:rPr>
                <w:rFonts w:cs="Times New Roman"/>
                <w:color w:val="000000" w:themeColor="text1"/>
                <w:sz w:val="22"/>
                <w:lang w:val="en-US"/>
              </w:rPr>
              <w:t>between acquirer and target.</w:t>
            </w:r>
            <w:r w:rsidRPr="00EB468D">
              <w:rPr>
                <w:rFonts w:cs="Times New Roman"/>
                <w:i/>
                <w:iCs/>
                <w:color w:val="000000" w:themeColor="text1"/>
                <w:sz w:val="22"/>
                <w:lang w:val="en-US"/>
              </w:rPr>
              <w:t xml:space="preserve">  </w:t>
            </w:r>
          </w:p>
        </w:tc>
      </w:tr>
      <w:tr w:rsidR="003156EF" w:rsidRPr="00BE5632" w14:paraId="521FEC28" w14:textId="77777777" w:rsidTr="00B6286E">
        <w:trPr>
          <w:trHeight w:val="300"/>
        </w:trPr>
        <w:tc>
          <w:tcPr>
            <w:tcW w:w="3255" w:type="dxa"/>
            <w:tcMar>
              <w:left w:w="108" w:type="dxa"/>
              <w:right w:w="108" w:type="dxa"/>
            </w:tcMar>
          </w:tcPr>
          <w:p w14:paraId="4B372174" w14:textId="77777777" w:rsidR="003156EF" w:rsidRPr="00EB468D" w:rsidRDefault="003156EF" w:rsidP="005A7AF3">
            <w:pPr>
              <w:jc w:val="left"/>
              <w:rPr>
                <w:rFonts w:cs="Times New Roman"/>
                <w:i/>
                <w:iCs/>
                <w:color w:val="000000" w:themeColor="text1"/>
                <w:sz w:val="22"/>
                <w:lang w:val="en-US"/>
              </w:rPr>
            </w:pPr>
            <w:r w:rsidRPr="00EB468D">
              <w:rPr>
                <w:rFonts w:cs="Times New Roman"/>
                <w:i/>
                <w:iCs/>
                <w:color w:val="000000" w:themeColor="text1"/>
                <w:sz w:val="22"/>
                <w:lang w:val="en-US"/>
              </w:rPr>
              <w:t>deal_roa_difference</w:t>
            </w:r>
          </w:p>
        </w:tc>
        <w:tc>
          <w:tcPr>
            <w:tcW w:w="5760" w:type="dxa"/>
            <w:tcMar>
              <w:left w:w="108" w:type="dxa"/>
              <w:right w:w="108" w:type="dxa"/>
            </w:tcMar>
          </w:tcPr>
          <w:p w14:paraId="1D0B35E9"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t xml:space="preserve">Absolute difference of </w:t>
            </w:r>
            <w:r w:rsidRPr="00EB468D">
              <w:rPr>
                <w:rFonts w:cs="Times New Roman"/>
                <w:i/>
                <w:iCs/>
                <w:color w:val="000000" w:themeColor="text1"/>
                <w:sz w:val="22"/>
                <w:lang w:val="en-US"/>
              </w:rPr>
              <w:t xml:space="preserve">firm_roa_lastyear </w:t>
            </w:r>
            <w:r w:rsidRPr="00EB468D">
              <w:rPr>
                <w:rFonts w:cs="Times New Roman"/>
                <w:color w:val="000000" w:themeColor="text1"/>
                <w:sz w:val="22"/>
                <w:lang w:val="en-US"/>
              </w:rPr>
              <w:t>between acquirer and target.</w:t>
            </w:r>
            <w:r w:rsidRPr="00EB468D">
              <w:rPr>
                <w:rFonts w:cs="Times New Roman"/>
                <w:i/>
                <w:iCs/>
                <w:color w:val="000000" w:themeColor="text1"/>
                <w:sz w:val="22"/>
                <w:lang w:val="en-US"/>
              </w:rPr>
              <w:t xml:space="preserve">  </w:t>
            </w:r>
          </w:p>
        </w:tc>
      </w:tr>
      <w:tr w:rsidR="003156EF" w:rsidRPr="00BE5632" w14:paraId="6F88527C" w14:textId="77777777" w:rsidTr="00B6286E">
        <w:trPr>
          <w:trHeight w:val="300"/>
        </w:trPr>
        <w:tc>
          <w:tcPr>
            <w:tcW w:w="3255" w:type="dxa"/>
            <w:tcBorders>
              <w:bottom w:val="single" w:sz="4" w:space="0" w:color="auto"/>
            </w:tcBorders>
            <w:tcMar>
              <w:left w:w="108" w:type="dxa"/>
              <w:right w:w="108" w:type="dxa"/>
            </w:tcMar>
          </w:tcPr>
          <w:p w14:paraId="2DB3A36F" w14:textId="77777777" w:rsidR="003156EF" w:rsidRPr="00EB468D" w:rsidRDefault="003156EF" w:rsidP="005A7AF3">
            <w:pPr>
              <w:jc w:val="left"/>
              <w:rPr>
                <w:rFonts w:cs="Times New Roman"/>
                <w:i/>
                <w:iCs/>
                <w:color w:val="000000" w:themeColor="text1"/>
                <w:sz w:val="22"/>
                <w:lang w:val="en-US"/>
              </w:rPr>
            </w:pPr>
            <w:r w:rsidRPr="00EB468D">
              <w:rPr>
                <w:rFonts w:cs="Times New Roman"/>
                <w:i/>
                <w:iCs/>
                <w:color w:val="000000" w:themeColor="text1"/>
                <w:sz w:val="22"/>
                <w:lang w:val="en-US"/>
              </w:rPr>
              <w:t>deal_sic_difference</w:t>
            </w:r>
          </w:p>
        </w:tc>
        <w:tc>
          <w:tcPr>
            <w:tcW w:w="5760" w:type="dxa"/>
            <w:tcBorders>
              <w:bottom w:val="single" w:sz="4" w:space="0" w:color="auto"/>
            </w:tcBorders>
            <w:tcMar>
              <w:left w:w="108" w:type="dxa"/>
              <w:right w:w="108" w:type="dxa"/>
            </w:tcMar>
          </w:tcPr>
          <w:p w14:paraId="5F919830"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t>Absolute difference in 4-digit SIC industry codes between acquirer and target.</w:t>
            </w:r>
          </w:p>
        </w:tc>
      </w:tr>
      <w:tr w:rsidR="003156EF" w:rsidRPr="00BE5632" w14:paraId="5D717D05" w14:textId="77777777" w:rsidTr="00B6286E">
        <w:trPr>
          <w:trHeight w:val="300"/>
        </w:trPr>
        <w:tc>
          <w:tcPr>
            <w:tcW w:w="3255" w:type="dxa"/>
            <w:tcBorders>
              <w:top w:val="single" w:sz="4" w:space="0" w:color="auto"/>
            </w:tcBorders>
            <w:tcMar>
              <w:left w:w="108" w:type="dxa"/>
              <w:right w:w="108" w:type="dxa"/>
            </w:tcMar>
          </w:tcPr>
          <w:p w14:paraId="5BD15236" w14:textId="77777777" w:rsidR="003156EF" w:rsidRPr="00EB468D" w:rsidRDefault="003156EF" w:rsidP="005A7AF3">
            <w:pPr>
              <w:jc w:val="left"/>
              <w:rPr>
                <w:rFonts w:cs="Times New Roman"/>
                <w:color w:val="000000" w:themeColor="text1"/>
                <w:sz w:val="22"/>
                <w:lang w:val="en-US"/>
              </w:rPr>
            </w:pPr>
            <w:r w:rsidRPr="00EB468D">
              <w:rPr>
                <w:rFonts w:cs="Times New Roman"/>
                <w:b/>
                <w:bCs/>
                <w:color w:val="000000" w:themeColor="text1"/>
                <w:sz w:val="22"/>
                <w:lang w:val="en-US"/>
              </w:rPr>
              <w:t xml:space="preserve">Acquirer/target controls </w:t>
            </w:r>
            <w:r w:rsidRPr="00EB468D">
              <w:rPr>
                <w:rFonts w:cs="Times New Roman"/>
                <w:color w:val="000000" w:themeColor="text1"/>
                <w:sz w:val="22"/>
                <w:lang w:val="en-US"/>
              </w:rPr>
              <w:br/>
            </w:r>
            <w:r w:rsidRPr="00EB468D">
              <w:rPr>
                <w:rFonts w:cs="Times New Roman"/>
                <w:b/>
                <w:bCs/>
                <w:color w:val="000000" w:themeColor="text1"/>
                <w:sz w:val="22"/>
                <w:lang w:val="en-US"/>
              </w:rPr>
              <w:t>(</w:t>
            </w:r>
            <w:r w:rsidRPr="00EB468D">
              <w:rPr>
                <w:rFonts w:cs="Times New Roman"/>
                <w:b/>
                <w:bCs/>
                <w:i/>
                <w:iCs/>
                <w:color w:val="000000" w:themeColor="text1"/>
                <w:sz w:val="22"/>
                <w:lang w:val="en-US"/>
              </w:rPr>
              <w:t>acq_ / tar_ prefixes</w:t>
            </w:r>
            <w:r w:rsidRPr="00EB468D">
              <w:rPr>
                <w:rFonts w:cs="Times New Roman"/>
                <w:b/>
                <w:bCs/>
                <w:color w:val="000000" w:themeColor="text1"/>
                <w:sz w:val="22"/>
                <w:lang w:val="en-US"/>
              </w:rPr>
              <w:t>)</w:t>
            </w:r>
          </w:p>
        </w:tc>
        <w:tc>
          <w:tcPr>
            <w:tcW w:w="5760" w:type="dxa"/>
            <w:tcBorders>
              <w:top w:val="single" w:sz="4" w:space="0" w:color="auto"/>
            </w:tcBorders>
            <w:tcMar>
              <w:left w:w="108" w:type="dxa"/>
              <w:right w:w="108" w:type="dxa"/>
            </w:tcMar>
          </w:tcPr>
          <w:p w14:paraId="084BC281"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t xml:space="preserve"> </w:t>
            </w:r>
          </w:p>
        </w:tc>
      </w:tr>
      <w:tr w:rsidR="003156EF" w:rsidRPr="00BE5632" w14:paraId="6EC380E7" w14:textId="77777777" w:rsidTr="00B6286E">
        <w:trPr>
          <w:trHeight w:val="840"/>
        </w:trPr>
        <w:tc>
          <w:tcPr>
            <w:tcW w:w="3255" w:type="dxa"/>
            <w:tcMar>
              <w:left w:w="108" w:type="dxa"/>
              <w:right w:w="108" w:type="dxa"/>
            </w:tcMar>
          </w:tcPr>
          <w:p w14:paraId="65D5FE75" w14:textId="77777777" w:rsidR="003156EF" w:rsidRPr="00EB468D" w:rsidRDefault="003156EF" w:rsidP="005A7AF3">
            <w:pPr>
              <w:jc w:val="left"/>
              <w:rPr>
                <w:rFonts w:cs="Times New Roman"/>
                <w:color w:val="000000" w:themeColor="text1"/>
                <w:sz w:val="22"/>
              </w:rPr>
            </w:pPr>
            <w:r w:rsidRPr="00EB468D">
              <w:rPr>
                <w:rFonts w:cs="Times New Roman"/>
                <w:i/>
                <w:iCs/>
                <w:color w:val="000000" w:themeColor="text1"/>
                <w:sz w:val="22"/>
              </w:rPr>
              <w:t>firm</w:t>
            </w:r>
            <w:r w:rsidRPr="00EB468D">
              <w:rPr>
                <w:rFonts w:cs="Times New Roman"/>
                <w:i/>
                <w:iCs/>
                <w:color w:val="000000" w:themeColor="text1"/>
                <w:sz w:val="22"/>
                <w:lang w:val="en-US"/>
              </w:rPr>
              <w:t>_age</w:t>
            </w:r>
          </w:p>
        </w:tc>
        <w:tc>
          <w:tcPr>
            <w:tcW w:w="5760" w:type="dxa"/>
            <w:tcMar>
              <w:left w:w="108" w:type="dxa"/>
              <w:right w:w="108" w:type="dxa"/>
            </w:tcMar>
          </w:tcPr>
          <w:p w14:paraId="5D8FBFF2"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t>Difference between the year when the transaction was completed and the year when the firm was founded</w:t>
            </w:r>
          </w:p>
        </w:tc>
      </w:tr>
      <w:tr w:rsidR="003156EF" w:rsidRPr="00BE5632" w14:paraId="6E4127C6" w14:textId="77777777" w:rsidTr="00B6286E">
        <w:trPr>
          <w:trHeight w:val="855"/>
        </w:trPr>
        <w:tc>
          <w:tcPr>
            <w:tcW w:w="3255" w:type="dxa"/>
            <w:tcMar>
              <w:left w:w="108" w:type="dxa"/>
              <w:right w:w="108" w:type="dxa"/>
            </w:tcMar>
          </w:tcPr>
          <w:p w14:paraId="5D34FD86" w14:textId="77777777" w:rsidR="003156EF" w:rsidRPr="00EB468D" w:rsidRDefault="003156EF" w:rsidP="005A7AF3">
            <w:pPr>
              <w:jc w:val="left"/>
              <w:rPr>
                <w:rFonts w:cs="Times New Roman"/>
                <w:color w:val="000000" w:themeColor="text1"/>
                <w:sz w:val="22"/>
              </w:rPr>
            </w:pPr>
            <w:r w:rsidRPr="00EB468D">
              <w:rPr>
                <w:rFonts w:cs="Times New Roman"/>
                <w:i/>
                <w:iCs/>
                <w:color w:val="000000" w:themeColor="text1"/>
                <w:sz w:val="22"/>
                <w:lang w:val="en-US"/>
              </w:rPr>
              <w:t>firm_assets_lastyear_ln</w:t>
            </w:r>
          </w:p>
        </w:tc>
        <w:tc>
          <w:tcPr>
            <w:tcW w:w="5760" w:type="dxa"/>
            <w:tcMar>
              <w:left w:w="108" w:type="dxa"/>
              <w:right w:w="108" w:type="dxa"/>
            </w:tcMar>
          </w:tcPr>
          <w:p w14:paraId="54EEF530"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t>Logarithm of the total assets of the firm in the last 12 months before the deal announcement</w:t>
            </w:r>
          </w:p>
        </w:tc>
      </w:tr>
      <w:tr w:rsidR="003156EF" w:rsidRPr="00BE5632" w14:paraId="7BF8CB45" w14:textId="77777777" w:rsidTr="00B6286E">
        <w:trPr>
          <w:trHeight w:val="855"/>
        </w:trPr>
        <w:tc>
          <w:tcPr>
            <w:tcW w:w="3255" w:type="dxa"/>
            <w:tcMar>
              <w:left w:w="108" w:type="dxa"/>
              <w:right w:w="108" w:type="dxa"/>
            </w:tcMar>
          </w:tcPr>
          <w:p w14:paraId="549FC200" w14:textId="77777777" w:rsidR="003156EF" w:rsidRPr="00EB468D" w:rsidRDefault="003156EF" w:rsidP="005A7AF3">
            <w:pPr>
              <w:jc w:val="left"/>
              <w:rPr>
                <w:rFonts w:cs="Times New Roman"/>
                <w:color w:val="000000" w:themeColor="text1"/>
                <w:sz w:val="22"/>
              </w:rPr>
            </w:pPr>
            <w:r w:rsidRPr="00EB468D">
              <w:rPr>
                <w:rFonts w:cs="Times New Roman"/>
                <w:i/>
                <w:iCs/>
                <w:color w:val="000000" w:themeColor="text1"/>
                <w:sz w:val="22"/>
                <w:lang w:val="en-US"/>
              </w:rPr>
              <w:t>firm_roa_lastyear</w:t>
            </w:r>
          </w:p>
        </w:tc>
        <w:tc>
          <w:tcPr>
            <w:tcW w:w="5760" w:type="dxa"/>
            <w:tcMar>
              <w:left w:w="108" w:type="dxa"/>
              <w:right w:w="108" w:type="dxa"/>
            </w:tcMar>
          </w:tcPr>
          <w:p w14:paraId="0FE26992"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t>Ratio of the firm’s net income to total assets, measured 12 months before the deal announcement</w:t>
            </w:r>
          </w:p>
        </w:tc>
      </w:tr>
      <w:tr w:rsidR="003156EF" w:rsidRPr="00BE5632" w14:paraId="386D1B1B" w14:textId="77777777" w:rsidTr="00B6286E">
        <w:trPr>
          <w:trHeight w:val="840"/>
        </w:trPr>
        <w:tc>
          <w:tcPr>
            <w:tcW w:w="3255" w:type="dxa"/>
            <w:tcMar>
              <w:left w:w="108" w:type="dxa"/>
              <w:right w:w="108" w:type="dxa"/>
            </w:tcMar>
          </w:tcPr>
          <w:p w14:paraId="129B0FFA" w14:textId="77777777" w:rsidR="003156EF" w:rsidRPr="00EB468D" w:rsidRDefault="003156EF" w:rsidP="005A7AF3">
            <w:pPr>
              <w:jc w:val="left"/>
              <w:rPr>
                <w:rFonts w:cs="Times New Roman"/>
                <w:color w:val="000000" w:themeColor="text1"/>
                <w:sz w:val="22"/>
              </w:rPr>
            </w:pPr>
            <w:r w:rsidRPr="00EB468D">
              <w:rPr>
                <w:rFonts w:cs="Times New Roman"/>
                <w:i/>
                <w:iCs/>
                <w:color w:val="000000" w:themeColor="text1"/>
                <w:sz w:val="22"/>
                <w:lang w:val="en-US"/>
              </w:rPr>
              <w:t>firm_mbratio</w:t>
            </w:r>
          </w:p>
        </w:tc>
        <w:tc>
          <w:tcPr>
            <w:tcW w:w="5760" w:type="dxa"/>
            <w:tcMar>
              <w:left w:w="108" w:type="dxa"/>
              <w:right w:w="108" w:type="dxa"/>
            </w:tcMar>
          </w:tcPr>
          <w:p w14:paraId="61C0B1AD"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t>Ratio of firm’s market capitalization to book value of total assets at the end of the fiscal year prior to deal announcement</w:t>
            </w:r>
          </w:p>
        </w:tc>
      </w:tr>
      <w:tr w:rsidR="003156EF" w:rsidRPr="00BE5632" w14:paraId="6843221C" w14:textId="77777777" w:rsidTr="00B6286E">
        <w:trPr>
          <w:trHeight w:val="855"/>
        </w:trPr>
        <w:tc>
          <w:tcPr>
            <w:tcW w:w="3255" w:type="dxa"/>
            <w:tcMar>
              <w:left w:w="108" w:type="dxa"/>
              <w:right w:w="108" w:type="dxa"/>
            </w:tcMar>
          </w:tcPr>
          <w:p w14:paraId="4CB5ABCE" w14:textId="77777777" w:rsidR="003156EF" w:rsidRPr="00EB468D" w:rsidRDefault="003156EF" w:rsidP="005A7AF3">
            <w:pPr>
              <w:jc w:val="left"/>
              <w:rPr>
                <w:rFonts w:cs="Times New Roman"/>
                <w:color w:val="000000" w:themeColor="text1"/>
                <w:sz w:val="22"/>
              </w:rPr>
            </w:pPr>
            <w:r w:rsidRPr="00EB468D">
              <w:rPr>
                <w:rFonts w:cs="Times New Roman"/>
                <w:i/>
                <w:iCs/>
                <w:color w:val="000000" w:themeColor="text1"/>
                <w:sz w:val="22"/>
                <w:lang w:val="en-US"/>
              </w:rPr>
              <w:t>acq_industrygrowth</w:t>
            </w:r>
          </w:p>
        </w:tc>
        <w:tc>
          <w:tcPr>
            <w:tcW w:w="5760" w:type="dxa"/>
            <w:tcMar>
              <w:left w:w="108" w:type="dxa"/>
              <w:right w:w="108" w:type="dxa"/>
            </w:tcMar>
          </w:tcPr>
          <w:p w14:paraId="708CE53C"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t>Average percentage change in revenue for the acquirer’s 2-digit SIC industry sector, divided by the revenue reported in the year prior to deal announcement</w:t>
            </w:r>
          </w:p>
        </w:tc>
      </w:tr>
      <w:tr w:rsidR="003156EF" w:rsidRPr="00BE5632" w14:paraId="5035ADC4" w14:textId="77777777" w:rsidTr="00B6286E">
        <w:trPr>
          <w:trHeight w:val="300"/>
        </w:trPr>
        <w:tc>
          <w:tcPr>
            <w:tcW w:w="3255" w:type="dxa"/>
            <w:tcMar>
              <w:left w:w="108" w:type="dxa"/>
              <w:right w:w="108" w:type="dxa"/>
            </w:tcMar>
          </w:tcPr>
          <w:p w14:paraId="72807AFD" w14:textId="77777777" w:rsidR="003156EF" w:rsidRPr="00EB468D" w:rsidRDefault="003156EF" w:rsidP="005A7AF3">
            <w:pPr>
              <w:jc w:val="left"/>
              <w:rPr>
                <w:rFonts w:cs="Times New Roman"/>
                <w:i/>
                <w:iCs/>
                <w:color w:val="000000" w:themeColor="text1"/>
                <w:sz w:val="22"/>
                <w:lang w:val="en-US"/>
              </w:rPr>
            </w:pPr>
            <w:r w:rsidRPr="00EB468D">
              <w:rPr>
                <w:rFonts w:cs="Times New Roman"/>
                <w:i/>
                <w:iCs/>
                <w:color w:val="000000" w:themeColor="text1"/>
                <w:sz w:val="22"/>
                <w:lang w:val="en-US"/>
              </w:rPr>
              <w:t>acq_dealexperience</w:t>
            </w:r>
          </w:p>
        </w:tc>
        <w:tc>
          <w:tcPr>
            <w:tcW w:w="5760" w:type="dxa"/>
            <w:tcMar>
              <w:left w:w="108" w:type="dxa"/>
              <w:right w:w="108" w:type="dxa"/>
            </w:tcMar>
          </w:tcPr>
          <w:p w14:paraId="45FB2E8D"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t>Number of deals successfully completed by the acquirer in the last three years prior to the announcement date, including the current deal</w:t>
            </w:r>
          </w:p>
        </w:tc>
      </w:tr>
      <w:tr w:rsidR="003156EF" w:rsidRPr="00BE5632" w14:paraId="78A067FD" w14:textId="77777777" w:rsidTr="00B6286E">
        <w:trPr>
          <w:trHeight w:val="300"/>
        </w:trPr>
        <w:tc>
          <w:tcPr>
            <w:tcW w:w="3255" w:type="dxa"/>
            <w:tcBorders>
              <w:bottom w:val="single" w:sz="4" w:space="0" w:color="auto"/>
            </w:tcBorders>
            <w:tcMar>
              <w:left w:w="108" w:type="dxa"/>
              <w:right w:w="108" w:type="dxa"/>
            </w:tcMar>
          </w:tcPr>
          <w:p w14:paraId="36580A2D" w14:textId="77777777" w:rsidR="003156EF" w:rsidRPr="00EB468D" w:rsidRDefault="003156EF" w:rsidP="005A7AF3">
            <w:pPr>
              <w:jc w:val="left"/>
              <w:rPr>
                <w:rFonts w:cs="Times New Roman"/>
                <w:i/>
                <w:iCs/>
                <w:color w:val="000000" w:themeColor="text1"/>
                <w:sz w:val="22"/>
                <w:lang w:val="en-US"/>
              </w:rPr>
            </w:pPr>
            <w:r w:rsidRPr="00EB468D">
              <w:rPr>
                <w:rFonts w:cs="Times New Roman"/>
                <w:i/>
                <w:iCs/>
                <w:color w:val="000000" w:themeColor="text1"/>
                <w:sz w:val="22"/>
                <w:lang w:val="en-US"/>
              </w:rPr>
              <w:t>acq_rd_intensity</w:t>
            </w:r>
          </w:p>
        </w:tc>
        <w:tc>
          <w:tcPr>
            <w:tcW w:w="5760" w:type="dxa"/>
            <w:tcBorders>
              <w:bottom w:val="single" w:sz="4" w:space="0" w:color="auto"/>
            </w:tcBorders>
            <w:tcMar>
              <w:left w:w="108" w:type="dxa"/>
              <w:right w:w="108" w:type="dxa"/>
            </w:tcMar>
          </w:tcPr>
          <w:p w14:paraId="6A8B2F3F" w14:textId="77777777" w:rsidR="003156EF" w:rsidRPr="00EB468D" w:rsidRDefault="003156EF" w:rsidP="00D15253">
            <w:pPr>
              <w:rPr>
                <w:rFonts w:cs="Times New Roman"/>
                <w:color w:val="000000" w:themeColor="text1"/>
                <w:sz w:val="22"/>
                <w:lang w:val="en-US"/>
              </w:rPr>
            </w:pPr>
            <w:r w:rsidRPr="00EB468D">
              <w:rPr>
                <w:rFonts w:cs="Times New Roman"/>
                <w:color w:val="000000" w:themeColor="text1"/>
                <w:sz w:val="22"/>
                <w:lang w:val="en-US"/>
              </w:rPr>
              <w:t>Ratio of the firm's research and development (R&amp;D) expenditures to revenues in the year of the deal announcement</w:t>
            </w:r>
          </w:p>
        </w:tc>
      </w:tr>
    </w:tbl>
    <w:p w14:paraId="3CC24886" w14:textId="77777777" w:rsidR="003156EF" w:rsidRDefault="003156EF" w:rsidP="003156EF">
      <w:pPr>
        <w:spacing w:line="240" w:lineRule="auto"/>
        <w:jc w:val="left"/>
        <w:rPr>
          <w:rFonts w:ascii="Segoe UI" w:hAnsi="Segoe UI" w:cs="Calibri"/>
          <w:color w:val="000000" w:themeColor="text1"/>
          <w:lang w:val="en-US"/>
        </w:rPr>
      </w:pPr>
      <w:r w:rsidRPr="000C4487">
        <w:rPr>
          <w:rFonts w:ascii="Segoe UI" w:hAnsi="Segoe UI" w:cs="Calibri"/>
          <w:color w:val="000000" w:themeColor="text1"/>
          <w:lang w:val="en-US"/>
        </w:rPr>
        <w:br w:type="page"/>
      </w:r>
    </w:p>
    <w:p w14:paraId="19A2F006" w14:textId="4CCF06F3" w:rsidR="003C5E32" w:rsidRPr="003C5E32" w:rsidRDefault="003C5E32" w:rsidP="003C5E32">
      <w:pPr>
        <w:pStyle w:val="1fake"/>
        <w:rPr>
          <w:rStyle w:val="SchwacherVerweis"/>
          <w:smallCaps w:val="0"/>
          <w:color w:val="auto"/>
        </w:rPr>
      </w:pPr>
      <w:r>
        <w:rPr>
          <w:rStyle w:val="SchwacherVerweis"/>
          <w:smallCaps w:val="0"/>
          <w:color w:val="auto"/>
        </w:rPr>
        <w:lastRenderedPageBreak/>
        <w:t>Online Supplement</w:t>
      </w:r>
      <w:r w:rsidRPr="003C5E32">
        <w:rPr>
          <w:rStyle w:val="SchwacherVerweis"/>
          <w:smallCaps w:val="0"/>
          <w:color w:val="auto"/>
        </w:rPr>
        <w:t xml:space="preserve"> 1</w:t>
      </w:r>
    </w:p>
    <w:p w14:paraId="0AD9FC89" w14:textId="58B59571" w:rsidR="004F7333" w:rsidRPr="009579F1" w:rsidRDefault="004F7333" w:rsidP="004F7333">
      <w:pPr>
        <w:pStyle w:val="Beschriftung"/>
      </w:pPr>
      <w:bookmarkStart w:id="619" w:name="_Toc180594847"/>
      <w:r>
        <w:t xml:space="preserve">T - III - </w:t>
      </w:r>
      <w:r>
        <w:fldChar w:fldCharType="begin"/>
      </w:r>
      <w:r>
        <w:instrText xml:space="preserve"> SEQ T_-_III_- \* ARABIC </w:instrText>
      </w:r>
      <w:r>
        <w:fldChar w:fldCharType="separate"/>
      </w:r>
      <w:r w:rsidR="00E91088">
        <w:rPr>
          <w:noProof/>
        </w:rPr>
        <w:t>11</w:t>
      </w:r>
      <w:r>
        <w:fldChar w:fldCharType="end"/>
      </w:r>
      <w:r>
        <w:t xml:space="preserve">: </w:t>
      </w:r>
      <w:r w:rsidRPr="00E62775">
        <w:t>H1a: Capital market reactions (CARs) - Jensen-Shannon (JS) divergence</w:t>
      </w:r>
      <w:bookmarkEnd w:id="619"/>
    </w:p>
    <w:tbl>
      <w:tblPr>
        <w:tblW w:w="9286" w:type="dxa"/>
        <w:tblLook w:val="04A0" w:firstRow="1" w:lastRow="0" w:firstColumn="1" w:lastColumn="0" w:noHBand="0" w:noVBand="1"/>
      </w:tblPr>
      <w:tblGrid>
        <w:gridCol w:w="9288"/>
      </w:tblGrid>
      <w:tr w:rsidR="00694090" w:rsidRPr="00CC0559" w14:paraId="41BBD7A5" w14:textId="77777777" w:rsidTr="00902176">
        <w:trPr>
          <w:trHeight w:val="753"/>
        </w:trPr>
        <w:tc>
          <w:tcPr>
            <w:tcW w:w="9286" w:type="dxa"/>
            <w:tcBorders>
              <w:left w:val="nil"/>
              <w:bottom w:val="single" w:sz="4" w:space="0" w:color="auto"/>
              <w:right w:val="nil"/>
            </w:tcBorders>
            <w:shd w:val="clear" w:color="auto" w:fill="auto"/>
          </w:tcPr>
          <w:tbl>
            <w:tblPr>
              <w:tblW w:w="9072" w:type="dxa"/>
              <w:tblLook w:val="0000" w:firstRow="0" w:lastRow="0" w:firstColumn="0" w:lastColumn="0" w:noHBand="0" w:noVBand="0"/>
            </w:tblPr>
            <w:tblGrid>
              <w:gridCol w:w="2452"/>
              <w:gridCol w:w="2206"/>
              <w:gridCol w:w="2207"/>
              <w:gridCol w:w="2207"/>
            </w:tblGrid>
            <w:tr w:rsidR="00694090" w:rsidRPr="00EB468D" w14:paraId="4ED1C716" w14:textId="77777777" w:rsidTr="00893C52">
              <w:trPr>
                <w:trHeight w:val="60"/>
              </w:trPr>
              <w:tc>
                <w:tcPr>
                  <w:tcW w:w="1331" w:type="pct"/>
                  <w:tcBorders>
                    <w:top w:val="single" w:sz="4" w:space="0" w:color="auto"/>
                    <w:left w:val="nil"/>
                    <w:right w:val="nil"/>
                  </w:tcBorders>
                </w:tcPr>
                <w:p w14:paraId="27A4BCB3"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 xml:space="preserve">   </w:t>
                  </w:r>
                </w:p>
              </w:tc>
              <w:tc>
                <w:tcPr>
                  <w:tcW w:w="1223" w:type="pct"/>
                  <w:tcBorders>
                    <w:top w:val="single" w:sz="4" w:space="0" w:color="auto"/>
                    <w:left w:val="nil"/>
                    <w:right w:val="nil"/>
                  </w:tcBorders>
                </w:tcPr>
                <w:p w14:paraId="75E7ECBA"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(1)</w:t>
                  </w:r>
                </w:p>
              </w:tc>
              <w:tc>
                <w:tcPr>
                  <w:tcW w:w="1223" w:type="pct"/>
                  <w:tcBorders>
                    <w:top w:val="single" w:sz="4" w:space="0" w:color="auto"/>
                    <w:left w:val="nil"/>
                    <w:right w:val="nil"/>
                  </w:tcBorders>
                </w:tcPr>
                <w:p w14:paraId="5D718345"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(2)</w:t>
                  </w:r>
                </w:p>
              </w:tc>
              <w:tc>
                <w:tcPr>
                  <w:tcW w:w="1223" w:type="pct"/>
                  <w:tcBorders>
                    <w:top w:val="single" w:sz="4" w:space="0" w:color="auto"/>
                    <w:left w:val="nil"/>
                    <w:right w:val="nil"/>
                  </w:tcBorders>
                </w:tcPr>
                <w:p w14:paraId="66C5D6E4"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(3)</w:t>
                  </w:r>
                </w:p>
              </w:tc>
            </w:tr>
            <w:tr w:rsidR="00694090" w:rsidRPr="00EB468D" w14:paraId="4B4E2CF1" w14:textId="77777777" w:rsidTr="00893C52">
              <w:tc>
                <w:tcPr>
                  <w:tcW w:w="1331" w:type="pct"/>
                  <w:tcBorders>
                    <w:top w:val="nil"/>
                    <w:left w:val="nil"/>
                    <w:bottom w:val="single" w:sz="4" w:space="0" w:color="auto"/>
                    <w:right w:val="nil"/>
                  </w:tcBorders>
                </w:tcPr>
                <w:p w14:paraId="60CF8429"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 xml:space="preserve">   </w:t>
                  </w:r>
                </w:p>
              </w:tc>
              <w:tc>
                <w:tcPr>
                  <w:tcW w:w="1223" w:type="pct"/>
                  <w:tcBorders>
                    <w:top w:val="nil"/>
                    <w:left w:val="nil"/>
                    <w:bottom w:val="single" w:sz="4" w:space="0" w:color="auto"/>
                    <w:right w:val="nil"/>
                  </w:tcBorders>
                </w:tcPr>
                <w:p w14:paraId="140E0BB0"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acq_car</w:t>
                  </w:r>
                  <w:r w:rsidRPr="00EB468D">
                    <w:rPr>
                      <w:b/>
                      <w:bCs/>
                      <w:color w:val="000000" w:themeColor="text1"/>
                      <w:sz w:val="22"/>
                      <w:lang w:val="en-US"/>
                    </w:rPr>
                    <w:br/>
                    <w:t>[-10,10]</w:t>
                  </w:r>
                </w:p>
              </w:tc>
              <w:tc>
                <w:tcPr>
                  <w:tcW w:w="1223" w:type="pct"/>
                  <w:tcBorders>
                    <w:top w:val="nil"/>
                    <w:left w:val="nil"/>
                    <w:bottom w:val="single" w:sz="4" w:space="0" w:color="auto"/>
                    <w:right w:val="nil"/>
                  </w:tcBorders>
                </w:tcPr>
                <w:p w14:paraId="79E31CE6"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acq_car</w:t>
                  </w:r>
                  <w:r w:rsidRPr="00EB468D">
                    <w:rPr>
                      <w:b/>
                      <w:bCs/>
                      <w:color w:val="000000" w:themeColor="text1"/>
                      <w:sz w:val="22"/>
                      <w:lang w:val="en-US"/>
                    </w:rPr>
                    <w:br/>
                    <w:t>[-5,5]</w:t>
                  </w:r>
                </w:p>
              </w:tc>
              <w:tc>
                <w:tcPr>
                  <w:tcW w:w="1223" w:type="pct"/>
                  <w:tcBorders>
                    <w:top w:val="nil"/>
                    <w:left w:val="nil"/>
                    <w:bottom w:val="single" w:sz="4" w:space="0" w:color="auto"/>
                    <w:right w:val="nil"/>
                  </w:tcBorders>
                </w:tcPr>
                <w:p w14:paraId="18D8AC14"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deal_car_weighted</w:t>
                  </w:r>
                  <w:r w:rsidRPr="00EB468D">
                    <w:rPr>
                      <w:b/>
                      <w:bCs/>
                      <w:color w:val="000000" w:themeColor="text1"/>
                      <w:sz w:val="22"/>
                      <w:lang w:val="en-US"/>
                    </w:rPr>
                    <w:br/>
                    <w:t>[-5,5]</w:t>
                  </w:r>
                </w:p>
              </w:tc>
            </w:tr>
            <w:tr w:rsidR="00694090" w:rsidRPr="00EB468D" w14:paraId="389E7D27" w14:textId="77777777" w:rsidTr="00893C52">
              <w:tc>
                <w:tcPr>
                  <w:tcW w:w="1331" w:type="pct"/>
                  <w:tcBorders>
                    <w:top w:val="single" w:sz="4" w:space="0" w:color="auto"/>
                    <w:left w:val="nil"/>
                    <w:bottom w:val="nil"/>
                    <w:right w:val="nil"/>
                  </w:tcBorders>
                </w:tcPr>
                <w:p w14:paraId="111F03CD"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deal_culturaldistance_js</w:t>
                  </w:r>
                </w:p>
              </w:tc>
              <w:tc>
                <w:tcPr>
                  <w:tcW w:w="1223" w:type="pct"/>
                  <w:tcBorders>
                    <w:top w:val="single" w:sz="4" w:space="0" w:color="auto"/>
                    <w:left w:val="nil"/>
                    <w:bottom w:val="nil"/>
                    <w:right w:val="nil"/>
                  </w:tcBorders>
                  <w:vAlign w:val="center"/>
                </w:tcPr>
                <w:p w14:paraId="6DE198A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-1.526**</w:t>
                  </w:r>
                </w:p>
              </w:tc>
              <w:tc>
                <w:tcPr>
                  <w:tcW w:w="1223" w:type="pct"/>
                  <w:tcBorders>
                    <w:top w:val="single" w:sz="4" w:space="0" w:color="auto"/>
                    <w:left w:val="nil"/>
                    <w:bottom w:val="nil"/>
                    <w:right w:val="nil"/>
                  </w:tcBorders>
                  <w:vAlign w:val="center"/>
                </w:tcPr>
                <w:p w14:paraId="02AB107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-.753**</w:t>
                  </w:r>
                </w:p>
              </w:tc>
              <w:tc>
                <w:tcPr>
                  <w:tcW w:w="1223" w:type="pct"/>
                  <w:tcBorders>
                    <w:top w:val="single" w:sz="4" w:space="0" w:color="auto"/>
                    <w:left w:val="nil"/>
                    <w:bottom w:val="nil"/>
                    <w:right w:val="nil"/>
                  </w:tcBorders>
                  <w:vAlign w:val="center"/>
                </w:tcPr>
                <w:p w14:paraId="77A2B8F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-.245*</w:t>
                  </w:r>
                </w:p>
              </w:tc>
            </w:tr>
            <w:tr w:rsidR="00694090" w:rsidRPr="00EB468D" w14:paraId="55987624" w14:textId="77777777" w:rsidTr="00893C52">
              <w:tc>
                <w:tcPr>
                  <w:tcW w:w="1331" w:type="pct"/>
                  <w:tcBorders>
                    <w:top w:val="nil"/>
                    <w:left w:val="nil"/>
                    <w:bottom w:val="nil"/>
                    <w:right w:val="nil"/>
                  </w:tcBorders>
                </w:tcPr>
                <w:p w14:paraId="33340C2C"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vAlign w:val="center"/>
                </w:tcPr>
                <w:p w14:paraId="6EC3C70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(-2.540)</w:t>
                  </w:r>
                </w:p>
              </w:tc>
              <w:tc>
                <w:tcPr>
                  <w:tcW w:w="1223" w:type="pct"/>
                  <w:tcBorders>
                    <w:top w:val="nil"/>
                    <w:left w:val="nil"/>
                    <w:bottom w:val="nil"/>
                    <w:right w:val="nil"/>
                  </w:tcBorders>
                  <w:vAlign w:val="center"/>
                </w:tcPr>
                <w:p w14:paraId="67B6551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(-2.363)</w:t>
                  </w:r>
                </w:p>
              </w:tc>
              <w:tc>
                <w:tcPr>
                  <w:tcW w:w="1223" w:type="pct"/>
                  <w:tcBorders>
                    <w:top w:val="nil"/>
                    <w:left w:val="nil"/>
                    <w:bottom w:val="nil"/>
                    <w:right w:val="nil"/>
                  </w:tcBorders>
                  <w:vAlign w:val="center"/>
                </w:tcPr>
                <w:p w14:paraId="58EB4A9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(-1.913)</w:t>
                  </w:r>
                </w:p>
              </w:tc>
            </w:tr>
            <w:tr w:rsidR="00694090" w:rsidRPr="00EB468D" w14:paraId="3A462E9F" w14:textId="77777777" w:rsidTr="00893C52">
              <w:tc>
                <w:tcPr>
                  <w:tcW w:w="1331" w:type="pct"/>
                  <w:tcBorders>
                    <w:top w:val="nil"/>
                    <w:left w:val="nil"/>
                    <w:bottom w:val="nil"/>
                    <w:right w:val="nil"/>
                  </w:tcBorders>
                </w:tcPr>
                <w:p w14:paraId="54F91845"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deal_value_ln</w:t>
                  </w:r>
                </w:p>
              </w:tc>
              <w:tc>
                <w:tcPr>
                  <w:tcW w:w="1223" w:type="pct"/>
                  <w:tcBorders>
                    <w:top w:val="nil"/>
                    <w:left w:val="nil"/>
                    <w:bottom w:val="nil"/>
                    <w:right w:val="nil"/>
                  </w:tcBorders>
                  <w:vAlign w:val="center"/>
                </w:tcPr>
                <w:p w14:paraId="7324FD0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.140**</w:t>
                  </w:r>
                </w:p>
              </w:tc>
              <w:tc>
                <w:tcPr>
                  <w:tcW w:w="1223" w:type="pct"/>
                  <w:tcBorders>
                    <w:top w:val="nil"/>
                    <w:left w:val="nil"/>
                    <w:bottom w:val="nil"/>
                    <w:right w:val="nil"/>
                  </w:tcBorders>
                  <w:vAlign w:val="center"/>
                </w:tcPr>
                <w:p w14:paraId="6D0D1B2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.079**</w:t>
                  </w:r>
                </w:p>
              </w:tc>
              <w:tc>
                <w:tcPr>
                  <w:tcW w:w="1223" w:type="pct"/>
                  <w:tcBorders>
                    <w:top w:val="nil"/>
                    <w:left w:val="nil"/>
                    <w:bottom w:val="nil"/>
                    <w:right w:val="nil"/>
                  </w:tcBorders>
                  <w:vAlign w:val="center"/>
                </w:tcPr>
                <w:p w14:paraId="2AD7F7B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.034**</w:t>
                  </w:r>
                </w:p>
              </w:tc>
            </w:tr>
            <w:tr w:rsidR="00694090" w:rsidRPr="00EB468D" w14:paraId="6A857901" w14:textId="77777777" w:rsidTr="00893C52">
              <w:tc>
                <w:tcPr>
                  <w:tcW w:w="1331" w:type="pct"/>
                  <w:tcBorders>
                    <w:top w:val="nil"/>
                    <w:left w:val="nil"/>
                    <w:bottom w:val="nil"/>
                    <w:right w:val="nil"/>
                  </w:tcBorders>
                </w:tcPr>
                <w:p w14:paraId="31776420"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vAlign w:val="center"/>
                </w:tcPr>
                <w:p w14:paraId="4C48FBB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(2.414)</w:t>
                  </w:r>
                </w:p>
              </w:tc>
              <w:tc>
                <w:tcPr>
                  <w:tcW w:w="1223" w:type="pct"/>
                  <w:tcBorders>
                    <w:top w:val="nil"/>
                    <w:left w:val="nil"/>
                    <w:bottom w:val="nil"/>
                    <w:right w:val="nil"/>
                  </w:tcBorders>
                  <w:vAlign w:val="center"/>
                </w:tcPr>
                <w:p w14:paraId="26ED580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(2.402)</w:t>
                  </w:r>
                </w:p>
              </w:tc>
              <w:tc>
                <w:tcPr>
                  <w:tcW w:w="1223" w:type="pct"/>
                  <w:tcBorders>
                    <w:top w:val="nil"/>
                    <w:left w:val="nil"/>
                    <w:bottom w:val="nil"/>
                    <w:right w:val="nil"/>
                  </w:tcBorders>
                  <w:vAlign w:val="center"/>
                </w:tcPr>
                <w:p w14:paraId="7A56AF0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(2.113)</w:t>
                  </w:r>
                </w:p>
              </w:tc>
            </w:tr>
            <w:tr w:rsidR="00694090" w:rsidRPr="00EB468D" w14:paraId="05EFACF1" w14:textId="77777777" w:rsidTr="00893C52">
              <w:tc>
                <w:tcPr>
                  <w:tcW w:w="1331" w:type="pct"/>
                  <w:tcBorders>
                    <w:top w:val="nil"/>
                    <w:left w:val="nil"/>
                    <w:bottom w:val="nil"/>
                    <w:right w:val="nil"/>
                  </w:tcBorders>
                </w:tcPr>
                <w:p w14:paraId="1D801713"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deal_hofstede_distance</w:t>
                  </w:r>
                </w:p>
              </w:tc>
              <w:tc>
                <w:tcPr>
                  <w:tcW w:w="1223" w:type="pct"/>
                  <w:tcBorders>
                    <w:top w:val="nil"/>
                    <w:left w:val="nil"/>
                    <w:bottom w:val="nil"/>
                    <w:right w:val="nil"/>
                  </w:tcBorders>
                  <w:vAlign w:val="center"/>
                </w:tcPr>
                <w:p w14:paraId="5601E31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.183</w:t>
                  </w:r>
                </w:p>
              </w:tc>
              <w:tc>
                <w:tcPr>
                  <w:tcW w:w="1223" w:type="pct"/>
                  <w:tcBorders>
                    <w:top w:val="nil"/>
                    <w:left w:val="nil"/>
                    <w:bottom w:val="nil"/>
                    <w:right w:val="nil"/>
                  </w:tcBorders>
                  <w:vAlign w:val="center"/>
                </w:tcPr>
                <w:p w14:paraId="21726D4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.032</w:t>
                  </w:r>
                </w:p>
              </w:tc>
              <w:tc>
                <w:tcPr>
                  <w:tcW w:w="1223" w:type="pct"/>
                  <w:tcBorders>
                    <w:top w:val="nil"/>
                    <w:left w:val="nil"/>
                    <w:bottom w:val="nil"/>
                    <w:right w:val="nil"/>
                  </w:tcBorders>
                  <w:vAlign w:val="center"/>
                </w:tcPr>
                <w:p w14:paraId="3DD7414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-.048</w:t>
                  </w:r>
                </w:p>
              </w:tc>
            </w:tr>
            <w:tr w:rsidR="00694090" w:rsidRPr="00EB468D" w14:paraId="6380F5F3" w14:textId="77777777" w:rsidTr="00893C52">
              <w:tc>
                <w:tcPr>
                  <w:tcW w:w="1331" w:type="pct"/>
                  <w:tcBorders>
                    <w:top w:val="nil"/>
                    <w:left w:val="nil"/>
                    <w:bottom w:val="nil"/>
                    <w:right w:val="nil"/>
                  </w:tcBorders>
                </w:tcPr>
                <w:p w14:paraId="56CA47DB"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vAlign w:val="center"/>
                </w:tcPr>
                <w:p w14:paraId="2933802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(.503)</w:t>
                  </w:r>
                </w:p>
              </w:tc>
              <w:tc>
                <w:tcPr>
                  <w:tcW w:w="1223" w:type="pct"/>
                  <w:tcBorders>
                    <w:top w:val="nil"/>
                    <w:left w:val="nil"/>
                    <w:bottom w:val="nil"/>
                    <w:right w:val="nil"/>
                  </w:tcBorders>
                  <w:vAlign w:val="center"/>
                </w:tcPr>
                <w:p w14:paraId="37C7A7E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(.179)</w:t>
                  </w:r>
                </w:p>
              </w:tc>
              <w:tc>
                <w:tcPr>
                  <w:tcW w:w="1223" w:type="pct"/>
                  <w:tcBorders>
                    <w:top w:val="nil"/>
                    <w:left w:val="nil"/>
                    <w:bottom w:val="nil"/>
                    <w:right w:val="nil"/>
                  </w:tcBorders>
                  <w:vAlign w:val="center"/>
                </w:tcPr>
                <w:p w14:paraId="018196C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(-.528)</w:t>
                  </w:r>
                </w:p>
              </w:tc>
            </w:tr>
            <w:tr w:rsidR="00694090" w:rsidRPr="00EB468D" w14:paraId="1E8CEB51" w14:textId="77777777" w:rsidTr="00893C52">
              <w:tc>
                <w:tcPr>
                  <w:tcW w:w="1331" w:type="pct"/>
                  <w:tcBorders>
                    <w:top w:val="nil"/>
                    <w:left w:val="nil"/>
                    <w:bottom w:val="nil"/>
                    <w:right w:val="nil"/>
                  </w:tcBorders>
                </w:tcPr>
                <w:p w14:paraId="65685FF1"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deal_all_cash_dummy</w:t>
                  </w:r>
                </w:p>
              </w:tc>
              <w:tc>
                <w:tcPr>
                  <w:tcW w:w="1223" w:type="pct"/>
                  <w:tcBorders>
                    <w:top w:val="nil"/>
                    <w:left w:val="nil"/>
                    <w:bottom w:val="nil"/>
                    <w:right w:val="nil"/>
                  </w:tcBorders>
                  <w:vAlign w:val="center"/>
                </w:tcPr>
                <w:p w14:paraId="70357EB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.038</w:t>
                  </w:r>
                </w:p>
              </w:tc>
              <w:tc>
                <w:tcPr>
                  <w:tcW w:w="1223" w:type="pct"/>
                  <w:tcBorders>
                    <w:top w:val="nil"/>
                    <w:left w:val="nil"/>
                    <w:bottom w:val="nil"/>
                    <w:right w:val="nil"/>
                  </w:tcBorders>
                  <w:vAlign w:val="center"/>
                </w:tcPr>
                <w:p w14:paraId="4F4BD88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.033</w:t>
                  </w:r>
                </w:p>
              </w:tc>
              <w:tc>
                <w:tcPr>
                  <w:tcW w:w="1223" w:type="pct"/>
                  <w:tcBorders>
                    <w:top w:val="nil"/>
                    <w:left w:val="nil"/>
                    <w:bottom w:val="nil"/>
                    <w:right w:val="nil"/>
                  </w:tcBorders>
                  <w:vAlign w:val="center"/>
                </w:tcPr>
                <w:p w14:paraId="2BBD770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.009</w:t>
                  </w:r>
                </w:p>
              </w:tc>
            </w:tr>
            <w:tr w:rsidR="00694090" w:rsidRPr="00EB468D" w14:paraId="4CC40D76" w14:textId="77777777" w:rsidTr="00893C52">
              <w:tc>
                <w:tcPr>
                  <w:tcW w:w="1331" w:type="pct"/>
                  <w:tcBorders>
                    <w:top w:val="nil"/>
                    <w:left w:val="nil"/>
                    <w:bottom w:val="nil"/>
                    <w:right w:val="nil"/>
                  </w:tcBorders>
                </w:tcPr>
                <w:p w14:paraId="1F2C41BE"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vAlign w:val="center"/>
                </w:tcPr>
                <w:p w14:paraId="7FE2DC2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(.422)</w:t>
                  </w:r>
                </w:p>
              </w:tc>
              <w:tc>
                <w:tcPr>
                  <w:tcW w:w="1223" w:type="pct"/>
                  <w:tcBorders>
                    <w:top w:val="nil"/>
                    <w:left w:val="nil"/>
                    <w:bottom w:val="nil"/>
                    <w:right w:val="nil"/>
                  </w:tcBorders>
                  <w:vAlign w:val="center"/>
                </w:tcPr>
                <w:p w14:paraId="3D24C4F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(.619)</w:t>
                  </w:r>
                </w:p>
              </w:tc>
              <w:tc>
                <w:tcPr>
                  <w:tcW w:w="1223" w:type="pct"/>
                  <w:tcBorders>
                    <w:top w:val="nil"/>
                    <w:left w:val="nil"/>
                    <w:bottom w:val="nil"/>
                    <w:right w:val="nil"/>
                  </w:tcBorders>
                  <w:vAlign w:val="center"/>
                </w:tcPr>
                <w:p w14:paraId="46A5413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(.387)</w:t>
                  </w:r>
                </w:p>
              </w:tc>
            </w:tr>
            <w:tr w:rsidR="00694090" w:rsidRPr="00EB468D" w14:paraId="709FC1BC" w14:textId="77777777" w:rsidTr="00893C52">
              <w:tc>
                <w:tcPr>
                  <w:tcW w:w="1331" w:type="pct"/>
                  <w:tcBorders>
                    <w:top w:val="nil"/>
                    <w:left w:val="nil"/>
                    <w:bottom w:val="nil"/>
                    <w:right w:val="nil"/>
                  </w:tcBorders>
                </w:tcPr>
                <w:p w14:paraId="184534F9"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deal_all_stock_dummy</w:t>
                  </w:r>
                </w:p>
              </w:tc>
              <w:tc>
                <w:tcPr>
                  <w:tcW w:w="1223" w:type="pct"/>
                  <w:tcBorders>
                    <w:top w:val="nil"/>
                    <w:left w:val="nil"/>
                    <w:bottom w:val="nil"/>
                    <w:right w:val="nil"/>
                  </w:tcBorders>
                  <w:vAlign w:val="center"/>
                </w:tcPr>
                <w:p w14:paraId="320DE46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-.127</w:t>
                  </w:r>
                </w:p>
              </w:tc>
              <w:tc>
                <w:tcPr>
                  <w:tcW w:w="1223" w:type="pct"/>
                  <w:tcBorders>
                    <w:top w:val="nil"/>
                    <w:left w:val="nil"/>
                    <w:bottom w:val="nil"/>
                    <w:right w:val="nil"/>
                  </w:tcBorders>
                  <w:vAlign w:val="center"/>
                </w:tcPr>
                <w:p w14:paraId="5A00739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-.071</w:t>
                  </w:r>
                </w:p>
              </w:tc>
              <w:tc>
                <w:tcPr>
                  <w:tcW w:w="1223" w:type="pct"/>
                  <w:tcBorders>
                    <w:top w:val="nil"/>
                    <w:left w:val="nil"/>
                    <w:bottom w:val="nil"/>
                    <w:right w:val="nil"/>
                  </w:tcBorders>
                  <w:vAlign w:val="center"/>
                </w:tcPr>
                <w:p w14:paraId="5E5EA9A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-.029</w:t>
                  </w:r>
                </w:p>
              </w:tc>
            </w:tr>
            <w:tr w:rsidR="00694090" w:rsidRPr="00EB468D" w14:paraId="3E89D8FA" w14:textId="77777777" w:rsidTr="00893C52">
              <w:tc>
                <w:tcPr>
                  <w:tcW w:w="1331" w:type="pct"/>
                  <w:tcBorders>
                    <w:top w:val="nil"/>
                    <w:left w:val="nil"/>
                    <w:bottom w:val="nil"/>
                    <w:right w:val="nil"/>
                  </w:tcBorders>
                </w:tcPr>
                <w:p w14:paraId="3BD8477A"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vAlign w:val="center"/>
                </w:tcPr>
                <w:p w14:paraId="733AE8A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(-1.017)</w:t>
                  </w:r>
                </w:p>
              </w:tc>
              <w:tc>
                <w:tcPr>
                  <w:tcW w:w="1223" w:type="pct"/>
                  <w:tcBorders>
                    <w:top w:val="nil"/>
                    <w:left w:val="nil"/>
                    <w:bottom w:val="nil"/>
                    <w:right w:val="nil"/>
                  </w:tcBorders>
                  <w:vAlign w:val="center"/>
                </w:tcPr>
                <w:p w14:paraId="35FC975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(-1.123)</w:t>
                  </w:r>
                </w:p>
              </w:tc>
              <w:tc>
                <w:tcPr>
                  <w:tcW w:w="1223" w:type="pct"/>
                  <w:tcBorders>
                    <w:top w:val="nil"/>
                    <w:left w:val="nil"/>
                    <w:bottom w:val="nil"/>
                    <w:right w:val="nil"/>
                  </w:tcBorders>
                  <w:vAlign w:val="center"/>
                </w:tcPr>
                <w:p w14:paraId="364635C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(-1.128)</w:t>
                  </w:r>
                </w:p>
              </w:tc>
            </w:tr>
            <w:tr w:rsidR="00694090" w:rsidRPr="00EB468D" w14:paraId="48DC0785" w14:textId="77777777" w:rsidTr="00893C52">
              <w:tc>
                <w:tcPr>
                  <w:tcW w:w="1331" w:type="pct"/>
                  <w:tcBorders>
                    <w:top w:val="nil"/>
                    <w:left w:val="nil"/>
                    <w:bottom w:val="nil"/>
                    <w:right w:val="nil"/>
                  </w:tcBorders>
                </w:tcPr>
                <w:p w14:paraId="4955C5D0"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deal_tenderoffer_dummy</w:t>
                  </w:r>
                </w:p>
              </w:tc>
              <w:tc>
                <w:tcPr>
                  <w:tcW w:w="1223" w:type="pct"/>
                  <w:tcBorders>
                    <w:top w:val="nil"/>
                    <w:left w:val="nil"/>
                    <w:bottom w:val="nil"/>
                    <w:right w:val="nil"/>
                  </w:tcBorders>
                  <w:vAlign w:val="center"/>
                </w:tcPr>
                <w:p w14:paraId="7A9291F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-.064</w:t>
                  </w:r>
                </w:p>
              </w:tc>
              <w:tc>
                <w:tcPr>
                  <w:tcW w:w="1223" w:type="pct"/>
                  <w:tcBorders>
                    <w:top w:val="nil"/>
                    <w:left w:val="nil"/>
                    <w:bottom w:val="nil"/>
                    <w:right w:val="nil"/>
                  </w:tcBorders>
                  <w:vAlign w:val="center"/>
                </w:tcPr>
                <w:p w14:paraId="63F726B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-.029</w:t>
                  </w:r>
                </w:p>
              </w:tc>
              <w:tc>
                <w:tcPr>
                  <w:tcW w:w="1223" w:type="pct"/>
                  <w:tcBorders>
                    <w:top w:val="nil"/>
                    <w:left w:val="nil"/>
                    <w:bottom w:val="nil"/>
                    <w:right w:val="nil"/>
                  </w:tcBorders>
                  <w:vAlign w:val="center"/>
                </w:tcPr>
                <w:p w14:paraId="1B95474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-.017</w:t>
                  </w:r>
                </w:p>
              </w:tc>
            </w:tr>
            <w:tr w:rsidR="00694090" w:rsidRPr="00EB468D" w14:paraId="539D0D49" w14:textId="77777777" w:rsidTr="00893C52">
              <w:tc>
                <w:tcPr>
                  <w:tcW w:w="1331" w:type="pct"/>
                  <w:tcBorders>
                    <w:top w:val="nil"/>
                    <w:left w:val="nil"/>
                    <w:bottom w:val="nil"/>
                    <w:right w:val="nil"/>
                  </w:tcBorders>
                </w:tcPr>
                <w:p w14:paraId="3C1950E8"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vAlign w:val="center"/>
                </w:tcPr>
                <w:p w14:paraId="3241BB1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(-.803)</w:t>
                  </w:r>
                </w:p>
              </w:tc>
              <w:tc>
                <w:tcPr>
                  <w:tcW w:w="1223" w:type="pct"/>
                  <w:tcBorders>
                    <w:top w:val="nil"/>
                    <w:left w:val="nil"/>
                    <w:bottom w:val="nil"/>
                    <w:right w:val="nil"/>
                  </w:tcBorders>
                  <w:vAlign w:val="center"/>
                </w:tcPr>
                <w:p w14:paraId="1EB2F69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(-.614)</w:t>
                  </w:r>
                </w:p>
              </w:tc>
              <w:tc>
                <w:tcPr>
                  <w:tcW w:w="1223" w:type="pct"/>
                  <w:tcBorders>
                    <w:top w:val="nil"/>
                    <w:left w:val="nil"/>
                    <w:bottom w:val="nil"/>
                    <w:right w:val="nil"/>
                  </w:tcBorders>
                  <w:vAlign w:val="center"/>
                </w:tcPr>
                <w:p w14:paraId="52A9B54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(-.760)</w:t>
                  </w:r>
                </w:p>
              </w:tc>
            </w:tr>
            <w:tr w:rsidR="00694090" w:rsidRPr="00EB468D" w14:paraId="34D1B8F2" w14:textId="77777777" w:rsidTr="00893C52">
              <w:tc>
                <w:tcPr>
                  <w:tcW w:w="1331" w:type="pct"/>
                  <w:tcBorders>
                    <w:top w:val="nil"/>
                    <w:left w:val="nil"/>
                    <w:bottom w:val="nil"/>
                    <w:right w:val="nil"/>
                  </w:tcBorders>
                </w:tcPr>
                <w:p w14:paraId="4B1379D8"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deal_friendly_dummy</w:t>
                  </w:r>
                </w:p>
              </w:tc>
              <w:tc>
                <w:tcPr>
                  <w:tcW w:w="1223" w:type="pct"/>
                  <w:tcBorders>
                    <w:top w:val="nil"/>
                    <w:left w:val="nil"/>
                    <w:bottom w:val="nil"/>
                    <w:right w:val="nil"/>
                  </w:tcBorders>
                  <w:vAlign w:val="center"/>
                </w:tcPr>
                <w:p w14:paraId="4536228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-.186</w:t>
                  </w:r>
                </w:p>
              </w:tc>
              <w:tc>
                <w:tcPr>
                  <w:tcW w:w="1223" w:type="pct"/>
                  <w:tcBorders>
                    <w:top w:val="nil"/>
                    <w:left w:val="nil"/>
                    <w:bottom w:val="nil"/>
                    <w:right w:val="nil"/>
                  </w:tcBorders>
                  <w:vAlign w:val="center"/>
                </w:tcPr>
                <w:p w14:paraId="48D713F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-.083</w:t>
                  </w:r>
                </w:p>
              </w:tc>
              <w:tc>
                <w:tcPr>
                  <w:tcW w:w="1223" w:type="pct"/>
                  <w:tcBorders>
                    <w:top w:val="nil"/>
                    <w:left w:val="nil"/>
                    <w:bottom w:val="nil"/>
                    <w:right w:val="nil"/>
                  </w:tcBorders>
                  <w:vAlign w:val="center"/>
                </w:tcPr>
                <w:p w14:paraId="7E26E2A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-.029</w:t>
                  </w:r>
                </w:p>
              </w:tc>
            </w:tr>
            <w:tr w:rsidR="00694090" w:rsidRPr="00EB468D" w14:paraId="251A7C01" w14:textId="77777777" w:rsidTr="00893C52">
              <w:tc>
                <w:tcPr>
                  <w:tcW w:w="1331" w:type="pct"/>
                  <w:tcBorders>
                    <w:top w:val="nil"/>
                    <w:left w:val="nil"/>
                    <w:bottom w:val="nil"/>
                    <w:right w:val="nil"/>
                  </w:tcBorders>
                </w:tcPr>
                <w:p w14:paraId="6CB0F00E"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vAlign w:val="center"/>
                </w:tcPr>
                <w:p w14:paraId="5AF6489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(-.941)</w:t>
                  </w:r>
                </w:p>
              </w:tc>
              <w:tc>
                <w:tcPr>
                  <w:tcW w:w="1223" w:type="pct"/>
                  <w:tcBorders>
                    <w:top w:val="nil"/>
                    <w:left w:val="nil"/>
                    <w:bottom w:val="nil"/>
                    <w:right w:val="nil"/>
                  </w:tcBorders>
                  <w:vAlign w:val="center"/>
                </w:tcPr>
                <w:p w14:paraId="354C8ED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(-.691)</w:t>
                  </w:r>
                </w:p>
              </w:tc>
              <w:tc>
                <w:tcPr>
                  <w:tcW w:w="1223" w:type="pct"/>
                  <w:tcBorders>
                    <w:top w:val="nil"/>
                    <w:left w:val="nil"/>
                    <w:bottom w:val="nil"/>
                    <w:right w:val="nil"/>
                  </w:tcBorders>
                  <w:vAlign w:val="center"/>
                </w:tcPr>
                <w:p w14:paraId="5511C0B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(-.623)</w:t>
                  </w:r>
                </w:p>
              </w:tc>
            </w:tr>
            <w:tr w:rsidR="00694090" w:rsidRPr="00EB468D" w14:paraId="1C5A91B5" w14:textId="77777777" w:rsidTr="00893C52">
              <w:tc>
                <w:tcPr>
                  <w:tcW w:w="1331" w:type="pct"/>
                  <w:tcBorders>
                    <w:top w:val="nil"/>
                    <w:left w:val="nil"/>
                    <w:bottom w:val="nil"/>
                    <w:right w:val="nil"/>
                  </w:tcBorders>
                </w:tcPr>
                <w:p w14:paraId="0413F833"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deal_relatedness_dummy</w:t>
                  </w:r>
                </w:p>
              </w:tc>
              <w:tc>
                <w:tcPr>
                  <w:tcW w:w="1223" w:type="pct"/>
                  <w:tcBorders>
                    <w:top w:val="nil"/>
                    <w:left w:val="nil"/>
                    <w:bottom w:val="nil"/>
                    <w:right w:val="nil"/>
                  </w:tcBorders>
                  <w:vAlign w:val="center"/>
                </w:tcPr>
                <w:p w14:paraId="0D257B1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.014</w:t>
                  </w:r>
                </w:p>
              </w:tc>
              <w:tc>
                <w:tcPr>
                  <w:tcW w:w="1223" w:type="pct"/>
                  <w:tcBorders>
                    <w:top w:val="nil"/>
                    <w:left w:val="nil"/>
                    <w:bottom w:val="nil"/>
                    <w:right w:val="nil"/>
                  </w:tcBorders>
                  <w:vAlign w:val="center"/>
                </w:tcPr>
                <w:p w14:paraId="71F014E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-.002</w:t>
                  </w:r>
                </w:p>
              </w:tc>
              <w:tc>
                <w:tcPr>
                  <w:tcW w:w="1223" w:type="pct"/>
                  <w:tcBorders>
                    <w:top w:val="nil"/>
                    <w:left w:val="nil"/>
                    <w:bottom w:val="nil"/>
                    <w:right w:val="nil"/>
                  </w:tcBorders>
                  <w:vAlign w:val="center"/>
                </w:tcPr>
                <w:p w14:paraId="225E727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-.004</w:t>
                  </w:r>
                </w:p>
              </w:tc>
            </w:tr>
            <w:tr w:rsidR="00694090" w:rsidRPr="00EB468D" w14:paraId="368B2A0A" w14:textId="77777777" w:rsidTr="00893C52">
              <w:tc>
                <w:tcPr>
                  <w:tcW w:w="1331" w:type="pct"/>
                  <w:tcBorders>
                    <w:top w:val="nil"/>
                    <w:left w:val="nil"/>
                    <w:bottom w:val="nil"/>
                    <w:right w:val="nil"/>
                  </w:tcBorders>
                </w:tcPr>
                <w:p w14:paraId="599488FF"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vAlign w:val="center"/>
                </w:tcPr>
                <w:p w14:paraId="325879F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(.175)</w:t>
                  </w:r>
                </w:p>
              </w:tc>
              <w:tc>
                <w:tcPr>
                  <w:tcW w:w="1223" w:type="pct"/>
                  <w:tcBorders>
                    <w:top w:val="nil"/>
                    <w:left w:val="nil"/>
                    <w:bottom w:val="nil"/>
                    <w:right w:val="nil"/>
                  </w:tcBorders>
                  <w:vAlign w:val="center"/>
                </w:tcPr>
                <w:p w14:paraId="074C2F6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(-.034)</w:t>
                  </w:r>
                </w:p>
              </w:tc>
              <w:tc>
                <w:tcPr>
                  <w:tcW w:w="1223" w:type="pct"/>
                  <w:tcBorders>
                    <w:top w:val="nil"/>
                    <w:left w:val="nil"/>
                    <w:bottom w:val="nil"/>
                    <w:right w:val="nil"/>
                  </w:tcBorders>
                  <w:vAlign w:val="center"/>
                </w:tcPr>
                <w:p w14:paraId="10C37C7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(-.210)</w:t>
                  </w:r>
                </w:p>
              </w:tc>
            </w:tr>
            <w:tr w:rsidR="00694090" w:rsidRPr="00EB468D" w14:paraId="4D044CFA" w14:textId="77777777" w:rsidTr="00893C52">
              <w:tc>
                <w:tcPr>
                  <w:tcW w:w="1331" w:type="pct"/>
                  <w:tcBorders>
                    <w:top w:val="nil"/>
                    <w:left w:val="nil"/>
                    <w:bottom w:val="nil"/>
                    <w:right w:val="nil"/>
                  </w:tcBorders>
                </w:tcPr>
                <w:p w14:paraId="13D893AF"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acq_age</w:t>
                  </w:r>
                </w:p>
              </w:tc>
              <w:tc>
                <w:tcPr>
                  <w:tcW w:w="1223" w:type="pct"/>
                  <w:tcBorders>
                    <w:top w:val="nil"/>
                    <w:left w:val="nil"/>
                    <w:bottom w:val="nil"/>
                    <w:right w:val="nil"/>
                  </w:tcBorders>
                  <w:vAlign w:val="center"/>
                </w:tcPr>
                <w:p w14:paraId="76A6501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.001</w:t>
                  </w:r>
                </w:p>
              </w:tc>
              <w:tc>
                <w:tcPr>
                  <w:tcW w:w="1223" w:type="pct"/>
                  <w:tcBorders>
                    <w:top w:val="nil"/>
                    <w:left w:val="nil"/>
                    <w:bottom w:val="nil"/>
                    <w:right w:val="nil"/>
                  </w:tcBorders>
                  <w:vAlign w:val="center"/>
                </w:tcPr>
                <w:p w14:paraId="655AEF3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.001</w:t>
                  </w:r>
                </w:p>
              </w:tc>
              <w:tc>
                <w:tcPr>
                  <w:tcW w:w="1223" w:type="pct"/>
                  <w:tcBorders>
                    <w:top w:val="nil"/>
                    <w:left w:val="nil"/>
                    <w:bottom w:val="nil"/>
                    <w:right w:val="nil"/>
                  </w:tcBorders>
                  <w:vAlign w:val="center"/>
                </w:tcPr>
                <w:p w14:paraId="6C9937F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.0003</w:t>
                  </w:r>
                </w:p>
              </w:tc>
            </w:tr>
            <w:tr w:rsidR="00694090" w:rsidRPr="00EB468D" w14:paraId="1EEEC579" w14:textId="77777777" w:rsidTr="00893C52">
              <w:tc>
                <w:tcPr>
                  <w:tcW w:w="1331" w:type="pct"/>
                  <w:tcBorders>
                    <w:top w:val="nil"/>
                    <w:left w:val="nil"/>
                    <w:bottom w:val="nil"/>
                    <w:right w:val="nil"/>
                  </w:tcBorders>
                </w:tcPr>
                <w:p w14:paraId="3909FBA5"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vAlign w:val="center"/>
                </w:tcPr>
                <w:p w14:paraId="4F07C73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(1.397)</w:t>
                  </w:r>
                </w:p>
              </w:tc>
              <w:tc>
                <w:tcPr>
                  <w:tcW w:w="1223" w:type="pct"/>
                  <w:tcBorders>
                    <w:top w:val="nil"/>
                    <w:left w:val="nil"/>
                    <w:bottom w:val="nil"/>
                    <w:right w:val="nil"/>
                  </w:tcBorders>
                  <w:vAlign w:val="center"/>
                </w:tcPr>
                <w:p w14:paraId="7871DCB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(1.434)</w:t>
                  </w:r>
                </w:p>
              </w:tc>
              <w:tc>
                <w:tcPr>
                  <w:tcW w:w="1223" w:type="pct"/>
                  <w:tcBorders>
                    <w:top w:val="nil"/>
                    <w:left w:val="nil"/>
                    <w:bottom w:val="nil"/>
                    <w:right w:val="nil"/>
                  </w:tcBorders>
                  <w:vAlign w:val="center"/>
                </w:tcPr>
                <w:p w14:paraId="432C8B7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(1.517)</w:t>
                  </w:r>
                </w:p>
              </w:tc>
            </w:tr>
            <w:tr w:rsidR="00694090" w:rsidRPr="00EB468D" w14:paraId="3B35FA47" w14:textId="77777777" w:rsidTr="00893C52">
              <w:tc>
                <w:tcPr>
                  <w:tcW w:w="1331" w:type="pct"/>
                  <w:tcBorders>
                    <w:top w:val="nil"/>
                    <w:left w:val="nil"/>
                    <w:bottom w:val="nil"/>
                    <w:right w:val="nil"/>
                  </w:tcBorders>
                </w:tcPr>
                <w:p w14:paraId="491A6EC0"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acq_assets_lastyear_ln</w:t>
                  </w:r>
                </w:p>
              </w:tc>
              <w:tc>
                <w:tcPr>
                  <w:tcW w:w="1223" w:type="pct"/>
                  <w:tcBorders>
                    <w:top w:val="nil"/>
                    <w:left w:val="nil"/>
                    <w:bottom w:val="nil"/>
                    <w:right w:val="nil"/>
                  </w:tcBorders>
                  <w:vAlign w:val="center"/>
                </w:tcPr>
                <w:p w14:paraId="161793A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-.001</w:t>
                  </w:r>
                </w:p>
              </w:tc>
              <w:tc>
                <w:tcPr>
                  <w:tcW w:w="1223" w:type="pct"/>
                  <w:tcBorders>
                    <w:top w:val="nil"/>
                    <w:left w:val="nil"/>
                    <w:bottom w:val="nil"/>
                    <w:right w:val="nil"/>
                  </w:tcBorders>
                  <w:vAlign w:val="center"/>
                </w:tcPr>
                <w:p w14:paraId="2187D6E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-.001</w:t>
                  </w:r>
                </w:p>
              </w:tc>
              <w:tc>
                <w:tcPr>
                  <w:tcW w:w="1223" w:type="pct"/>
                  <w:tcBorders>
                    <w:top w:val="nil"/>
                    <w:left w:val="nil"/>
                    <w:bottom w:val="nil"/>
                    <w:right w:val="nil"/>
                  </w:tcBorders>
                  <w:vAlign w:val="center"/>
                </w:tcPr>
                <w:p w14:paraId="734BBA4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-.005</w:t>
                  </w:r>
                </w:p>
              </w:tc>
            </w:tr>
            <w:tr w:rsidR="00694090" w:rsidRPr="00EB468D" w14:paraId="17689863" w14:textId="77777777" w:rsidTr="00893C52">
              <w:tc>
                <w:tcPr>
                  <w:tcW w:w="1331" w:type="pct"/>
                  <w:tcBorders>
                    <w:top w:val="nil"/>
                    <w:left w:val="nil"/>
                    <w:bottom w:val="nil"/>
                    <w:right w:val="nil"/>
                  </w:tcBorders>
                </w:tcPr>
                <w:p w14:paraId="20CF5089"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vAlign w:val="center"/>
                </w:tcPr>
                <w:p w14:paraId="4C5149F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(-.043)</w:t>
                  </w:r>
                </w:p>
              </w:tc>
              <w:tc>
                <w:tcPr>
                  <w:tcW w:w="1223" w:type="pct"/>
                  <w:tcBorders>
                    <w:top w:val="nil"/>
                    <w:left w:val="nil"/>
                    <w:bottom w:val="nil"/>
                    <w:right w:val="nil"/>
                  </w:tcBorders>
                  <w:vAlign w:val="center"/>
                </w:tcPr>
                <w:p w14:paraId="658FA3C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(-.051)</w:t>
                  </w:r>
                </w:p>
              </w:tc>
              <w:tc>
                <w:tcPr>
                  <w:tcW w:w="1223" w:type="pct"/>
                  <w:tcBorders>
                    <w:top w:val="nil"/>
                    <w:left w:val="nil"/>
                    <w:bottom w:val="nil"/>
                    <w:right w:val="nil"/>
                  </w:tcBorders>
                  <w:vAlign w:val="center"/>
                </w:tcPr>
                <w:p w14:paraId="528A1C3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(-.762)</w:t>
                  </w:r>
                </w:p>
              </w:tc>
            </w:tr>
            <w:tr w:rsidR="00694090" w:rsidRPr="00EB468D" w14:paraId="3063FC7C" w14:textId="77777777" w:rsidTr="00893C52">
              <w:tc>
                <w:tcPr>
                  <w:tcW w:w="1331" w:type="pct"/>
                  <w:tcBorders>
                    <w:top w:val="nil"/>
                    <w:left w:val="nil"/>
                    <w:bottom w:val="nil"/>
                    <w:right w:val="nil"/>
                  </w:tcBorders>
                </w:tcPr>
                <w:p w14:paraId="22AAC8DC"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acq_roa_lastyear</w:t>
                  </w:r>
                </w:p>
              </w:tc>
              <w:tc>
                <w:tcPr>
                  <w:tcW w:w="1223" w:type="pct"/>
                  <w:tcBorders>
                    <w:top w:val="nil"/>
                    <w:left w:val="nil"/>
                    <w:bottom w:val="nil"/>
                    <w:right w:val="nil"/>
                  </w:tcBorders>
                  <w:vAlign w:val="center"/>
                </w:tcPr>
                <w:p w14:paraId="0CE870E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-.076</w:t>
                  </w:r>
                </w:p>
              </w:tc>
              <w:tc>
                <w:tcPr>
                  <w:tcW w:w="1223" w:type="pct"/>
                  <w:tcBorders>
                    <w:top w:val="nil"/>
                    <w:left w:val="nil"/>
                    <w:bottom w:val="nil"/>
                    <w:right w:val="nil"/>
                  </w:tcBorders>
                  <w:vAlign w:val="center"/>
                </w:tcPr>
                <w:p w14:paraId="4C40CEC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-.042</w:t>
                  </w:r>
                </w:p>
              </w:tc>
              <w:tc>
                <w:tcPr>
                  <w:tcW w:w="1223" w:type="pct"/>
                  <w:tcBorders>
                    <w:top w:val="nil"/>
                    <w:left w:val="nil"/>
                    <w:bottom w:val="nil"/>
                    <w:right w:val="nil"/>
                  </w:tcBorders>
                  <w:vAlign w:val="center"/>
                </w:tcPr>
                <w:p w14:paraId="6D494EE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-.019</w:t>
                  </w:r>
                </w:p>
              </w:tc>
            </w:tr>
            <w:tr w:rsidR="00694090" w:rsidRPr="00EB468D" w14:paraId="77398286" w14:textId="77777777" w:rsidTr="00893C52">
              <w:tc>
                <w:tcPr>
                  <w:tcW w:w="1331" w:type="pct"/>
                  <w:tcBorders>
                    <w:top w:val="nil"/>
                    <w:left w:val="nil"/>
                    <w:bottom w:val="nil"/>
                    <w:right w:val="nil"/>
                  </w:tcBorders>
                </w:tcPr>
                <w:p w14:paraId="06D9E682"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vAlign w:val="center"/>
                </w:tcPr>
                <w:p w14:paraId="706CCB5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(-1.365)</w:t>
                  </w:r>
                </w:p>
              </w:tc>
              <w:tc>
                <w:tcPr>
                  <w:tcW w:w="1223" w:type="pct"/>
                  <w:tcBorders>
                    <w:top w:val="nil"/>
                    <w:left w:val="nil"/>
                    <w:bottom w:val="nil"/>
                    <w:right w:val="nil"/>
                  </w:tcBorders>
                  <w:vAlign w:val="center"/>
                </w:tcPr>
                <w:p w14:paraId="18C09DD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(-1.302)</w:t>
                  </w:r>
                </w:p>
              </w:tc>
              <w:tc>
                <w:tcPr>
                  <w:tcW w:w="1223" w:type="pct"/>
                  <w:tcBorders>
                    <w:top w:val="nil"/>
                    <w:left w:val="nil"/>
                    <w:bottom w:val="nil"/>
                    <w:right w:val="nil"/>
                  </w:tcBorders>
                  <w:vAlign w:val="center"/>
                </w:tcPr>
                <w:p w14:paraId="307442F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(-1.339)</w:t>
                  </w:r>
                </w:p>
              </w:tc>
            </w:tr>
            <w:tr w:rsidR="00694090" w:rsidRPr="00EB468D" w14:paraId="43A6B653" w14:textId="77777777" w:rsidTr="00893C52">
              <w:tc>
                <w:tcPr>
                  <w:tcW w:w="1331" w:type="pct"/>
                  <w:tcBorders>
                    <w:top w:val="nil"/>
                    <w:left w:val="nil"/>
                    <w:bottom w:val="nil"/>
                    <w:right w:val="nil"/>
                  </w:tcBorders>
                </w:tcPr>
                <w:p w14:paraId="7451407E"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acq_industrygrowth</w:t>
                  </w:r>
                </w:p>
              </w:tc>
              <w:tc>
                <w:tcPr>
                  <w:tcW w:w="1223" w:type="pct"/>
                  <w:tcBorders>
                    <w:top w:val="nil"/>
                    <w:left w:val="nil"/>
                    <w:bottom w:val="nil"/>
                    <w:right w:val="nil"/>
                  </w:tcBorders>
                  <w:vAlign w:val="center"/>
                </w:tcPr>
                <w:p w14:paraId="6C241EA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2.830**</w:t>
                  </w:r>
                </w:p>
              </w:tc>
              <w:tc>
                <w:tcPr>
                  <w:tcW w:w="1223" w:type="pct"/>
                  <w:tcBorders>
                    <w:top w:val="nil"/>
                    <w:left w:val="nil"/>
                    <w:bottom w:val="nil"/>
                    <w:right w:val="nil"/>
                  </w:tcBorders>
                  <w:vAlign w:val="center"/>
                </w:tcPr>
                <w:p w14:paraId="40B9CB4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1.684***</w:t>
                  </w:r>
                </w:p>
              </w:tc>
              <w:tc>
                <w:tcPr>
                  <w:tcW w:w="1223" w:type="pct"/>
                  <w:tcBorders>
                    <w:top w:val="nil"/>
                    <w:left w:val="nil"/>
                    <w:bottom w:val="nil"/>
                    <w:right w:val="nil"/>
                  </w:tcBorders>
                  <w:vAlign w:val="center"/>
                </w:tcPr>
                <w:p w14:paraId="32B778E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.751***</w:t>
                  </w:r>
                </w:p>
              </w:tc>
            </w:tr>
            <w:tr w:rsidR="00694090" w:rsidRPr="00EB468D" w14:paraId="198600A0" w14:textId="77777777" w:rsidTr="00893C52">
              <w:tc>
                <w:tcPr>
                  <w:tcW w:w="1331" w:type="pct"/>
                  <w:tcBorders>
                    <w:top w:val="nil"/>
                    <w:left w:val="nil"/>
                    <w:bottom w:val="nil"/>
                    <w:right w:val="nil"/>
                  </w:tcBorders>
                </w:tcPr>
                <w:p w14:paraId="6DAD57A8"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vAlign w:val="center"/>
                </w:tcPr>
                <w:p w14:paraId="2E08A92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(2.391)</w:t>
                  </w:r>
                </w:p>
              </w:tc>
              <w:tc>
                <w:tcPr>
                  <w:tcW w:w="1223" w:type="pct"/>
                  <w:tcBorders>
                    <w:top w:val="nil"/>
                    <w:left w:val="nil"/>
                    <w:bottom w:val="nil"/>
                    <w:right w:val="nil"/>
                  </w:tcBorders>
                  <w:vAlign w:val="center"/>
                </w:tcPr>
                <w:p w14:paraId="1D4D8D2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(2.683)</w:t>
                  </w:r>
                </w:p>
              </w:tc>
              <w:tc>
                <w:tcPr>
                  <w:tcW w:w="1223" w:type="pct"/>
                  <w:tcBorders>
                    <w:top w:val="nil"/>
                    <w:left w:val="nil"/>
                    <w:bottom w:val="nil"/>
                    <w:right w:val="nil"/>
                  </w:tcBorders>
                  <w:vAlign w:val="center"/>
                </w:tcPr>
                <w:p w14:paraId="432C675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(2.683)</w:t>
                  </w:r>
                </w:p>
              </w:tc>
            </w:tr>
            <w:tr w:rsidR="00694090" w:rsidRPr="00EB468D" w14:paraId="2CC6CC10" w14:textId="77777777" w:rsidTr="00893C52">
              <w:tc>
                <w:tcPr>
                  <w:tcW w:w="1331" w:type="pct"/>
                  <w:tcBorders>
                    <w:top w:val="nil"/>
                    <w:left w:val="nil"/>
                    <w:bottom w:val="nil"/>
                    <w:right w:val="nil"/>
                  </w:tcBorders>
                </w:tcPr>
                <w:p w14:paraId="44D2C98D"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acq_dealexperience</w:t>
                  </w:r>
                </w:p>
              </w:tc>
              <w:tc>
                <w:tcPr>
                  <w:tcW w:w="1223" w:type="pct"/>
                  <w:tcBorders>
                    <w:top w:val="nil"/>
                    <w:left w:val="nil"/>
                    <w:bottom w:val="nil"/>
                    <w:right w:val="nil"/>
                  </w:tcBorders>
                  <w:vAlign w:val="center"/>
                </w:tcPr>
                <w:p w14:paraId="658AEE6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-.003</w:t>
                  </w:r>
                </w:p>
              </w:tc>
              <w:tc>
                <w:tcPr>
                  <w:tcW w:w="1223" w:type="pct"/>
                  <w:tcBorders>
                    <w:top w:val="nil"/>
                    <w:left w:val="nil"/>
                    <w:bottom w:val="nil"/>
                    <w:right w:val="nil"/>
                  </w:tcBorders>
                  <w:vAlign w:val="center"/>
                </w:tcPr>
                <w:p w14:paraId="1DE7D60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-.008</w:t>
                  </w:r>
                </w:p>
              </w:tc>
              <w:tc>
                <w:tcPr>
                  <w:tcW w:w="1223" w:type="pct"/>
                  <w:tcBorders>
                    <w:top w:val="nil"/>
                    <w:left w:val="nil"/>
                    <w:bottom w:val="nil"/>
                    <w:right w:val="nil"/>
                  </w:tcBorders>
                  <w:vAlign w:val="center"/>
                </w:tcPr>
                <w:p w14:paraId="6209CB3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.005</w:t>
                  </w:r>
                </w:p>
              </w:tc>
            </w:tr>
            <w:tr w:rsidR="00694090" w:rsidRPr="00EB468D" w14:paraId="126F7634" w14:textId="77777777" w:rsidTr="00893C52">
              <w:tc>
                <w:tcPr>
                  <w:tcW w:w="1331" w:type="pct"/>
                  <w:tcBorders>
                    <w:top w:val="nil"/>
                    <w:left w:val="nil"/>
                    <w:bottom w:val="nil"/>
                    <w:right w:val="nil"/>
                  </w:tcBorders>
                </w:tcPr>
                <w:p w14:paraId="618F40AD"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vAlign w:val="center"/>
                </w:tcPr>
                <w:p w14:paraId="4FB115E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(-.084)</w:t>
                  </w:r>
                </w:p>
              </w:tc>
              <w:tc>
                <w:tcPr>
                  <w:tcW w:w="1223" w:type="pct"/>
                  <w:tcBorders>
                    <w:top w:val="nil"/>
                    <w:left w:val="nil"/>
                    <w:bottom w:val="nil"/>
                    <w:right w:val="nil"/>
                  </w:tcBorders>
                  <w:vAlign w:val="center"/>
                </w:tcPr>
                <w:p w14:paraId="57A1E55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(-.326)</w:t>
                  </w:r>
                </w:p>
              </w:tc>
              <w:tc>
                <w:tcPr>
                  <w:tcW w:w="1223" w:type="pct"/>
                  <w:tcBorders>
                    <w:top w:val="nil"/>
                    <w:left w:val="nil"/>
                    <w:bottom w:val="nil"/>
                    <w:right w:val="nil"/>
                  </w:tcBorders>
                  <w:vAlign w:val="center"/>
                </w:tcPr>
                <w:p w14:paraId="78E8B4D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(.482)</w:t>
                  </w:r>
                </w:p>
              </w:tc>
            </w:tr>
            <w:tr w:rsidR="00694090" w:rsidRPr="00EB468D" w14:paraId="657F8970" w14:textId="77777777" w:rsidTr="00893C52">
              <w:tc>
                <w:tcPr>
                  <w:tcW w:w="1331" w:type="pct"/>
                  <w:tcBorders>
                    <w:top w:val="nil"/>
                    <w:left w:val="nil"/>
                    <w:bottom w:val="nil"/>
                    <w:right w:val="nil"/>
                  </w:tcBorders>
                </w:tcPr>
                <w:p w14:paraId="59165C5D"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acq_rd_intensity</w:t>
                  </w:r>
                </w:p>
              </w:tc>
              <w:tc>
                <w:tcPr>
                  <w:tcW w:w="1223" w:type="pct"/>
                  <w:tcBorders>
                    <w:top w:val="nil"/>
                    <w:left w:val="nil"/>
                    <w:bottom w:val="nil"/>
                    <w:right w:val="nil"/>
                  </w:tcBorders>
                  <w:vAlign w:val="center"/>
                </w:tcPr>
                <w:p w14:paraId="49E253D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-.577*</w:t>
                  </w:r>
                </w:p>
              </w:tc>
              <w:tc>
                <w:tcPr>
                  <w:tcW w:w="1223" w:type="pct"/>
                  <w:tcBorders>
                    <w:top w:val="nil"/>
                    <w:left w:val="nil"/>
                    <w:bottom w:val="nil"/>
                    <w:right w:val="nil"/>
                  </w:tcBorders>
                  <w:vAlign w:val="center"/>
                </w:tcPr>
                <w:p w14:paraId="0AB678A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-.335**</w:t>
                  </w:r>
                </w:p>
              </w:tc>
              <w:tc>
                <w:tcPr>
                  <w:tcW w:w="1223" w:type="pct"/>
                  <w:tcBorders>
                    <w:top w:val="nil"/>
                    <w:left w:val="nil"/>
                    <w:bottom w:val="nil"/>
                    <w:right w:val="nil"/>
                  </w:tcBorders>
                  <w:vAlign w:val="center"/>
                </w:tcPr>
                <w:p w14:paraId="1540797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-.149***</w:t>
                  </w:r>
                </w:p>
              </w:tc>
            </w:tr>
            <w:tr w:rsidR="00694090" w:rsidRPr="00EB468D" w14:paraId="216B3E94" w14:textId="77777777" w:rsidTr="00893C52">
              <w:tc>
                <w:tcPr>
                  <w:tcW w:w="1331" w:type="pct"/>
                  <w:tcBorders>
                    <w:top w:val="nil"/>
                    <w:left w:val="nil"/>
                    <w:bottom w:val="nil"/>
                    <w:right w:val="nil"/>
                  </w:tcBorders>
                </w:tcPr>
                <w:p w14:paraId="68C88007"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p>
              </w:tc>
              <w:tc>
                <w:tcPr>
                  <w:tcW w:w="1223" w:type="pct"/>
                  <w:tcBorders>
                    <w:top w:val="nil"/>
                    <w:left w:val="nil"/>
                    <w:bottom w:val="nil"/>
                    <w:right w:val="nil"/>
                  </w:tcBorders>
                  <w:vAlign w:val="center"/>
                </w:tcPr>
                <w:p w14:paraId="6EE46D6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(-1.735)</w:t>
                  </w:r>
                </w:p>
              </w:tc>
              <w:tc>
                <w:tcPr>
                  <w:tcW w:w="1223" w:type="pct"/>
                  <w:tcBorders>
                    <w:top w:val="nil"/>
                    <w:left w:val="nil"/>
                    <w:bottom w:val="nil"/>
                    <w:right w:val="nil"/>
                  </w:tcBorders>
                  <w:vAlign w:val="center"/>
                </w:tcPr>
                <w:p w14:paraId="4C46C31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(-2.117)</w:t>
                  </w:r>
                </w:p>
              </w:tc>
              <w:tc>
                <w:tcPr>
                  <w:tcW w:w="1223" w:type="pct"/>
                  <w:tcBorders>
                    <w:top w:val="nil"/>
                    <w:left w:val="nil"/>
                    <w:bottom w:val="nil"/>
                    <w:right w:val="nil"/>
                  </w:tcBorders>
                  <w:vAlign w:val="center"/>
                </w:tcPr>
                <w:p w14:paraId="51B82B8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(-2.764)</w:t>
                  </w:r>
                </w:p>
              </w:tc>
            </w:tr>
            <w:tr w:rsidR="00694090" w:rsidRPr="00EB468D" w14:paraId="4A40390D" w14:textId="77777777" w:rsidTr="00893C52">
              <w:tc>
                <w:tcPr>
                  <w:tcW w:w="1331" w:type="pct"/>
                  <w:tcBorders>
                    <w:top w:val="nil"/>
                    <w:left w:val="nil"/>
                    <w:bottom w:val="nil"/>
                    <w:right w:val="nil"/>
                  </w:tcBorders>
                </w:tcPr>
                <w:p w14:paraId="2A4C6765"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tar_age</w:t>
                  </w:r>
                </w:p>
              </w:tc>
              <w:tc>
                <w:tcPr>
                  <w:tcW w:w="1223" w:type="pct"/>
                  <w:tcBorders>
                    <w:top w:val="nil"/>
                    <w:left w:val="nil"/>
                    <w:bottom w:val="nil"/>
                    <w:right w:val="nil"/>
                  </w:tcBorders>
                  <w:vAlign w:val="center"/>
                </w:tcPr>
                <w:p w14:paraId="502746F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-.002*</w:t>
                  </w:r>
                </w:p>
              </w:tc>
              <w:tc>
                <w:tcPr>
                  <w:tcW w:w="1223" w:type="pct"/>
                  <w:tcBorders>
                    <w:top w:val="nil"/>
                    <w:left w:val="nil"/>
                    <w:bottom w:val="nil"/>
                    <w:right w:val="nil"/>
                  </w:tcBorders>
                  <w:vAlign w:val="center"/>
                </w:tcPr>
                <w:p w14:paraId="0DD9365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-.001*</w:t>
                  </w:r>
                </w:p>
              </w:tc>
              <w:tc>
                <w:tcPr>
                  <w:tcW w:w="1223" w:type="pct"/>
                  <w:tcBorders>
                    <w:top w:val="nil"/>
                    <w:left w:val="nil"/>
                    <w:bottom w:val="nil"/>
                    <w:right w:val="nil"/>
                  </w:tcBorders>
                  <w:vAlign w:val="center"/>
                </w:tcPr>
                <w:p w14:paraId="6106503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-.001**</w:t>
                  </w:r>
                </w:p>
              </w:tc>
            </w:tr>
            <w:tr w:rsidR="00694090" w:rsidRPr="00EB468D" w14:paraId="269B26E7" w14:textId="77777777" w:rsidTr="00893C52">
              <w:tc>
                <w:tcPr>
                  <w:tcW w:w="1331" w:type="pct"/>
                  <w:tcBorders>
                    <w:top w:val="nil"/>
                    <w:left w:val="nil"/>
                    <w:bottom w:val="nil"/>
                    <w:right w:val="nil"/>
                  </w:tcBorders>
                </w:tcPr>
                <w:p w14:paraId="1CD99738"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vAlign w:val="center"/>
                </w:tcPr>
                <w:p w14:paraId="628AFD9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(-1.903)</w:t>
                  </w:r>
                </w:p>
              </w:tc>
              <w:tc>
                <w:tcPr>
                  <w:tcW w:w="1223" w:type="pct"/>
                  <w:tcBorders>
                    <w:top w:val="nil"/>
                    <w:left w:val="nil"/>
                    <w:bottom w:val="nil"/>
                    <w:right w:val="nil"/>
                  </w:tcBorders>
                  <w:vAlign w:val="center"/>
                </w:tcPr>
                <w:p w14:paraId="0930215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(-2.000)</w:t>
                  </w:r>
                </w:p>
              </w:tc>
              <w:tc>
                <w:tcPr>
                  <w:tcW w:w="1223" w:type="pct"/>
                  <w:tcBorders>
                    <w:top w:val="nil"/>
                    <w:left w:val="nil"/>
                    <w:bottom w:val="nil"/>
                    <w:right w:val="nil"/>
                  </w:tcBorders>
                  <w:vAlign w:val="center"/>
                </w:tcPr>
                <w:p w14:paraId="167BCE0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(-2.027)</w:t>
                  </w:r>
                </w:p>
              </w:tc>
            </w:tr>
            <w:tr w:rsidR="00694090" w:rsidRPr="00EB468D" w14:paraId="3191ED62" w14:textId="77777777" w:rsidTr="00893C52">
              <w:tc>
                <w:tcPr>
                  <w:tcW w:w="1331" w:type="pct"/>
                  <w:tcBorders>
                    <w:top w:val="nil"/>
                    <w:left w:val="nil"/>
                    <w:bottom w:val="nil"/>
                    <w:right w:val="nil"/>
                  </w:tcBorders>
                </w:tcPr>
                <w:p w14:paraId="29302F48"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tar_assets_lastyear_ln</w:t>
                  </w:r>
                </w:p>
              </w:tc>
              <w:tc>
                <w:tcPr>
                  <w:tcW w:w="1223" w:type="pct"/>
                  <w:tcBorders>
                    <w:top w:val="nil"/>
                    <w:left w:val="nil"/>
                    <w:bottom w:val="nil"/>
                    <w:right w:val="nil"/>
                  </w:tcBorders>
                  <w:vAlign w:val="center"/>
                </w:tcPr>
                <w:p w14:paraId="38929BF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-.154*</w:t>
                  </w:r>
                </w:p>
              </w:tc>
              <w:tc>
                <w:tcPr>
                  <w:tcW w:w="1223" w:type="pct"/>
                  <w:tcBorders>
                    <w:top w:val="nil"/>
                    <w:left w:val="nil"/>
                    <w:bottom w:val="nil"/>
                    <w:right w:val="nil"/>
                  </w:tcBorders>
                  <w:vAlign w:val="center"/>
                </w:tcPr>
                <w:p w14:paraId="6B7574F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-.082*</w:t>
                  </w:r>
                </w:p>
              </w:tc>
              <w:tc>
                <w:tcPr>
                  <w:tcW w:w="1223" w:type="pct"/>
                  <w:tcBorders>
                    <w:top w:val="nil"/>
                    <w:left w:val="nil"/>
                    <w:bottom w:val="nil"/>
                    <w:right w:val="nil"/>
                  </w:tcBorders>
                  <w:vAlign w:val="center"/>
                </w:tcPr>
                <w:p w14:paraId="14162B9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-.033</w:t>
                  </w:r>
                </w:p>
              </w:tc>
            </w:tr>
            <w:tr w:rsidR="00694090" w:rsidRPr="00EB468D" w14:paraId="715DF5C7" w14:textId="77777777" w:rsidTr="00893C52">
              <w:tc>
                <w:tcPr>
                  <w:tcW w:w="1331" w:type="pct"/>
                  <w:tcBorders>
                    <w:top w:val="nil"/>
                    <w:left w:val="nil"/>
                    <w:bottom w:val="nil"/>
                    <w:right w:val="nil"/>
                  </w:tcBorders>
                </w:tcPr>
                <w:p w14:paraId="464C99AD"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vAlign w:val="center"/>
                </w:tcPr>
                <w:p w14:paraId="03B049D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(-1.807)</w:t>
                  </w:r>
                </w:p>
              </w:tc>
              <w:tc>
                <w:tcPr>
                  <w:tcW w:w="1223" w:type="pct"/>
                  <w:tcBorders>
                    <w:top w:val="nil"/>
                    <w:left w:val="nil"/>
                    <w:bottom w:val="nil"/>
                    <w:right w:val="nil"/>
                  </w:tcBorders>
                  <w:vAlign w:val="center"/>
                </w:tcPr>
                <w:p w14:paraId="1D0E1F6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(-1.729)</w:t>
                  </w:r>
                </w:p>
              </w:tc>
              <w:tc>
                <w:tcPr>
                  <w:tcW w:w="1223" w:type="pct"/>
                  <w:tcBorders>
                    <w:top w:val="nil"/>
                    <w:left w:val="nil"/>
                    <w:bottom w:val="nil"/>
                    <w:right w:val="nil"/>
                  </w:tcBorders>
                  <w:vAlign w:val="center"/>
                </w:tcPr>
                <w:p w14:paraId="41D7081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(-1.446)</w:t>
                  </w:r>
                </w:p>
              </w:tc>
            </w:tr>
            <w:tr w:rsidR="00694090" w:rsidRPr="00EB468D" w14:paraId="1A6F9A6F" w14:textId="77777777" w:rsidTr="00893C52">
              <w:tc>
                <w:tcPr>
                  <w:tcW w:w="1331" w:type="pct"/>
                  <w:tcBorders>
                    <w:top w:val="nil"/>
                    <w:left w:val="nil"/>
                    <w:bottom w:val="nil"/>
                    <w:right w:val="nil"/>
                  </w:tcBorders>
                </w:tcPr>
                <w:p w14:paraId="3CAABF91"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tar_roa_lastyear</w:t>
                  </w:r>
                </w:p>
              </w:tc>
              <w:tc>
                <w:tcPr>
                  <w:tcW w:w="1223" w:type="pct"/>
                  <w:tcBorders>
                    <w:top w:val="nil"/>
                    <w:left w:val="nil"/>
                    <w:bottom w:val="nil"/>
                    <w:right w:val="nil"/>
                  </w:tcBorders>
                  <w:vAlign w:val="center"/>
                </w:tcPr>
                <w:p w14:paraId="7D83E34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-.385</w:t>
                  </w:r>
                </w:p>
              </w:tc>
              <w:tc>
                <w:tcPr>
                  <w:tcW w:w="1223" w:type="pct"/>
                  <w:tcBorders>
                    <w:top w:val="nil"/>
                    <w:left w:val="nil"/>
                    <w:bottom w:val="nil"/>
                    <w:right w:val="nil"/>
                  </w:tcBorders>
                  <w:vAlign w:val="center"/>
                </w:tcPr>
                <w:p w14:paraId="47B3378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-.250</w:t>
                  </w:r>
                </w:p>
              </w:tc>
              <w:tc>
                <w:tcPr>
                  <w:tcW w:w="1223" w:type="pct"/>
                  <w:tcBorders>
                    <w:top w:val="nil"/>
                    <w:left w:val="nil"/>
                    <w:bottom w:val="nil"/>
                    <w:right w:val="nil"/>
                  </w:tcBorders>
                  <w:vAlign w:val="center"/>
                </w:tcPr>
                <w:p w14:paraId="4166A90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-.110</w:t>
                  </w:r>
                </w:p>
              </w:tc>
            </w:tr>
            <w:tr w:rsidR="00694090" w:rsidRPr="00EB468D" w14:paraId="0DCA7108" w14:textId="77777777" w:rsidTr="00893C52">
              <w:tc>
                <w:tcPr>
                  <w:tcW w:w="1331" w:type="pct"/>
                  <w:tcBorders>
                    <w:top w:val="nil"/>
                    <w:left w:val="nil"/>
                    <w:bottom w:val="nil"/>
                    <w:right w:val="nil"/>
                  </w:tcBorders>
                </w:tcPr>
                <w:p w14:paraId="468457D6"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vAlign w:val="center"/>
                </w:tcPr>
                <w:p w14:paraId="5E2A797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(-1.251)</w:t>
                  </w:r>
                </w:p>
              </w:tc>
              <w:tc>
                <w:tcPr>
                  <w:tcW w:w="1223" w:type="pct"/>
                  <w:tcBorders>
                    <w:top w:val="nil"/>
                    <w:left w:val="nil"/>
                    <w:bottom w:val="nil"/>
                    <w:right w:val="nil"/>
                  </w:tcBorders>
                  <w:vAlign w:val="center"/>
                </w:tcPr>
                <w:p w14:paraId="1E82CA6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(-1.407)</w:t>
                  </w:r>
                </w:p>
              </w:tc>
              <w:tc>
                <w:tcPr>
                  <w:tcW w:w="1223" w:type="pct"/>
                  <w:tcBorders>
                    <w:top w:val="nil"/>
                    <w:left w:val="nil"/>
                    <w:bottom w:val="nil"/>
                    <w:right w:val="nil"/>
                  </w:tcBorders>
                  <w:vAlign w:val="center"/>
                </w:tcPr>
                <w:p w14:paraId="1A9CD60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(-1.457)</w:t>
                  </w:r>
                </w:p>
              </w:tc>
            </w:tr>
            <w:tr w:rsidR="00694090" w:rsidRPr="00EB468D" w14:paraId="35A30996" w14:textId="77777777" w:rsidTr="00893C52">
              <w:tc>
                <w:tcPr>
                  <w:tcW w:w="1331" w:type="pct"/>
                  <w:tcBorders>
                    <w:top w:val="nil"/>
                    <w:left w:val="nil"/>
                    <w:bottom w:val="nil"/>
                    <w:right w:val="nil"/>
                  </w:tcBorders>
                </w:tcPr>
                <w:p w14:paraId="2A5EE7C5"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tar_mbratio</w:t>
                  </w:r>
                </w:p>
              </w:tc>
              <w:tc>
                <w:tcPr>
                  <w:tcW w:w="1223" w:type="pct"/>
                  <w:tcBorders>
                    <w:top w:val="nil"/>
                    <w:left w:val="nil"/>
                    <w:bottom w:val="nil"/>
                    <w:right w:val="nil"/>
                  </w:tcBorders>
                  <w:vAlign w:val="center"/>
                </w:tcPr>
                <w:p w14:paraId="15EE3C5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-.008</w:t>
                  </w:r>
                </w:p>
              </w:tc>
              <w:tc>
                <w:tcPr>
                  <w:tcW w:w="1223" w:type="pct"/>
                  <w:tcBorders>
                    <w:top w:val="nil"/>
                    <w:left w:val="nil"/>
                    <w:bottom w:val="nil"/>
                    <w:right w:val="nil"/>
                  </w:tcBorders>
                  <w:vAlign w:val="center"/>
                </w:tcPr>
                <w:p w14:paraId="6F8CE1C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-.005</w:t>
                  </w:r>
                </w:p>
              </w:tc>
              <w:tc>
                <w:tcPr>
                  <w:tcW w:w="1223" w:type="pct"/>
                  <w:tcBorders>
                    <w:top w:val="nil"/>
                    <w:left w:val="nil"/>
                    <w:bottom w:val="nil"/>
                    <w:right w:val="nil"/>
                  </w:tcBorders>
                  <w:vAlign w:val="center"/>
                </w:tcPr>
                <w:p w14:paraId="0ABDFD1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-.002</w:t>
                  </w:r>
                </w:p>
              </w:tc>
            </w:tr>
            <w:tr w:rsidR="00694090" w:rsidRPr="00EB468D" w14:paraId="2204D0BF" w14:textId="77777777" w:rsidTr="00893C52">
              <w:tc>
                <w:tcPr>
                  <w:tcW w:w="1331" w:type="pct"/>
                  <w:tcBorders>
                    <w:top w:val="nil"/>
                    <w:left w:val="nil"/>
                    <w:bottom w:val="nil"/>
                    <w:right w:val="nil"/>
                  </w:tcBorders>
                </w:tcPr>
                <w:p w14:paraId="4AB39C1A"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vAlign w:val="center"/>
                </w:tcPr>
                <w:p w14:paraId="67787EC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(-1.414)</w:t>
                  </w:r>
                </w:p>
              </w:tc>
              <w:tc>
                <w:tcPr>
                  <w:tcW w:w="1223" w:type="pct"/>
                  <w:tcBorders>
                    <w:top w:val="nil"/>
                    <w:left w:val="nil"/>
                    <w:bottom w:val="nil"/>
                    <w:right w:val="nil"/>
                  </w:tcBorders>
                  <w:vAlign w:val="center"/>
                </w:tcPr>
                <w:p w14:paraId="14A3FF9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(-1.265)</w:t>
                  </w:r>
                </w:p>
              </w:tc>
              <w:tc>
                <w:tcPr>
                  <w:tcW w:w="1223" w:type="pct"/>
                  <w:tcBorders>
                    <w:top w:val="nil"/>
                    <w:left w:val="nil"/>
                    <w:bottom w:val="nil"/>
                    <w:right w:val="nil"/>
                  </w:tcBorders>
                  <w:vAlign w:val="center"/>
                </w:tcPr>
                <w:p w14:paraId="729039C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(-1.262)</w:t>
                  </w:r>
                </w:p>
              </w:tc>
            </w:tr>
            <w:tr w:rsidR="00694090" w:rsidRPr="00EB468D" w14:paraId="7D0638C4" w14:textId="77777777" w:rsidTr="00893C52">
              <w:tc>
                <w:tcPr>
                  <w:tcW w:w="1331" w:type="pct"/>
                  <w:tcBorders>
                    <w:top w:val="nil"/>
                    <w:left w:val="nil"/>
                    <w:bottom w:val="nil"/>
                    <w:right w:val="nil"/>
                  </w:tcBorders>
                </w:tcPr>
                <w:p w14:paraId="2DC9003C"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Observations</w:t>
                  </w:r>
                </w:p>
              </w:tc>
              <w:tc>
                <w:tcPr>
                  <w:tcW w:w="1223" w:type="pct"/>
                  <w:tcBorders>
                    <w:top w:val="nil"/>
                    <w:left w:val="nil"/>
                    <w:bottom w:val="nil"/>
                    <w:right w:val="nil"/>
                  </w:tcBorders>
                </w:tcPr>
                <w:p w14:paraId="131AD74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243</w:t>
                  </w:r>
                </w:p>
              </w:tc>
              <w:tc>
                <w:tcPr>
                  <w:tcW w:w="1223" w:type="pct"/>
                  <w:tcBorders>
                    <w:top w:val="nil"/>
                    <w:left w:val="nil"/>
                    <w:bottom w:val="nil"/>
                    <w:right w:val="nil"/>
                  </w:tcBorders>
                </w:tcPr>
                <w:p w14:paraId="07C0FA8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243</w:t>
                  </w:r>
                </w:p>
              </w:tc>
              <w:tc>
                <w:tcPr>
                  <w:tcW w:w="1223" w:type="pct"/>
                  <w:tcBorders>
                    <w:top w:val="nil"/>
                    <w:left w:val="nil"/>
                    <w:bottom w:val="nil"/>
                    <w:right w:val="nil"/>
                  </w:tcBorders>
                </w:tcPr>
                <w:p w14:paraId="1158216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243</w:t>
                  </w:r>
                </w:p>
              </w:tc>
            </w:tr>
            <w:tr w:rsidR="00694090" w:rsidRPr="00EB468D" w14:paraId="4797773E" w14:textId="77777777" w:rsidTr="00893C52">
              <w:tc>
                <w:tcPr>
                  <w:tcW w:w="1331" w:type="pct"/>
                  <w:tcBorders>
                    <w:top w:val="nil"/>
                    <w:left w:val="nil"/>
                    <w:bottom w:val="nil"/>
                    <w:right w:val="nil"/>
                  </w:tcBorders>
                </w:tcPr>
                <w:p w14:paraId="72BCBAED"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Adj R2</w:t>
                  </w:r>
                </w:p>
              </w:tc>
              <w:tc>
                <w:tcPr>
                  <w:tcW w:w="1223" w:type="pct"/>
                  <w:tcBorders>
                    <w:top w:val="nil"/>
                    <w:left w:val="nil"/>
                    <w:bottom w:val="nil"/>
                    <w:right w:val="nil"/>
                  </w:tcBorders>
                  <w:vAlign w:val="center"/>
                </w:tcPr>
                <w:p w14:paraId="4D5BFC8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.187</w:t>
                  </w:r>
                </w:p>
              </w:tc>
              <w:tc>
                <w:tcPr>
                  <w:tcW w:w="1223" w:type="pct"/>
                  <w:tcBorders>
                    <w:top w:val="nil"/>
                    <w:left w:val="nil"/>
                    <w:bottom w:val="nil"/>
                    <w:right w:val="nil"/>
                  </w:tcBorders>
                  <w:vAlign w:val="center"/>
                </w:tcPr>
                <w:p w14:paraId="5CF3863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.198</w:t>
                  </w:r>
                </w:p>
              </w:tc>
              <w:tc>
                <w:tcPr>
                  <w:tcW w:w="1223" w:type="pct"/>
                  <w:tcBorders>
                    <w:top w:val="nil"/>
                    <w:left w:val="nil"/>
                    <w:bottom w:val="nil"/>
                    <w:right w:val="nil"/>
                  </w:tcBorders>
                  <w:vAlign w:val="center"/>
                </w:tcPr>
                <w:p w14:paraId="05707DD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.212</w:t>
                  </w:r>
                </w:p>
              </w:tc>
            </w:tr>
            <w:tr w:rsidR="00694090" w:rsidRPr="00EB468D" w14:paraId="69C5A551" w14:textId="77777777" w:rsidTr="00893C52">
              <w:tc>
                <w:tcPr>
                  <w:tcW w:w="1331" w:type="pct"/>
                  <w:tcBorders>
                    <w:top w:val="nil"/>
                    <w:left w:val="nil"/>
                    <w:bottom w:val="nil"/>
                    <w:right w:val="nil"/>
                  </w:tcBorders>
                </w:tcPr>
                <w:p w14:paraId="18C667D5"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Industry FE</w:t>
                  </w:r>
                </w:p>
              </w:tc>
              <w:tc>
                <w:tcPr>
                  <w:tcW w:w="1223" w:type="pct"/>
                  <w:tcBorders>
                    <w:top w:val="nil"/>
                    <w:left w:val="nil"/>
                    <w:bottom w:val="nil"/>
                    <w:right w:val="nil"/>
                  </w:tcBorders>
                </w:tcPr>
                <w:p w14:paraId="0E8A15D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c>
                <w:tcPr>
                  <w:tcW w:w="1223" w:type="pct"/>
                  <w:tcBorders>
                    <w:top w:val="nil"/>
                    <w:left w:val="nil"/>
                    <w:bottom w:val="nil"/>
                    <w:right w:val="nil"/>
                  </w:tcBorders>
                </w:tcPr>
                <w:p w14:paraId="6274D38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c>
                <w:tcPr>
                  <w:tcW w:w="1223" w:type="pct"/>
                  <w:tcBorders>
                    <w:top w:val="nil"/>
                    <w:left w:val="nil"/>
                    <w:bottom w:val="nil"/>
                    <w:right w:val="nil"/>
                  </w:tcBorders>
                </w:tcPr>
                <w:p w14:paraId="36E4275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r>
            <w:tr w:rsidR="00694090" w:rsidRPr="00EB468D" w14:paraId="375E5ECF" w14:textId="77777777" w:rsidTr="00893C52">
              <w:tc>
                <w:tcPr>
                  <w:tcW w:w="1331" w:type="pct"/>
                  <w:tcBorders>
                    <w:top w:val="nil"/>
                    <w:left w:val="nil"/>
                    <w:bottom w:val="nil"/>
                    <w:right w:val="nil"/>
                  </w:tcBorders>
                </w:tcPr>
                <w:p w14:paraId="5E641287"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Year FE</w:t>
                  </w:r>
                </w:p>
              </w:tc>
              <w:tc>
                <w:tcPr>
                  <w:tcW w:w="1223" w:type="pct"/>
                  <w:tcBorders>
                    <w:top w:val="nil"/>
                    <w:left w:val="nil"/>
                    <w:bottom w:val="nil"/>
                    <w:right w:val="nil"/>
                  </w:tcBorders>
                </w:tcPr>
                <w:p w14:paraId="4027B9C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c>
                <w:tcPr>
                  <w:tcW w:w="1223" w:type="pct"/>
                  <w:tcBorders>
                    <w:top w:val="nil"/>
                    <w:left w:val="nil"/>
                    <w:bottom w:val="nil"/>
                    <w:right w:val="nil"/>
                  </w:tcBorders>
                </w:tcPr>
                <w:p w14:paraId="4F0F075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 xml:space="preserve"> Yes</w:t>
                  </w:r>
                </w:p>
              </w:tc>
              <w:tc>
                <w:tcPr>
                  <w:tcW w:w="1223" w:type="pct"/>
                  <w:tcBorders>
                    <w:top w:val="nil"/>
                    <w:left w:val="nil"/>
                    <w:bottom w:val="nil"/>
                    <w:right w:val="nil"/>
                  </w:tcBorders>
                </w:tcPr>
                <w:p w14:paraId="0E99A51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 xml:space="preserve"> Yes</w:t>
                  </w:r>
                </w:p>
              </w:tc>
            </w:tr>
          </w:tbl>
          <w:p w14:paraId="3A67F8AD" w14:textId="77777777" w:rsidR="00694090" w:rsidRPr="00CC0559" w:rsidRDefault="00694090" w:rsidP="00AB066F">
            <w:pPr>
              <w:jc w:val="left"/>
              <w:rPr>
                <w:color w:val="000000" w:themeColor="text1"/>
                <w:sz w:val="20"/>
                <w:szCs w:val="20"/>
                <w:lang w:val="en-US"/>
              </w:rPr>
            </w:pPr>
          </w:p>
        </w:tc>
      </w:tr>
      <w:tr w:rsidR="00694090" w:rsidRPr="00BE5632" w14:paraId="3D337357" w14:textId="77777777" w:rsidTr="00902176">
        <w:trPr>
          <w:trHeight w:val="454"/>
        </w:trPr>
        <w:tc>
          <w:tcPr>
            <w:tcW w:w="9286" w:type="dxa"/>
            <w:tcBorders>
              <w:top w:val="single" w:sz="4" w:space="0" w:color="auto"/>
              <w:left w:val="nil"/>
              <w:right w:val="nil"/>
            </w:tcBorders>
            <w:shd w:val="clear" w:color="auto" w:fill="auto"/>
            <w:noWrap/>
          </w:tcPr>
          <w:p w14:paraId="5E4CA3C4" w14:textId="77777777" w:rsidR="00694090" w:rsidRPr="00EB468D" w:rsidRDefault="00694090" w:rsidP="003108A1">
            <w:pPr>
              <w:spacing w:before="120" w:line="240" w:lineRule="auto"/>
              <w:rPr>
                <w:color w:val="000000" w:themeColor="text1"/>
                <w:sz w:val="22"/>
                <w:lang w:val="en-US"/>
              </w:rPr>
            </w:pPr>
            <w:r w:rsidRPr="00EB468D">
              <w:rPr>
                <w:i/>
                <w:iCs/>
                <w:color w:val="000000" w:themeColor="text1"/>
                <w:sz w:val="22"/>
                <w:lang w:val="en-US"/>
              </w:rPr>
              <w:t>Note</w:t>
            </w:r>
            <w:r w:rsidRPr="00EB468D">
              <w:rPr>
                <w:color w:val="000000" w:themeColor="text1"/>
                <w:sz w:val="22"/>
                <w:lang w:val="en-US"/>
              </w:rPr>
              <w:t xml:space="preserve">. This table reports fixed effects linear OLS regression results predicting the effect of organizational cultural distance between acquirers and targets on deal announcement cumulative abnormal returns (CARs). The dependent variable for Models 1 and 2 is the acquirer’s cumulative abnormal return, with the day range being centered around announcement given in brackets. The dependent variable for Model 3 is the market value-weighted cumulative abnormal return of the acquirer and target. The main independent variable in Models 1-3 is </w:t>
            </w:r>
            <w:r w:rsidRPr="00EB468D">
              <w:rPr>
                <w:i/>
                <w:color w:val="000000" w:themeColor="text1"/>
                <w:sz w:val="22"/>
                <w:lang w:val="en-US"/>
              </w:rPr>
              <w:t>deal_culturaldistance_js</w:t>
            </w:r>
            <w:r w:rsidRPr="00EB468D">
              <w:rPr>
                <w:color w:val="000000" w:themeColor="text1"/>
                <w:sz w:val="22"/>
                <w:lang w:val="en-US"/>
              </w:rPr>
              <w:t xml:space="preserve">, measured with the Jensen-Shannon (JS) </w:t>
            </w:r>
            <w:r w:rsidRPr="00EB468D">
              <w:rPr>
                <w:color w:val="000000" w:themeColor="text1"/>
                <w:sz w:val="22"/>
                <w:lang w:val="en-US"/>
              </w:rPr>
              <w:lastRenderedPageBreak/>
              <w:t>divergence measure developed by Corritore et al. (2020) with higher values indicating higher cultural dissimilarities between the acquirer and target. A detailed variable description can be found in Appendix B. Constant terms are estimated but not reported. We include the acquirer’s industry and year fixed effects in all models. We cluster standard errors at the 2-digit SIC industry level. t-statistics are reported in parentheses below the coefficients. *, **, *** denote statistical significance at the .10, .05, and .01 levels (using two-tailed tests).</w:t>
            </w:r>
          </w:p>
        </w:tc>
      </w:tr>
    </w:tbl>
    <w:p w14:paraId="2F28BF47" w14:textId="77777777" w:rsidR="003C5E32" w:rsidRPr="00EB468D" w:rsidRDefault="003C5E32">
      <w:pPr>
        <w:spacing w:after="160" w:line="259" w:lineRule="auto"/>
        <w:jc w:val="left"/>
        <w:rPr>
          <w:color w:val="000000" w:themeColor="text1"/>
          <w:sz w:val="28"/>
          <w:szCs w:val="24"/>
          <w:lang w:val="en-US"/>
        </w:rPr>
      </w:pPr>
      <w:r w:rsidRPr="00EB468D">
        <w:rPr>
          <w:color w:val="000000" w:themeColor="text1"/>
          <w:sz w:val="28"/>
          <w:szCs w:val="24"/>
          <w:lang w:val="en-US"/>
        </w:rPr>
        <w:br w:type="page"/>
      </w:r>
    </w:p>
    <w:p w14:paraId="203ED7B4" w14:textId="41CCC168" w:rsidR="00694090" w:rsidRDefault="003C5E32" w:rsidP="003C5E32">
      <w:pPr>
        <w:pStyle w:val="1fake"/>
        <w:rPr>
          <w:rStyle w:val="SchwacherVerweis"/>
          <w:smallCaps w:val="0"/>
          <w:color w:val="auto"/>
        </w:rPr>
      </w:pPr>
      <w:r>
        <w:rPr>
          <w:rStyle w:val="SchwacherVerweis"/>
          <w:smallCaps w:val="0"/>
          <w:color w:val="auto"/>
        </w:rPr>
        <w:lastRenderedPageBreak/>
        <w:t>Online Supplement</w:t>
      </w:r>
      <w:r w:rsidRPr="003C5E32">
        <w:rPr>
          <w:rStyle w:val="SchwacherVerweis"/>
          <w:smallCaps w:val="0"/>
          <w:color w:val="auto"/>
        </w:rPr>
        <w:t xml:space="preserve"> </w:t>
      </w:r>
      <w:r>
        <w:rPr>
          <w:rStyle w:val="SchwacherVerweis"/>
          <w:smallCaps w:val="0"/>
          <w:color w:val="auto"/>
        </w:rPr>
        <w:t>2</w:t>
      </w:r>
    </w:p>
    <w:p w14:paraId="09A51026" w14:textId="72E52B21" w:rsidR="004F7333" w:rsidRPr="009579F1" w:rsidRDefault="004F7333" w:rsidP="004F7333">
      <w:pPr>
        <w:pStyle w:val="Beschriftung"/>
      </w:pPr>
      <w:bookmarkStart w:id="620" w:name="_Toc180594848"/>
      <w:r>
        <w:t xml:space="preserve">T - III - </w:t>
      </w:r>
      <w:r>
        <w:fldChar w:fldCharType="begin"/>
      </w:r>
      <w:r>
        <w:instrText xml:space="preserve"> SEQ T_-_III_- \* ARABIC </w:instrText>
      </w:r>
      <w:r>
        <w:fldChar w:fldCharType="separate"/>
      </w:r>
      <w:r w:rsidR="00E91088">
        <w:rPr>
          <w:noProof/>
        </w:rPr>
        <w:t>12</w:t>
      </w:r>
      <w:r>
        <w:fldChar w:fldCharType="end"/>
      </w:r>
      <w:r>
        <w:t xml:space="preserve">: </w:t>
      </w:r>
      <w:r w:rsidRPr="00161EA1">
        <w:t>H1b: Long-term operating synergies - Jensen-Shannon (JS) divergence</w:t>
      </w:r>
      <w:bookmarkEnd w:id="620"/>
    </w:p>
    <w:tbl>
      <w:tblPr>
        <w:tblW w:w="9072" w:type="dxa"/>
        <w:tblLayout w:type="fixed"/>
        <w:tblLook w:val="04A0" w:firstRow="1" w:lastRow="0" w:firstColumn="1" w:lastColumn="0" w:noHBand="0" w:noVBand="1"/>
      </w:tblPr>
      <w:tblGrid>
        <w:gridCol w:w="9072"/>
      </w:tblGrid>
      <w:tr w:rsidR="00694090" w:rsidRPr="00CC0559" w14:paraId="27FDBC0D" w14:textId="77777777" w:rsidTr="00893C52">
        <w:trPr>
          <w:trHeight w:val="909"/>
        </w:trPr>
        <w:tc>
          <w:tcPr>
            <w:tcW w:w="5000" w:type="pct"/>
            <w:tcBorders>
              <w:left w:val="nil"/>
              <w:bottom w:val="single" w:sz="4" w:space="0" w:color="auto"/>
              <w:right w:val="nil"/>
            </w:tcBorders>
            <w:shd w:val="clear" w:color="auto" w:fill="auto"/>
          </w:tcPr>
          <w:tbl>
            <w:tblPr>
              <w:tblW w:w="8959" w:type="dxa"/>
              <w:tblLayout w:type="fixed"/>
              <w:tblLook w:val="0000" w:firstRow="0" w:lastRow="0" w:firstColumn="0" w:lastColumn="0" w:noHBand="0" w:noVBand="0"/>
            </w:tblPr>
            <w:tblGrid>
              <w:gridCol w:w="2987"/>
              <w:gridCol w:w="2986"/>
              <w:gridCol w:w="2986"/>
            </w:tblGrid>
            <w:tr w:rsidR="00694090" w:rsidRPr="00EB468D" w14:paraId="0EA3C767" w14:textId="77777777" w:rsidTr="00893C52">
              <w:tc>
                <w:tcPr>
                  <w:tcW w:w="3231" w:type="dxa"/>
                  <w:tcBorders>
                    <w:top w:val="single" w:sz="4" w:space="0" w:color="auto"/>
                    <w:left w:val="nil"/>
                    <w:right w:val="nil"/>
                  </w:tcBorders>
                </w:tcPr>
                <w:p w14:paraId="1576406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 xml:space="preserve">   </w:t>
                  </w:r>
                </w:p>
              </w:tc>
              <w:tc>
                <w:tcPr>
                  <w:tcW w:w="3231" w:type="dxa"/>
                  <w:tcBorders>
                    <w:top w:val="single" w:sz="4" w:space="0" w:color="auto"/>
                    <w:left w:val="nil"/>
                    <w:right w:val="nil"/>
                  </w:tcBorders>
                </w:tcPr>
                <w:p w14:paraId="74913329"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(1)</w:t>
                  </w:r>
                </w:p>
              </w:tc>
              <w:tc>
                <w:tcPr>
                  <w:tcW w:w="3231" w:type="dxa"/>
                  <w:tcBorders>
                    <w:top w:val="single" w:sz="4" w:space="0" w:color="auto"/>
                    <w:left w:val="nil"/>
                    <w:right w:val="nil"/>
                  </w:tcBorders>
                </w:tcPr>
                <w:p w14:paraId="0164AF3F"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(2)</w:t>
                  </w:r>
                </w:p>
              </w:tc>
            </w:tr>
            <w:tr w:rsidR="00694090" w:rsidRPr="00EB468D" w14:paraId="6E9163BD" w14:textId="77777777" w:rsidTr="00893C52">
              <w:tc>
                <w:tcPr>
                  <w:tcW w:w="3231" w:type="dxa"/>
                  <w:tcBorders>
                    <w:top w:val="nil"/>
                    <w:left w:val="nil"/>
                    <w:bottom w:val="single" w:sz="4" w:space="0" w:color="auto"/>
                    <w:right w:val="nil"/>
                  </w:tcBorders>
                </w:tcPr>
                <w:p w14:paraId="3C2560C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single" w:sz="4" w:space="0" w:color="auto"/>
                    <w:right w:val="nil"/>
                  </w:tcBorders>
                </w:tcPr>
                <w:p w14:paraId="00FEBE00"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acq_sales_2yr_growth</w:t>
                  </w:r>
                </w:p>
              </w:tc>
              <w:tc>
                <w:tcPr>
                  <w:tcW w:w="3231" w:type="dxa"/>
                  <w:tcBorders>
                    <w:top w:val="nil"/>
                    <w:left w:val="nil"/>
                    <w:bottom w:val="single" w:sz="4" w:space="0" w:color="auto"/>
                    <w:right w:val="nil"/>
                  </w:tcBorders>
                </w:tcPr>
                <w:p w14:paraId="47CBBFFF"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acq_sales_4yr_growth</w:t>
                  </w:r>
                </w:p>
              </w:tc>
            </w:tr>
            <w:tr w:rsidR="00694090" w:rsidRPr="00EB468D" w14:paraId="7DBB58B9" w14:textId="77777777" w:rsidTr="00893C52">
              <w:trPr>
                <w:trHeight w:val="224"/>
              </w:trPr>
              <w:tc>
                <w:tcPr>
                  <w:tcW w:w="3231" w:type="dxa"/>
                  <w:tcBorders>
                    <w:top w:val="single" w:sz="4" w:space="0" w:color="auto"/>
                    <w:left w:val="nil"/>
                    <w:bottom w:val="nil"/>
                    <w:right w:val="nil"/>
                  </w:tcBorders>
                </w:tcPr>
                <w:p w14:paraId="5AAC479D"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deal_culturaldistance_js</w:t>
                  </w:r>
                </w:p>
              </w:tc>
              <w:tc>
                <w:tcPr>
                  <w:tcW w:w="3231" w:type="dxa"/>
                  <w:tcBorders>
                    <w:top w:val="single" w:sz="4" w:space="0" w:color="auto"/>
                    <w:left w:val="nil"/>
                    <w:bottom w:val="nil"/>
                    <w:right w:val="nil"/>
                  </w:tcBorders>
                  <w:vAlign w:val="center"/>
                </w:tcPr>
                <w:p w14:paraId="1E4438E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-.590*</w:t>
                  </w:r>
                </w:p>
              </w:tc>
              <w:tc>
                <w:tcPr>
                  <w:tcW w:w="3231" w:type="dxa"/>
                  <w:tcBorders>
                    <w:top w:val="single" w:sz="4" w:space="0" w:color="auto"/>
                    <w:left w:val="nil"/>
                    <w:bottom w:val="nil"/>
                    <w:right w:val="nil"/>
                  </w:tcBorders>
                  <w:vAlign w:val="center"/>
                </w:tcPr>
                <w:p w14:paraId="3A482B8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-.040</w:t>
                  </w:r>
                </w:p>
              </w:tc>
            </w:tr>
            <w:tr w:rsidR="00694090" w:rsidRPr="00EB468D" w14:paraId="5428BFC7" w14:textId="77777777" w:rsidTr="00893C52">
              <w:tc>
                <w:tcPr>
                  <w:tcW w:w="3231" w:type="dxa"/>
                  <w:tcBorders>
                    <w:top w:val="nil"/>
                    <w:left w:val="nil"/>
                    <w:bottom w:val="nil"/>
                    <w:right w:val="nil"/>
                  </w:tcBorders>
                </w:tcPr>
                <w:p w14:paraId="17479A42"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30F5A2E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(-1.833)</w:t>
                  </w:r>
                </w:p>
              </w:tc>
              <w:tc>
                <w:tcPr>
                  <w:tcW w:w="3231" w:type="dxa"/>
                  <w:tcBorders>
                    <w:top w:val="nil"/>
                    <w:left w:val="nil"/>
                    <w:bottom w:val="nil"/>
                    <w:right w:val="nil"/>
                  </w:tcBorders>
                  <w:vAlign w:val="center"/>
                </w:tcPr>
                <w:p w14:paraId="5A784CD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(-.136)</w:t>
                  </w:r>
                </w:p>
              </w:tc>
            </w:tr>
            <w:tr w:rsidR="00694090" w:rsidRPr="00EB468D" w14:paraId="444EE93D" w14:textId="77777777" w:rsidTr="00893C52">
              <w:tc>
                <w:tcPr>
                  <w:tcW w:w="3231" w:type="dxa"/>
                  <w:tcBorders>
                    <w:top w:val="nil"/>
                    <w:left w:val="nil"/>
                    <w:bottom w:val="nil"/>
                    <w:right w:val="nil"/>
                  </w:tcBorders>
                </w:tcPr>
                <w:p w14:paraId="3A520FCF"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deal_value_ln</w:t>
                  </w:r>
                </w:p>
              </w:tc>
              <w:tc>
                <w:tcPr>
                  <w:tcW w:w="3231" w:type="dxa"/>
                  <w:tcBorders>
                    <w:top w:val="nil"/>
                    <w:left w:val="nil"/>
                    <w:bottom w:val="nil"/>
                    <w:right w:val="nil"/>
                  </w:tcBorders>
                  <w:vAlign w:val="center"/>
                </w:tcPr>
                <w:p w14:paraId="79353BD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.013</w:t>
                  </w:r>
                </w:p>
              </w:tc>
              <w:tc>
                <w:tcPr>
                  <w:tcW w:w="3231" w:type="dxa"/>
                  <w:tcBorders>
                    <w:top w:val="nil"/>
                    <w:left w:val="nil"/>
                    <w:bottom w:val="nil"/>
                    <w:right w:val="nil"/>
                  </w:tcBorders>
                  <w:vAlign w:val="center"/>
                </w:tcPr>
                <w:p w14:paraId="0A46419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.011</w:t>
                  </w:r>
                </w:p>
              </w:tc>
            </w:tr>
            <w:tr w:rsidR="00694090" w:rsidRPr="00EB468D" w14:paraId="2925AC3E" w14:textId="77777777" w:rsidTr="00893C52">
              <w:tc>
                <w:tcPr>
                  <w:tcW w:w="3231" w:type="dxa"/>
                  <w:tcBorders>
                    <w:top w:val="nil"/>
                    <w:left w:val="nil"/>
                    <w:bottom w:val="nil"/>
                    <w:right w:val="nil"/>
                  </w:tcBorders>
                </w:tcPr>
                <w:p w14:paraId="2256A985"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71B21D6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(.711)</w:t>
                  </w:r>
                </w:p>
              </w:tc>
              <w:tc>
                <w:tcPr>
                  <w:tcW w:w="3231" w:type="dxa"/>
                  <w:tcBorders>
                    <w:top w:val="nil"/>
                    <w:left w:val="nil"/>
                    <w:bottom w:val="nil"/>
                    <w:right w:val="nil"/>
                  </w:tcBorders>
                  <w:vAlign w:val="center"/>
                </w:tcPr>
                <w:p w14:paraId="591F845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(.310)</w:t>
                  </w:r>
                </w:p>
              </w:tc>
            </w:tr>
            <w:tr w:rsidR="00694090" w:rsidRPr="00EB468D" w14:paraId="69AC50B7" w14:textId="77777777" w:rsidTr="00893C52">
              <w:tc>
                <w:tcPr>
                  <w:tcW w:w="3231" w:type="dxa"/>
                  <w:tcBorders>
                    <w:top w:val="nil"/>
                    <w:left w:val="nil"/>
                    <w:bottom w:val="nil"/>
                    <w:right w:val="nil"/>
                  </w:tcBorders>
                </w:tcPr>
                <w:p w14:paraId="254D92CD"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deal_hofstede_distance</w:t>
                  </w:r>
                </w:p>
              </w:tc>
              <w:tc>
                <w:tcPr>
                  <w:tcW w:w="3231" w:type="dxa"/>
                  <w:tcBorders>
                    <w:top w:val="nil"/>
                    <w:left w:val="nil"/>
                    <w:bottom w:val="nil"/>
                    <w:right w:val="nil"/>
                  </w:tcBorders>
                  <w:vAlign w:val="center"/>
                </w:tcPr>
                <w:p w14:paraId="2C0598D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.023</w:t>
                  </w:r>
                </w:p>
              </w:tc>
              <w:tc>
                <w:tcPr>
                  <w:tcW w:w="3231" w:type="dxa"/>
                  <w:tcBorders>
                    <w:top w:val="nil"/>
                    <w:left w:val="nil"/>
                    <w:bottom w:val="nil"/>
                    <w:right w:val="nil"/>
                  </w:tcBorders>
                  <w:vAlign w:val="center"/>
                </w:tcPr>
                <w:p w14:paraId="6DC640A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.137</w:t>
                  </w:r>
                </w:p>
              </w:tc>
            </w:tr>
            <w:tr w:rsidR="00694090" w:rsidRPr="00EB468D" w14:paraId="62821527" w14:textId="77777777" w:rsidTr="00893C52">
              <w:tc>
                <w:tcPr>
                  <w:tcW w:w="3231" w:type="dxa"/>
                  <w:tcBorders>
                    <w:top w:val="nil"/>
                    <w:left w:val="nil"/>
                    <w:bottom w:val="nil"/>
                    <w:right w:val="nil"/>
                  </w:tcBorders>
                </w:tcPr>
                <w:p w14:paraId="12A15FEA"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53E948E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(.093)</w:t>
                  </w:r>
                </w:p>
              </w:tc>
              <w:tc>
                <w:tcPr>
                  <w:tcW w:w="3231" w:type="dxa"/>
                  <w:tcBorders>
                    <w:top w:val="nil"/>
                    <w:left w:val="nil"/>
                    <w:bottom w:val="nil"/>
                    <w:right w:val="nil"/>
                  </w:tcBorders>
                  <w:vAlign w:val="center"/>
                </w:tcPr>
                <w:p w14:paraId="379ECF4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(.379)</w:t>
                  </w:r>
                </w:p>
              </w:tc>
            </w:tr>
            <w:tr w:rsidR="00694090" w:rsidRPr="00EB468D" w14:paraId="7DA60649" w14:textId="77777777" w:rsidTr="00893C52">
              <w:tc>
                <w:tcPr>
                  <w:tcW w:w="3231" w:type="dxa"/>
                  <w:tcBorders>
                    <w:top w:val="nil"/>
                    <w:left w:val="nil"/>
                    <w:bottom w:val="nil"/>
                    <w:right w:val="nil"/>
                  </w:tcBorders>
                </w:tcPr>
                <w:p w14:paraId="337274E0"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deal_all_cash_dummy</w:t>
                  </w:r>
                </w:p>
              </w:tc>
              <w:tc>
                <w:tcPr>
                  <w:tcW w:w="3231" w:type="dxa"/>
                  <w:tcBorders>
                    <w:top w:val="nil"/>
                    <w:left w:val="nil"/>
                    <w:bottom w:val="nil"/>
                    <w:right w:val="nil"/>
                  </w:tcBorders>
                  <w:vAlign w:val="center"/>
                </w:tcPr>
                <w:p w14:paraId="48FA8AF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.069</w:t>
                  </w:r>
                </w:p>
              </w:tc>
              <w:tc>
                <w:tcPr>
                  <w:tcW w:w="3231" w:type="dxa"/>
                  <w:tcBorders>
                    <w:top w:val="nil"/>
                    <w:left w:val="nil"/>
                    <w:bottom w:val="nil"/>
                    <w:right w:val="nil"/>
                  </w:tcBorders>
                  <w:vAlign w:val="center"/>
                </w:tcPr>
                <w:p w14:paraId="4EB12A0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-.00005</w:t>
                  </w:r>
                </w:p>
              </w:tc>
            </w:tr>
            <w:tr w:rsidR="00694090" w:rsidRPr="00EB468D" w14:paraId="22E255B5" w14:textId="77777777" w:rsidTr="00893C52">
              <w:tc>
                <w:tcPr>
                  <w:tcW w:w="3231" w:type="dxa"/>
                  <w:tcBorders>
                    <w:top w:val="nil"/>
                    <w:left w:val="nil"/>
                    <w:bottom w:val="nil"/>
                    <w:right w:val="nil"/>
                  </w:tcBorders>
                </w:tcPr>
                <w:p w14:paraId="654C241D"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351267A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(1.159)</w:t>
                  </w:r>
                </w:p>
              </w:tc>
              <w:tc>
                <w:tcPr>
                  <w:tcW w:w="3231" w:type="dxa"/>
                  <w:tcBorders>
                    <w:top w:val="nil"/>
                    <w:left w:val="nil"/>
                    <w:bottom w:val="nil"/>
                    <w:right w:val="nil"/>
                  </w:tcBorders>
                  <w:vAlign w:val="center"/>
                </w:tcPr>
                <w:p w14:paraId="1E1EE92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(-.001)</w:t>
                  </w:r>
                </w:p>
              </w:tc>
            </w:tr>
            <w:tr w:rsidR="00694090" w:rsidRPr="00EB468D" w14:paraId="3BA72C33" w14:textId="77777777" w:rsidTr="00893C52">
              <w:tc>
                <w:tcPr>
                  <w:tcW w:w="3231" w:type="dxa"/>
                  <w:tcBorders>
                    <w:top w:val="nil"/>
                    <w:left w:val="nil"/>
                    <w:bottom w:val="nil"/>
                    <w:right w:val="nil"/>
                  </w:tcBorders>
                </w:tcPr>
                <w:p w14:paraId="5FFEB580"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deal_all_stock_dummy</w:t>
                  </w:r>
                </w:p>
              </w:tc>
              <w:tc>
                <w:tcPr>
                  <w:tcW w:w="3231" w:type="dxa"/>
                  <w:tcBorders>
                    <w:top w:val="nil"/>
                    <w:left w:val="nil"/>
                    <w:bottom w:val="nil"/>
                    <w:right w:val="nil"/>
                  </w:tcBorders>
                  <w:vAlign w:val="center"/>
                </w:tcPr>
                <w:p w14:paraId="4985EAE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-.106</w:t>
                  </w:r>
                </w:p>
              </w:tc>
              <w:tc>
                <w:tcPr>
                  <w:tcW w:w="3231" w:type="dxa"/>
                  <w:tcBorders>
                    <w:top w:val="nil"/>
                    <w:left w:val="nil"/>
                    <w:bottom w:val="nil"/>
                    <w:right w:val="nil"/>
                  </w:tcBorders>
                  <w:vAlign w:val="center"/>
                </w:tcPr>
                <w:p w14:paraId="3191A65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-.150**</w:t>
                  </w:r>
                </w:p>
              </w:tc>
            </w:tr>
            <w:tr w:rsidR="00694090" w:rsidRPr="00EB468D" w14:paraId="5FFDA6F0" w14:textId="77777777" w:rsidTr="00893C52">
              <w:tc>
                <w:tcPr>
                  <w:tcW w:w="3231" w:type="dxa"/>
                  <w:tcBorders>
                    <w:top w:val="nil"/>
                    <w:left w:val="nil"/>
                    <w:bottom w:val="nil"/>
                    <w:right w:val="nil"/>
                  </w:tcBorders>
                </w:tcPr>
                <w:p w14:paraId="17577D24"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1268950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(-1.632)</w:t>
                  </w:r>
                </w:p>
              </w:tc>
              <w:tc>
                <w:tcPr>
                  <w:tcW w:w="3231" w:type="dxa"/>
                  <w:tcBorders>
                    <w:top w:val="nil"/>
                    <w:left w:val="nil"/>
                    <w:bottom w:val="nil"/>
                    <w:right w:val="nil"/>
                  </w:tcBorders>
                  <w:vAlign w:val="center"/>
                </w:tcPr>
                <w:p w14:paraId="512A54A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(-2.283)</w:t>
                  </w:r>
                </w:p>
              </w:tc>
            </w:tr>
            <w:tr w:rsidR="00694090" w:rsidRPr="00EB468D" w14:paraId="59243745" w14:textId="77777777" w:rsidTr="00893C52">
              <w:tc>
                <w:tcPr>
                  <w:tcW w:w="3231" w:type="dxa"/>
                  <w:tcBorders>
                    <w:top w:val="nil"/>
                    <w:left w:val="nil"/>
                    <w:bottom w:val="nil"/>
                    <w:right w:val="nil"/>
                  </w:tcBorders>
                </w:tcPr>
                <w:p w14:paraId="20FA2818"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deal_tenderoffer_dummy</w:t>
                  </w:r>
                </w:p>
              </w:tc>
              <w:tc>
                <w:tcPr>
                  <w:tcW w:w="3231" w:type="dxa"/>
                  <w:tcBorders>
                    <w:top w:val="nil"/>
                    <w:left w:val="nil"/>
                    <w:bottom w:val="nil"/>
                    <w:right w:val="nil"/>
                  </w:tcBorders>
                  <w:vAlign w:val="center"/>
                </w:tcPr>
                <w:p w14:paraId="37E0F19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-.075</w:t>
                  </w:r>
                </w:p>
              </w:tc>
              <w:tc>
                <w:tcPr>
                  <w:tcW w:w="3231" w:type="dxa"/>
                  <w:tcBorders>
                    <w:top w:val="nil"/>
                    <w:left w:val="nil"/>
                    <w:bottom w:val="nil"/>
                    <w:right w:val="nil"/>
                  </w:tcBorders>
                  <w:vAlign w:val="center"/>
                </w:tcPr>
                <w:p w14:paraId="4BA0212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-.123</w:t>
                  </w:r>
                </w:p>
              </w:tc>
            </w:tr>
            <w:tr w:rsidR="00694090" w:rsidRPr="00EB468D" w14:paraId="5AF09DAD" w14:textId="77777777" w:rsidTr="00893C52">
              <w:tc>
                <w:tcPr>
                  <w:tcW w:w="3231" w:type="dxa"/>
                  <w:tcBorders>
                    <w:top w:val="nil"/>
                    <w:left w:val="nil"/>
                    <w:bottom w:val="nil"/>
                    <w:right w:val="nil"/>
                  </w:tcBorders>
                </w:tcPr>
                <w:p w14:paraId="5D69400F"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29CB722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(-1.662)</w:t>
                  </w:r>
                </w:p>
              </w:tc>
              <w:tc>
                <w:tcPr>
                  <w:tcW w:w="3231" w:type="dxa"/>
                  <w:tcBorders>
                    <w:top w:val="nil"/>
                    <w:left w:val="nil"/>
                    <w:bottom w:val="nil"/>
                    <w:right w:val="nil"/>
                  </w:tcBorders>
                  <w:vAlign w:val="center"/>
                </w:tcPr>
                <w:p w14:paraId="7CE7929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(-1.562)</w:t>
                  </w:r>
                </w:p>
              </w:tc>
            </w:tr>
            <w:tr w:rsidR="00694090" w:rsidRPr="00EB468D" w14:paraId="76E263F4" w14:textId="77777777" w:rsidTr="00893C52">
              <w:tc>
                <w:tcPr>
                  <w:tcW w:w="3231" w:type="dxa"/>
                  <w:tcBorders>
                    <w:top w:val="nil"/>
                    <w:left w:val="nil"/>
                    <w:bottom w:val="nil"/>
                    <w:right w:val="nil"/>
                  </w:tcBorders>
                </w:tcPr>
                <w:p w14:paraId="5BDDCD70"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deal_friendly_dummy</w:t>
                  </w:r>
                </w:p>
              </w:tc>
              <w:tc>
                <w:tcPr>
                  <w:tcW w:w="3231" w:type="dxa"/>
                  <w:tcBorders>
                    <w:top w:val="nil"/>
                    <w:left w:val="nil"/>
                    <w:bottom w:val="nil"/>
                    <w:right w:val="nil"/>
                  </w:tcBorders>
                  <w:vAlign w:val="center"/>
                </w:tcPr>
                <w:p w14:paraId="671F287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-.965***</w:t>
                  </w:r>
                </w:p>
              </w:tc>
              <w:tc>
                <w:tcPr>
                  <w:tcW w:w="3231" w:type="dxa"/>
                  <w:tcBorders>
                    <w:top w:val="nil"/>
                    <w:left w:val="nil"/>
                    <w:bottom w:val="nil"/>
                    <w:right w:val="nil"/>
                  </w:tcBorders>
                  <w:vAlign w:val="center"/>
                </w:tcPr>
                <w:p w14:paraId="3161255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-.564***</w:t>
                  </w:r>
                </w:p>
              </w:tc>
            </w:tr>
            <w:tr w:rsidR="00694090" w:rsidRPr="00EB468D" w14:paraId="00A9AD0C" w14:textId="77777777" w:rsidTr="00893C52">
              <w:tc>
                <w:tcPr>
                  <w:tcW w:w="3231" w:type="dxa"/>
                  <w:tcBorders>
                    <w:top w:val="nil"/>
                    <w:left w:val="nil"/>
                    <w:bottom w:val="nil"/>
                    <w:right w:val="nil"/>
                  </w:tcBorders>
                </w:tcPr>
                <w:p w14:paraId="66217050"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2BDEA3D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(-4.261)</w:t>
                  </w:r>
                </w:p>
              </w:tc>
              <w:tc>
                <w:tcPr>
                  <w:tcW w:w="3231" w:type="dxa"/>
                  <w:tcBorders>
                    <w:top w:val="nil"/>
                    <w:left w:val="nil"/>
                    <w:bottom w:val="nil"/>
                    <w:right w:val="nil"/>
                  </w:tcBorders>
                  <w:vAlign w:val="center"/>
                </w:tcPr>
                <w:p w14:paraId="173FABA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(-3.516)</w:t>
                  </w:r>
                </w:p>
              </w:tc>
            </w:tr>
            <w:tr w:rsidR="00694090" w:rsidRPr="00EB468D" w14:paraId="032FDC9D" w14:textId="77777777" w:rsidTr="00893C52">
              <w:tc>
                <w:tcPr>
                  <w:tcW w:w="3231" w:type="dxa"/>
                  <w:tcBorders>
                    <w:top w:val="nil"/>
                    <w:left w:val="nil"/>
                    <w:bottom w:val="nil"/>
                    <w:right w:val="nil"/>
                  </w:tcBorders>
                </w:tcPr>
                <w:p w14:paraId="08604462"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deal_relatedness_dummy</w:t>
                  </w:r>
                </w:p>
              </w:tc>
              <w:tc>
                <w:tcPr>
                  <w:tcW w:w="3231" w:type="dxa"/>
                  <w:tcBorders>
                    <w:top w:val="nil"/>
                    <w:left w:val="nil"/>
                    <w:bottom w:val="nil"/>
                    <w:right w:val="nil"/>
                  </w:tcBorders>
                  <w:vAlign w:val="center"/>
                </w:tcPr>
                <w:p w14:paraId="702C1EB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-.023</w:t>
                  </w:r>
                </w:p>
              </w:tc>
              <w:tc>
                <w:tcPr>
                  <w:tcW w:w="3231" w:type="dxa"/>
                  <w:tcBorders>
                    <w:top w:val="nil"/>
                    <w:left w:val="nil"/>
                    <w:bottom w:val="nil"/>
                    <w:right w:val="nil"/>
                  </w:tcBorders>
                  <w:vAlign w:val="center"/>
                </w:tcPr>
                <w:p w14:paraId="67A36A3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-.144*</w:t>
                  </w:r>
                </w:p>
              </w:tc>
            </w:tr>
            <w:tr w:rsidR="00694090" w:rsidRPr="00EB468D" w14:paraId="5A9E1B12" w14:textId="77777777" w:rsidTr="00893C52">
              <w:tc>
                <w:tcPr>
                  <w:tcW w:w="3231" w:type="dxa"/>
                  <w:tcBorders>
                    <w:top w:val="nil"/>
                    <w:left w:val="nil"/>
                    <w:bottom w:val="nil"/>
                    <w:right w:val="nil"/>
                  </w:tcBorders>
                </w:tcPr>
                <w:p w14:paraId="5E2F31D3"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53974DB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(-.368)</w:t>
                  </w:r>
                </w:p>
              </w:tc>
              <w:tc>
                <w:tcPr>
                  <w:tcW w:w="3231" w:type="dxa"/>
                  <w:tcBorders>
                    <w:top w:val="nil"/>
                    <w:left w:val="nil"/>
                    <w:bottom w:val="nil"/>
                    <w:right w:val="nil"/>
                  </w:tcBorders>
                  <w:vAlign w:val="center"/>
                </w:tcPr>
                <w:p w14:paraId="6E8E0D3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(-1.845)</w:t>
                  </w:r>
                </w:p>
              </w:tc>
            </w:tr>
            <w:tr w:rsidR="00694090" w:rsidRPr="00EB468D" w14:paraId="7CB05EF6" w14:textId="77777777" w:rsidTr="00893C52">
              <w:tc>
                <w:tcPr>
                  <w:tcW w:w="3231" w:type="dxa"/>
                  <w:tcBorders>
                    <w:top w:val="nil"/>
                    <w:left w:val="nil"/>
                    <w:bottom w:val="nil"/>
                    <w:right w:val="nil"/>
                  </w:tcBorders>
                </w:tcPr>
                <w:p w14:paraId="7E8179F2"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acq_age</w:t>
                  </w:r>
                </w:p>
              </w:tc>
              <w:tc>
                <w:tcPr>
                  <w:tcW w:w="3231" w:type="dxa"/>
                  <w:tcBorders>
                    <w:top w:val="nil"/>
                    <w:left w:val="nil"/>
                    <w:bottom w:val="nil"/>
                    <w:right w:val="nil"/>
                  </w:tcBorders>
                  <w:vAlign w:val="center"/>
                </w:tcPr>
                <w:p w14:paraId="4830352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-.0001</w:t>
                  </w:r>
                </w:p>
              </w:tc>
              <w:tc>
                <w:tcPr>
                  <w:tcW w:w="3231" w:type="dxa"/>
                  <w:tcBorders>
                    <w:top w:val="nil"/>
                    <w:left w:val="nil"/>
                    <w:bottom w:val="nil"/>
                    <w:right w:val="nil"/>
                  </w:tcBorders>
                  <w:vAlign w:val="center"/>
                </w:tcPr>
                <w:p w14:paraId="7C73AC9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-0.00000</w:t>
                  </w:r>
                </w:p>
              </w:tc>
            </w:tr>
            <w:tr w:rsidR="00694090" w:rsidRPr="00EB468D" w14:paraId="05E6C41A" w14:textId="77777777" w:rsidTr="00893C52">
              <w:tc>
                <w:tcPr>
                  <w:tcW w:w="3231" w:type="dxa"/>
                  <w:tcBorders>
                    <w:top w:val="nil"/>
                    <w:left w:val="nil"/>
                    <w:bottom w:val="nil"/>
                    <w:right w:val="nil"/>
                  </w:tcBorders>
                </w:tcPr>
                <w:p w14:paraId="15380260"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20BFCBD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(-.211)</w:t>
                  </w:r>
                </w:p>
              </w:tc>
              <w:tc>
                <w:tcPr>
                  <w:tcW w:w="3231" w:type="dxa"/>
                  <w:tcBorders>
                    <w:top w:val="nil"/>
                    <w:left w:val="nil"/>
                    <w:bottom w:val="nil"/>
                    <w:right w:val="nil"/>
                  </w:tcBorders>
                  <w:vAlign w:val="center"/>
                </w:tcPr>
                <w:p w14:paraId="78FC662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(-.015)</w:t>
                  </w:r>
                </w:p>
              </w:tc>
            </w:tr>
            <w:tr w:rsidR="00694090" w:rsidRPr="00EB468D" w14:paraId="5908D378" w14:textId="77777777" w:rsidTr="00893C52">
              <w:tc>
                <w:tcPr>
                  <w:tcW w:w="3231" w:type="dxa"/>
                  <w:tcBorders>
                    <w:top w:val="nil"/>
                    <w:left w:val="nil"/>
                    <w:bottom w:val="nil"/>
                    <w:right w:val="nil"/>
                  </w:tcBorders>
                </w:tcPr>
                <w:p w14:paraId="00FDD145"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acq_assets_lastyear_ln</w:t>
                  </w:r>
                </w:p>
              </w:tc>
              <w:tc>
                <w:tcPr>
                  <w:tcW w:w="3231" w:type="dxa"/>
                  <w:tcBorders>
                    <w:top w:val="nil"/>
                    <w:left w:val="nil"/>
                    <w:bottom w:val="nil"/>
                    <w:right w:val="nil"/>
                  </w:tcBorders>
                  <w:vAlign w:val="center"/>
                </w:tcPr>
                <w:p w14:paraId="245203E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.032*</w:t>
                  </w:r>
                </w:p>
              </w:tc>
              <w:tc>
                <w:tcPr>
                  <w:tcW w:w="3231" w:type="dxa"/>
                  <w:tcBorders>
                    <w:top w:val="nil"/>
                    <w:left w:val="nil"/>
                    <w:bottom w:val="nil"/>
                    <w:right w:val="nil"/>
                  </w:tcBorders>
                  <w:vAlign w:val="center"/>
                </w:tcPr>
                <w:p w14:paraId="796CABD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.017</w:t>
                  </w:r>
                </w:p>
              </w:tc>
            </w:tr>
            <w:tr w:rsidR="00694090" w:rsidRPr="00EB468D" w14:paraId="3FA3498C" w14:textId="77777777" w:rsidTr="00893C52">
              <w:tc>
                <w:tcPr>
                  <w:tcW w:w="3231" w:type="dxa"/>
                  <w:tcBorders>
                    <w:top w:val="nil"/>
                    <w:left w:val="nil"/>
                    <w:bottom w:val="nil"/>
                    <w:right w:val="nil"/>
                  </w:tcBorders>
                </w:tcPr>
                <w:p w14:paraId="42A596F5"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659D123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(1.694)</w:t>
                  </w:r>
                </w:p>
              </w:tc>
              <w:tc>
                <w:tcPr>
                  <w:tcW w:w="3231" w:type="dxa"/>
                  <w:tcBorders>
                    <w:top w:val="nil"/>
                    <w:left w:val="nil"/>
                    <w:bottom w:val="nil"/>
                    <w:right w:val="nil"/>
                  </w:tcBorders>
                  <w:vAlign w:val="center"/>
                </w:tcPr>
                <w:p w14:paraId="55D0A05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(.691)</w:t>
                  </w:r>
                </w:p>
              </w:tc>
            </w:tr>
            <w:tr w:rsidR="00694090" w:rsidRPr="00EB468D" w14:paraId="2D16C25E" w14:textId="77777777" w:rsidTr="00893C52">
              <w:tc>
                <w:tcPr>
                  <w:tcW w:w="3231" w:type="dxa"/>
                  <w:tcBorders>
                    <w:top w:val="nil"/>
                    <w:left w:val="nil"/>
                    <w:bottom w:val="nil"/>
                    <w:right w:val="nil"/>
                  </w:tcBorders>
                </w:tcPr>
                <w:p w14:paraId="76495EF1"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acq_roa_lastyear</w:t>
                  </w:r>
                </w:p>
              </w:tc>
              <w:tc>
                <w:tcPr>
                  <w:tcW w:w="3231" w:type="dxa"/>
                  <w:tcBorders>
                    <w:top w:val="nil"/>
                    <w:left w:val="nil"/>
                    <w:bottom w:val="nil"/>
                    <w:right w:val="nil"/>
                  </w:tcBorders>
                  <w:vAlign w:val="center"/>
                </w:tcPr>
                <w:p w14:paraId="77CC30A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.094*</w:t>
                  </w:r>
                </w:p>
              </w:tc>
              <w:tc>
                <w:tcPr>
                  <w:tcW w:w="3231" w:type="dxa"/>
                  <w:tcBorders>
                    <w:top w:val="nil"/>
                    <w:left w:val="nil"/>
                    <w:bottom w:val="nil"/>
                    <w:right w:val="nil"/>
                  </w:tcBorders>
                  <w:vAlign w:val="center"/>
                </w:tcPr>
                <w:p w14:paraId="6F7315C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-.123***</w:t>
                  </w:r>
                </w:p>
              </w:tc>
            </w:tr>
            <w:tr w:rsidR="00694090" w:rsidRPr="00EB468D" w14:paraId="45593647" w14:textId="77777777" w:rsidTr="00893C52">
              <w:tc>
                <w:tcPr>
                  <w:tcW w:w="3231" w:type="dxa"/>
                  <w:tcBorders>
                    <w:top w:val="nil"/>
                    <w:left w:val="nil"/>
                    <w:bottom w:val="nil"/>
                    <w:right w:val="nil"/>
                  </w:tcBorders>
                </w:tcPr>
                <w:p w14:paraId="5D2B529C"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620D08E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(1.825)</w:t>
                  </w:r>
                </w:p>
              </w:tc>
              <w:tc>
                <w:tcPr>
                  <w:tcW w:w="3231" w:type="dxa"/>
                  <w:tcBorders>
                    <w:top w:val="nil"/>
                    <w:left w:val="nil"/>
                    <w:bottom w:val="nil"/>
                    <w:right w:val="nil"/>
                  </w:tcBorders>
                  <w:vAlign w:val="center"/>
                </w:tcPr>
                <w:p w14:paraId="291C7FA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(-2.733)</w:t>
                  </w:r>
                </w:p>
              </w:tc>
            </w:tr>
            <w:tr w:rsidR="00694090" w:rsidRPr="00EB468D" w14:paraId="6C9A3226" w14:textId="77777777" w:rsidTr="00893C52">
              <w:tc>
                <w:tcPr>
                  <w:tcW w:w="3231" w:type="dxa"/>
                  <w:tcBorders>
                    <w:top w:val="nil"/>
                    <w:left w:val="nil"/>
                    <w:bottom w:val="nil"/>
                    <w:right w:val="nil"/>
                  </w:tcBorders>
                </w:tcPr>
                <w:p w14:paraId="0A842620"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acq_industrygrowth</w:t>
                  </w:r>
                </w:p>
              </w:tc>
              <w:tc>
                <w:tcPr>
                  <w:tcW w:w="3231" w:type="dxa"/>
                  <w:tcBorders>
                    <w:top w:val="nil"/>
                    <w:left w:val="nil"/>
                    <w:bottom w:val="nil"/>
                    <w:right w:val="nil"/>
                  </w:tcBorders>
                  <w:vAlign w:val="center"/>
                </w:tcPr>
                <w:p w14:paraId="0AB7556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-1.111***</w:t>
                  </w:r>
                </w:p>
              </w:tc>
              <w:tc>
                <w:tcPr>
                  <w:tcW w:w="3231" w:type="dxa"/>
                  <w:tcBorders>
                    <w:top w:val="nil"/>
                    <w:left w:val="nil"/>
                    <w:bottom w:val="nil"/>
                    <w:right w:val="nil"/>
                  </w:tcBorders>
                  <w:vAlign w:val="center"/>
                </w:tcPr>
                <w:p w14:paraId="3654C1C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-1.140***</w:t>
                  </w:r>
                </w:p>
              </w:tc>
            </w:tr>
            <w:tr w:rsidR="00694090" w:rsidRPr="00EB468D" w14:paraId="39294AB1" w14:textId="77777777" w:rsidTr="00893C52">
              <w:tc>
                <w:tcPr>
                  <w:tcW w:w="3231" w:type="dxa"/>
                  <w:tcBorders>
                    <w:top w:val="nil"/>
                    <w:left w:val="nil"/>
                    <w:bottom w:val="nil"/>
                    <w:right w:val="nil"/>
                  </w:tcBorders>
                </w:tcPr>
                <w:p w14:paraId="7282D39D"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1FFD18F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(-3.979)</w:t>
                  </w:r>
                </w:p>
              </w:tc>
              <w:tc>
                <w:tcPr>
                  <w:tcW w:w="3231" w:type="dxa"/>
                  <w:tcBorders>
                    <w:top w:val="nil"/>
                    <w:left w:val="nil"/>
                    <w:bottom w:val="nil"/>
                    <w:right w:val="nil"/>
                  </w:tcBorders>
                  <w:vAlign w:val="center"/>
                </w:tcPr>
                <w:p w14:paraId="4BB350A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(-2.864)</w:t>
                  </w:r>
                </w:p>
              </w:tc>
            </w:tr>
            <w:tr w:rsidR="00694090" w:rsidRPr="00EB468D" w14:paraId="603041A1" w14:textId="77777777" w:rsidTr="00893C52">
              <w:tc>
                <w:tcPr>
                  <w:tcW w:w="3231" w:type="dxa"/>
                  <w:tcBorders>
                    <w:top w:val="nil"/>
                    <w:left w:val="nil"/>
                    <w:bottom w:val="nil"/>
                    <w:right w:val="nil"/>
                  </w:tcBorders>
                </w:tcPr>
                <w:p w14:paraId="00233B1A"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acq_dealexperience</w:t>
                  </w:r>
                </w:p>
              </w:tc>
              <w:tc>
                <w:tcPr>
                  <w:tcW w:w="3231" w:type="dxa"/>
                  <w:tcBorders>
                    <w:top w:val="nil"/>
                    <w:left w:val="nil"/>
                    <w:bottom w:val="nil"/>
                    <w:right w:val="nil"/>
                  </w:tcBorders>
                  <w:vAlign w:val="center"/>
                </w:tcPr>
                <w:p w14:paraId="629EFCE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-.046**</w:t>
                  </w:r>
                </w:p>
              </w:tc>
              <w:tc>
                <w:tcPr>
                  <w:tcW w:w="3231" w:type="dxa"/>
                  <w:tcBorders>
                    <w:top w:val="nil"/>
                    <w:left w:val="nil"/>
                    <w:bottom w:val="nil"/>
                    <w:right w:val="nil"/>
                  </w:tcBorders>
                  <w:vAlign w:val="center"/>
                </w:tcPr>
                <w:p w14:paraId="08592D6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-.061***</w:t>
                  </w:r>
                </w:p>
              </w:tc>
            </w:tr>
            <w:tr w:rsidR="00694090" w:rsidRPr="00EB468D" w14:paraId="7D1DBE6E" w14:textId="77777777" w:rsidTr="00893C52">
              <w:tc>
                <w:tcPr>
                  <w:tcW w:w="3231" w:type="dxa"/>
                  <w:tcBorders>
                    <w:top w:val="nil"/>
                    <w:left w:val="nil"/>
                    <w:bottom w:val="nil"/>
                    <w:right w:val="nil"/>
                  </w:tcBorders>
                </w:tcPr>
                <w:p w14:paraId="36529C93"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1A4D7A2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(-2.657)</w:t>
                  </w:r>
                </w:p>
              </w:tc>
              <w:tc>
                <w:tcPr>
                  <w:tcW w:w="3231" w:type="dxa"/>
                  <w:tcBorders>
                    <w:top w:val="nil"/>
                    <w:left w:val="nil"/>
                    <w:bottom w:val="nil"/>
                    <w:right w:val="nil"/>
                  </w:tcBorders>
                  <w:vAlign w:val="center"/>
                </w:tcPr>
                <w:p w14:paraId="2953562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(-2.713)</w:t>
                  </w:r>
                </w:p>
              </w:tc>
            </w:tr>
            <w:tr w:rsidR="00694090" w:rsidRPr="00EB468D" w14:paraId="5DFC15AC" w14:textId="77777777" w:rsidTr="00893C52">
              <w:tc>
                <w:tcPr>
                  <w:tcW w:w="3231" w:type="dxa"/>
                  <w:tcBorders>
                    <w:top w:val="nil"/>
                    <w:left w:val="nil"/>
                    <w:bottom w:val="nil"/>
                    <w:right w:val="nil"/>
                  </w:tcBorders>
                  <w:vAlign w:val="center"/>
                </w:tcPr>
                <w:p w14:paraId="791F8A1A"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acq_rd_intensity</w:t>
                  </w:r>
                </w:p>
              </w:tc>
              <w:tc>
                <w:tcPr>
                  <w:tcW w:w="3231" w:type="dxa"/>
                  <w:tcBorders>
                    <w:top w:val="nil"/>
                    <w:left w:val="nil"/>
                    <w:bottom w:val="nil"/>
                    <w:right w:val="nil"/>
                  </w:tcBorders>
                  <w:vAlign w:val="center"/>
                </w:tcPr>
                <w:p w14:paraId="4A02094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.164</w:t>
                  </w:r>
                </w:p>
              </w:tc>
              <w:tc>
                <w:tcPr>
                  <w:tcW w:w="3231" w:type="dxa"/>
                  <w:tcBorders>
                    <w:top w:val="nil"/>
                    <w:left w:val="nil"/>
                    <w:bottom w:val="nil"/>
                    <w:right w:val="nil"/>
                  </w:tcBorders>
                  <w:vAlign w:val="center"/>
                </w:tcPr>
                <w:p w14:paraId="4B2B7A3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.601**</w:t>
                  </w:r>
                </w:p>
              </w:tc>
            </w:tr>
            <w:tr w:rsidR="00694090" w:rsidRPr="00EB468D" w14:paraId="29A96DC3" w14:textId="77777777" w:rsidTr="00893C52">
              <w:tc>
                <w:tcPr>
                  <w:tcW w:w="3231" w:type="dxa"/>
                  <w:tcBorders>
                    <w:top w:val="nil"/>
                    <w:left w:val="nil"/>
                    <w:bottom w:val="nil"/>
                    <w:right w:val="nil"/>
                  </w:tcBorders>
                  <w:vAlign w:val="center"/>
                </w:tcPr>
                <w:p w14:paraId="2AD86032"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p>
              </w:tc>
              <w:tc>
                <w:tcPr>
                  <w:tcW w:w="3231" w:type="dxa"/>
                  <w:tcBorders>
                    <w:top w:val="nil"/>
                    <w:left w:val="nil"/>
                    <w:bottom w:val="nil"/>
                    <w:right w:val="nil"/>
                  </w:tcBorders>
                  <w:vAlign w:val="center"/>
                </w:tcPr>
                <w:p w14:paraId="49EF298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(.828)</w:t>
                  </w:r>
                </w:p>
              </w:tc>
              <w:tc>
                <w:tcPr>
                  <w:tcW w:w="3231" w:type="dxa"/>
                  <w:tcBorders>
                    <w:top w:val="nil"/>
                    <w:left w:val="nil"/>
                    <w:bottom w:val="nil"/>
                    <w:right w:val="nil"/>
                  </w:tcBorders>
                  <w:vAlign w:val="center"/>
                </w:tcPr>
                <w:p w14:paraId="771988F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(2.554)</w:t>
                  </w:r>
                </w:p>
              </w:tc>
            </w:tr>
            <w:tr w:rsidR="00694090" w:rsidRPr="00EB468D" w14:paraId="5B907288" w14:textId="77777777" w:rsidTr="00893C52">
              <w:tc>
                <w:tcPr>
                  <w:tcW w:w="3231" w:type="dxa"/>
                  <w:tcBorders>
                    <w:top w:val="nil"/>
                    <w:left w:val="nil"/>
                    <w:bottom w:val="nil"/>
                    <w:right w:val="nil"/>
                  </w:tcBorders>
                </w:tcPr>
                <w:p w14:paraId="63E4A47C"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tar_age</w:t>
                  </w:r>
                </w:p>
              </w:tc>
              <w:tc>
                <w:tcPr>
                  <w:tcW w:w="3231" w:type="dxa"/>
                  <w:tcBorders>
                    <w:top w:val="nil"/>
                    <w:left w:val="nil"/>
                    <w:bottom w:val="nil"/>
                    <w:right w:val="nil"/>
                  </w:tcBorders>
                  <w:vAlign w:val="center"/>
                </w:tcPr>
                <w:p w14:paraId="5587104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-.0001</w:t>
                  </w:r>
                </w:p>
              </w:tc>
              <w:tc>
                <w:tcPr>
                  <w:tcW w:w="3231" w:type="dxa"/>
                  <w:tcBorders>
                    <w:top w:val="nil"/>
                    <w:left w:val="nil"/>
                    <w:bottom w:val="nil"/>
                    <w:right w:val="nil"/>
                  </w:tcBorders>
                  <w:vAlign w:val="center"/>
                </w:tcPr>
                <w:p w14:paraId="398918F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-.001</w:t>
                  </w:r>
                </w:p>
              </w:tc>
            </w:tr>
            <w:tr w:rsidR="00694090" w:rsidRPr="00EB468D" w14:paraId="2BCC1C23" w14:textId="77777777" w:rsidTr="00893C52">
              <w:tc>
                <w:tcPr>
                  <w:tcW w:w="3231" w:type="dxa"/>
                  <w:tcBorders>
                    <w:top w:val="nil"/>
                    <w:left w:val="nil"/>
                    <w:bottom w:val="nil"/>
                    <w:right w:val="nil"/>
                  </w:tcBorders>
                </w:tcPr>
                <w:p w14:paraId="4F86B654"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7E0D961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(-.202)</w:t>
                  </w:r>
                </w:p>
              </w:tc>
              <w:tc>
                <w:tcPr>
                  <w:tcW w:w="3231" w:type="dxa"/>
                  <w:tcBorders>
                    <w:top w:val="nil"/>
                    <w:left w:val="nil"/>
                    <w:bottom w:val="nil"/>
                    <w:right w:val="nil"/>
                  </w:tcBorders>
                  <w:vAlign w:val="center"/>
                </w:tcPr>
                <w:p w14:paraId="6A431D6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(-1.651)</w:t>
                  </w:r>
                </w:p>
              </w:tc>
            </w:tr>
            <w:tr w:rsidR="00694090" w:rsidRPr="00EB468D" w14:paraId="0411066A" w14:textId="77777777" w:rsidTr="00893C52">
              <w:tc>
                <w:tcPr>
                  <w:tcW w:w="3231" w:type="dxa"/>
                  <w:tcBorders>
                    <w:top w:val="nil"/>
                    <w:left w:val="nil"/>
                    <w:bottom w:val="nil"/>
                    <w:right w:val="nil"/>
                  </w:tcBorders>
                </w:tcPr>
                <w:p w14:paraId="50604022"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tar_assets_lastyear_ln</w:t>
                  </w:r>
                </w:p>
              </w:tc>
              <w:tc>
                <w:tcPr>
                  <w:tcW w:w="3231" w:type="dxa"/>
                  <w:tcBorders>
                    <w:top w:val="nil"/>
                    <w:left w:val="nil"/>
                    <w:bottom w:val="nil"/>
                    <w:right w:val="nil"/>
                  </w:tcBorders>
                  <w:vAlign w:val="center"/>
                </w:tcPr>
                <w:p w14:paraId="178934E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-.014</w:t>
                  </w:r>
                </w:p>
              </w:tc>
              <w:tc>
                <w:tcPr>
                  <w:tcW w:w="3231" w:type="dxa"/>
                  <w:tcBorders>
                    <w:top w:val="nil"/>
                    <w:left w:val="nil"/>
                    <w:bottom w:val="nil"/>
                    <w:right w:val="nil"/>
                  </w:tcBorders>
                  <w:vAlign w:val="center"/>
                </w:tcPr>
                <w:p w14:paraId="05BECED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.034</w:t>
                  </w:r>
                </w:p>
              </w:tc>
            </w:tr>
            <w:tr w:rsidR="00694090" w:rsidRPr="00EB468D" w14:paraId="5F60C4BD" w14:textId="77777777" w:rsidTr="00893C52">
              <w:tc>
                <w:tcPr>
                  <w:tcW w:w="3231" w:type="dxa"/>
                  <w:tcBorders>
                    <w:top w:val="nil"/>
                    <w:left w:val="nil"/>
                    <w:bottom w:val="nil"/>
                    <w:right w:val="nil"/>
                  </w:tcBorders>
                </w:tcPr>
                <w:p w14:paraId="1C2FC5DC"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6FC648F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(-.585)</w:t>
                  </w:r>
                </w:p>
              </w:tc>
              <w:tc>
                <w:tcPr>
                  <w:tcW w:w="3231" w:type="dxa"/>
                  <w:tcBorders>
                    <w:top w:val="nil"/>
                    <w:left w:val="nil"/>
                    <w:bottom w:val="nil"/>
                    <w:right w:val="nil"/>
                  </w:tcBorders>
                  <w:vAlign w:val="center"/>
                </w:tcPr>
                <w:p w14:paraId="24EAD10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(.803)</w:t>
                  </w:r>
                </w:p>
              </w:tc>
            </w:tr>
            <w:tr w:rsidR="00694090" w:rsidRPr="00EB468D" w14:paraId="231F96E5" w14:textId="77777777" w:rsidTr="00893C52">
              <w:tc>
                <w:tcPr>
                  <w:tcW w:w="3231" w:type="dxa"/>
                  <w:tcBorders>
                    <w:top w:val="nil"/>
                    <w:left w:val="nil"/>
                    <w:bottom w:val="nil"/>
                    <w:right w:val="nil"/>
                  </w:tcBorders>
                </w:tcPr>
                <w:p w14:paraId="1E687B67"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tar_roa_lastyear</w:t>
                  </w:r>
                </w:p>
              </w:tc>
              <w:tc>
                <w:tcPr>
                  <w:tcW w:w="3231" w:type="dxa"/>
                  <w:tcBorders>
                    <w:top w:val="nil"/>
                    <w:left w:val="nil"/>
                    <w:bottom w:val="nil"/>
                    <w:right w:val="nil"/>
                  </w:tcBorders>
                  <w:vAlign w:val="center"/>
                </w:tcPr>
                <w:p w14:paraId="2952D1B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-.044</w:t>
                  </w:r>
                </w:p>
              </w:tc>
              <w:tc>
                <w:tcPr>
                  <w:tcW w:w="3231" w:type="dxa"/>
                  <w:tcBorders>
                    <w:top w:val="nil"/>
                    <w:left w:val="nil"/>
                    <w:bottom w:val="nil"/>
                    <w:right w:val="nil"/>
                  </w:tcBorders>
                  <w:vAlign w:val="center"/>
                </w:tcPr>
                <w:p w14:paraId="6945501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-.048</w:t>
                  </w:r>
                </w:p>
              </w:tc>
            </w:tr>
            <w:tr w:rsidR="00694090" w:rsidRPr="00EB468D" w14:paraId="1143174E" w14:textId="77777777" w:rsidTr="00893C52">
              <w:tc>
                <w:tcPr>
                  <w:tcW w:w="3231" w:type="dxa"/>
                  <w:tcBorders>
                    <w:top w:val="nil"/>
                    <w:left w:val="nil"/>
                    <w:bottom w:val="nil"/>
                    <w:right w:val="nil"/>
                  </w:tcBorders>
                </w:tcPr>
                <w:p w14:paraId="0DEC9CAC"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49431EE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(-.797)</w:t>
                  </w:r>
                </w:p>
              </w:tc>
              <w:tc>
                <w:tcPr>
                  <w:tcW w:w="3231" w:type="dxa"/>
                  <w:tcBorders>
                    <w:top w:val="nil"/>
                    <w:left w:val="nil"/>
                    <w:bottom w:val="nil"/>
                    <w:right w:val="nil"/>
                  </w:tcBorders>
                  <w:vAlign w:val="center"/>
                </w:tcPr>
                <w:p w14:paraId="2F05EC3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(-.751)</w:t>
                  </w:r>
                </w:p>
              </w:tc>
            </w:tr>
            <w:tr w:rsidR="00694090" w:rsidRPr="00EB468D" w14:paraId="71690EBF" w14:textId="77777777" w:rsidTr="00893C52">
              <w:tc>
                <w:tcPr>
                  <w:tcW w:w="3231" w:type="dxa"/>
                  <w:tcBorders>
                    <w:top w:val="nil"/>
                    <w:left w:val="nil"/>
                    <w:bottom w:val="nil"/>
                    <w:right w:val="nil"/>
                  </w:tcBorders>
                </w:tcPr>
                <w:p w14:paraId="55E1B658"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tar_mbratio</w:t>
                  </w:r>
                </w:p>
              </w:tc>
              <w:tc>
                <w:tcPr>
                  <w:tcW w:w="3231" w:type="dxa"/>
                  <w:tcBorders>
                    <w:top w:val="nil"/>
                    <w:left w:val="nil"/>
                    <w:bottom w:val="nil"/>
                    <w:right w:val="nil"/>
                  </w:tcBorders>
                  <w:vAlign w:val="center"/>
                </w:tcPr>
                <w:p w14:paraId="4F1D31D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.002</w:t>
                  </w:r>
                </w:p>
              </w:tc>
              <w:tc>
                <w:tcPr>
                  <w:tcW w:w="3231" w:type="dxa"/>
                  <w:tcBorders>
                    <w:top w:val="nil"/>
                    <w:left w:val="nil"/>
                    <w:bottom w:val="nil"/>
                    <w:right w:val="nil"/>
                  </w:tcBorders>
                  <w:vAlign w:val="center"/>
                </w:tcPr>
                <w:p w14:paraId="2E0E308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.002</w:t>
                  </w:r>
                </w:p>
              </w:tc>
            </w:tr>
            <w:tr w:rsidR="00694090" w:rsidRPr="00EB468D" w14:paraId="01F883F1" w14:textId="77777777" w:rsidTr="00893C52">
              <w:tc>
                <w:tcPr>
                  <w:tcW w:w="3231" w:type="dxa"/>
                  <w:tcBorders>
                    <w:top w:val="nil"/>
                    <w:left w:val="nil"/>
                    <w:bottom w:val="nil"/>
                    <w:right w:val="nil"/>
                  </w:tcBorders>
                </w:tcPr>
                <w:p w14:paraId="6667B5D0"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33B6D34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(1.274)</w:t>
                  </w:r>
                </w:p>
              </w:tc>
              <w:tc>
                <w:tcPr>
                  <w:tcW w:w="3231" w:type="dxa"/>
                  <w:tcBorders>
                    <w:top w:val="nil"/>
                    <w:left w:val="nil"/>
                    <w:bottom w:val="nil"/>
                    <w:right w:val="nil"/>
                  </w:tcBorders>
                  <w:vAlign w:val="center"/>
                </w:tcPr>
                <w:p w14:paraId="07D498D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(1.522)</w:t>
                  </w:r>
                </w:p>
              </w:tc>
            </w:tr>
            <w:tr w:rsidR="00694090" w:rsidRPr="00EB468D" w14:paraId="16C6AB3F" w14:textId="77777777" w:rsidTr="00893C52">
              <w:tc>
                <w:tcPr>
                  <w:tcW w:w="3231" w:type="dxa"/>
                  <w:tcBorders>
                    <w:top w:val="nil"/>
                    <w:left w:val="nil"/>
                    <w:bottom w:val="nil"/>
                    <w:right w:val="nil"/>
                  </w:tcBorders>
                </w:tcPr>
                <w:p w14:paraId="35EA767D"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Observations</w:t>
                  </w:r>
                </w:p>
              </w:tc>
              <w:tc>
                <w:tcPr>
                  <w:tcW w:w="3231" w:type="dxa"/>
                  <w:tcBorders>
                    <w:top w:val="nil"/>
                    <w:left w:val="nil"/>
                    <w:bottom w:val="nil"/>
                    <w:right w:val="nil"/>
                  </w:tcBorders>
                </w:tcPr>
                <w:p w14:paraId="7ED06D4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182</w:t>
                  </w:r>
                </w:p>
              </w:tc>
              <w:tc>
                <w:tcPr>
                  <w:tcW w:w="3231" w:type="dxa"/>
                  <w:tcBorders>
                    <w:top w:val="nil"/>
                    <w:left w:val="nil"/>
                    <w:bottom w:val="nil"/>
                    <w:right w:val="nil"/>
                  </w:tcBorders>
                </w:tcPr>
                <w:p w14:paraId="1CFC514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131</w:t>
                  </w:r>
                </w:p>
              </w:tc>
            </w:tr>
            <w:tr w:rsidR="00694090" w:rsidRPr="00EB468D" w14:paraId="2ED950C9" w14:textId="77777777" w:rsidTr="00893C52">
              <w:tc>
                <w:tcPr>
                  <w:tcW w:w="3231" w:type="dxa"/>
                  <w:tcBorders>
                    <w:top w:val="nil"/>
                    <w:left w:val="nil"/>
                    <w:bottom w:val="nil"/>
                    <w:right w:val="nil"/>
                  </w:tcBorders>
                </w:tcPr>
                <w:p w14:paraId="5EA447EE"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Adj R2</w:t>
                  </w:r>
                </w:p>
              </w:tc>
              <w:tc>
                <w:tcPr>
                  <w:tcW w:w="3231" w:type="dxa"/>
                  <w:tcBorders>
                    <w:top w:val="nil"/>
                    <w:left w:val="nil"/>
                    <w:bottom w:val="nil"/>
                    <w:right w:val="nil"/>
                  </w:tcBorders>
                  <w:vAlign w:val="center"/>
                </w:tcPr>
                <w:p w14:paraId="5F68709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.218</w:t>
                  </w:r>
                </w:p>
              </w:tc>
              <w:tc>
                <w:tcPr>
                  <w:tcW w:w="3231" w:type="dxa"/>
                  <w:tcBorders>
                    <w:top w:val="nil"/>
                    <w:left w:val="nil"/>
                    <w:bottom w:val="nil"/>
                    <w:right w:val="nil"/>
                  </w:tcBorders>
                  <w:vAlign w:val="center"/>
                </w:tcPr>
                <w:p w14:paraId="44B3553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.148</w:t>
                  </w:r>
                </w:p>
              </w:tc>
            </w:tr>
            <w:tr w:rsidR="00694090" w:rsidRPr="00EB468D" w14:paraId="446F9B58" w14:textId="77777777" w:rsidTr="00893C52">
              <w:tc>
                <w:tcPr>
                  <w:tcW w:w="3231" w:type="dxa"/>
                  <w:tcBorders>
                    <w:top w:val="nil"/>
                    <w:left w:val="nil"/>
                    <w:bottom w:val="nil"/>
                    <w:right w:val="nil"/>
                  </w:tcBorders>
                </w:tcPr>
                <w:p w14:paraId="61FD0A21"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Industry FE</w:t>
                  </w:r>
                </w:p>
              </w:tc>
              <w:tc>
                <w:tcPr>
                  <w:tcW w:w="3231" w:type="dxa"/>
                  <w:tcBorders>
                    <w:top w:val="nil"/>
                    <w:left w:val="nil"/>
                    <w:bottom w:val="nil"/>
                    <w:right w:val="nil"/>
                  </w:tcBorders>
                </w:tcPr>
                <w:p w14:paraId="437A8F6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c>
                <w:tcPr>
                  <w:tcW w:w="3231" w:type="dxa"/>
                  <w:tcBorders>
                    <w:top w:val="nil"/>
                    <w:left w:val="nil"/>
                    <w:bottom w:val="nil"/>
                    <w:right w:val="nil"/>
                  </w:tcBorders>
                </w:tcPr>
                <w:p w14:paraId="4FDBF5C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r>
            <w:tr w:rsidR="00694090" w:rsidRPr="00EB468D" w14:paraId="1F784726" w14:textId="77777777" w:rsidTr="00893C52">
              <w:tc>
                <w:tcPr>
                  <w:tcW w:w="3231" w:type="dxa"/>
                  <w:tcBorders>
                    <w:top w:val="nil"/>
                    <w:left w:val="nil"/>
                    <w:bottom w:val="nil"/>
                    <w:right w:val="nil"/>
                  </w:tcBorders>
                </w:tcPr>
                <w:p w14:paraId="08A75B95"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Year FE</w:t>
                  </w:r>
                </w:p>
              </w:tc>
              <w:tc>
                <w:tcPr>
                  <w:tcW w:w="3231" w:type="dxa"/>
                  <w:tcBorders>
                    <w:top w:val="nil"/>
                    <w:left w:val="nil"/>
                    <w:bottom w:val="nil"/>
                    <w:right w:val="nil"/>
                  </w:tcBorders>
                </w:tcPr>
                <w:p w14:paraId="17712A1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c>
                <w:tcPr>
                  <w:tcW w:w="3231" w:type="dxa"/>
                  <w:tcBorders>
                    <w:top w:val="nil"/>
                    <w:left w:val="nil"/>
                    <w:bottom w:val="nil"/>
                    <w:right w:val="nil"/>
                  </w:tcBorders>
                </w:tcPr>
                <w:p w14:paraId="6B68685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r>
          </w:tbl>
          <w:p w14:paraId="644E396B" w14:textId="77777777" w:rsidR="00694090" w:rsidRPr="00CC0559" w:rsidRDefault="00694090" w:rsidP="00AB066F">
            <w:pPr>
              <w:jc w:val="left"/>
              <w:rPr>
                <w:color w:val="000000" w:themeColor="text1"/>
                <w:sz w:val="20"/>
                <w:szCs w:val="20"/>
                <w:lang w:val="en-US"/>
              </w:rPr>
            </w:pPr>
          </w:p>
        </w:tc>
      </w:tr>
      <w:tr w:rsidR="00694090" w:rsidRPr="00BE5632" w14:paraId="1F22A5BF" w14:textId="77777777" w:rsidTr="00893C52">
        <w:trPr>
          <w:trHeight w:val="170"/>
        </w:trPr>
        <w:tc>
          <w:tcPr>
            <w:tcW w:w="5000" w:type="pct"/>
            <w:tcBorders>
              <w:top w:val="single" w:sz="4" w:space="0" w:color="auto"/>
              <w:left w:val="nil"/>
              <w:right w:val="nil"/>
            </w:tcBorders>
            <w:shd w:val="clear" w:color="auto" w:fill="auto"/>
            <w:noWrap/>
          </w:tcPr>
          <w:p w14:paraId="4C241411" w14:textId="77777777" w:rsidR="00694090" w:rsidRPr="00EB468D" w:rsidRDefault="00694090" w:rsidP="003108A1">
            <w:pPr>
              <w:spacing w:before="120" w:line="240" w:lineRule="auto"/>
              <w:rPr>
                <w:color w:val="000000" w:themeColor="text1"/>
                <w:sz w:val="22"/>
                <w:lang w:val="en-US"/>
              </w:rPr>
            </w:pPr>
            <w:r w:rsidRPr="00EB468D">
              <w:rPr>
                <w:i/>
                <w:iCs/>
                <w:color w:val="000000" w:themeColor="text1"/>
                <w:sz w:val="22"/>
                <w:lang w:val="en-US"/>
              </w:rPr>
              <w:t>Note</w:t>
            </w:r>
            <w:r w:rsidRPr="00EB468D">
              <w:rPr>
                <w:color w:val="000000" w:themeColor="text1"/>
                <w:sz w:val="22"/>
                <w:lang w:val="en-US"/>
              </w:rPr>
              <w:t xml:space="preserve">. This table reports fixed effects linear OLS regression results predicting the effect of organizational cultural distance between acquirers and targets on long-term synergy gains. The dependent variable for Model 1 is the acquirer’s growth in return on sales two years after deal completion. The dependent variable for Model 2 is the acquirer’s growth in return on sales four years after deal completion. The main independent variable in Models 1 and 2 </w:t>
            </w:r>
            <w:r w:rsidRPr="00EB468D">
              <w:rPr>
                <w:i/>
                <w:color w:val="000000" w:themeColor="text1"/>
                <w:sz w:val="22"/>
                <w:lang w:val="en-US"/>
              </w:rPr>
              <w:t>deal_culturaldistance_js</w:t>
            </w:r>
            <w:r w:rsidRPr="00EB468D">
              <w:rPr>
                <w:color w:val="000000" w:themeColor="text1"/>
                <w:sz w:val="22"/>
                <w:lang w:val="en-US"/>
              </w:rPr>
              <w:t xml:space="preserve">, measured with the Jensen-Shannon (JS) divergence measure developed by Corritore et al. (2020) with higher values indicating higher cultural dissimilarities between the acquirer and target. A detailed variable description can be found in Appendix B. Constant terms are estimated but not reported. We include the acquirer’s industry and year fixed effects in all models. We cluster standard errors at the </w:t>
            </w:r>
            <w:r w:rsidRPr="00EB468D">
              <w:rPr>
                <w:color w:val="000000" w:themeColor="text1"/>
                <w:sz w:val="22"/>
                <w:lang w:val="en-US"/>
              </w:rPr>
              <w:lastRenderedPageBreak/>
              <w:t>2-digit SIC industry level. t-statistics are reported in parentheses below the coefficients. *, **, *** denote statistical significance at the .10, .05, and .01 levels (using two-tailed tests).</w:t>
            </w:r>
          </w:p>
        </w:tc>
      </w:tr>
    </w:tbl>
    <w:p w14:paraId="6DD4D762" w14:textId="77777777" w:rsidR="00893C52" w:rsidRDefault="00893C52">
      <w:pPr>
        <w:spacing w:after="160" w:line="259" w:lineRule="auto"/>
        <w:jc w:val="left"/>
        <w:rPr>
          <w:rStyle w:val="SchwacherVerweis"/>
          <w:rFonts w:eastAsiaTheme="majorEastAsia" w:cstheme="majorBidi"/>
          <w:b/>
          <w:caps/>
          <w:smallCaps w:val="0"/>
          <w:color w:val="auto"/>
          <w:szCs w:val="32"/>
          <w:lang w:val="en-US"/>
        </w:rPr>
      </w:pPr>
      <w:r w:rsidRPr="00BE5632">
        <w:rPr>
          <w:rStyle w:val="SchwacherVerweis"/>
          <w:smallCaps w:val="0"/>
          <w:color w:val="auto"/>
          <w:lang w:val="en-US"/>
        </w:rPr>
        <w:br w:type="page"/>
      </w:r>
    </w:p>
    <w:p w14:paraId="45C2DD9C" w14:textId="18CC39DF" w:rsidR="003C5E32" w:rsidRDefault="003C5E32" w:rsidP="003C5E32">
      <w:pPr>
        <w:pStyle w:val="1fake"/>
        <w:rPr>
          <w:rStyle w:val="SchwacherVerweis"/>
          <w:smallCaps w:val="0"/>
          <w:color w:val="auto"/>
        </w:rPr>
      </w:pPr>
      <w:r>
        <w:rPr>
          <w:rStyle w:val="SchwacherVerweis"/>
          <w:smallCaps w:val="0"/>
          <w:color w:val="auto"/>
        </w:rPr>
        <w:lastRenderedPageBreak/>
        <w:t>Online Supplement</w:t>
      </w:r>
      <w:r w:rsidRPr="003C5E32">
        <w:rPr>
          <w:rStyle w:val="SchwacherVerweis"/>
          <w:smallCaps w:val="0"/>
          <w:color w:val="auto"/>
        </w:rPr>
        <w:t xml:space="preserve"> </w:t>
      </w:r>
      <w:r>
        <w:rPr>
          <w:rStyle w:val="SchwacherVerweis"/>
          <w:smallCaps w:val="0"/>
          <w:color w:val="auto"/>
        </w:rPr>
        <w:t>3</w:t>
      </w:r>
    </w:p>
    <w:p w14:paraId="11A0FAB3" w14:textId="252916DF" w:rsidR="004F7333" w:rsidRPr="009579F1" w:rsidRDefault="004F7333" w:rsidP="004F7333">
      <w:pPr>
        <w:pStyle w:val="Beschriftung"/>
      </w:pPr>
      <w:bookmarkStart w:id="621" w:name="_Toc180594849"/>
      <w:r>
        <w:t xml:space="preserve">T - III - </w:t>
      </w:r>
      <w:r>
        <w:fldChar w:fldCharType="begin"/>
      </w:r>
      <w:r>
        <w:instrText xml:space="preserve"> SEQ T_-_III_- \* ARABIC </w:instrText>
      </w:r>
      <w:r>
        <w:fldChar w:fldCharType="separate"/>
      </w:r>
      <w:r w:rsidR="00E91088">
        <w:rPr>
          <w:noProof/>
        </w:rPr>
        <w:t>13</w:t>
      </w:r>
      <w:r>
        <w:fldChar w:fldCharType="end"/>
      </w:r>
      <w:r>
        <w:t xml:space="preserve">: </w:t>
      </w:r>
      <w:r w:rsidRPr="000A271A">
        <w:t>H2: Acquisition premiums - Jensen-Shannon (JS) divergence</w:t>
      </w:r>
      <w:bookmarkEnd w:id="621"/>
    </w:p>
    <w:tbl>
      <w:tblPr>
        <w:tblW w:w="9072" w:type="dxa"/>
        <w:tblLayout w:type="fixed"/>
        <w:tblLook w:val="04A0" w:firstRow="1" w:lastRow="0" w:firstColumn="1" w:lastColumn="0" w:noHBand="0" w:noVBand="1"/>
      </w:tblPr>
      <w:tblGrid>
        <w:gridCol w:w="9072"/>
      </w:tblGrid>
      <w:tr w:rsidR="00694090" w:rsidRPr="00CC0559" w14:paraId="61B605F4" w14:textId="77777777" w:rsidTr="00893C52">
        <w:trPr>
          <w:trHeight w:val="328"/>
        </w:trPr>
        <w:tc>
          <w:tcPr>
            <w:tcW w:w="5000" w:type="pct"/>
            <w:tcBorders>
              <w:left w:val="nil"/>
              <w:bottom w:val="single" w:sz="4" w:space="0" w:color="auto"/>
              <w:right w:val="nil"/>
            </w:tcBorders>
            <w:shd w:val="clear" w:color="auto" w:fill="auto"/>
          </w:tcPr>
          <w:tbl>
            <w:tblPr>
              <w:tblW w:w="8959" w:type="dxa"/>
              <w:tblLayout w:type="fixed"/>
              <w:tblLook w:val="0000" w:firstRow="0" w:lastRow="0" w:firstColumn="0" w:lastColumn="0" w:noHBand="0" w:noVBand="0"/>
            </w:tblPr>
            <w:tblGrid>
              <w:gridCol w:w="2239"/>
              <w:gridCol w:w="2240"/>
              <w:gridCol w:w="2240"/>
              <w:gridCol w:w="2240"/>
            </w:tblGrid>
            <w:tr w:rsidR="00694090" w:rsidRPr="00EB468D" w14:paraId="0B746B2C" w14:textId="77777777" w:rsidTr="00893C52">
              <w:tc>
                <w:tcPr>
                  <w:tcW w:w="3231" w:type="dxa"/>
                  <w:tcBorders>
                    <w:top w:val="single" w:sz="4" w:space="0" w:color="auto"/>
                    <w:left w:val="nil"/>
                    <w:right w:val="nil"/>
                  </w:tcBorders>
                </w:tcPr>
                <w:p w14:paraId="7CCE19D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 xml:space="preserve">   </w:t>
                  </w:r>
                </w:p>
              </w:tc>
              <w:tc>
                <w:tcPr>
                  <w:tcW w:w="3231" w:type="dxa"/>
                  <w:tcBorders>
                    <w:top w:val="single" w:sz="4" w:space="0" w:color="auto"/>
                    <w:left w:val="nil"/>
                    <w:right w:val="nil"/>
                  </w:tcBorders>
                </w:tcPr>
                <w:p w14:paraId="09C1DB1F" w14:textId="77777777" w:rsidR="00694090" w:rsidRPr="00893C52" w:rsidRDefault="00694090" w:rsidP="00AB066F">
                  <w:pPr>
                    <w:widowControl w:val="0"/>
                    <w:autoSpaceDE w:val="0"/>
                    <w:autoSpaceDN w:val="0"/>
                    <w:adjustRightInd w:val="0"/>
                    <w:spacing w:line="240" w:lineRule="auto"/>
                    <w:jc w:val="center"/>
                    <w:rPr>
                      <w:b/>
                      <w:bCs/>
                      <w:color w:val="000000" w:themeColor="text1"/>
                      <w:sz w:val="22"/>
                      <w:lang w:val="en-US"/>
                    </w:rPr>
                  </w:pPr>
                  <w:r w:rsidRPr="00893C52">
                    <w:rPr>
                      <w:b/>
                      <w:bCs/>
                      <w:color w:val="000000" w:themeColor="text1"/>
                      <w:sz w:val="22"/>
                      <w:lang w:val="en-US"/>
                    </w:rPr>
                    <w:t>(1)</w:t>
                  </w:r>
                </w:p>
              </w:tc>
              <w:tc>
                <w:tcPr>
                  <w:tcW w:w="3231" w:type="dxa"/>
                  <w:tcBorders>
                    <w:top w:val="single" w:sz="4" w:space="0" w:color="auto"/>
                    <w:left w:val="nil"/>
                    <w:right w:val="nil"/>
                  </w:tcBorders>
                </w:tcPr>
                <w:p w14:paraId="6CFFE689" w14:textId="77777777" w:rsidR="00694090" w:rsidRPr="00893C52" w:rsidRDefault="00694090" w:rsidP="00AB066F">
                  <w:pPr>
                    <w:widowControl w:val="0"/>
                    <w:autoSpaceDE w:val="0"/>
                    <w:autoSpaceDN w:val="0"/>
                    <w:adjustRightInd w:val="0"/>
                    <w:spacing w:line="240" w:lineRule="auto"/>
                    <w:jc w:val="center"/>
                    <w:rPr>
                      <w:b/>
                      <w:bCs/>
                      <w:color w:val="000000" w:themeColor="text1"/>
                      <w:sz w:val="22"/>
                      <w:lang w:val="en-US"/>
                    </w:rPr>
                  </w:pPr>
                  <w:r w:rsidRPr="00893C52">
                    <w:rPr>
                      <w:b/>
                      <w:bCs/>
                      <w:color w:val="000000" w:themeColor="text1"/>
                      <w:sz w:val="22"/>
                      <w:lang w:val="en-US"/>
                    </w:rPr>
                    <w:t>(2)</w:t>
                  </w:r>
                </w:p>
              </w:tc>
              <w:tc>
                <w:tcPr>
                  <w:tcW w:w="3231" w:type="dxa"/>
                  <w:tcBorders>
                    <w:top w:val="single" w:sz="4" w:space="0" w:color="auto"/>
                    <w:left w:val="nil"/>
                    <w:bottom w:val="nil"/>
                    <w:right w:val="nil"/>
                  </w:tcBorders>
                </w:tcPr>
                <w:p w14:paraId="303C1167" w14:textId="0E07C345" w:rsidR="00694090" w:rsidRPr="00893C52" w:rsidRDefault="00694090" w:rsidP="00AB066F">
                  <w:pPr>
                    <w:widowControl w:val="0"/>
                    <w:autoSpaceDE w:val="0"/>
                    <w:autoSpaceDN w:val="0"/>
                    <w:adjustRightInd w:val="0"/>
                    <w:spacing w:line="240" w:lineRule="auto"/>
                    <w:jc w:val="center"/>
                    <w:rPr>
                      <w:b/>
                      <w:bCs/>
                      <w:color w:val="000000" w:themeColor="text1"/>
                      <w:sz w:val="22"/>
                      <w:lang w:val="en-US"/>
                    </w:rPr>
                  </w:pPr>
                  <w:r w:rsidRPr="00893C52">
                    <w:rPr>
                      <w:b/>
                      <w:bCs/>
                      <w:color w:val="000000" w:themeColor="text1"/>
                      <w:sz w:val="22"/>
                      <w:lang w:val="en-US"/>
                    </w:rPr>
                    <w:t>(3)</w:t>
                  </w:r>
                </w:p>
              </w:tc>
            </w:tr>
            <w:tr w:rsidR="00694090" w:rsidRPr="00EB468D" w14:paraId="46C339F4" w14:textId="77777777" w:rsidTr="00893C52">
              <w:tc>
                <w:tcPr>
                  <w:tcW w:w="3231" w:type="dxa"/>
                  <w:tcBorders>
                    <w:top w:val="nil"/>
                    <w:left w:val="nil"/>
                    <w:bottom w:val="single" w:sz="4" w:space="0" w:color="auto"/>
                    <w:right w:val="nil"/>
                  </w:tcBorders>
                </w:tcPr>
                <w:p w14:paraId="0C4026C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single" w:sz="4" w:space="0" w:color="auto"/>
                    <w:right w:val="nil"/>
                  </w:tcBorders>
                </w:tcPr>
                <w:p w14:paraId="141CE8E1" w14:textId="70B4FEB0" w:rsidR="00694090" w:rsidRPr="00893C52" w:rsidRDefault="00694090" w:rsidP="00AB066F">
                  <w:pPr>
                    <w:widowControl w:val="0"/>
                    <w:autoSpaceDE w:val="0"/>
                    <w:autoSpaceDN w:val="0"/>
                    <w:adjustRightInd w:val="0"/>
                    <w:spacing w:line="240" w:lineRule="auto"/>
                    <w:jc w:val="center"/>
                    <w:rPr>
                      <w:b/>
                      <w:bCs/>
                      <w:color w:val="000000" w:themeColor="text1"/>
                      <w:sz w:val="22"/>
                      <w:lang w:val="en-US"/>
                    </w:rPr>
                  </w:pPr>
                  <w:r w:rsidRPr="00893C52">
                    <w:rPr>
                      <w:b/>
                      <w:bCs/>
                      <w:color w:val="000000" w:themeColor="text1"/>
                      <w:sz w:val="22"/>
                      <w:lang w:val="en-US"/>
                    </w:rPr>
                    <w:t>deal_premium</w:t>
                  </w:r>
                  <w:r w:rsidR="00165286">
                    <w:rPr>
                      <w:b/>
                      <w:bCs/>
                      <w:color w:val="000000" w:themeColor="text1"/>
                      <w:sz w:val="22"/>
                      <w:lang w:val="en-US"/>
                    </w:rPr>
                    <w:br/>
                  </w:r>
                  <w:r w:rsidRPr="00893C52">
                    <w:rPr>
                      <w:b/>
                      <w:bCs/>
                      <w:color w:val="000000" w:themeColor="text1"/>
                      <w:sz w:val="22"/>
                      <w:lang w:val="en-US"/>
                    </w:rPr>
                    <w:t>_1day</w:t>
                  </w:r>
                </w:p>
              </w:tc>
              <w:tc>
                <w:tcPr>
                  <w:tcW w:w="3231" w:type="dxa"/>
                  <w:tcBorders>
                    <w:top w:val="nil"/>
                    <w:left w:val="nil"/>
                    <w:bottom w:val="single" w:sz="4" w:space="0" w:color="auto"/>
                    <w:right w:val="nil"/>
                  </w:tcBorders>
                </w:tcPr>
                <w:p w14:paraId="341EBCE1" w14:textId="6A9B94C1" w:rsidR="00694090" w:rsidRPr="00893C52" w:rsidRDefault="00694090" w:rsidP="00AB066F">
                  <w:pPr>
                    <w:widowControl w:val="0"/>
                    <w:autoSpaceDE w:val="0"/>
                    <w:autoSpaceDN w:val="0"/>
                    <w:adjustRightInd w:val="0"/>
                    <w:spacing w:line="240" w:lineRule="auto"/>
                    <w:jc w:val="center"/>
                    <w:rPr>
                      <w:b/>
                      <w:bCs/>
                      <w:color w:val="000000" w:themeColor="text1"/>
                      <w:sz w:val="22"/>
                      <w:lang w:val="en-US"/>
                    </w:rPr>
                  </w:pPr>
                  <w:r w:rsidRPr="00893C52">
                    <w:rPr>
                      <w:b/>
                      <w:bCs/>
                      <w:color w:val="000000" w:themeColor="text1"/>
                      <w:sz w:val="22"/>
                      <w:lang w:val="en-US"/>
                    </w:rPr>
                    <w:t>deal_premium</w:t>
                  </w:r>
                  <w:r w:rsidR="00165286">
                    <w:rPr>
                      <w:b/>
                      <w:bCs/>
                      <w:color w:val="000000" w:themeColor="text1"/>
                      <w:sz w:val="22"/>
                      <w:lang w:val="en-US"/>
                    </w:rPr>
                    <w:br/>
                  </w:r>
                  <w:r w:rsidRPr="00893C52">
                    <w:rPr>
                      <w:b/>
                      <w:bCs/>
                      <w:color w:val="000000" w:themeColor="text1"/>
                      <w:sz w:val="22"/>
                      <w:lang w:val="en-US"/>
                    </w:rPr>
                    <w:t>_1week</w:t>
                  </w:r>
                </w:p>
              </w:tc>
              <w:tc>
                <w:tcPr>
                  <w:tcW w:w="3231" w:type="dxa"/>
                  <w:tcBorders>
                    <w:top w:val="nil"/>
                    <w:left w:val="nil"/>
                    <w:bottom w:val="single" w:sz="10" w:space="0" w:color="auto"/>
                    <w:right w:val="nil"/>
                  </w:tcBorders>
                </w:tcPr>
                <w:p w14:paraId="1A40E5F9" w14:textId="6DA6A2D3" w:rsidR="00694090" w:rsidRPr="00893C52" w:rsidRDefault="00694090" w:rsidP="00AB066F">
                  <w:pPr>
                    <w:widowControl w:val="0"/>
                    <w:autoSpaceDE w:val="0"/>
                    <w:autoSpaceDN w:val="0"/>
                    <w:adjustRightInd w:val="0"/>
                    <w:spacing w:line="240" w:lineRule="auto"/>
                    <w:jc w:val="center"/>
                    <w:rPr>
                      <w:b/>
                      <w:bCs/>
                      <w:color w:val="000000" w:themeColor="text1"/>
                      <w:sz w:val="22"/>
                      <w:lang w:val="en-US"/>
                    </w:rPr>
                  </w:pPr>
                  <w:r w:rsidRPr="00893C52">
                    <w:rPr>
                      <w:b/>
                      <w:bCs/>
                      <w:color w:val="000000" w:themeColor="text1"/>
                      <w:sz w:val="22"/>
                      <w:lang w:val="en-US"/>
                    </w:rPr>
                    <w:t>deal_premium</w:t>
                  </w:r>
                  <w:r w:rsidR="00165286">
                    <w:rPr>
                      <w:b/>
                      <w:bCs/>
                      <w:color w:val="000000" w:themeColor="text1"/>
                      <w:sz w:val="22"/>
                      <w:lang w:val="en-US"/>
                    </w:rPr>
                    <w:br/>
                  </w:r>
                  <w:r w:rsidRPr="00893C52">
                    <w:rPr>
                      <w:b/>
                      <w:bCs/>
                      <w:color w:val="000000" w:themeColor="text1"/>
                      <w:sz w:val="22"/>
                      <w:lang w:val="en-US"/>
                    </w:rPr>
                    <w:t>_1month</w:t>
                  </w:r>
                </w:p>
              </w:tc>
            </w:tr>
            <w:tr w:rsidR="00694090" w:rsidRPr="00EB468D" w14:paraId="5728FD26" w14:textId="77777777" w:rsidTr="002045D9">
              <w:trPr>
                <w:trHeight w:val="20"/>
              </w:trPr>
              <w:tc>
                <w:tcPr>
                  <w:tcW w:w="3231" w:type="dxa"/>
                  <w:tcBorders>
                    <w:top w:val="single" w:sz="4" w:space="0" w:color="auto"/>
                    <w:left w:val="nil"/>
                    <w:bottom w:val="nil"/>
                    <w:right w:val="nil"/>
                  </w:tcBorders>
                </w:tcPr>
                <w:p w14:paraId="4A931DD5"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deal_culturaldistance_js</w:t>
                  </w:r>
                </w:p>
              </w:tc>
              <w:tc>
                <w:tcPr>
                  <w:tcW w:w="3231" w:type="dxa"/>
                  <w:tcBorders>
                    <w:top w:val="single" w:sz="4" w:space="0" w:color="auto"/>
                    <w:left w:val="nil"/>
                    <w:bottom w:val="nil"/>
                    <w:right w:val="nil"/>
                  </w:tcBorders>
                  <w:vAlign w:val="center"/>
                </w:tcPr>
                <w:p w14:paraId="08EC463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.663*</w:t>
                  </w:r>
                </w:p>
              </w:tc>
              <w:tc>
                <w:tcPr>
                  <w:tcW w:w="3231" w:type="dxa"/>
                  <w:tcBorders>
                    <w:top w:val="single" w:sz="4" w:space="0" w:color="auto"/>
                    <w:left w:val="nil"/>
                    <w:bottom w:val="nil"/>
                    <w:right w:val="nil"/>
                  </w:tcBorders>
                  <w:vAlign w:val="center"/>
                </w:tcPr>
                <w:p w14:paraId="6B4DF9D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.719*</w:t>
                  </w:r>
                </w:p>
              </w:tc>
              <w:tc>
                <w:tcPr>
                  <w:tcW w:w="3231" w:type="dxa"/>
                  <w:tcBorders>
                    <w:top w:val="nil"/>
                    <w:left w:val="nil"/>
                    <w:bottom w:val="nil"/>
                    <w:right w:val="nil"/>
                  </w:tcBorders>
                  <w:vAlign w:val="center"/>
                </w:tcPr>
                <w:p w14:paraId="29770C8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.503*</w:t>
                  </w:r>
                </w:p>
              </w:tc>
            </w:tr>
            <w:tr w:rsidR="00694090" w:rsidRPr="00EB468D" w14:paraId="4817AF17" w14:textId="77777777" w:rsidTr="00893C52">
              <w:tc>
                <w:tcPr>
                  <w:tcW w:w="3231" w:type="dxa"/>
                  <w:tcBorders>
                    <w:top w:val="nil"/>
                    <w:left w:val="nil"/>
                    <w:bottom w:val="nil"/>
                    <w:right w:val="nil"/>
                  </w:tcBorders>
                </w:tcPr>
                <w:p w14:paraId="5A846DAD"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25705BA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(1.805)</w:t>
                  </w:r>
                </w:p>
              </w:tc>
              <w:tc>
                <w:tcPr>
                  <w:tcW w:w="3231" w:type="dxa"/>
                  <w:tcBorders>
                    <w:top w:val="nil"/>
                    <w:left w:val="nil"/>
                    <w:bottom w:val="nil"/>
                    <w:right w:val="nil"/>
                  </w:tcBorders>
                  <w:vAlign w:val="center"/>
                </w:tcPr>
                <w:p w14:paraId="62787B9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(1.883)</w:t>
                  </w:r>
                </w:p>
              </w:tc>
              <w:tc>
                <w:tcPr>
                  <w:tcW w:w="3231" w:type="dxa"/>
                  <w:tcBorders>
                    <w:top w:val="nil"/>
                    <w:left w:val="nil"/>
                    <w:bottom w:val="nil"/>
                    <w:right w:val="nil"/>
                  </w:tcBorders>
                  <w:vAlign w:val="center"/>
                </w:tcPr>
                <w:p w14:paraId="432A47F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(1.983)</w:t>
                  </w:r>
                </w:p>
              </w:tc>
            </w:tr>
            <w:tr w:rsidR="00694090" w:rsidRPr="00EB468D" w14:paraId="3B0B0488" w14:textId="77777777" w:rsidTr="00893C52">
              <w:tc>
                <w:tcPr>
                  <w:tcW w:w="3231" w:type="dxa"/>
                  <w:tcBorders>
                    <w:top w:val="nil"/>
                    <w:left w:val="nil"/>
                    <w:bottom w:val="nil"/>
                    <w:right w:val="nil"/>
                  </w:tcBorders>
                </w:tcPr>
                <w:p w14:paraId="4FA4CF75"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deal_value_ln</w:t>
                  </w:r>
                </w:p>
              </w:tc>
              <w:tc>
                <w:tcPr>
                  <w:tcW w:w="3231" w:type="dxa"/>
                  <w:tcBorders>
                    <w:top w:val="nil"/>
                    <w:left w:val="nil"/>
                    <w:bottom w:val="nil"/>
                    <w:right w:val="nil"/>
                  </w:tcBorders>
                  <w:vAlign w:val="center"/>
                </w:tcPr>
                <w:p w14:paraId="00B7AE0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-.012</w:t>
                  </w:r>
                </w:p>
              </w:tc>
              <w:tc>
                <w:tcPr>
                  <w:tcW w:w="3231" w:type="dxa"/>
                  <w:tcBorders>
                    <w:top w:val="nil"/>
                    <w:left w:val="nil"/>
                    <w:bottom w:val="nil"/>
                    <w:right w:val="nil"/>
                  </w:tcBorders>
                  <w:vAlign w:val="center"/>
                </w:tcPr>
                <w:p w14:paraId="219AD81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-.026</w:t>
                  </w:r>
                </w:p>
              </w:tc>
              <w:tc>
                <w:tcPr>
                  <w:tcW w:w="3231" w:type="dxa"/>
                  <w:tcBorders>
                    <w:top w:val="nil"/>
                    <w:left w:val="nil"/>
                    <w:bottom w:val="nil"/>
                    <w:right w:val="nil"/>
                  </w:tcBorders>
                  <w:vAlign w:val="center"/>
                </w:tcPr>
                <w:p w14:paraId="4C60DCF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-.010</w:t>
                  </w:r>
                </w:p>
              </w:tc>
            </w:tr>
            <w:tr w:rsidR="00694090" w:rsidRPr="00EB468D" w14:paraId="171ECE14" w14:textId="77777777" w:rsidTr="00893C52">
              <w:tc>
                <w:tcPr>
                  <w:tcW w:w="3231" w:type="dxa"/>
                  <w:tcBorders>
                    <w:top w:val="nil"/>
                    <w:left w:val="nil"/>
                    <w:bottom w:val="nil"/>
                    <w:right w:val="nil"/>
                  </w:tcBorders>
                </w:tcPr>
                <w:p w14:paraId="30B9A821"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5D73C1D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(-.506)</w:t>
                  </w:r>
                </w:p>
              </w:tc>
              <w:tc>
                <w:tcPr>
                  <w:tcW w:w="3231" w:type="dxa"/>
                  <w:tcBorders>
                    <w:top w:val="nil"/>
                    <w:left w:val="nil"/>
                    <w:bottom w:val="nil"/>
                    <w:right w:val="nil"/>
                  </w:tcBorders>
                  <w:vAlign w:val="center"/>
                </w:tcPr>
                <w:p w14:paraId="3CE05CB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(-1.081)</w:t>
                  </w:r>
                </w:p>
              </w:tc>
              <w:tc>
                <w:tcPr>
                  <w:tcW w:w="3231" w:type="dxa"/>
                  <w:tcBorders>
                    <w:top w:val="nil"/>
                    <w:left w:val="nil"/>
                    <w:bottom w:val="nil"/>
                    <w:right w:val="nil"/>
                  </w:tcBorders>
                  <w:vAlign w:val="center"/>
                </w:tcPr>
                <w:p w14:paraId="06521C9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(-.479)</w:t>
                  </w:r>
                </w:p>
              </w:tc>
            </w:tr>
            <w:tr w:rsidR="00694090" w:rsidRPr="00EB468D" w14:paraId="683A6D46" w14:textId="77777777" w:rsidTr="00893C52">
              <w:tc>
                <w:tcPr>
                  <w:tcW w:w="3231" w:type="dxa"/>
                  <w:tcBorders>
                    <w:top w:val="nil"/>
                    <w:left w:val="nil"/>
                    <w:bottom w:val="nil"/>
                    <w:right w:val="nil"/>
                  </w:tcBorders>
                </w:tcPr>
                <w:p w14:paraId="13D4A238"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deal_hofstede_distance</w:t>
                  </w:r>
                </w:p>
              </w:tc>
              <w:tc>
                <w:tcPr>
                  <w:tcW w:w="3231" w:type="dxa"/>
                  <w:tcBorders>
                    <w:top w:val="nil"/>
                    <w:left w:val="nil"/>
                    <w:bottom w:val="nil"/>
                    <w:right w:val="nil"/>
                  </w:tcBorders>
                  <w:vAlign w:val="center"/>
                </w:tcPr>
                <w:p w14:paraId="5F6006B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.192</w:t>
                  </w:r>
                </w:p>
              </w:tc>
              <w:tc>
                <w:tcPr>
                  <w:tcW w:w="3231" w:type="dxa"/>
                  <w:tcBorders>
                    <w:top w:val="nil"/>
                    <w:left w:val="nil"/>
                    <w:bottom w:val="nil"/>
                    <w:right w:val="nil"/>
                  </w:tcBorders>
                  <w:vAlign w:val="center"/>
                </w:tcPr>
                <w:p w14:paraId="01EED2E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-.042</w:t>
                  </w:r>
                </w:p>
              </w:tc>
              <w:tc>
                <w:tcPr>
                  <w:tcW w:w="3231" w:type="dxa"/>
                  <w:tcBorders>
                    <w:top w:val="nil"/>
                    <w:left w:val="nil"/>
                    <w:bottom w:val="nil"/>
                    <w:right w:val="nil"/>
                  </w:tcBorders>
                  <w:vAlign w:val="center"/>
                </w:tcPr>
                <w:p w14:paraId="421CDC4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.071</w:t>
                  </w:r>
                </w:p>
              </w:tc>
            </w:tr>
            <w:tr w:rsidR="00694090" w:rsidRPr="00EB468D" w14:paraId="5D8DC15E" w14:textId="77777777" w:rsidTr="00893C52">
              <w:tc>
                <w:tcPr>
                  <w:tcW w:w="3231" w:type="dxa"/>
                  <w:tcBorders>
                    <w:top w:val="nil"/>
                    <w:left w:val="nil"/>
                    <w:bottom w:val="nil"/>
                    <w:right w:val="nil"/>
                  </w:tcBorders>
                </w:tcPr>
                <w:p w14:paraId="247F0819"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38666F9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(1.187)</w:t>
                  </w:r>
                </w:p>
              </w:tc>
              <w:tc>
                <w:tcPr>
                  <w:tcW w:w="3231" w:type="dxa"/>
                  <w:tcBorders>
                    <w:top w:val="nil"/>
                    <w:left w:val="nil"/>
                    <w:bottom w:val="nil"/>
                    <w:right w:val="nil"/>
                  </w:tcBorders>
                  <w:vAlign w:val="center"/>
                </w:tcPr>
                <w:p w14:paraId="4CD4AD4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(-.206)</w:t>
                  </w:r>
                </w:p>
              </w:tc>
              <w:tc>
                <w:tcPr>
                  <w:tcW w:w="3231" w:type="dxa"/>
                  <w:tcBorders>
                    <w:top w:val="nil"/>
                    <w:left w:val="nil"/>
                    <w:bottom w:val="nil"/>
                    <w:right w:val="nil"/>
                  </w:tcBorders>
                  <w:vAlign w:val="center"/>
                </w:tcPr>
                <w:p w14:paraId="1608756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(.286)</w:t>
                  </w:r>
                </w:p>
              </w:tc>
            </w:tr>
            <w:tr w:rsidR="00694090" w:rsidRPr="00EB468D" w14:paraId="4D819D9F" w14:textId="77777777" w:rsidTr="00893C52">
              <w:tc>
                <w:tcPr>
                  <w:tcW w:w="3231" w:type="dxa"/>
                  <w:tcBorders>
                    <w:top w:val="nil"/>
                    <w:left w:val="nil"/>
                    <w:bottom w:val="nil"/>
                    <w:right w:val="nil"/>
                  </w:tcBorders>
                </w:tcPr>
                <w:p w14:paraId="22402D22"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deal_all_cash_dummy</w:t>
                  </w:r>
                </w:p>
              </w:tc>
              <w:tc>
                <w:tcPr>
                  <w:tcW w:w="3231" w:type="dxa"/>
                  <w:tcBorders>
                    <w:top w:val="nil"/>
                    <w:left w:val="nil"/>
                    <w:bottom w:val="nil"/>
                    <w:right w:val="nil"/>
                  </w:tcBorders>
                  <w:vAlign w:val="center"/>
                </w:tcPr>
                <w:p w14:paraId="1310401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.088*</w:t>
                  </w:r>
                </w:p>
              </w:tc>
              <w:tc>
                <w:tcPr>
                  <w:tcW w:w="3231" w:type="dxa"/>
                  <w:tcBorders>
                    <w:top w:val="nil"/>
                    <w:left w:val="nil"/>
                    <w:bottom w:val="nil"/>
                    <w:right w:val="nil"/>
                  </w:tcBorders>
                  <w:vAlign w:val="center"/>
                </w:tcPr>
                <w:p w14:paraId="7177FB9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.109*</w:t>
                  </w:r>
                </w:p>
              </w:tc>
              <w:tc>
                <w:tcPr>
                  <w:tcW w:w="3231" w:type="dxa"/>
                  <w:tcBorders>
                    <w:top w:val="nil"/>
                    <w:left w:val="nil"/>
                    <w:bottom w:val="nil"/>
                    <w:right w:val="nil"/>
                  </w:tcBorders>
                  <w:vAlign w:val="center"/>
                </w:tcPr>
                <w:p w14:paraId="22FC8B8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.088</w:t>
                  </w:r>
                </w:p>
              </w:tc>
            </w:tr>
            <w:tr w:rsidR="00694090" w:rsidRPr="00EB468D" w14:paraId="722F0B40" w14:textId="77777777" w:rsidTr="00893C52">
              <w:tc>
                <w:tcPr>
                  <w:tcW w:w="3231" w:type="dxa"/>
                  <w:tcBorders>
                    <w:top w:val="nil"/>
                    <w:left w:val="nil"/>
                    <w:bottom w:val="nil"/>
                    <w:right w:val="nil"/>
                  </w:tcBorders>
                </w:tcPr>
                <w:p w14:paraId="0088C5F7"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1A1F491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(1.652)</w:t>
                  </w:r>
                </w:p>
              </w:tc>
              <w:tc>
                <w:tcPr>
                  <w:tcW w:w="3231" w:type="dxa"/>
                  <w:tcBorders>
                    <w:top w:val="nil"/>
                    <w:left w:val="nil"/>
                    <w:bottom w:val="nil"/>
                    <w:right w:val="nil"/>
                  </w:tcBorders>
                  <w:vAlign w:val="center"/>
                </w:tcPr>
                <w:p w14:paraId="3D44696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(1.967)</w:t>
                  </w:r>
                </w:p>
              </w:tc>
              <w:tc>
                <w:tcPr>
                  <w:tcW w:w="3231" w:type="dxa"/>
                  <w:tcBorders>
                    <w:top w:val="nil"/>
                    <w:left w:val="nil"/>
                    <w:bottom w:val="nil"/>
                    <w:right w:val="nil"/>
                  </w:tcBorders>
                  <w:vAlign w:val="center"/>
                </w:tcPr>
                <w:p w14:paraId="048B61A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(1.527)</w:t>
                  </w:r>
                </w:p>
              </w:tc>
            </w:tr>
            <w:tr w:rsidR="00694090" w:rsidRPr="00EB468D" w14:paraId="5EDC54B2" w14:textId="77777777" w:rsidTr="00893C52">
              <w:tc>
                <w:tcPr>
                  <w:tcW w:w="3231" w:type="dxa"/>
                  <w:tcBorders>
                    <w:top w:val="nil"/>
                    <w:left w:val="nil"/>
                    <w:bottom w:val="nil"/>
                    <w:right w:val="nil"/>
                  </w:tcBorders>
                </w:tcPr>
                <w:p w14:paraId="11CF9B8D"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deal_all_stock_dummy</w:t>
                  </w:r>
                </w:p>
              </w:tc>
              <w:tc>
                <w:tcPr>
                  <w:tcW w:w="3231" w:type="dxa"/>
                  <w:tcBorders>
                    <w:top w:val="nil"/>
                    <w:left w:val="nil"/>
                    <w:bottom w:val="nil"/>
                    <w:right w:val="nil"/>
                  </w:tcBorders>
                  <w:vAlign w:val="center"/>
                </w:tcPr>
                <w:p w14:paraId="648F291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-.119*</w:t>
                  </w:r>
                </w:p>
              </w:tc>
              <w:tc>
                <w:tcPr>
                  <w:tcW w:w="3231" w:type="dxa"/>
                  <w:tcBorders>
                    <w:top w:val="nil"/>
                    <w:left w:val="nil"/>
                    <w:bottom w:val="nil"/>
                    <w:right w:val="nil"/>
                  </w:tcBorders>
                  <w:vAlign w:val="center"/>
                </w:tcPr>
                <w:p w14:paraId="6328526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-.122*</w:t>
                  </w:r>
                </w:p>
              </w:tc>
              <w:tc>
                <w:tcPr>
                  <w:tcW w:w="3231" w:type="dxa"/>
                  <w:tcBorders>
                    <w:top w:val="nil"/>
                    <w:left w:val="nil"/>
                    <w:bottom w:val="nil"/>
                    <w:right w:val="nil"/>
                  </w:tcBorders>
                  <w:vAlign w:val="center"/>
                </w:tcPr>
                <w:p w14:paraId="1CED838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-.109</w:t>
                  </w:r>
                </w:p>
              </w:tc>
            </w:tr>
            <w:tr w:rsidR="00694090" w:rsidRPr="00EB468D" w14:paraId="628AE171" w14:textId="77777777" w:rsidTr="00893C52">
              <w:tc>
                <w:tcPr>
                  <w:tcW w:w="3231" w:type="dxa"/>
                  <w:tcBorders>
                    <w:top w:val="nil"/>
                    <w:left w:val="nil"/>
                    <w:bottom w:val="nil"/>
                    <w:right w:val="nil"/>
                  </w:tcBorders>
                </w:tcPr>
                <w:p w14:paraId="45AA0B67"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278446F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(-1.714)</w:t>
                  </w:r>
                </w:p>
              </w:tc>
              <w:tc>
                <w:tcPr>
                  <w:tcW w:w="3231" w:type="dxa"/>
                  <w:tcBorders>
                    <w:top w:val="nil"/>
                    <w:left w:val="nil"/>
                    <w:bottom w:val="nil"/>
                    <w:right w:val="nil"/>
                  </w:tcBorders>
                  <w:vAlign w:val="center"/>
                </w:tcPr>
                <w:p w14:paraId="18A3FFD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(-1.891)</w:t>
                  </w:r>
                </w:p>
              </w:tc>
              <w:tc>
                <w:tcPr>
                  <w:tcW w:w="3231" w:type="dxa"/>
                  <w:tcBorders>
                    <w:top w:val="nil"/>
                    <w:left w:val="nil"/>
                    <w:bottom w:val="nil"/>
                    <w:right w:val="nil"/>
                  </w:tcBorders>
                  <w:vAlign w:val="center"/>
                </w:tcPr>
                <w:p w14:paraId="669AFA8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(-1.551)</w:t>
                  </w:r>
                </w:p>
              </w:tc>
            </w:tr>
            <w:tr w:rsidR="00694090" w:rsidRPr="00EB468D" w14:paraId="63FAA371" w14:textId="77777777" w:rsidTr="00893C52">
              <w:tc>
                <w:tcPr>
                  <w:tcW w:w="3231" w:type="dxa"/>
                  <w:tcBorders>
                    <w:top w:val="nil"/>
                    <w:left w:val="nil"/>
                    <w:bottom w:val="nil"/>
                    <w:right w:val="nil"/>
                  </w:tcBorders>
                </w:tcPr>
                <w:p w14:paraId="04F78D50"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deal_tenderoffer_dummy</w:t>
                  </w:r>
                </w:p>
              </w:tc>
              <w:tc>
                <w:tcPr>
                  <w:tcW w:w="3231" w:type="dxa"/>
                  <w:tcBorders>
                    <w:top w:val="nil"/>
                    <w:left w:val="nil"/>
                    <w:bottom w:val="nil"/>
                    <w:right w:val="nil"/>
                  </w:tcBorders>
                  <w:vAlign w:val="center"/>
                </w:tcPr>
                <w:p w14:paraId="27F4E0B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-.059</w:t>
                  </w:r>
                </w:p>
              </w:tc>
              <w:tc>
                <w:tcPr>
                  <w:tcW w:w="3231" w:type="dxa"/>
                  <w:tcBorders>
                    <w:top w:val="nil"/>
                    <w:left w:val="nil"/>
                    <w:bottom w:val="nil"/>
                    <w:right w:val="nil"/>
                  </w:tcBorders>
                  <w:vAlign w:val="center"/>
                </w:tcPr>
                <w:p w14:paraId="785CF41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-.090</w:t>
                  </w:r>
                </w:p>
              </w:tc>
              <w:tc>
                <w:tcPr>
                  <w:tcW w:w="3231" w:type="dxa"/>
                  <w:tcBorders>
                    <w:top w:val="nil"/>
                    <w:left w:val="nil"/>
                    <w:bottom w:val="nil"/>
                    <w:right w:val="nil"/>
                  </w:tcBorders>
                  <w:vAlign w:val="center"/>
                </w:tcPr>
                <w:p w14:paraId="210BFD2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-.084</w:t>
                  </w:r>
                </w:p>
              </w:tc>
            </w:tr>
            <w:tr w:rsidR="00694090" w:rsidRPr="00EB468D" w14:paraId="28AC6AFA" w14:textId="77777777" w:rsidTr="00893C52">
              <w:tc>
                <w:tcPr>
                  <w:tcW w:w="3231" w:type="dxa"/>
                  <w:tcBorders>
                    <w:top w:val="nil"/>
                    <w:left w:val="nil"/>
                    <w:bottom w:val="nil"/>
                    <w:right w:val="nil"/>
                  </w:tcBorders>
                </w:tcPr>
                <w:p w14:paraId="215D18B1"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0B8914B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(-.938)</w:t>
                  </w:r>
                </w:p>
              </w:tc>
              <w:tc>
                <w:tcPr>
                  <w:tcW w:w="3231" w:type="dxa"/>
                  <w:tcBorders>
                    <w:top w:val="nil"/>
                    <w:left w:val="nil"/>
                    <w:bottom w:val="nil"/>
                    <w:right w:val="nil"/>
                  </w:tcBorders>
                  <w:vAlign w:val="center"/>
                </w:tcPr>
                <w:p w14:paraId="24EBB4B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(-1.317)</w:t>
                  </w:r>
                </w:p>
              </w:tc>
              <w:tc>
                <w:tcPr>
                  <w:tcW w:w="3231" w:type="dxa"/>
                  <w:tcBorders>
                    <w:top w:val="nil"/>
                    <w:left w:val="nil"/>
                    <w:bottom w:val="nil"/>
                    <w:right w:val="nil"/>
                  </w:tcBorders>
                  <w:vAlign w:val="center"/>
                </w:tcPr>
                <w:p w14:paraId="01800E2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(-1.212)</w:t>
                  </w:r>
                </w:p>
              </w:tc>
            </w:tr>
            <w:tr w:rsidR="00694090" w:rsidRPr="00EB468D" w14:paraId="2CD95470" w14:textId="77777777" w:rsidTr="00893C52">
              <w:tc>
                <w:tcPr>
                  <w:tcW w:w="3231" w:type="dxa"/>
                  <w:tcBorders>
                    <w:top w:val="nil"/>
                    <w:left w:val="nil"/>
                    <w:bottom w:val="nil"/>
                    <w:right w:val="nil"/>
                  </w:tcBorders>
                </w:tcPr>
                <w:p w14:paraId="7990CD1D"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deal_friendly_dummy</w:t>
                  </w:r>
                </w:p>
              </w:tc>
              <w:tc>
                <w:tcPr>
                  <w:tcW w:w="3231" w:type="dxa"/>
                  <w:tcBorders>
                    <w:top w:val="nil"/>
                    <w:left w:val="nil"/>
                    <w:bottom w:val="nil"/>
                    <w:right w:val="nil"/>
                  </w:tcBorders>
                  <w:vAlign w:val="center"/>
                </w:tcPr>
                <w:p w14:paraId="4319C42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.373***</w:t>
                  </w:r>
                </w:p>
              </w:tc>
              <w:tc>
                <w:tcPr>
                  <w:tcW w:w="3231" w:type="dxa"/>
                  <w:tcBorders>
                    <w:top w:val="nil"/>
                    <w:left w:val="nil"/>
                    <w:bottom w:val="nil"/>
                    <w:right w:val="nil"/>
                  </w:tcBorders>
                  <w:vAlign w:val="center"/>
                </w:tcPr>
                <w:p w14:paraId="4E8658D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.337**</w:t>
                  </w:r>
                </w:p>
              </w:tc>
              <w:tc>
                <w:tcPr>
                  <w:tcW w:w="3231" w:type="dxa"/>
                  <w:tcBorders>
                    <w:top w:val="nil"/>
                    <w:left w:val="nil"/>
                    <w:bottom w:val="nil"/>
                    <w:right w:val="nil"/>
                  </w:tcBorders>
                  <w:vAlign w:val="center"/>
                </w:tcPr>
                <w:p w14:paraId="130B200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.352***</w:t>
                  </w:r>
                </w:p>
              </w:tc>
            </w:tr>
            <w:tr w:rsidR="00694090" w:rsidRPr="00EB468D" w14:paraId="579F0E71" w14:textId="77777777" w:rsidTr="00893C52">
              <w:tc>
                <w:tcPr>
                  <w:tcW w:w="3231" w:type="dxa"/>
                  <w:tcBorders>
                    <w:top w:val="nil"/>
                    <w:left w:val="nil"/>
                    <w:bottom w:val="nil"/>
                    <w:right w:val="nil"/>
                  </w:tcBorders>
                </w:tcPr>
                <w:p w14:paraId="28890BA1"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2C8FE92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(2.925)</w:t>
                  </w:r>
                </w:p>
              </w:tc>
              <w:tc>
                <w:tcPr>
                  <w:tcW w:w="3231" w:type="dxa"/>
                  <w:tcBorders>
                    <w:top w:val="nil"/>
                    <w:left w:val="nil"/>
                    <w:bottom w:val="nil"/>
                    <w:right w:val="nil"/>
                  </w:tcBorders>
                  <w:vAlign w:val="center"/>
                </w:tcPr>
                <w:p w14:paraId="27EFF92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(2.358)</w:t>
                  </w:r>
                </w:p>
              </w:tc>
              <w:tc>
                <w:tcPr>
                  <w:tcW w:w="3231" w:type="dxa"/>
                  <w:tcBorders>
                    <w:top w:val="nil"/>
                    <w:left w:val="nil"/>
                    <w:bottom w:val="nil"/>
                    <w:right w:val="nil"/>
                  </w:tcBorders>
                  <w:vAlign w:val="center"/>
                </w:tcPr>
                <w:p w14:paraId="3C34FB7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(2.888)</w:t>
                  </w:r>
                </w:p>
              </w:tc>
            </w:tr>
            <w:tr w:rsidR="00694090" w:rsidRPr="00EB468D" w14:paraId="3AC78DEC" w14:textId="77777777" w:rsidTr="00893C52">
              <w:tc>
                <w:tcPr>
                  <w:tcW w:w="3231" w:type="dxa"/>
                  <w:tcBorders>
                    <w:top w:val="nil"/>
                    <w:left w:val="nil"/>
                    <w:bottom w:val="nil"/>
                    <w:right w:val="nil"/>
                  </w:tcBorders>
                </w:tcPr>
                <w:p w14:paraId="0BF9F094"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deal_relatedness_dummy</w:t>
                  </w:r>
                </w:p>
              </w:tc>
              <w:tc>
                <w:tcPr>
                  <w:tcW w:w="3231" w:type="dxa"/>
                  <w:tcBorders>
                    <w:top w:val="nil"/>
                    <w:left w:val="nil"/>
                    <w:bottom w:val="nil"/>
                    <w:right w:val="nil"/>
                  </w:tcBorders>
                  <w:vAlign w:val="center"/>
                </w:tcPr>
                <w:p w14:paraId="0E8F03F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.086</w:t>
                  </w:r>
                </w:p>
              </w:tc>
              <w:tc>
                <w:tcPr>
                  <w:tcW w:w="3231" w:type="dxa"/>
                  <w:tcBorders>
                    <w:top w:val="nil"/>
                    <w:left w:val="nil"/>
                    <w:bottom w:val="nil"/>
                    <w:right w:val="nil"/>
                  </w:tcBorders>
                  <w:vAlign w:val="center"/>
                </w:tcPr>
                <w:p w14:paraId="1F98801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.075</w:t>
                  </w:r>
                </w:p>
              </w:tc>
              <w:tc>
                <w:tcPr>
                  <w:tcW w:w="3231" w:type="dxa"/>
                  <w:tcBorders>
                    <w:top w:val="nil"/>
                    <w:left w:val="nil"/>
                    <w:bottom w:val="nil"/>
                    <w:right w:val="nil"/>
                  </w:tcBorders>
                  <w:vAlign w:val="center"/>
                </w:tcPr>
                <w:p w14:paraId="3876A5E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.120**</w:t>
                  </w:r>
                </w:p>
              </w:tc>
            </w:tr>
            <w:tr w:rsidR="00694090" w:rsidRPr="00EB468D" w14:paraId="74E40A33" w14:textId="77777777" w:rsidTr="00893C52">
              <w:tc>
                <w:tcPr>
                  <w:tcW w:w="3231" w:type="dxa"/>
                  <w:tcBorders>
                    <w:top w:val="nil"/>
                    <w:left w:val="nil"/>
                    <w:bottom w:val="nil"/>
                    <w:right w:val="nil"/>
                  </w:tcBorders>
                </w:tcPr>
                <w:p w14:paraId="149C6C01"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4FE830F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(1.368)</w:t>
                  </w:r>
                </w:p>
              </w:tc>
              <w:tc>
                <w:tcPr>
                  <w:tcW w:w="3231" w:type="dxa"/>
                  <w:tcBorders>
                    <w:top w:val="nil"/>
                    <w:left w:val="nil"/>
                    <w:bottom w:val="nil"/>
                    <w:right w:val="nil"/>
                  </w:tcBorders>
                  <w:vAlign w:val="center"/>
                </w:tcPr>
                <w:p w14:paraId="19AB3BF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(1.277)</w:t>
                  </w:r>
                </w:p>
              </w:tc>
              <w:tc>
                <w:tcPr>
                  <w:tcW w:w="3231" w:type="dxa"/>
                  <w:tcBorders>
                    <w:top w:val="nil"/>
                    <w:left w:val="nil"/>
                    <w:bottom w:val="nil"/>
                    <w:right w:val="nil"/>
                  </w:tcBorders>
                  <w:vAlign w:val="center"/>
                </w:tcPr>
                <w:p w14:paraId="59282A1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(2.145)</w:t>
                  </w:r>
                </w:p>
              </w:tc>
            </w:tr>
            <w:tr w:rsidR="00694090" w:rsidRPr="00EB468D" w14:paraId="071C958D" w14:textId="77777777" w:rsidTr="00893C52">
              <w:tc>
                <w:tcPr>
                  <w:tcW w:w="3231" w:type="dxa"/>
                  <w:tcBorders>
                    <w:top w:val="nil"/>
                    <w:left w:val="nil"/>
                    <w:bottom w:val="nil"/>
                    <w:right w:val="nil"/>
                  </w:tcBorders>
                </w:tcPr>
                <w:p w14:paraId="6B682FCD"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acq_age</w:t>
                  </w:r>
                </w:p>
              </w:tc>
              <w:tc>
                <w:tcPr>
                  <w:tcW w:w="3231" w:type="dxa"/>
                  <w:tcBorders>
                    <w:top w:val="nil"/>
                    <w:left w:val="nil"/>
                    <w:bottom w:val="nil"/>
                    <w:right w:val="nil"/>
                  </w:tcBorders>
                  <w:vAlign w:val="center"/>
                </w:tcPr>
                <w:p w14:paraId="16FEAD4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-.0001</w:t>
                  </w:r>
                </w:p>
              </w:tc>
              <w:tc>
                <w:tcPr>
                  <w:tcW w:w="3231" w:type="dxa"/>
                  <w:tcBorders>
                    <w:top w:val="nil"/>
                    <w:left w:val="nil"/>
                    <w:bottom w:val="nil"/>
                    <w:right w:val="nil"/>
                  </w:tcBorders>
                  <w:vAlign w:val="center"/>
                </w:tcPr>
                <w:p w14:paraId="4349721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-.0004</w:t>
                  </w:r>
                </w:p>
              </w:tc>
              <w:tc>
                <w:tcPr>
                  <w:tcW w:w="3231" w:type="dxa"/>
                  <w:tcBorders>
                    <w:top w:val="nil"/>
                    <w:left w:val="nil"/>
                    <w:bottom w:val="nil"/>
                    <w:right w:val="nil"/>
                  </w:tcBorders>
                  <w:vAlign w:val="center"/>
                </w:tcPr>
                <w:p w14:paraId="73AB20F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-.0003</w:t>
                  </w:r>
                </w:p>
              </w:tc>
            </w:tr>
            <w:tr w:rsidR="00694090" w:rsidRPr="00EB468D" w14:paraId="2D30BA62" w14:textId="77777777" w:rsidTr="00893C52">
              <w:tc>
                <w:tcPr>
                  <w:tcW w:w="3231" w:type="dxa"/>
                  <w:tcBorders>
                    <w:top w:val="nil"/>
                    <w:left w:val="nil"/>
                    <w:bottom w:val="nil"/>
                    <w:right w:val="nil"/>
                  </w:tcBorders>
                </w:tcPr>
                <w:p w14:paraId="6EA1F266"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55DD2B6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(-.235)</w:t>
                  </w:r>
                </w:p>
              </w:tc>
              <w:tc>
                <w:tcPr>
                  <w:tcW w:w="3231" w:type="dxa"/>
                  <w:tcBorders>
                    <w:top w:val="nil"/>
                    <w:left w:val="nil"/>
                    <w:bottom w:val="nil"/>
                    <w:right w:val="nil"/>
                  </w:tcBorders>
                  <w:vAlign w:val="center"/>
                </w:tcPr>
                <w:p w14:paraId="20D66A6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(-.746)</w:t>
                  </w:r>
                </w:p>
              </w:tc>
              <w:tc>
                <w:tcPr>
                  <w:tcW w:w="3231" w:type="dxa"/>
                  <w:tcBorders>
                    <w:top w:val="nil"/>
                    <w:left w:val="nil"/>
                    <w:bottom w:val="nil"/>
                    <w:right w:val="nil"/>
                  </w:tcBorders>
                  <w:vAlign w:val="center"/>
                </w:tcPr>
                <w:p w14:paraId="5CBBD6E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(-.707)</w:t>
                  </w:r>
                </w:p>
              </w:tc>
            </w:tr>
            <w:tr w:rsidR="00694090" w:rsidRPr="00EB468D" w14:paraId="795ECA01" w14:textId="77777777" w:rsidTr="00893C52">
              <w:tc>
                <w:tcPr>
                  <w:tcW w:w="3231" w:type="dxa"/>
                  <w:tcBorders>
                    <w:top w:val="nil"/>
                    <w:left w:val="nil"/>
                    <w:bottom w:val="nil"/>
                    <w:right w:val="nil"/>
                  </w:tcBorders>
                </w:tcPr>
                <w:p w14:paraId="416B003E"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acq_assets_lastyear_ln</w:t>
                  </w:r>
                </w:p>
              </w:tc>
              <w:tc>
                <w:tcPr>
                  <w:tcW w:w="3231" w:type="dxa"/>
                  <w:tcBorders>
                    <w:top w:val="nil"/>
                    <w:left w:val="nil"/>
                    <w:bottom w:val="nil"/>
                    <w:right w:val="nil"/>
                  </w:tcBorders>
                  <w:vAlign w:val="center"/>
                </w:tcPr>
                <w:p w14:paraId="40F51EA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.017</w:t>
                  </w:r>
                </w:p>
              </w:tc>
              <w:tc>
                <w:tcPr>
                  <w:tcW w:w="3231" w:type="dxa"/>
                  <w:tcBorders>
                    <w:top w:val="nil"/>
                    <w:left w:val="nil"/>
                    <w:bottom w:val="nil"/>
                    <w:right w:val="nil"/>
                  </w:tcBorders>
                  <w:vAlign w:val="center"/>
                </w:tcPr>
                <w:p w14:paraId="16A65F4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.025</w:t>
                  </w:r>
                </w:p>
              </w:tc>
              <w:tc>
                <w:tcPr>
                  <w:tcW w:w="3231" w:type="dxa"/>
                  <w:tcBorders>
                    <w:top w:val="nil"/>
                    <w:left w:val="nil"/>
                    <w:bottom w:val="nil"/>
                    <w:right w:val="nil"/>
                  </w:tcBorders>
                  <w:vAlign w:val="center"/>
                </w:tcPr>
                <w:p w14:paraId="07A2533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.045</w:t>
                  </w:r>
                </w:p>
              </w:tc>
            </w:tr>
            <w:tr w:rsidR="00694090" w:rsidRPr="00EB468D" w14:paraId="4DF2327B" w14:textId="77777777" w:rsidTr="00893C52">
              <w:tc>
                <w:tcPr>
                  <w:tcW w:w="3231" w:type="dxa"/>
                  <w:tcBorders>
                    <w:top w:val="nil"/>
                    <w:left w:val="nil"/>
                    <w:bottom w:val="nil"/>
                    <w:right w:val="nil"/>
                  </w:tcBorders>
                </w:tcPr>
                <w:p w14:paraId="44787994"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5CDD0E4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(.522)</w:t>
                  </w:r>
                </w:p>
              </w:tc>
              <w:tc>
                <w:tcPr>
                  <w:tcW w:w="3231" w:type="dxa"/>
                  <w:tcBorders>
                    <w:top w:val="nil"/>
                    <w:left w:val="nil"/>
                    <w:bottom w:val="nil"/>
                    <w:right w:val="nil"/>
                  </w:tcBorders>
                  <w:vAlign w:val="center"/>
                </w:tcPr>
                <w:p w14:paraId="2779F97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(.802)</w:t>
                  </w:r>
                </w:p>
              </w:tc>
              <w:tc>
                <w:tcPr>
                  <w:tcW w:w="3231" w:type="dxa"/>
                  <w:tcBorders>
                    <w:top w:val="nil"/>
                    <w:left w:val="nil"/>
                    <w:bottom w:val="nil"/>
                    <w:right w:val="nil"/>
                  </w:tcBorders>
                  <w:vAlign w:val="center"/>
                </w:tcPr>
                <w:p w14:paraId="0D63EFC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(1.203)</w:t>
                  </w:r>
                </w:p>
              </w:tc>
            </w:tr>
            <w:tr w:rsidR="00694090" w:rsidRPr="00EB468D" w14:paraId="56AF4232" w14:textId="77777777" w:rsidTr="00893C52">
              <w:tc>
                <w:tcPr>
                  <w:tcW w:w="3231" w:type="dxa"/>
                  <w:tcBorders>
                    <w:top w:val="nil"/>
                    <w:left w:val="nil"/>
                    <w:bottom w:val="nil"/>
                    <w:right w:val="nil"/>
                  </w:tcBorders>
                </w:tcPr>
                <w:p w14:paraId="5F877152"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acq_roa_lastyear</w:t>
                  </w:r>
                </w:p>
              </w:tc>
              <w:tc>
                <w:tcPr>
                  <w:tcW w:w="3231" w:type="dxa"/>
                  <w:tcBorders>
                    <w:top w:val="nil"/>
                    <w:left w:val="nil"/>
                    <w:bottom w:val="nil"/>
                    <w:right w:val="nil"/>
                  </w:tcBorders>
                  <w:vAlign w:val="center"/>
                </w:tcPr>
                <w:p w14:paraId="6A13526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.015</w:t>
                  </w:r>
                </w:p>
              </w:tc>
              <w:tc>
                <w:tcPr>
                  <w:tcW w:w="3231" w:type="dxa"/>
                  <w:tcBorders>
                    <w:top w:val="nil"/>
                    <w:left w:val="nil"/>
                    <w:bottom w:val="nil"/>
                    <w:right w:val="nil"/>
                  </w:tcBorders>
                  <w:vAlign w:val="center"/>
                </w:tcPr>
                <w:p w14:paraId="024DC7D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.030*</w:t>
                  </w:r>
                </w:p>
              </w:tc>
              <w:tc>
                <w:tcPr>
                  <w:tcW w:w="3231" w:type="dxa"/>
                  <w:tcBorders>
                    <w:top w:val="nil"/>
                    <w:left w:val="nil"/>
                    <w:bottom w:val="nil"/>
                    <w:right w:val="nil"/>
                  </w:tcBorders>
                  <w:vAlign w:val="center"/>
                </w:tcPr>
                <w:p w14:paraId="7CF824F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.030*</w:t>
                  </w:r>
                </w:p>
              </w:tc>
            </w:tr>
            <w:tr w:rsidR="00694090" w:rsidRPr="00EB468D" w14:paraId="1AA84EC8" w14:textId="77777777" w:rsidTr="00893C52">
              <w:tc>
                <w:tcPr>
                  <w:tcW w:w="3231" w:type="dxa"/>
                  <w:tcBorders>
                    <w:top w:val="nil"/>
                    <w:left w:val="nil"/>
                    <w:bottom w:val="nil"/>
                    <w:right w:val="nil"/>
                  </w:tcBorders>
                </w:tcPr>
                <w:p w14:paraId="1C8B4B90"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26DE8D2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(.704)</w:t>
                  </w:r>
                </w:p>
              </w:tc>
              <w:tc>
                <w:tcPr>
                  <w:tcW w:w="3231" w:type="dxa"/>
                  <w:tcBorders>
                    <w:top w:val="nil"/>
                    <w:left w:val="nil"/>
                    <w:bottom w:val="nil"/>
                    <w:right w:val="nil"/>
                  </w:tcBorders>
                  <w:vAlign w:val="center"/>
                </w:tcPr>
                <w:p w14:paraId="42DA1A1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(1.821)</w:t>
                  </w:r>
                </w:p>
              </w:tc>
              <w:tc>
                <w:tcPr>
                  <w:tcW w:w="3231" w:type="dxa"/>
                  <w:tcBorders>
                    <w:top w:val="nil"/>
                    <w:left w:val="nil"/>
                    <w:bottom w:val="nil"/>
                    <w:right w:val="nil"/>
                  </w:tcBorders>
                  <w:vAlign w:val="center"/>
                </w:tcPr>
                <w:p w14:paraId="4426AC2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(1.919)</w:t>
                  </w:r>
                </w:p>
              </w:tc>
            </w:tr>
            <w:tr w:rsidR="00694090" w:rsidRPr="00EB468D" w14:paraId="0ACA4648" w14:textId="77777777" w:rsidTr="00893C52">
              <w:tc>
                <w:tcPr>
                  <w:tcW w:w="3231" w:type="dxa"/>
                  <w:tcBorders>
                    <w:top w:val="nil"/>
                    <w:left w:val="nil"/>
                    <w:bottom w:val="nil"/>
                    <w:right w:val="nil"/>
                  </w:tcBorders>
                </w:tcPr>
                <w:p w14:paraId="45E321FA"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acq_industrygrowth</w:t>
                  </w:r>
                </w:p>
              </w:tc>
              <w:tc>
                <w:tcPr>
                  <w:tcW w:w="3231" w:type="dxa"/>
                  <w:tcBorders>
                    <w:top w:val="nil"/>
                    <w:left w:val="nil"/>
                    <w:bottom w:val="nil"/>
                    <w:right w:val="nil"/>
                  </w:tcBorders>
                  <w:vAlign w:val="center"/>
                </w:tcPr>
                <w:p w14:paraId="359B4D1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-1.600**</w:t>
                  </w:r>
                </w:p>
              </w:tc>
              <w:tc>
                <w:tcPr>
                  <w:tcW w:w="3231" w:type="dxa"/>
                  <w:tcBorders>
                    <w:top w:val="nil"/>
                    <w:left w:val="nil"/>
                    <w:bottom w:val="nil"/>
                    <w:right w:val="nil"/>
                  </w:tcBorders>
                  <w:vAlign w:val="center"/>
                </w:tcPr>
                <w:p w14:paraId="21E81F1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-1.691**</w:t>
                  </w:r>
                </w:p>
              </w:tc>
              <w:tc>
                <w:tcPr>
                  <w:tcW w:w="3231" w:type="dxa"/>
                  <w:tcBorders>
                    <w:top w:val="nil"/>
                    <w:left w:val="nil"/>
                    <w:bottom w:val="nil"/>
                    <w:right w:val="nil"/>
                  </w:tcBorders>
                  <w:vAlign w:val="center"/>
                </w:tcPr>
                <w:p w14:paraId="60FDFC7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-1.912***</w:t>
                  </w:r>
                </w:p>
              </w:tc>
            </w:tr>
            <w:tr w:rsidR="00694090" w:rsidRPr="00EB468D" w14:paraId="6219E532" w14:textId="77777777" w:rsidTr="00893C52">
              <w:tc>
                <w:tcPr>
                  <w:tcW w:w="3231" w:type="dxa"/>
                  <w:tcBorders>
                    <w:top w:val="nil"/>
                    <w:left w:val="nil"/>
                    <w:bottom w:val="nil"/>
                    <w:right w:val="nil"/>
                  </w:tcBorders>
                </w:tcPr>
                <w:p w14:paraId="0CF6F9B9"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79D6DF3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(-2.376)</w:t>
                  </w:r>
                </w:p>
              </w:tc>
              <w:tc>
                <w:tcPr>
                  <w:tcW w:w="3231" w:type="dxa"/>
                  <w:tcBorders>
                    <w:top w:val="nil"/>
                    <w:left w:val="nil"/>
                    <w:bottom w:val="nil"/>
                    <w:right w:val="nil"/>
                  </w:tcBorders>
                  <w:vAlign w:val="center"/>
                </w:tcPr>
                <w:p w14:paraId="433DEC8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(-2.672)</w:t>
                  </w:r>
                </w:p>
              </w:tc>
              <w:tc>
                <w:tcPr>
                  <w:tcW w:w="3231" w:type="dxa"/>
                  <w:tcBorders>
                    <w:top w:val="nil"/>
                    <w:left w:val="nil"/>
                    <w:bottom w:val="nil"/>
                    <w:right w:val="nil"/>
                  </w:tcBorders>
                  <w:vAlign w:val="center"/>
                </w:tcPr>
                <w:p w14:paraId="39A74BF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(-2.770)</w:t>
                  </w:r>
                </w:p>
              </w:tc>
            </w:tr>
            <w:tr w:rsidR="00694090" w:rsidRPr="00EB468D" w14:paraId="5A8F5C2E" w14:textId="77777777" w:rsidTr="00893C52">
              <w:tc>
                <w:tcPr>
                  <w:tcW w:w="3231" w:type="dxa"/>
                  <w:tcBorders>
                    <w:top w:val="nil"/>
                    <w:left w:val="nil"/>
                    <w:bottom w:val="nil"/>
                    <w:right w:val="nil"/>
                  </w:tcBorders>
                </w:tcPr>
                <w:p w14:paraId="167A9E49"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acq_dealexperience</w:t>
                  </w:r>
                </w:p>
              </w:tc>
              <w:tc>
                <w:tcPr>
                  <w:tcW w:w="3231" w:type="dxa"/>
                  <w:tcBorders>
                    <w:top w:val="nil"/>
                    <w:left w:val="nil"/>
                    <w:bottom w:val="nil"/>
                    <w:right w:val="nil"/>
                  </w:tcBorders>
                  <w:vAlign w:val="center"/>
                </w:tcPr>
                <w:p w14:paraId="7917184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-.038</w:t>
                  </w:r>
                </w:p>
              </w:tc>
              <w:tc>
                <w:tcPr>
                  <w:tcW w:w="3231" w:type="dxa"/>
                  <w:tcBorders>
                    <w:top w:val="nil"/>
                    <w:left w:val="nil"/>
                    <w:bottom w:val="nil"/>
                    <w:right w:val="nil"/>
                  </w:tcBorders>
                  <w:vAlign w:val="center"/>
                </w:tcPr>
                <w:p w14:paraId="060C549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-.039</w:t>
                  </w:r>
                </w:p>
              </w:tc>
              <w:tc>
                <w:tcPr>
                  <w:tcW w:w="3231" w:type="dxa"/>
                  <w:tcBorders>
                    <w:top w:val="nil"/>
                    <w:left w:val="nil"/>
                    <w:bottom w:val="nil"/>
                    <w:right w:val="nil"/>
                  </w:tcBorders>
                  <w:vAlign w:val="center"/>
                </w:tcPr>
                <w:p w14:paraId="2216AA4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-.037</w:t>
                  </w:r>
                </w:p>
              </w:tc>
            </w:tr>
            <w:tr w:rsidR="00694090" w:rsidRPr="00EB468D" w14:paraId="09054949" w14:textId="77777777" w:rsidTr="00893C52">
              <w:tc>
                <w:tcPr>
                  <w:tcW w:w="3231" w:type="dxa"/>
                  <w:tcBorders>
                    <w:top w:val="nil"/>
                    <w:left w:val="nil"/>
                    <w:bottom w:val="nil"/>
                    <w:right w:val="nil"/>
                  </w:tcBorders>
                </w:tcPr>
                <w:p w14:paraId="48D02A40"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74F1B56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(-.901)</w:t>
                  </w:r>
                </w:p>
              </w:tc>
              <w:tc>
                <w:tcPr>
                  <w:tcW w:w="3231" w:type="dxa"/>
                  <w:tcBorders>
                    <w:top w:val="nil"/>
                    <w:left w:val="nil"/>
                    <w:bottom w:val="nil"/>
                    <w:right w:val="nil"/>
                  </w:tcBorders>
                  <w:vAlign w:val="center"/>
                </w:tcPr>
                <w:p w14:paraId="77C9670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(-1.067)</w:t>
                  </w:r>
                </w:p>
              </w:tc>
              <w:tc>
                <w:tcPr>
                  <w:tcW w:w="3231" w:type="dxa"/>
                  <w:tcBorders>
                    <w:top w:val="nil"/>
                    <w:left w:val="nil"/>
                    <w:bottom w:val="nil"/>
                    <w:right w:val="nil"/>
                  </w:tcBorders>
                  <w:vAlign w:val="center"/>
                </w:tcPr>
                <w:p w14:paraId="0481F79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(-.987)</w:t>
                  </w:r>
                </w:p>
              </w:tc>
            </w:tr>
            <w:tr w:rsidR="00694090" w:rsidRPr="00EB468D" w14:paraId="2BE1A4AF" w14:textId="77777777" w:rsidTr="00893C52">
              <w:tc>
                <w:tcPr>
                  <w:tcW w:w="3231" w:type="dxa"/>
                  <w:tcBorders>
                    <w:top w:val="nil"/>
                    <w:left w:val="nil"/>
                    <w:bottom w:val="nil"/>
                    <w:right w:val="nil"/>
                  </w:tcBorders>
                  <w:vAlign w:val="center"/>
                </w:tcPr>
                <w:p w14:paraId="2AD923AD"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acq_rd_intensity</w:t>
                  </w:r>
                </w:p>
              </w:tc>
              <w:tc>
                <w:tcPr>
                  <w:tcW w:w="3231" w:type="dxa"/>
                  <w:tcBorders>
                    <w:top w:val="nil"/>
                    <w:left w:val="nil"/>
                    <w:bottom w:val="nil"/>
                    <w:right w:val="nil"/>
                  </w:tcBorders>
                  <w:vAlign w:val="center"/>
                </w:tcPr>
                <w:p w14:paraId="673A797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-.542***</w:t>
                  </w:r>
                </w:p>
              </w:tc>
              <w:tc>
                <w:tcPr>
                  <w:tcW w:w="3231" w:type="dxa"/>
                  <w:tcBorders>
                    <w:top w:val="nil"/>
                    <w:left w:val="nil"/>
                    <w:bottom w:val="nil"/>
                    <w:right w:val="nil"/>
                  </w:tcBorders>
                  <w:vAlign w:val="center"/>
                </w:tcPr>
                <w:p w14:paraId="4953A1D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-.433***</w:t>
                  </w:r>
                </w:p>
              </w:tc>
              <w:tc>
                <w:tcPr>
                  <w:tcW w:w="3231" w:type="dxa"/>
                  <w:tcBorders>
                    <w:top w:val="nil"/>
                    <w:left w:val="nil"/>
                    <w:bottom w:val="nil"/>
                    <w:right w:val="nil"/>
                  </w:tcBorders>
                  <w:vAlign w:val="center"/>
                </w:tcPr>
                <w:p w14:paraId="2875023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-.365</w:t>
                  </w:r>
                </w:p>
              </w:tc>
            </w:tr>
            <w:tr w:rsidR="00694090" w:rsidRPr="00EB468D" w14:paraId="61BE0B6F" w14:textId="77777777" w:rsidTr="00893C52">
              <w:tc>
                <w:tcPr>
                  <w:tcW w:w="3231" w:type="dxa"/>
                  <w:tcBorders>
                    <w:top w:val="nil"/>
                    <w:left w:val="nil"/>
                    <w:bottom w:val="nil"/>
                    <w:right w:val="nil"/>
                  </w:tcBorders>
                  <w:vAlign w:val="center"/>
                </w:tcPr>
                <w:p w14:paraId="0A779EBA"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p>
              </w:tc>
              <w:tc>
                <w:tcPr>
                  <w:tcW w:w="3231" w:type="dxa"/>
                  <w:tcBorders>
                    <w:top w:val="nil"/>
                    <w:left w:val="nil"/>
                    <w:bottom w:val="nil"/>
                    <w:right w:val="nil"/>
                  </w:tcBorders>
                  <w:vAlign w:val="center"/>
                </w:tcPr>
                <w:p w14:paraId="2A10EE2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(-7.419)</w:t>
                  </w:r>
                </w:p>
              </w:tc>
              <w:tc>
                <w:tcPr>
                  <w:tcW w:w="3231" w:type="dxa"/>
                  <w:tcBorders>
                    <w:top w:val="nil"/>
                    <w:left w:val="nil"/>
                    <w:bottom w:val="nil"/>
                    <w:right w:val="nil"/>
                  </w:tcBorders>
                  <w:vAlign w:val="center"/>
                </w:tcPr>
                <w:p w14:paraId="668E45C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(-4.041)</w:t>
                  </w:r>
                </w:p>
              </w:tc>
              <w:tc>
                <w:tcPr>
                  <w:tcW w:w="3231" w:type="dxa"/>
                  <w:tcBorders>
                    <w:top w:val="nil"/>
                    <w:left w:val="nil"/>
                    <w:bottom w:val="nil"/>
                    <w:right w:val="nil"/>
                  </w:tcBorders>
                  <w:vAlign w:val="center"/>
                </w:tcPr>
                <w:p w14:paraId="7B17F92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(-1.155)</w:t>
                  </w:r>
                </w:p>
              </w:tc>
            </w:tr>
            <w:tr w:rsidR="00694090" w:rsidRPr="00EB468D" w14:paraId="780833A7" w14:textId="77777777" w:rsidTr="00893C52">
              <w:tc>
                <w:tcPr>
                  <w:tcW w:w="3231" w:type="dxa"/>
                  <w:tcBorders>
                    <w:top w:val="nil"/>
                    <w:left w:val="nil"/>
                    <w:bottom w:val="nil"/>
                    <w:right w:val="nil"/>
                  </w:tcBorders>
                </w:tcPr>
                <w:p w14:paraId="52C97910"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tar_age</w:t>
                  </w:r>
                </w:p>
              </w:tc>
              <w:tc>
                <w:tcPr>
                  <w:tcW w:w="3231" w:type="dxa"/>
                  <w:tcBorders>
                    <w:top w:val="nil"/>
                    <w:left w:val="nil"/>
                    <w:bottom w:val="nil"/>
                    <w:right w:val="nil"/>
                  </w:tcBorders>
                  <w:vAlign w:val="center"/>
                </w:tcPr>
                <w:p w14:paraId="16364F8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0.00000</w:t>
                  </w:r>
                </w:p>
              </w:tc>
              <w:tc>
                <w:tcPr>
                  <w:tcW w:w="3231" w:type="dxa"/>
                  <w:tcBorders>
                    <w:top w:val="nil"/>
                    <w:left w:val="nil"/>
                    <w:bottom w:val="nil"/>
                    <w:right w:val="nil"/>
                  </w:tcBorders>
                  <w:vAlign w:val="center"/>
                </w:tcPr>
                <w:p w14:paraId="3C96ADE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-.00005</w:t>
                  </w:r>
                </w:p>
              </w:tc>
              <w:tc>
                <w:tcPr>
                  <w:tcW w:w="3231" w:type="dxa"/>
                  <w:tcBorders>
                    <w:top w:val="nil"/>
                    <w:left w:val="nil"/>
                    <w:bottom w:val="nil"/>
                    <w:right w:val="nil"/>
                  </w:tcBorders>
                  <w:vAlign w:val="center"/>
                </w:tcPr>
                <w:p w14:paraId="7B9AADB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.0002</w:t>
                  </w:r>
                </w:p>
              </w:tc>
            </w:tr>
            <w:tr w:rsidR="00694090" w:rsidRPr="00EB468D" w14:paraId="4C1A7C34" w14:textId="77777777" w:rsidTr="00893C52">
              <w:tc>
                <w:tcPr>
                  <w:tcW w:w="3231" w:type="dxa"/>
                  <w:tcBorders>
                    <w:top w:val="nil"/>
                    <w:left w:val="nil"/>
                    <w:bottom w:val="nil"/>
                    <w:right w:val="nil"/>
                  </w:tcBorders>
                </w:tcPr>
                <w:p w14:paraId="6DB28194"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74220AF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(.005)</w:t>
                  </w:r>
                </w:p>
              </w:tc>
              <w:tc>
                <w:tcPr>
                  <w:tcW w:w="3231" w:type="dxa"/>
                  <w:tcBorders>
                    <w:top w:val="nil"/>
                    <w:left w:val="nil"/>
                    <w:bottom w:val="nil"/>
                    <w:right w:val="nil"/>
                  </w:tcBorders>
                  <w:vAlign w:val="center"/>
                </w:tcPr>
                <w:p w14:paraId="590B9DD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(-.055)</w:t>
                  </w:r>
                </w:p>
              </w:tc>
              <w:tc>
                <w:tcPr>
                  <w:tcW w:w="3231" w:type="dxa"/>
                  <w:tcBorders>
                    <w:top w:val="nil"/>
                    <w:left w:val="nil"/>
                    <w:bottom w:val="nil"/>
                    <w:right w:val="nil"/>
                  </w:tcBorders>
                  <w:vAlign w:val="center"/>
                </w:tcPr>
                <w:p w14:paraId="2DB3218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(.343)</w:t>
                  </w:r>
                </w:p>
              </w:tc>
            </w:tr>
            <w:tr w:rsidR="00694090" w:rsidRPr="00EB468D" w14:paraId="4F115778" w14:textId="77777777" w:rsidTr="00893C52">
              <w:tc>
                <w:tcPr>
                  <w:tcW w:w="3231" w:type="dxa"/>
                  <w:tcBorders>
                    <w:top w:val="nil"/>
                    <w:left w:val="nil"/>
                    <w:bottom w:val="nil"/>
                    <w:right w:val="nil"/>
                  </w:tcBorders>
                </w:tcPr>
                <w:p w14:paraId="2F1BC543"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tar_assets_lastyear_ln</w:t>
                  </w:r>
                </w:p>
              </w:tc>
              <w:tc>
                <w:tcPr>
                  <w:tcW w:w="3231" w:type="dxa"/>
                  <w:tcBorders>
                    <w:top w:val="nil"/>
                    <w:left w:val="nil"/>
                    <w:bottom w:val="nil"/>
                    <w:right w:val="nil"/>
                  </w:tcBorders>
                  <w:vAlign w:val="center"/>
                </w:tcPr>
                <w:p w14:paraId="576B642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.028</w:t>
                  </w:r>
                </w:p>
              </w:tc>
              <w:tc>
                <w:tcPr>
                  <w:tcW w:w="3231" w:type="dxa"/>
                  <w:tcBorders>
                    <w:top w:val="nil"/>
                    <w:left w:val="nil"/>
                    <w:bottom w:val="nil"/>
                    <w:right w:val="nil"/>
                  </w:tcBorders>
                  <w:vAlign w:val="center"/>
                </w:tcPr>
                <w:p w14:paraId="4DEEB4B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.037</w:t>
                  </w:r>
                </w:p>
              </w:tc>
              <w:tc>
                <w:tcPr>
                  <w:tcW w:w="3231" w:type="dxa"/>
                  <w:tcBorders>
                    <w:top w:val="nil"/>
                    <w:left w:val="nil"/>
                    <w:bottom w:val="nil"/>
                    <w:right w:val="nil"/>
                  </w:tcBorders>
                  <w:vAlign w:val="center"/>
                </w:tcPr>
                <w:p w14:paraId="59989EC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-.015</w:t>
                  </w:r>
                </w:p>
              </w:tc>
            </w:tr>
            <w:tr w:rsidR="00694090" w:rsidRPr="00EB468D" w14:paraId="481C823F" w14:textId="77777777" w:rsidTr="00893C52">
              <w:tc>
                <w:tcPr>
                  <w:tcW w:w="3231" w:type="dxa"/>
                  <w:tcBorders>
                    <w:top w:val="nil"/>
                    <w:left w:val="nil"/>
                    <w:bottom w:val="nil"/>
                    <w:right w:val="nil"/>
                  </w:tcBorders>
                </w:tcPr>
                <w:p w14:paraId="6755827D"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567BE4D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(.700)</w:t>
                  </w:r>
                </w:p>
              </w:tc>
              <w:tc>
                <w:tcPr>
                  <w:tcW w:w="3231" w:type="dxa"/>
                  <w:tcBorders>
                    <w:top w:val="nil"/>
                    <w:left w:val="nil"/>
                    <w:bottom w:val="nil"/>
                    <w:right w:val="nil"/>
                  </w:tcBorders>
                  <w:vAlign w:val="center"/>
                </w:tcPr>
                <w:p w14:paraId="6A0676A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(.926)</w:t>
                  </w:r>
                </w:p>
              </w:tc>
              <w:tc>
                <w:tcPr>
                  <w:tcW w:w="3231" w:type="dxa"/>
                  <w:tcBorders>
                    <w:top w:val="nil"/>
                    <w:left w:val="nil"/>
                    <w:bottom w:val="nil"/>
                    <w:right w:val="nil"/>
                  </w:tcBorders>
                  <w:vAlign w:val="center"/>
                </w:tcPr>
                <w:p w14:paraId="1503A6A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(-.476)</w:t>
                  </w:r>
                </w:p>
              </w:tc>
            </w:tr>
            <w:tr w:rsidR="00694090" w:rsidRPr="00EB468D" w14:paraId="7E88A172" w14:textId="77777777" w:rsidTr="00893C52">
              <w:tc>
                <w:tcPr>
                  <w:tcW w:w="3231" w:type="dxa"/>
                  <w:tcBorders>
                    <w:top w:val="nil"/>
                    <w:left w:val="nil"/>
                    <w:bottom w:val="nil"/>
                    <w:right w:val="nil"/>
                  </w:tcBorders>
                </w:tcPr>
                <w:p w14:paraId="08BD8C39"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tar_roa_lastyear</w:t>
                  </w:r>
                </w:p>
              </w:tc>
              <w:tc>
                <w:tcPr>
                  <w:tcW w:w="3231" w:type="dxa"/>
                  <w:tcBorders>
                    <w:top w:val="nil"/>
                    <w:left w:val="nil"/>
                    <w:bottom w:val="nil"/>
                    <w:right w:val="nil"/>
                  </w:tcBorders>
                  <w:vAlign w:val="center"/>
                </w:tcPr>
                <w:p w14:paraId="6AB9184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-.500*</w:t>
                  </w:r>
                </w:p>
              </w:tc>
              <w:tc>
                <w:tcPr>
                  <w:tcW w:w="3231" w:type="dxa"/>
                  <w:tcBorders>
                    <w:top w:val="nil"/>
                    <w:left w:val="nil"/>
                    <w:bottom w:val="nil"/>
                    <w:right w:val="nil"/>
                  </w:tcBorders>
                  <w:vAlign w:val="center"/>
                </w:tcPr>
                <w:p w14:paraId="59E671F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-.408</w:t>
                  </w:r>
                </w:p>
              </w:tc>
              <w:tc>
                <w:tcPr>
                  <w:tcW w:w="3231" w:type="dxa"/>
                  <w:tcBorders>
                    <w:top w:val="nil"/>
                    <w:left w:val="nil"/>
                    <w:bottom w:val="nil"/>
                    <w:right w:val="nil"/>
                  </w:tcBorders>
                  <w:vAlign w:val="center"/>
                </w:tcPr>
                <w:p w14:paraId="78AF778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-.245</w:t>
                  </w:r>
                </w:p>
              </w:tc>
            </w:tr>
            <w:tr w:rsidR="00694090" w:rsidRPr="00EB468D" w14:paraId="2EBD9AAF" w14:textId="77777777" w:rsidTr="00893C52">
              <w:tc>
                <w:tcPr>
                  <w:tcW w:w="3231" w:type="dxa"/>
                  <w:tcBorders>
                    <w:top w:val="nil"/>
                    <w:left w:val="nil"/>
                    <w:bottom w:val="nil"/>
                    <w:right w:val="nil"/>
                  </w:tcBorders>
                </w:tcPr>
                <w:p w14:paraId="5AA68FEB"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42EC0DC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(-1.947)</w:t>
                  </w:r>
                </w:p>
              </w:tc>
              <w:tc>
                <w:tcPr>
                  <w:tcW w:w="3231" w:type="dxa"/>
                  <w:tcBorders>
                    <w:top w:val="nil"/>
                    <w:left w:val="nil"/>
                    <w:bottom w:val="nil"/>
                    <w:right w:val="nil"/>
                  </w:tcBorders>
                  <w:vAlign w:val="center"/>
                </w:tcPr>
                <w:p w14:paraId="74DA4CB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(-1.636)</w:t>
                  </w:r>
                </w:p>
              </w:tc>
              <w:tc>
                <w:tcPr>
                  <w:tcW w:w="3231" w:type="dxa"/>
                  <w:tcBorders>
                    <w:top w:val="nil"/>
                    <w:left w:val="nil"/>
                    <w:bottom w:val="nil"/>
                    <w:right w:val="nil"/>
                  </w:tcBorders>
                  <w:vAlign w:val="center"/>
                </w:tcPr>
                <w:p w14:paraId="75BEAB4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(-1.016)</w:t>
                  </w:r>
                </w:p>
              </w:tc>
            </w:tr>
            <w:tr w:rsidR="00694090" w:rsidRPr="00EB468D" w14:paraId="2646FAC9" w14:textId="77777777" w:rsidTr="00893C52">
              <w:tc>
                <w:tcPr>
                  <w:tcW w:w="3231" w:type="dxa"/>
                  <w:tcBorders>
                    <w:top w:val="nil"/>
                    <w:left w:val="nil"/>
                    <w:bottom w:val="nil"/>
                    <w:right w:val="nil"/>
                  </w:tcBorders>
                </w:tcPr>
                <w:p w14:paraId="3AE407F6"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tar_mbratio</w:t>
                  </w:r>
                </w:p>
              </w:tc>
              <w:tc>
                <w:tcPr>
                  <w:tcW w:w="3231" w:type="dxa"/>
                  <w:tcBorders>
                    <w:top w:val="nil"/>
                    <w:left w:val="nil"/>
                    <w:bottom w:val="nil"/>
                    <w:right w:val="nil"/>
                  </w:tcBorders>
                  <w:vAlign w:val="center"/>
                </w:tcPr>
                <w:p w14:paraId="591240C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-.007***</w:t>
                  </w:r>
                </w:p>
              </w:tc>
              <w:tc>
                <w:tcPr>
                  <w:tcW w:w="3231" w:type="dxa"/>
                  <w:tcBorders>
                    <w:top w:val="nil"/>
                    <w:left w:val="nil"/>
                    <w:bottom w:val="nil"/>
                    <w:right w:val="nil"/>
                  </w:tcBorders>
                  <w:vAlign w:val="center"/>
                </w:tcPr>
                <w:p w14:paraId="2C4C1F6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-.006***</w:t>
                  </w:r>
                </w:p>
              </w:tc>
              <w:tc>
                <w:tcPr>
                  <w:tcW w:w="3231" w:type="dxa"/>
                  <w:tcBorders>
                    <w:top w:val="nil"/>
                    <w:left w:val="nil"/>
                    <w:bottom w:val="nil"/>
                    <w:right w:val="nil"/>
                  </w:tcBorders>
                  <w:vAlign w:val="center"/>
                </w:tcPr>
                <w:p w14:paraId="7F5CCD9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-.006***</w:t>
                  </w:r>
                </w:p>
              </w:tc>
            </w:tr>
            <w:tr w:rsidR="00694090" w:rsidRPr="00EB468D" w14:paraId="018BE8F9" w14:textId="77777777" w:rsidTr="00893C52">
              <w:tc>
                <w:tcPr>
                  <w:tcW w:w="3231" w:type="dxa"/>
                  <w:tcBorders>
                    <w:top w:val="nil"/>
                    <w:left w:val="nil"/>
                    <w:bottom w:val="nil"/>
                    <w:right w:val="nil"/>
                  </w:tcBorders>
                </w:tcPr>
                <w:p w14:paraId="0C0FB309"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515414B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(-5.537)</w:t>
                  </w:r>
                </w:p>
              </w:tc>
              <w:tc>
                <w:tcPr>
                  <w:tcW w:w="3231" w:type="dxa"/>
                  <w:tcBorders>
                    <w:top w:val="nil"/>
                    <w:left w:val="nil"/>
                    <w:bottom w:val="nil"/>
                    <w:right w:val="nil"/>
                  </w:tcBorders>
                  <w:vAlign w:val="center"/>
                </w:tcPr>
                <w:p w14:paraId="21ABB66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(-4.236)</w:t>
                  </w:r>
                </w:p>
              </w:tc>
              <w:tc>
                <w:tcPr>
                  <w:tcW w:w="3231" w:type="dxa"/>
                  <w:tcBorders>
                    <w:top w:val="nil"/>
                    <w:left w:val="nil"/>
                    <w:bottom w:val="nil"/>
                    <w:right w:val="nil"/>
                  </w:tcBorders>
                  <w:vAlign w:val="center"/>
                </w:tcPr>
                <w:p w14:paraId="5380716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(-3.431)</w:t>
                  </w:r>
                </w:p>
              </w:tc>
            </w:tr>
            <w:tr w:rsidR="00694090" w:rsidRPr="00EB468D" w14:paraId="0457FFD8" w14:textId="77777777" w:rsidTr="00893C52">
              <w:tc>
                <w:tcPr>
                  <w:tcW w:w="3231" w:type="dxa"/>
                  <w:tcBorders>
                    <w:top w:val="nil"/>
                    <w:left w:val="nil"/>
                    <w:bottom w:val="nil"/>
                    <w:right w:val="nil"/>
                  </w:tcBorders>
                </w:tcPr>
                <w:p w14:paraId="6F75366D"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lastRenderedPageBreak/>
                    <w:t xml:space="preserve"> Observations</w:t>
                  </w:r>
                </w:p>
              </w:tc>
              <w:tc>
                <w:tcPr>
                  <w:tcW w:w="3231" w:type="dxa"/>
                  <w:tcBorders>
                    <w:top w:val="nil"/>
                    <w:left w:val="nil"/>
                    <w:bottom w:val="nil"/>
                    <w:right w:val="nil"/>
                  </w:tcBorders>
                </w:tcPr>
                <w:p w14:paraId="7EB5E69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226</w:t>
                  </w:r>
                </w:p>
              </w:tc>
              <w:tc>
                <w:tcPr>
                  <w:tcW w:w="3231" w:type="dxa"/>
                  <w:tcBorders>
                    <w:top w:val="nil"/>
                    <w:left w:val="nil"/>
                    <w:bottom w:val="nil"/>
                    <w:right w:val="nil"/>
                  </w:tcBorders>
                </w:tcPr>
                <w:p w14:paraId="235CF38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226</w:t>
                  </w:r>
                </w:p>
              </w:tc>
              <w:tc>
                <w:tcPr>
                  <w:tcW w:w="3231" w:type="dxa"/>
                  <w:tcBorders>
                    <w:top w:val="nil"/>
                    <w:left w:val="nil"/>
                    <w:bottom w:val="nil"/>
                    <w:right w:val="nil"/>
                  </w:tcBorders>
                </w:tcPr>
                <w:p w14:paraId="3FF7111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226</w:t>
                  </w:r>
                </w:p>
              </w:tc>
            </w:tr>
            <w:tr w:rsidR="00694090" w:rsidRPr="00EB468D" w14:paraId="6727872A" w14:textId="77777777" w:rsidTr="00893C52">
              <w:tc>
                <w:tcPr>
                  <w:tcW w:w="3231" w:type="dxa"/>
                  <w:tcBorders>
                    <w:top w:val="nil"/>
                    <w:left w:val="nil"/>
                    <w:bottom w:val="nil"/>
                    <w:right w:val="nil"/>
                  </w:tcBorders>
                </w:tcPr>
                <w:p w14:paraId="3EFEBC70"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Adj R</w:t>
                  </w:r>
                  <w:r w:rsidRPr="00EB468D">
                    <w:rPr>
                      <w:color w:val="000000" w:themeColor="text1"/>
                      <w:sz w:val="22"/>
                      <w:vertAlign w:val="superscript"/>
                      <w:lang w:val="en-US"/>
                    </w:rPr>
                    <w:t>2</w:t>
                  </w:r>
                </w:p>
              </w:tc>
              <w:tc>
                <w:tcPr>
                  <w:tcW w:w="3231" w:type="dxa"/>
                  <w:tcBorders>
                    <w:top w:val="nil"/>
                    <w:left w:val="nil"/>
                    <w:bottom w:val="nil"/>
                    <w:right w:val="nil"/>
                  </w:tcBorders>
                  <w:vAlign w:val="center"/>
                </w:tcPr>
                <w:p w14:paraId="4D8FECA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.069</w:t>
                  </w:r>
                </w:p>
              </w:tc>
              <w:tc>
                <w:tcPr>
                  <w:tcW w:w="3231" w:type="dxa"/>
                  <w:tcBorders>
                    <w:top w:val="nil"/>
                    <w:left w:val="nil"/>
                    <w:bottom w:val="nil"/>
                    <w:right w:val="nil"/>
                  </w:tcBorders>
                  <w:vAlign w:val="center"/>
                </w:tcPr>
                <w:p w14:paraId="2576A5F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.080</w:t>
                  </w:r>
                </w:p>
              </w:tc>
              <w:tc>
                <w:tcPr>
                  <w:tcW w:w="3231" w:type="dxa"/>
                  <w:tcBorders>
                    <w:top w:val="nil"/>
                    <w:left w:val="nil"/>
                    <w:bottom w:val="nil"/>
                    <w:right w:val="nil"/>
                  </w:tcBorders>
                  <w:vAlign w:val="center"/>
                </w:tcPr>
                <w:p w14:paraId="53C9289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.066</w:t>
                  </w:r>
                </w:p>
              </w:tc>
            </w:tr>
            <w:tr w:rsidR="00694090" w:rsidRPr="00EB468D" w14:paraId="79F4A845" w14:textId="77777777" w:rsidTr="00893C52">
              <w:tc>
                <w:tcPr>
                  <w:tcW w:w="3231" w:type="dxa"/>
                  <w:tcBorders>
                    <w:top w:val="nil"/>
                    <w:left w:val="nil"/>
                    <w:bottom w:val="nil"/>
                    <w:right w:val="nil"/>
                  </w:tcBorders>
                </w:tcPr>
                <w:p w14:paraId="727953AF"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Industry FE</w:t>
                  </w:r>
                </w:p>
              </w:tc>
              <w:tc>
                <w:tcPr>
                  <w:tcW w:w="3231" w:type="dxa"/>
                  <w:tcBorders>
                    <w:top w:val="nil"/>
                    <w:left w:val="nil"/>
                    <w:bottom w:val="nil"/>
                    <w:right w:val="nil"/>
                  </w:tcBorders>
                </w:tcPr>
                <w:p w14:paraId="338C635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c>
                <w:tcPr>
                  <w:tcW w:w="3231" w:type="dxa"/>
                  <w:tcBorders>
                    <w:top w:val="nil"/>
                    <w:left w:val="nil"/>
                    <w:bottom w:val="nil"/>
                    <w:right w:val="nil"/>
                  </w:tcBorders>
                </w:tcPr>
                <w:p w14:paraId="2BCB3FA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c>
                <w:tcPr>
                  <w:tcW w:w="3231" w:type="dxa"/>
                  <w:tcBorders>
                    <w:top w:val="nil"/>
                    <w:left w:val="nil"/>
                    <w:bottom w:val="nil"/>
                    <w:right w:val="nil"/>
                  </w:tcBorders>
                </w:tcPr>
                <w:p w14:paraId="2F55644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r>
            <w:tr w:rsidR="00694090" w:rsidRPr="00EB468D" w14:paraId="17295C09" w14:textId="77777777" w:rsidTr="00893C52">
              <w:tc>
                <w:tcPr>
                  <w:tcW w:w="3231" w:type="dxa"/>
                  <w:tcBorders>
                    <w:top w:val="nil"/>
                    <w:left w:val="nil"/>
                    <w:bottom w:val="nil"/>
                    <w:right w:val="nil"/>
                  </w:tcBorders>
                </w:tcPr>
                <w:p w14:paraId="39E84CE9"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Year FE</w:t>
                  </w:r>
                </w:p>
              </w:tc>
              <w:tc>
                <w:tcPr>
                  <w:tcW w:w="3231" w:type="dxa"/>
                  <w:tcBorders>
                    <w:top w:val="nil"/>
                    <w:left w:val="nil"/>
                    <w:bottom w:val="nil"/>
                    <w:right w:val="nil"/>
                  </w:tcBorders>
                </w:tcPr>
                <w:p w14:paraId="1FDB6B9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c>
                <w:tcPr>
                  <w:tcW w:w="3231" w:type="dxa"/>
                  <w:tcBorders>
                    <w:top w:val="nil"/>
                    <w:left w:val="nil"/>
                    <w:bottom w:val="nil"/>
                    <w:right w:val="nil"/>
                  </w:tcBorders>
                </w:tcPr>
                <w:p w14:paraId="3FBAB39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 xml:space="preserve"> Yes</w:t>
                  </w:r>
                </w:p>
              </w:tc>
              <w:tc>
                <w:tcPr>
                  <w:tcW w:w="3231" w:type="dxa"/>
                  <w:tcBorders>
                    <w:top w:val="nil"/>
                    <w:left w:val="nil"/>
                    <w:bottom w:val="nil"/>
                    <w:right w:val="nil"/>
                  </w:tcBorders>
                </w:tcPr>
                <w:p w14:paraId="7888120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 xml:space="preserve"> Yes</w:t>
                  </w:r>
                </w:p>
              </w:tc>
            </w:tr>
          </w:tbl>
          <w:p w14:paraId="28BC7A8C" w14:textId="77777777" w:rsidR="00694090" w:rsidRPr="00CC0559" w:rsidRDefault="00694090" w:rsidP="00AB066F">
            <w:pPr>
              <w:jc w:val="left"/>
              <w:rPr>
                <w:color w:val="000000" w:themeColor="text1"/>
                <w:lang w:val="en-US"/>
              </w:rPr>
            </w:pPr>
          </w:p>
        </w:tc>
      </w:tr>
      <w:tr w:rsidR="00694090" w:rsidRPr="00BE5632" w14:paraId="28C55433" w14:textId="77777777" w:rsidTr="00893C52">
        <w:trPr>
          <w:trHeight w:val="227"/>
        </w:trPr>
        <w:tc>
          <w:tcPr>
            <w:tcW w:w="5000" w:type="pct"/>
            <w:tcBorders>
              <w:top w:val="single" w:sz="4" w:space="0" w:color="auto"/>
              <w:left w:val="nil"/>
              <w:right w:val="nil"/>
            </w:tcBorders>
            <w:shd w:val="clear" w:color="auto" w:fill="auto"/>
            <w:noWrap/>
          </w:tcPr>
          <w:p w14:paraId="1F0F4B38" w14:textId="77777777" w:rsidR="00694090" w:rsidRPr="00EB468D" w:rsidRDefault="00694090" w:rsidP="003108A1">
            <w:pPr>
              <w:spacing w:before="120" w:line="240" w:lineRule="auto"/>
              <w:rPr>
                <w:color w:val="000000" w:themeColor="text1"/>
                <w:sz w:val="22"/>
                <w:lang w:val="en-US"/>
              </w:rPr>
            </w:pPr>
            <w:r w:rsidRPr="00EB468D">
              <w:rPr>
                <w:i/>
                <w:iCs/>
                <w:color w:val="000000" w:themeColor="text1"/>
                <w:sz w:val="22"/>
                <w:lang w:val="en-US"/>
              </w:rPr>
              <w:t>Note</w:t>
            </w:r>
            <w:r w:rsidRPr="00EB468D">
              <w:rPr>
                <w:color w:val="000000" w:themeColor="text1"/>
                <w:sz w:val="22"/>
                <w:lang w:val="en-US"/>
              </w:rPr>
              <w:t xml:space="preserve">. This table reports fixed effects linear OLS regression results predicting the effect of organizational cultural distance between acquirers and targets on acquisition premiums. The dependent variable for all Models is the acquisition premium paid in relation to the target’s market value, which is measured 1 day and 1 week prior deal announcement. The main independent variable in Models 1 and 2 is </w:t>
            </w:r>
            <w:r w:rsidRPr="00EB468D">
              <w:rPr>
                <w:i/>
                <w:iCs/>
                <w:color w:val="000000" w:themeColor="text1"/>
                <w:sz w:val="22"/>
                <w:lang w:val="en-US"/>
              </w:rPr>
              <w:t>deal_culturaldistance_js</w:t>
            </w:r>
            <w:r w:rsidRPr="00EB468D">
              <w:rPr>
                <w:color w:val="000000" w:themeColor="text1"/>
                <w:sz w:val="22"/>
                <w:lang w:val="en-US"/>
              </w:rPr>
              <w:t>, measured with the Jensen-Shannon (JS) divergence measure developed by Corritore et al. (2020) with higher values indicating higher cultural dissimilarities between the acquirer and target. A detailed variable description can be found in Appendix B. Constant terms are estimated but not reported. We include the acquirer’s industry and year fixed effects in all models. We cluster standard errors at the 2-digit SIC industry level. t-statistics are reported in parentheses below the coefficients. *, **, *** denote statistical significance at the .10, .05, and .01 levels (using two-tailed tests).</w:t>
            </w:r>
          </w:p>
        </w:tc>
      </w:tr>
    </w:tbl>
    <w:p w14:paraId="0B1E5863" w14:textId="77777777" w:rsidR="00EA286F" w:rsidRDefault="00EA286F">
      <w:pPr>
        <w:spacing w:after="160" w:line="259" w:lineRule="auto"/>
        <w:jc w:val="left"/>
        <w:rPr>
          <w:rStyle w:val="SchwacherVerweis"/>
          <w:rFonts w:eastAsiaTheme="majorEastAsia" w:cstheme="majorBidi"/>
          <w:b/>
          <w:caps/>
          <w:smallCaps w:val="0"/>
          <w:color w:val="auto"/>
          <w:szCs w:val="32"/>
          <w:lang w:val="en-US"/>
        </w:rPr>
      </w:pPr>
      <w:r w:rsidRPr="00A7042B">
        <w:rPr>
          <w:rStyle w:val="SchwacherVerweis"/>
          <w:smallCaps w:val="0"/>
          <w:color w:val="auto"/>
          <w:lang w:val="en-US"/>
        </w:rPr>
        <w:br w:type="page"/>
      </w:r>
    </w:p>
    <w:p w14:paraId="54A8DAEE" w14:textId="0D5EDBAE" w:rsidR="003C5E32" w:rsidRPr="003C5E32" w:rsidRDefault="003C5E32" w:rsidP="003C5E32">
      <w:pPr>
        <w:pStyle w:val="1fake"/>
        <w:rPr>
          <w:rStyle w:val="SchwacherVerweis"/>
          <w:smallCaps w:val="0"/>
          <w:color w:val="auto"/>
        </w:rPr>
      </w:pPr>
      <w:r w:rsidRPr="003C5E32">
        <w:rPr>
          <w:rStyle w:val="SchwacherVerweis"/>
          <w:smallCaps w:val="0"/>
          <w:color w:val="auto"/>
        </w:rPr>
        <w:lastRenderedPageBreak/>
        <w:t>Online Supplement 4</w:t>
      </w:r>
    </w:p>
    <w:p w14:paraId="42808B0F" w14:textId="256FF2CB" w:rsidR="004F7333" w:rsidRPr="009579F1" w:rsidRDefault="004F7333" w:rsidP="004F7333">
      <w:pPr>
        <w:pStyle w:val="Beschriftung"/>
        <w:rPr>
          <w:rStyle w:val="SchwacherVerweis"/>
          <w:smallCaps w:val="0"/>
          <w:color w:val="auto"/>
        </w:rPr>
      </w:pPr>
      <w:bookmarkStart w:id="622" w:name="_Toc180594850"/>
      <w:r>
        <w:t xml:space="preserve">T - III - </w:t>
      </w:r>
      <w:r>
        <w:fldChar w:fldCharType="begin"/>
      </w:r>
      <w:r>
        <w:instrText xml:space="preserve"> SEQ T_-_III_- \* ARABIC </w:instrText>
      </w:r>
      <w:r>
        <w:fldChar w:fldCharType="separate"/>
      </w:r>
      <w:r w:rsidR="00E91088">
        <w:rPr>
          <w:noProof/>
        </w:rPr>
        <w:t>14</w:t>
      </w:r>
      <w:r>
        <w:fldChar w:fldCharType="end"/>
      </w:r>
      <w:r>
        <w:t xml:space="preserve">: </w:t>
      </w:r>
      <w:r w:rsidRPr="0005697A">
        <w:t>H3: Innovation - Jensen-Shannon (JS) divergence</w:t>
      </w:r>
      <w:bookmarkEnd w:id="622"/>
    </w:p>
    <w:tbl>
      <w:tblPr>
        <w:tblW w:w="9072" w:type="dxa"/>
        <w:tblLayout w:type="fixed"/>
        <w:tblLook w:val="04A0" w:firstRow="1" w:lastRow="0" w:firstColumn="1" w:lastColumn="0" w:noHBand="0" w:noVBand="1"/>
      </w:tblPr>
      <w:tblGrid>
        <w:gridCol w:w="9072"/>
      </w:tblGrid>
      <w:tr w:rsidR="00694090" w:rsidRPr="00CC0559" w14:paraId="0714554E" w14:textId="77777777" w:rsidTr="00893C52">
        <w:trPr>
          <w:trHeight w:val="1247"/>
        </w:trPr>
        <w:tc>
          <w:tcPr>
            <w:tcW w:w="5000" w:type="pct"/>
            <w:tcBorders>
              <w:left w:val="nil"/>
              <w:bottom w:val="single" w:sz="4" w:space="0" w:color="auto"/>
              <w:right w:val="nil"/>
            </w:tcBorders>
            <w:shd w:val="clear" w:color="auto" w:fill="auto"/>
          </w:tcPr>
          <w:tbl>
            <w:tblPr>
              <w:tblW w:w="8959" w:type="dxa"/>
              <w:tblLayout w:type="fixed"/>
              <w:tblLook w:val="0000" w:firstRow="0" w:lastRow="0" w:firstColumn="0" w:lastColumn="0" w:noHBand="0" w:noVBand="0"/>
            </w:tblPr>
            <w:tblGrid>
              <w:gridCol w:w="2987"/>
              <w:gridCol w:w="2986"/>
              <w:gridCol w:w="2986"/>
            </w:tblGrid>
            <w:tr w:rsidR="00694090" w:rsidRPr="00EB468D" w14:paraId="520C485B" w14:textId="77777777" w:rsidTr="00893C52">
              <w:tc>
                <w:tcPr>
                  <w:tcW w:w="3231" w:type="dxa"/>
                  <w:tcBorders>
                    <w:top w:val="single" w:sz="4" w:space="0" w:color="auto"/>
                    <w:left w:val="nil"/>
                    <w:right w:val="nil"/>
                  </w:tcBorders>
                </w:tcPr>
                <w:p w14:paraId="1CE6DD5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 xml:space="preserve">   </w:t>
                  </w:r>
                </w:p>
              </w:tc>
              <w:tc>
                <w:tcPr>
                  <w:tcW w:w="3231" w:type="dxa"/>
                  <w:tcBorders>
                    <w:top w:val="single" w:sz="4" w:space="0" w:color="auto"/>
                    <w:left w:val="nil"/>
                    <w:right w:val="nil"/>
                  </w:tcBorders>
                </w:tcPr>
                <w:p w14:paraId="5FC67679"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(1)</w:t>
                  </w:r>
                </w:p>
              </w:tc>
              <w:tc>
                <w:tcPr>
                  <w:tcW w:w="3231" w:type="dxa"/>
                  <w:tcBorders>
                    <w:top w:val="single" w:sz="4" w:space="0" w:color="auto"/>
                    <w:left w:val="nil"/>
                    <w:right w:val="nil"/>
                  </w:tcBorders>
                </w:tcPr>
                <w:p w14:paraId="5BBBE350"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(2)</w:t>
                  </w:r>
                </w:p>
              </w:tc>
            </w:tr>
            <w:tr w:rsidR="00694090" w:rsidRPr="00EB468D" w14:paraId="7D9997FB" w14:textId="77777777" w:rsidTr="00893C52">
              <w:tc>
                <w:tcPr>
                  <w:tcW w:w="3231" w:type="dxa"/>
                  <w:tcBorders>
                    <w:top w:val="nil"/>
                    <w:left w:val="nil"/>
                    <w:bottom w:val="single" w:sz="4" w:space="0" w:color="auto"/>
                    <w:right w:val="nil"/>
                  </w:tcBorders>
                </w:tcPr>
                <w:p w14:paraId="3C40B22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single" w:sz="4" w:space="0" w:color="auto"/>
                    <w:right w:val="nil"/>
                  </w:tcBorders>
                </w:tcPr>
                <w:p w14:paraId="18FFA657"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acq_2yr_patent_growth</w:t>
                  </w:r>
                </w:p>
              </w:tc>
              <w:tc>
                <w:tcPr>
                  <w:tcW w:w="3231" w:type="dxa"/>
                  <w:tcBorders>
                    <w:top w:val="nil"/>
                    <w:left w:val="nil"/>
                    <w:bottom w:val="single" w:sz="4" w:space="0" w:color="auto"/>
                    <w:right w:val="nil"/>
                  </w:tcBorders>
                </w:tcPr>
                <w:p w14:paraId="229D0A1C"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acq_2yr_npd_growth</w:t>
                  </w:r>
                </w:p>
              </w:tc>
            </w:tr>
            <w:tr w:rsidR="00694090" w:rsidRPr="00EB468D" w14:paraId="6CF73DA9" w14:textId="77777777" w:rsidTr="00893C52">
              <w:tc>
                <w:tcPr>
                  <w:tcW w:w="3231" w:type="dxa"/>
                  <w:tcBorders>
                    <w:top w:val="single" w:sz="4" w:space="0" w:color="auto"/>
                    <w:left w:val="nil"/>
                    <w:bottom w:val="nil"/>
                    <w:right w:val="nil"/>
                  </w:tcBorders>
                </w:tcPr>
                <w:p w14:paraId="086860CA"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deal_culturaldistance_js</w:t>
                  </w:r>
                </w:p>
              </w:tc>
              <w:tc>
                <w:tcPr>
                  <w:tcW w:w="3231" w:type="dxa"/>
                  <w:tcBorders>
                    <w:top w:val="single" w:sz="4" w:space="0" w:color="auto"/>
                    <w:left w:val="nil"/>
                    <w:bottom w:val="nil"/>
                    <w:right w:val="nil"/>
                  </w:tcBorders>
                  <w:vAlign w:val="center"/>
                </w:tcPr>
                <w:p w14:paraId="2755C86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-2.612**</w:t>
                  </w:r>
                </w:p>
              </w:tc>
              <w:tc>
                <w:tcPr>
                  <w:tcW w:w="3231" w:type="dxa"/>
                  <w:tcBorders>
                    <w:top w:val="single" w:sz="4" w:space="0" w:color="auto"/>
                    <w:left w:val="nil"/>
                    <w:bottom w:val="nil"/>
                    <w:right w:val="nil"/>
                  </w:tcBorders>
                  <w:vAlign w:val="center"/>
                </w:tcPr>
                <w:p w14:paraId="20F4DE0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-2.259**</w:t>
                  </w:r>
                </w:p>
              </w:tc>
            </w:tr>
            <w:tr w:rsidR="00694090" w:rsidRPr="00EB468D" w14:paraId="77DED3BF" w14:textId="77777777" w:rsidTr="00893C52">
              <w:tc>
                <w:tcPr>
                  <w:tcW w:w="3231" w:type="dxa"/>
                  <w:tcBorders>
                    <w:top w:val="nil"/>
                    <w:left w:val="nil"/>
                    <w:bottom w:val="nil"/>
                    <w:right w:val="nil"/>
                  </w:tcBorders>
                </w:tcPr>
                <w:p w14:paraId="64056B49"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3EF1C92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(-1.987)</w:t>
                  </w:r>
                </w:p>
              </w:tc>
              <w:tc>
                <w:tcPr>
                  <w:tcW w:w="3231" w:type="dxa"/>
                  <w:tcBorders>
                    <w:top w:val="nil"/>
                    <w:left w:val="nil"/>
                    <w:bottom w:val="nil"/>
                    <w:right w:val="nil"/>
                  </w:tcBorders>
                  <w:vAlign w:val="center"/>
                </w:tcPr>
                <w:p w14:paraId="5CBDC94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(-2.453)</w:t>
                  </w:r>
                </w:p>
              </w:tc>
            </w:tr>
            <w:tr w:rsidR="00694090" w:rsidRPr="00EB468D" w14:paraId="523193B8" w14:textId="77777777" w:rsidTr="00893C52">
              <w:tc>
                <w:tcPr>
                  <w:tcW w:w="3231" w:type="dxa"/>
                  <w:tcBorders>
                    <w:top w:val="nil"/>
                    <w:left w:val="nil"/>
                    <w:bottom w:val="nil"/>
                    <w:right w:val="nil"/>
                  </w:tcBorders>
                </w:tcPr>
                <w:p w14:paraId="3A6E405F"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deal_value_ln</w:t>
                  </w:r>
                </w:p>
              </w:tc>
              <w:tc>
                <w:tcPr>
                  <w:tcW w:w="3231" w:type="dxa"/>
                  <w:tcBorders>
                    <w:top w:val="nil"/>
                    <w:left w:val="nil"/>
                    <w:bottom w:val="nil"/>
                    <w:right w:val="nil"/>
                  </w:tcBorders>
                  <w:vAlign w:val="center"/>
                </w:tcPr>
                <w:p w14:paraId="32A84B4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-.063</w:t>
                  </w:r>
                </w:p>
              </w:tc>
              <w:tc>
                <w:tcPr>
                  <w:tcW w:w="3231" w:type="dxa"/>
                  <w:tcBorders>
                    <w:top w:val="nil"/>
                    <w:left w:val="nil"/>
                    <w:bottom w:val="nil"/>
                    <w:right w:val="nil"/>
                  </w:tcBorders>
                  <w:vAlign w:val="center"/>
                </w:tcPr>
                <w:p w14:paraId="7D5C1F8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.092</w:t>
                  </w:r>
                </w:p>
              </w:tc>
            </w:tr>
            <w:tr w:rsidR="00694090" w:rsidRPr="00EB468D" w14:paraId="547BD060" w14:textId="77777777" w:rsidTr="00893C52">
              <w:tc>
                <w:tcPr>
                  <w:tcW w:w="3231" w:type="dxa"/>
                  <w:tcBorders>
                    <w:top w:val="nil"/>
                    <w:left w:val="nil"/>
                    <w:bottom w:val="nil"/>
                    <w:right w:val="nil"/>
                  </w:tcBorders>
                </w:tcPr>
                <w:p w14:paraId="52FCDD6C"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49C7616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(-.560)</w:t>
                  </w:r>
                </w:p>
              </w:tc>
              <w:tc>
                <w:tcPr>
                  <w:tcW w:w="3231" w:type="dxa"/>
                  <w:tcBorders>
                    <w:top w:val="nil"/>
                    <w:left w:val="nil"/>
                    <w:bottom w:val="nil"/>
                    <w:right w:val="nil"/>
                  </w:tcBorders>
                  <w:vAlign w:val="center"/>
                </w:tcPr>
                <w:p w14:paraId="00F1BA1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(.697)</w:t>
                  </w:r>
                </w:p>
              </w:tc>
            </w:tr>
            <w:tr w:rsidR="00694090" w:rsidRPr="00EB468D" w14:paraId="128BA50A" w14:textId="77777777" w:rsidTr="00893C52">
              <w:tc>
                <w:tcPr>
                  <w:tcW w:w="3231" w:type="dxa"/>
                  <w:tcBorders>
                    <w:top w:val="nil"/>
                    <w:left w:val="nil"/>
                    <w:bottom w:val="nil"/>
                    <w:right w:val="nil"/>
                  </w:tcBorders>
                </w:tcPr>
                <w:p w14:paraId="2CF5E78A"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deal_hofstede_distance</w:t>
                  </w:r>
                </w:p>
              </w:tc>
              <w:tc>
                <w:tcPr>
                  <w:tcW w:w="3231" w:type="dxa"/>
                  <w:tcBorders>
                    <w:top w:val="nil"/>
                    <w:left w:val="nil"/>
                    <w:bottom w:val="nil"/>
                    <w:right w:val="nil"/>
                  </w:tcBorders>
                  <w:vAlign w:val="center"/>
                </w:tcPr>
                <w:p w14:paraId="70C0775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-.060</w:t>
                  </w:r>
                </w:p>
              </w:tc>
              <w:tc>
                <w:tcPr>
                  <w:tcW w:w="3231" w:type="dxa"/>
                  <w:tcBorders>
                    <w:top w:val="nil"/>
                    <w:left w:val="nil"/>
                    <w:bottom w:val="nil"/>
                    <w:right w:val="nil"/>
                  </w:tcBorders>
                  <w:vAlign w:val="center"/>
                </w:tcPr>
                <w:p w14:paraId="22AE44A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-.861*</w:t>
                  </w:r>
                </w:p>
              </w:tc>
            </w:tr>
            <w:tr w:rsidR="00694090" w:rsidRPr="00EB468D" w14:paraId="16191B86" w14:textId="77777777" w:rsidTr="00893C52">
              <w:tc>
                <w:tcPr>
                  <w:tcW w:w="3231" w:type="dxa"/>
                  <w:tcBorders>
                    <w:top w:val="nil"/>
                    <w:left w:val="nil"/>
                    <w:bottom w:val="nil"/>
                    <w:right w:val="nil"/>
                  </w:tcBorders>
                </w:tcPr>
                <w:p w14:paraId="12472E3A"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4FC5266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(-.046)</w:t>
                  </w:r>
                </w:p>
              </w:tc>
              <w:tc>
                <w:tcPr>
                  <w:tcW w:w="3231" w:type="dxa"/>
                  <w:tcBorders>
                    <w:top w:val="nil"/>
                    <w:left w:val="nil"/>
                    <w:bottom w:val="nil"/>
                    <w:right w:val="nil"/>
                  </w:tcBorders>
                  <w:vAlign w:val="center"/>
                </w:tcPr>
                <w:p w14:paraId="595E6A1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(-1.659)</w:t>
                  </w:r>
                </w:p>
              </w:tc>
            </w:tr>
            <w:tr w:rsidR="00694090" w:rsidRPr="00EB468D" w14:paraId="6D2EF852" w14:textId="77777777" w:rsidTr="00893C52">
              <w:tc>
                <w:tcPr>
                  <w:tcW w:w="3231" w:type="dxa"/>
                  <w:tcBorders>
                    <w:top w:val="nil"/>
                    <w:left w:val="nil"/>
                    <w:bottom w:val="nil"/>
                    <w:right w:val="nil"/>
                  </w:tcBorders>
                </w:tcPr>
                <w:p w14:paraId="5C41A05F"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deal_all_cash_dummy</w:t>
                  </w:r>
                </w:p>
              </w:tc>
              <w:tc>
                <w:tcPr>
                  <w:tcW w:w="3231" w:type="dxa"/>
                  <w:tcBorders>
                    <w:top w:val="nil"/>
                    <w:left w:val="nil"/>
                    <w:bottom w:val="nil"/>
                    <w:right w:val="nil"/>
                  </w:tcBorders>
                  <w:vAlign w:val="center"/>
                </w:tcPr>
                <w:p w14:paraId="5CB23B4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.123</w:t>
                  </w:r>
                </w:p>
              </w:tc>
              <w:tc>
                <w:tcPr>
                  <w:tcW w:w="3231" w:type="dxa"/>
                  <w:tcBorders>
                    <w:top w:val="nil"/>
                    <w:left w:val="nil"/>
                    <w:bottom w:val="nil"/>
                    <w:right w:val="nil"/>
                  </w:tcBorders>
                  <w:vAlign w:val="center"/>
                </w:tcPr>
                <w:p w14:paraId="3C99A3D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-.165</w:t>
                  </w:r>
                </w:p>
              </w:tc>
            </w:tr>
            <w:tr w:rsidR="00694090" w:rsidRPr="00EB468D" w14:paraId="120BD503" w14:textId="77777777" w:rsidTr="00893C52">
              <w:tc>
                <w:tcPr>
                  <w:tcW w:w="3231" w:type="dxa"/>
                  <w:tcBorders>
                    <w:top w:val="nil"/>
                    <w:left w:val="nil"/>
                    <w:bottom w:val="nil"/>
                    <w:right w:val="nil"/>
                  </w:tcBorders>
                </w:tcPr>
                <w:p w14:paraId="3DF948BE"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1F686AA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(.496)</w:t>
                  </w:r>
                </w:p>
              </w:tc>
              <w:tc>
                <w:tcPr>
                  <w:tcW w:w="3231" w:type="dxa"/>
                  <w:tcBorders>
                    <w:top w:val="nil"/>
                    <w:left w:val="nil"/>
                    <w:bottom w:val="nil"/>
                    <w:right w:val="nil"/>
                  </w:tcBorders>
                  <w:vAlign w:val="center"/>
                </w:tcPr>
                <w:p w14:paraId="03D15DE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(-1.145)</w:t>
                  </w:r>
                </w:p>
              </w:tc>
            </w:tr>
            <w:tr w:rsidR="00694090" w:rsidRPr="00EB468D" w14:paraId="382C5656" w14:textId="77777777" w:rsidTr="00893C52">
              <w:tc>
                <w:tcPr>
                  <w:tcW w:w="3231" w:type="dxa"/>
                  <w:tcBorders>
                    <w:top w:val="nil"/>
                    <w:left w:val="nil"/>
                    <w:bottom w:val="nil"/>
                    <w:right w:val="nil"/>
                  </w:tcBorders>
                </w:tcPr>
                <w:p w14:paraId="6AF79E1E"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deal_all_stock_dummy</w:t>
                  </w:r>
                </w:p>
              </w:tc>
              <w:tc>
                <w:tcPr>
                  <w:tcW w:w="3231" w:type="dxa"/>
                  <w:tcBorders>
                    <w:top w:val="nil"/>
                    <w:left w:val="nil"/>
                    <w:bottom w:val="nil"/>
                    <w:right w:val="nil"/>
                  </w:tcBorders>
                  <w:vAlign w:val="center"/>
                </w:tcPr>
                <w:p w14:paraId="3879D06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-.137</w:t>
                  </w:r>
                </w:p>
              </w:tc>
              <w:tc>
                <w:tcPr>
                  <w:tcW w:w="3231" w:type="dxa"/>
                  <w:tcBorders>
                    <w:top w:val="nil"/>
                    <w:left w:val="nil"/>
                    <w:bottom w:val="nil"/>
                    <w:right w:val="nil"/>
                  </w:tcBorders>
                  <w:vAlign w:val="center"/>
                </w:tcPr>
                <w:p w14:paraId="343D8BE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.001</w:t>
                  </w:r>
                </w:p>
              </w:tc>
            </w:tr>
            <w:tr w:rsidR="00694090" w:rsidRPr="00EB468D" w14:paraId="0E68A010" w14:textId="77777777" w:rsidTr="00893C52">
              <w:tc>
                <w:tcPr>
                  <w:tcW w:w="3231" w:type="dxa"/>
                  <w:tcBorders>
                    <w:top w:val="nil"/>
                    <w:left w:val="nil"/>
                    <w:bottom w:val="nil"/>
                    <w:right w:val="nil"/>
                  </w:tcBorders>
                </w:tcPr>
                <w:p w14:paraId="17F8F70A"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4529ED4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(-.361)</w:t>
                  </w:r>
                </w:p>
              </w:tc>
              <w:tc>
                <w:tcPr>
                  <w:tcW w:w="3231" w:type="dxa"/>
                  <w:tcBorders>
                    <w:top w:val="nil"/>
                    <w:left w:val="nil"/>
                    <w:bottom w:val="nil"/>
                    <w:right w:val="nil"/>
                  </w:tcBorders>
                  <w:vAlign w:val="center"/>
                </w:tcPr>
                <w:p w14:paraId="7480DB4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(.005)</w:t>
                  </w:r>
                </w:p>
              </w:tc>
            </w:tr>
            <w:tr w:rsidR="00694090" w:rsidRPr="00EB468D" w14:paraId="3FA267B0" w14:textId="77777777" w:rsidTr="00893C52">
              <w:tc>
                <w:tcPr>
                  <w:tcW w:w="3231" w:type="dxa"/>
                  <w:tcBorders>
                    <w:top w:val="nil"/>
                    <w:left w:val="nil"/>
                    <w:bottom w:val="nil"/>
                    <w:right w:val="nil"/>
                  </w:tcBorders>
                </w:tcPr>
                <w:p w14:paraId="5ED15011"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deal_tenderoffer_dummy</w:t>
                  </w:r>
                </w:p>
              </w:tc>
              <w:tc>
                <w:tcPr>
                  <w:tcW w:w="3231" w:type="dxa"/>
                  <w:tcBorders>
                    <w:top w:val="nil"/>
                    <w:left w:val="nil"/>
                    <w:bottom w:val="nil"/>
                    <w:right w:val="nil"/>
                  </w:tcBorders>
                  <w:vAlign w:val="center"/>
                </w:tcPr>
                <w:p w14:paraId="1EF9763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-.097</w:t>
                  </w:r>
                </w:p>
              </w:tc>
              <w:tc>
                <w:tcPr>
                  <w:tcW w:w="3231" w:type="dxa"/>
                  <w:tcBorders>
                    <w:top w:val="nil"/>
                    <w:left w:val="nil"/>
                    <w:bottom w:val="nil"/>
                    <w:right w:val="nil"/>
                  </w:tcBorders>
                  <w:vAlign w:val="center"/>
                </w:tcPr>
                <w:p w14:paraId="6339E8B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.526***</w:t>
                  </w:r>
                </w:p>
              </w:tc>
            </w:tr>
            <w:tr w:rsidR="00694090" w:rsidRPr="00EB468D" w14:paraId="53650F2C" w14:textId="77777777" w:rsidTr="00893C52">
              <w:tc>
                <w:tcPr>
                  <w:tcW w:w="3231" w:type="dxa"/>
                  <w:tcBorders>
                    <w:top w:val="nil"/>
                    <w:left w:val="nil"/>
                    <w:bottom w:val="nil"/>
                    <w:right w:val="nil"/>
                  </w:tcBorders>
                </w:tcPr>
                <w:p w14:paraId="54709A49"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7EDBCA1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(-.327)</w:t>
                  </w:r>
                </w:p>
              </w:tc>
              <w:tc>
                <w:tcPr>
                  <w:tcW w:w="3231" w:type="dxa"/>
                  <w:tcBorders>
                    <w:top w:val="nil"/>
                    <w:left w:val="nil"/>
                    <w:bottom w:val="nil"/>
                    <w:right w:val="nil"/>
                  </w:tcBorders>
                  <w:vAlign w:val="center"/>
                </w:tcPr>
                <w:p w14:paraId="50E3EF6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(2.704)</w:t>
                  </w:r>
                </w:p>
              </w:tc>
            </w:tr>
            <w:tr w:rsidR="00694090" w:rsidRPr="00EB468D" w14:paraId="469560DD" w14:textId="77777777" w:rsidTr="00893C52">
              <w:tc>
                <w:tcPr>
                  <w:tcW w:w="3231" w:type="dxa"/>
                  <w:tcBorders>
                    <w:top w:val="nil"/>
                    <w:left w:val="nil"/>
                    <w:bottom w:val="nil"/>
                    <w:right w:val="nil"/>
                  </w:tcBorders>
                </w:tcPr>
                <w:p w14:paraId="6703FE5F"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deal_friendly_dummy</w:t>
                  </w:r>
                </w:p>
              </w:tc>
              <w:tc>
                <w:tcPr>
                  <w:tcW w:w="3231" w:type="dxa"/>
                  <w:tcBorders>
                    <w:top w:val="nil"/>
                    <w:left w:val="nil"/>
                    <w:bottom w:val="nil"/>
                    <w:right w:val="nil"/>
                  </w:tcBorders>
                  <w:vAlign w:val="center"/>
                </w:tcPr>
                <w:p w14:paraId="1F42783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-4.207***</w:t>
                  </w:r>
                </w:p>
              </w:tc>
              <w:tc>
                <w:tcPr>
                  <w:tcW w:w="3231" w:type="dxa"/>
                  <w:tcBorders>
                    <w:top w:val="nil"/>
                    <w:left w:val="nil"/>
                    <w:bottom w:val="nil"/>
                    <w:right w:val="nil"/>
                  </w:tcBorders>
                  <w:vAlign w:val="center"/>
                </w:tcPr>
                <w:p w14:paraId="540B0A4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w:t>
                  </w:r>
                </w:p>
              </w:tc>
            </w:tr>
            <w:tr w:rsidR="00694090" w:rsidRPr="00EB468D" w14:paraId="3143465D" w14:textId="77777777" w:rsidTr="00893C52">
              <w:tc>
                <w:tcPr>
                  <w:tcW w:w="3231" w:type="dxa"/>
                  <w:tcBorders>
                    <w:top w:val="nil"/>
                    <w:left w:val="nil"/>
                    <w:bottom w:val="nil"/>
                    <w:right w:val="nil"/>
                  </w:tcBorders>
                </w:tcPr>
                <w:p w14:paraId="6BB1E4C9"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22A2DF7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(-5.635)</w:t>
                  </w:r>
                </w:p>
              </w:tc>
              <w:tc>
                <w:tcPr>
                  <w:tcW w:w="3231" w:type="dxa"/>
                  <w:tcBorders>
                    <w:top w:val="nil"/>
                    <w:left w:val="nil"/>
                    <w:bottom w:val="nil"/>
                    <w:right w:val="nil"/>
                  </w:tcBorders>
                  <w:vAlign w:val="center"/>
                </w:tcPr>
                <w:p w14:paraId="5D62C59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w:t>
                  </w:r>
                </w:p>
              </w:tc>
            </w:tr>
            <w:tr w:rsidR="00694090" w:rsidRPr="00EB468D" w14:paraId="16F832F2" w14:textId="77777777" w:rsidTr="00893C52">
              <w:tc>
                <w:tcPr>
                  <w:tcW w:w="3231" w:type="dxa"/>
                  <w:tcBorders>
                    <w:top w:val="nil"/>
                    <w:left w:val="nil"/>
                    <w:bottom w:val="nil"/>
                    <w:right w:val="nil"/>
                  </w:tcBorders>
                </w:tcPr>
                <w:p w14:paraId="7CEF3812"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deal_relatedness_dummy</w:t>
                  </w:r>
                </w:p>
              </w:tc>
              <w:tc>
                <w:tcPr>
                  <w:tcW w:w="3231" w:type="dxa"/>
                  <w:tcBorders>
                    <w:top w:val="nil"/>
                    <w:left w:val="nil"/>
                    <w:bottom w:val="nil"/>
                    <w:right w:val="nil"/>
                  </w:tcBorders>
                  <w:vAlign w:val="center"/>
                </w:tcPr>
                <w:p w14:paraId="0047060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-.131</w:t>
                  </w:r>
                </w:p>
              </w:tc>
              <w:tc>
                <w:tcPr>
                  <w:tcW w:w="3231" w:type="dxa"/>
                  <w:tcBorders>
                    <w:top w:val="nil"/>
                    <w:left w:val="nil"/>
                    <w:bottom w:val="nil"/>
                    <w:right w:val="nil"/>
                  </w:tcBorders>
                  <w:vAlign w:val="center"/>
                </w:tcPr>
                <w:p w14:paraId="3FBED4D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-.111</w:t>
                  </w:r>
                </w:p>
              </w:tc>
            </w:tr>
            <w:tr w:rsidR="00694090" w:rsidRPr="00EB468D" w14:paraId="17545201" w14:textId="77777777" w:rsidTr="00893C52">
              <w:tc>
                <w:tcPr>
                  <w:tcW w:w="3231" w:type="dxa"/>
                  <w:tcBorders>
                    <w:top w:val="nil"/>
                    <w:left w:val="nil"/>
                    <w:bottom w:val="nil"/>
                    <w:right w:val="nil"/>
                  </w:tcBorders>
                </w:tcPr>
                <w:p w14:paraId="4AC732EC"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56F96CB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(-.647)</w:t>
                  </w:r>
                </w:p>
              </w:tc>
              <w:tc>
                <w:tcPr>
                  <w:tcW w:w="3231" w:type="dxa"/>
                  <w:tcBorders>
                    <w:top w:val="nil"/>
                    <w:left w:val="nil"/>
                    <w:bottom w:val="nil"/>
                    <w:right w:val="nil"/>
                  </w:tcBorders>
                  <w:vAlign w:val="center"/>
                </w:tcPr>
                <w:p w14:paraId="39CD62C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(-.729)</w:t>
                  </w:r>
                </w:p>
              </w:tc>
            </w:tr>
            <w:tr w:rsidR="00694090" w:rsidRPr="00EB468D" w14:paraId="41E7D69E" w14:textId="77777777" w:rsidTr="00893C52">
              <w:tc>
                <w:tcPr>
                  <w:tcW w:w="3231" w:type="dxa"/>
                  <w:tcBorders>
                    <w:top w:val="nil"/>
                    <w:left w:val="nil"/>
                    <w:bottom w:val="nil"/>
                    <w:right w:val="nil"/>
                  </w:tcBorders>
                </w:tcPr>
                <w:p w14:paraId="18DAA9B0"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acq_age</w:t>
                  </w:r>
                </w:p>
              </w:tc>
              <w:tc>
                <w:tcPr>
                  <w:tcW w:w="3231" w:type="dxa"/>
                  <w:tcBorders>
                    <w:top w:val="nil"/>
                    <w:left w:val="nil"/>
                    <w:bottom w:val="nil"/>
                    <w:right w:val="nil"/>
                  </w:tcBorders>
                  <w:vAlign w:val="center"/>
                </w:tcPr>
                <w:p w14:paraId="17AC76B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.001</w:t>
                  </w:r>
                </w:p>
              </w:tc>
              <w:tc>
                <w:tcPr>
                  <w:tcW w:w="3231" w:type="dxa"/>
                  <w:tcBorders>
                    <w:top w:val="nil"/>
                    <w:left w:val="nil"/>
                    <w:bottom w:val="nil"/>
                    <w:right w:val="nil"/>
                  </w:tcBorders>
                  <w:vAlign w:val="center"/>
                </w:tcPr>
                <w:p w14:paraId="4E522F2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-.001</w:t>
                  </w:r>
                </w:p>
              </w:tc>
            </w:tr>
            <w:tr w:rsidR="00694090" w:rsidRPr="00EB468D" w14:paraId="15B5A71F" w14:textId="77777777" w:rsidTr="00893C52">
              <w:tc>
                <w:tcPr>
                  <w:tcW w:w="3231" w:type="dxa"/>
                  <w:tcBorders>
                    <w:top w:val="nil"/>
                    <w:left w:val="nil"/>
                    <w:bottom w:val="nil"/>
                    <w:right w:val="nil"/>
                  </w:tcBorders>
                </w:tcPr>
                <w:p w14:paraId="76213101"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7261E9B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(.411)</w:t>
                  </w:r>
                </w:p>
              </w:tc>
              <w:tc>
                <w:tcPr>
                  <w:tcW w:w="3231" w:type="dxa"/>
                  <w:tcBorders>
                    <w:top w:val="nil"/>
                    <w:left w:val="nil"/>
                    <w:bottom w:val="nil"/>
                    <w:right w:val="nil"/>
                  </w:tcBorders>
                  <w:vAlign w:val="center"/>
                </w:tcPr>
                <w:p w14:paraId="3151444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(-.677)</w:t>
                  </w:r>
                </w:p>
              </w:tc>
            </w:tr>
            <w:tr w:rsidR="00694090" w:rsidRPr="00EB468D" w14:paraId="0EA4046A" w14:textId="77777777" w:rsidTr="00893C52">
              <w:tc>
                <w:tcPr>
                  <w:tcW w:w="3231" w:type="dxa"/>
                  <w:tcBorders>
                    <w:top w:val="nil"/>
                    <w:left w:val="nil"/>
                    <w:bottom w:val="nil"/>
                    <w:right w:val="nil"/>
                  </w:tcBorders>
                </w:tcPr>
                <w:p w14:paraId="74D91ABD"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acq_assets_lastyear_ln</w:t>
                  </w:r>
                </w:p>
              </w:tc>
              <w:tc>
                <w:tcPr>
                  <w:tcW w:w="3231" w:type="dxa"/>
                  <w:tcBorders>
                    <w:top w:val="nil"/>
                    <w:left w:val="nil"/>
                    <w:bottom w:val="nil"/>
                    <w:right w:val="nil"/>
                  </w:tcBorders>
                  <w:vAlign w:val="center"/>
                </w:tcPr>
                <w:p w14:paraId="47E3B3A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.175*</w:t>
                  </w:r>
                </w:p>
              </w:tc>
              <w:tc>
                <w:tcPr>
                  <w:tcW w:w="3231" w:type="dxa"/>
                  <w:tcBorders>
                    <w:top w:val="nil"/>
                    <w:left w:val="nil"/>
                    <w:bottom w:val="nil"/>
                    <w:right w:val="nil"/>
                  </w:tcBorders>
                  <w:vAlign w:val="center"/>
                </w:tcPr>
                <w:p w14:paraId="056F01C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-.058</w:t>
                  </w:r>
                </w:p>
              </w:tc>
            </w:tr>
            <w:tr w:rsidR="00694090" w:rsidRPr="00EB468D" w14:paraId="57977135" w14:textId="77777777" w:rsidTr="00893C52">
              <w:tc>
                <w:tcPr>
                  <w:tcW w:w="3231" w:type="dxa"/>
                  <w:tcBorders>
                    <w:top w:val="nil"/>
                    <w:left w:val="nil"/>
                    <w:bottom w:val="nil"/>
                    <w:right w:val="nil"/>
                  </w:tcBorders>
                </w:tcPr>
                <w:p w14:paraId="454A172C"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4667C37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(1.823)</w:t>
                  </w:r>
                </w:p>
              </w:tc>
              <w:tc>
                <w:tcPr>
                  <w:tcW w:w="3231" w:type="dxa"/>
                  <w:tcBorders>
                    <w:top w:val="nil"/>
                    <w:left w:val="nil"/>
                    <w:bottom w:val="nil"/>
                    <w:right w:val="nil"/>
                  </w:tcBorders>
                  <w:vAlign w:val="center"/>
                </w:tcPr>
                <w:p w14:paraId="15C23C7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(-.890)</w:t>
                  </w:r>
                </w:p>
              </w:tc>
            </w:tr>
            <w:tr w:rsidR="00694090" w:rsidRPr="00EB468D" w14:paraId="56DEA59E" w14:textId="77777777" w:rsidTr="00893C52">
              <w:tc>
                <w:tcPr>
                  <w:tcW w:w="3231" w:type="dxa"/>
                  <w:tcBorders>
                    <w:top w:val="nil"/>
                    <w:left w:val="nil"/>
                    <w:bottom w:val="nil"/>
                    <w:right w:val="nil"/>
                  </w:tcBorders>
                </w:tcPr>
                <w:p w14:paraId="67DEEA60"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acq_roa_lastyear</w:t>
                  </w:r>
                </w:p>
              </w:tc>
              <w:tc>
                <w:tcPr>
                  <w:tcW w:w="3231" w:type="dxa"/>
                  <w:tcBorders>
                    <w:top w:val="nil"/>
                    <w:left w:val="nil"/>
                    <w:bottom w:val="nil"/>
                    <w:right w:val="nil"/>
                  </w:tcBorders>
                  <w:vAlign w:val="center"/>
                </w:tcPr>
                <w:p w14:paraId="6DD242D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.320***</w:t>
                  </w:r>
                </w:p>
              </w:tc>
              <w:tc>
                <w:tcPr>
                  <w:tcW w:w="3231" w:type="dxa"/>
                  <w:tcBorders>
                    <w:top w:val="nil"/>
                    <w:left w:val="nil"/>
                    <w:bottom w:val="nil"/>
                    <w:right w:val="nil"/>
                  </w:tcBorders>
                  <w:vAlign w:val="center"/>
                </w:tcPr>
                <w:p w14:paraId="365ADD0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.031</w:t>
                  </w:r>
                </w:p>
              </w:tc>
            </w:tr>
            <w:tr w:rsidR="00694090" w:rsidRPr="00EB468D" w14:paraId="1978F7FC" w14:textId="77777777" w:rsidTr="00893C52">
              <w:tc>
                <w:tcPr>
                  <w:tcW w:w="3231" w:type="dxa"/>
                  <w:tcBorders>
                    <w:top w:val="nil"/>
                    <w:left w:val="nil"/>
                    <w:bottom w:val="nil"/>
                    <w:right w:val="nil"/>
                  </w:tcBorders>
                </w:tcPr>
                <w:p w14:paraId="36848833"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1569D24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(2.960)</w:t>
                  </w:r>
                </w:p>
              </w:tc>
              <w:tc>
                <w:tcPr>
                  <w:tcW w:w="3231" w:type="dxa"/>
                  <w:tcBorders>
                    <w:top w:val="nil"/>
                    <w:left w:val="nil"/>
                    <w:bottom w:val="nil"/>
                    <w:right w:val="nil"/>
                  </w:tcBorders>
                  <w:vAlign w:val="center"/>
                </w:tcPr>
                <w:p w14:paraId="17B5187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(.801)</w:t>
                  </w:r>
                </w:p>
              </w:tc>
            </w:tr>
            <w:tr w:rsidR="00694090" w:rsidRPr="00EB468D" w14:paraId="0B73BE09" w14:textId="77777777" w:rsidTr="00893C52">
              <w:tc>
                <w:tcPr>
                  <w:tcW w:w="3231" w:type="dxa"/>
                  <w:tcBorders>
                    <w:top w:val="nil"/>
                    <w:left w:val="nil"/>
                    <w:bottom w:val="nil"/>
                    <w:right w:val="nil"/>
                  </w:tcBorders>
                </w:tcPr>
                <w:p w14:paraId="50CE3518"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acq_industrygrowth</w:t>
                  </w:r>
                </w:p>
              </w:tc>
              <w:tc>
                <w:tcPr>
                  <w:tcW w:w="3231" w:type="dxa"/>
                  <w:tcBorders>
                    <w:top w:val="nil"/>
                    <w:left w:val="nil"/>
                    <w:bottom w:val="nil"/>
                    <w:right w:val="nil"/>
                  </w:tcBorders>
                  <w:vAlign w:val="center"/>
                </w:tcPr>
                <w:p w14:paraId="11D7BC8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-29.874**</w:t>
                  </w:r>
                </w:p>
              </w:tc>
              <w:tc>
                <w:tcPr>
                  <w:tcW w:w="3231" w:type="dxa"/>
                  <w:tcBorders>
                    <w:top w:val="nil"/>
                    <w:left w:val="nil"/>
                    <w:bottom w:val="nil"/>
                    <w:right w:val="nil"/>
                  </w:tcBorders>
                  <w:vAlign w:val="center"/>
                </w:tcPr>
                <w:p w14:paraId="1C69371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11.673*</w:t>
                  </w:r>
                </w:p>
              </w:tc>
            </w:tr>
            <w:tr w:rsidR="00694090" w:rsidRPr="00EB468D" w14:paraId="1ACFB39E" w14:textId="77777777" w:rsidTr="00893C52">
              <w:tc>
                <w:tcPr>
                  <w:tcW w:w="3231" w:type="dxa"/>
                  <w:tcBorders>
                    <w:top w:val="nil"/>
                    <w:left w:val="nil"/>
                    <w:bottom w:val="nil"/>
                    <w:right w:val="nil"/>
                  </w:tcBorders>
                </w:tcPr>
                <w:p w14:paraId="724E0DB9"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377163B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(-2.200)</w:t>
                  </w:r>
                </w:p>
              </w:tc>
              <w:tc>
                <w:tcPr>
                  <w:tcW w:w="3231" w:type="dxa"/>
                  <w:tcBorders>
                    <w:top w:val="nil"/>
                    <w:left w:val="nil"/>
                    <w:bottom w:val="nil"/>
                    <w:right w:val="nil"/>
                  </w:tcBorders>
                  <w:vAlign w:val="center"/>
                </w:tcPr>
                <w:p w14:paraId="140B913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(1.882)</w:t>
                  </w:r>
                </w:p>
              </w:tc>
            </w:tr>
            <w:tr w:rsidR="00694090" w:rsidRPr="00EB468D" w14:paraId="6BECA921" w14:textId="77777777" w:rsidTr="00893C52">
              <w:tc>
                <w:tcPr>
                  <w:tcW w:w="3231" w:type="dxa"/>
                  <w:tcBorders>
                    <w:top w:val="nil"/>
                    <w:left w:val="nil"/>
                    <w:bottom w:val="nil"/>
                    <w:right w:val="nil"/>
                  </w:tcBorders>
                </w:tcPr>
                <w:p w14:paraId="2D2A81CD"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acq_dealexperience</w:t>
                  </w:r>
                </w:p>
              </w:tc>
              <w:tc>
                <w:tcPr>
                  <w:tcW w:w="3231" w:type="dxa"/>
                  <w:tcBorders>
                    <w:top w:val="nil"/>
                    <w:left w:val="nil"/>
                    <w:bottom w:val="nil"/>
                    <w:right w:val="nil"/>
                  </w:tcBorders>
                  <w:vAlign w:val="center"/>
                </w:tcPr>
                <w:p w14:paraId="52C2614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-.249*</w:t>
                  </w:r>
                </w:p>
              </w:tc>
              <w:tc>
                <w:tcPr>
                  <w:tcW w:w="3231" w:type="dxa"/>
                  <w:tcBorders>
                    <w:top w:val="nil"/>
                    <w:left w:val="nil"/>
                    <w:bottom w:val="nil"/>
                    <w:right w:val="nil"/>
                  </w:tcBorders>
                  <w:vAlign w:val="center"/>
                </w:tcPr>
                <w:p w14:paraId="061B99E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.090***</w:t>
                  </w:r>
                </w:p>
              </w:tc>
            </w:tr>
            <w:tr w:rsidR="00694090" w:rsidRPr="00EB468D" w14:paraId="55F1D3EF" w14:textId="77777777" w:rsidTr="00893C52">
              <w:tc>
                <w:tcPr>
                  <w:tcW w:w="3231" w:type="dxa"/>
                  <w:tcBorders>
                    <w:top w:val="nil"/>
                    <w:left w:val="nil"/>
                    <w:bottom w:val="nil"/>
                    <w:right w:val="nil"/>
                  </w:tcBorders>
                </w:tcPr>
                <w:p w14:paraId="7121523E"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265D0D1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(-1.919)</w:t>
                  </w:r>
                </w:p>
              </w:tc>
              <w:tc>
                <w:tcPr>
                  <w:tcW w:w="3231" w:type="dxa"/>
                  <w:tcBorders>
                    <w:top w:val="nil"/>
                    <w:left w:val="nil"/>
                    <w:bottom w:val="nil"/>
                    <w:right w:val="nil"/>
                  </w:tcBorders>
                  <w:vAlign w:val="center"/>
                </w:tcPr>
                <w:p w14:paraId="5ACBC28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(2.654)</w:t>
                  </w:r>
                </w:p>
              </w:tc>
            </w:tr>
            <w:tr w:rsidR="00694090" w:rsidRPr="00EB468D" w14:paraId="4684E190" w14:textId="77777777" w:rsidTr="00893C52">
              <w:tc>
                <w:tcPr>
                  <w:tcW w:w="3231" w:type="dxa"/>
                  <w:tcBorders>
                    <w:top w:val="nil"/>
                    <w:left w:val="nil"/>
                    <w:bottom w:val="nil"/>
                    <w:right w:val="nil"/>
                  </w:tcBorders>
                </w:tcPr>
                <w:p w14:paraId="395C6871"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acq_rd_intensity</w:t>
                  </w:r>
                </w:p>
              </w:tc>
              <w:tc>
                <w:tcPr>
                  <w:tcW w:w="3231" w:type="dxa"/>
                  <w:tcBorders>
                    <w:top w:val="nil"/>
                    <w:left w:val="nil"/>
                    <w:bottom w:val="nil"/>
                    <w:right w:val="nil"/>
                  </w:tcBorders>
                  <w:vAlign w:val="center"/>
                </w:tcPr>
                <w:p w14:paraId="291F911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.421</w:t>
                  </w:r>
                </w:p>
              </w:tc>
              <w:tc>
                <w:tcPr>
                  <w:tcW w:w="3231" w:type="dxa"/>
                  <w:tcBorders>
                    <w:top w:val="nil"/>
                    <w:left w:val="nil"/>
                    <w:bottom w:val="nil"/>
                    <w:right w:val="nil"/>
                  </w:tcBorders>
                  <w:vAlign w:val="center"/>
                </w:tcPr>
                <w:p w14:paraId="3B0EEC1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-1.446</w:t>
                  </w:r>
                </w:p>
              </w:tc>
            </w:tr>
            <w:tr w:rsidR="00694090" w:rsidRPr="00EB468D" w14:paraId="3D596EB7" w14:textId="77777777" w:rsidTr="00893C52">
              <w:tc>
                <w:tcPr>
                  <w:tcW w:w="3231" w:type="dxa"/>
                  <w:tcBorders>
                    <w:top w:val="nil"/>
                    <w:left w:val="nil"/>
                    <w:bottom w:val="nil"/>
                    <w:right w:val="nil"/>
                  </w:tcBorders>
                </w:tcPr>
                <w:p w14:paraId="72CE20A9"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p>
              </w:tc>
              <w:tc>
                <w:tcPr>
                  <w:tcW w:w="3231" w:type="dxa"/>
                  <w:tcBorders>
                    <w:top w:val="nil"/>
                    <w:left w:val="nil"/>
                    <w:bottom w:val="nil"/>
                    <w:right w:val="nil"/>
                  </w:tcBorders>
                  <w:vAlign w:val="center"/>
                </w:tcPr>
                <w:p w14:paraId="68C7DAF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(.416)</w:t>
                  </w:r>
                </w:p>
              </w:tc>
              <w:tc>
                <w:tcPr>
                  <w:tcW w:w="3231" w:type="dxa"/>
                  <w:tcBorders>
                    <w:top w:val="nil"/>
                    <w:left w:val="nil"/>
                    <w:bottom w:val="nil"/>
                    <w:right w:val="nil"/>
                  </w:tcBorders>
                  <w:vAlign w:val="center"/>
                </w:tcPr>
                <w:p w14:paraId="562750F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(-1.542)</w:t>
                  </w:r>
                </w:p>
              </w:tc>
            </w:tr>
            <w:tr w:rsidR="00694090" w:rsidRPr="00EB468D" w14:paraId="3AE4B52F" w14:textId="77777777" w:rsidTr="00893C52">
              <w:tc>
                <w:tcPr>
                  <w:tcW w:w="3231" w:type="dxa"/>
                  <w:tcBorders>
                    <w:top w:val="nil"/>
                    <w:left w:val="nil"/>
                    <w:bottom w:val="nil"/>
                    <w:right w:val="nil"/>
                  </w:tcBorders>
                </w:tcPr>
                <w:p w14:paraId="2AF946A9"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tar_age</w:t>
                  </w:r>
                </w:p>
              </w:tc>
              <w:tc>
                <w:tcPr>
                  <w:tcW w:w="3231" w:type="dxa"/>
                  <w:tcBorders>
                    <w:top w:val="nil"/>
                    <w:left w:val="nil"/>
                    <w:bottom w:val="nil"/>
                    <w:right w:val="nil"/>
                  </w:tcBorders>
                  <w:vAlign w:val="center"/>
                </w:tcPr>
                <w:p w14:paraId="3818959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-.001</w:t>
                  </w:r>
                </w:p>
              </w:tc>
              <w:tc>
                <w:tcPr>
                  <w:tcW w:w="3231" w:type="dxa"/>
                  <w:tcBorders>
                    <w:top w:val="nil"/>
                    <w:left w:val="nil"/>
                    <w:bottom w:val="nil"/>
                    <w:right w:val="nil"/>
                  </w:tcBorders>
                  <w:vAlign w:val="center"/>
                </w:tcPr>
                <w:p w14:paraId="2230882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-.003</w:t>
                  </w:r>
                </w:p>
              </w:tc>
            </w:tr>
            <w:tr w:rsidR="00694090" w:rsidRPr="00EB468D" w14:paraId="0B72A586" w14:textId="77777777" w:rsidTr="00893C52">
              <w:tc>
                <w:tcPr>
                  <w:tcW w:w="3231" w:type="dxa"/>
                  <w:tcBorders>
                    <w:top w:val="nil"/>
                    <w:left w:val="nil"/>
                    <w:bottom w:val="nil"/>
                    <w:right w:val="nil"/>
                  </w:tcBorders>
                </w:tcPr>
                <w:p w14:paraId="7307A490"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0741160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(-.269)</w:t>
                  </w:r>
                </w:p>
              </w:tc>
              <w:tc>
                <w:tcPr>
                  <w:tcW w:w="3231" w:type="dxa"/>
                  <w:tcBorders>
                    <w:top w:val="nil"/>
                    <w:left w:val="nil"/>
                    <w:bottom w:val="nil"/>
                    <w:right w:val="nil"/>
                  </w:tcBorders>
                  <w:vAlign w:val="center"/>
                </w:tcPr>
                <w:p w14:paraId="66F6219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(-1.309)</w:t>
                  </w:r>
                </w:p>
              </w:tc>
            </w:tr>
            <w:tr w:rsidR="00694090" w:rsidRPr="00EB468D" w14:paraId="4DA9D6FC" w14:textId="77777777" w:rsidTr="00893C52">
              <w:tc>
                <w:tcPr>
                  <w:tcW w:w="3231" w:type="dxa"/>
                  <w:tcBorders>
                    <w:top w:val="nil"/>
                    <w:left w:val="nil"/>
                    <w:bottom w:val="nil"/>
                    <w:right w:val="nil"/>
                  </w:tcBorders>
                </w:tcPr>
                <w:p w14:paraId="4844C418"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tar_assets_lastyear_ln</w:t>
                  </w:r>
                </w:p>
              </w:tc>
              <w:tc>
                <w:tcPr>
                  <w:tcW w:w="3231" w:type="dxa"/>
                  <w:tcBorders>
                    <w:top w:val="nil"/>
                    <w:left w:val="nil"/>
                    <w:bottom w:val="nil"/>
                    <w:right w:val="nil"/>
                  </w:tcBorders>
                  <w:vAlign w:val="center"/>
                </w:tcPr>
                <w:p w14:paraId="1123B25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.042</w:t>
                  </w:r>
                </w:p>
              </w:tc>
              <w:tc>
                <w:tcPr>
                  <w:tcW w:w="3231" w:type="dxa"/>
                  <w:tcBorders>
                    <w:top w:val="nil"/>
                    <w:left w:val="nil"/>
                    <w:bottom w:val="nil"/>
                    <w:right w:val="nil"/>
                  </w:tcBorders>
                  <w:vAlign w:val="center"/>
                </w:tcPr>
                <w:p w14:paraId="217CD95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-.049</w:t>
                  </w:r>
                </w:p>
              </w:tc>
            </w:tr>
            <w:tr w:rsidR="00694090" w:rsidRPr="00EB468D" w14:paraId="47A75476" w14:textId="77777777" w:rsidTr="00893C52">
              <w:tc>
                <w:tcPr>
                  <w:tcW w:w="3231" w:type="dxa"/>
                  <w:tcBorders>
                    <w:top w:val="nil"/>
                    <w:left w:val="nil"/>
                    <w:bottom w:val="nil"/>
                    <w:right w:val="nil"/>
                  </w:tcBorders>
                </w:tcPr>
                <w:p w14:paraId="07A9643B"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0876E76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(.350)</w:t>
                  </w:r>
                </w:p>
              </w:tc>
              <w:tc>
                <w:tcPr>
                  <w:tcW w:w="3231" w:type="dxa"/>
                  <w:tcBorders>
                    <w:top w:val="nil"/>
                    <w:left w:val="nil"/>
                    <w:bottom w:val="nil"/>
                    <w:right w:val="nil"/>
                  </w:tcBorders>
                  <w:vAlign w:val="center"/>
                </w:tcPr>
                <w:p w14:paraId="549733B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(-.539)</w:t>
                  </w:r>
                </w:p>
              </w:tc>
            </w:tr>
            <w:tr w:rsidR="00694090" w:rsidRPr="00EB468D" w14:paraId="63C1EE87" w14:textId="77777777" w:rsidTr="00893C52">
              <w:tc>
                <w:tcPr>
                  <w:tcW w:w="3231" w:type="dxa"/>
                  <w:tcBorders>
                    <w:top w:val="nil"/>
                    <w:left w:val="nil"/>
                    <w:bottom w:val="nil"/>
                    <w:right w:val="nil"/>
                  </w:tcBorders>
                </w:tcPr>
                <w:p w14:paraId="7960050F"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tar_roa_lastyear</w:t>
                  </w:r>
                </w:p>
              </w:tc>
              <w:tc>
                <w:tcPr>
                  <w:tcW w:w="3231" w:type="dxa"/>
                  <w:tcBorders>
                    <w:top w:val="nil"/>
                    <w:left w:val="nil"/>
                    <w:bottom w:val="nil"/>
                    <w:right w:val="nil"/>
                  </w:tcBorders>
                  <w:vAlign w:val="center"/>
                </w:tcPr>
                <w:p w14:paraId="73AF1A9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-.095</w:t>
                  </w:r>
                </w:p>
              </w:tc>
              <w:tc>
                <w:tcPr>
                  <w:tcW w:w="3231" w:type="dxa"/>
                  <w:tcBorders>
                    <w:top w:val="nil"/>
                    <w:left w:val="nil"/>
                    <w:bottom w:val="nil"/>
                    <w:right w:val="nil"/>
                  </w:tcBorders>
                  <w:vAlign w:val="center"/>
                </w:tcPr>
                <w:p w14:paraId="1F9CF72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.298</w:t>
                  </w:r>
                </w:p>
              </w:tc>
            </w:tr>
            <w:tr w:rsidR="00694090" w:rsidRPr="00EB468D" w14:paraId="689F0477" w14:textId="77777777" w:rsidTr="00893C52">
              <w:tc>
                <w:tcPr>
                  <w:tcW w:w="3231" w:type="dxa"/>
                  <w:tcBorders>
                    <w:top w:val="nil"/>
                    <w:left w:val="nil"/>
                    <w:bottom w:val="nil"/>
                    <w:right w:val="nil"/>
                  </w:tcBorders>
                </w:tcPr>
                <w:p w14:paraId="21E891B4"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722A660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(-.286)</w:t>
                  </w:r>
                </w:p>
              </w:tc>
              <w:tc>
                <w:tcPr>
                  <w:tcW w:w="3231" w:type="dxa"/>
                  <w:tcBorders>
                    <w:top w:val="nil"/>
                    <w:left w:val="nil"/>
                    <w:bottom w:val="nil"/>
                    <w:right w:val="nil"/>
                  </w:tcBorders>
                  <w:vAlign w:val="center"/>
                </w:tcPr>
                <w:p w14:paraId="5F98165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(.889)</w:t>
                  </w:r>
                </w:p>
              </w:tc>
            </w:tr>
            <w:tr w:rsidR="00694090" w:rsidRPr="00EB468D" w14:paraId="3671C7F3" w14:textId="77777777" w:rsidTr="00893C52">
              <w:tc>
                <w:tcPr>
                  <w:tcW w:w="3231" w:type="dxa"/>
                  <w:tcBorders>
                    <w:top w:val="nil"/>
                    <w:left w:val="nil"/>
                    <w:bottom w:val="nil"/>
                    <w:right w:val="nil"/>
                  </w:tcBorders>
                </w:tcPr>
                <w:p w14:paraId="377B2DC9"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tar_mbratio</w:t>
                  </w:r>
                </w:p>
              </w:tc>
              <w:tc>
                <w:tcPr>
                  <w:tcW w:w="3231" w:type="dxa"/>
                  <w:tcBorders>
                    <w:top w:val="nil"/>
                    <w:left w:val="nil"/>
                    <w:bottom w:val="nil"/>
                    <w:right w:val="nil"/>
                  </w:tcBorders>
                  <w:vAlign w:val="center"/>
                </w:tcPr>
                <w:p w14:paraId="0B9848B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.020***</w:t>
                  </w:r>
                </w:p>
              </w:tc>
              <w:tc>
                <w:tcPr>
                  <w:tcW w:w="3231" w:type="dxa"/>
                  <w:tcBorders>
                    <w:top w:val="nil"/>
                    <w:left w:val="nil"/>
                    <w:bottom w:val="nil"/>
                    <w:right w:val="nil"/>
                  </w:tcBorders>
                  <w:vAlign w:val="center"/>
                </w:tcPr>
                <w:p w14:paraId="6C2A865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-.001</w:t>
                  </w:r>
                </w:p>
              </w:tc>
            </w:tr>
            <w:tr w:rsidR="00694090" w:rsidRPr="00EB468D" w14:paraId="42EA8417" w14:textId="77777777" w:rsidTr="00893C52">
              <w:tc>
                <w:tcPr>
                  <w:tcW w:w="3231" w:type="dxa"/>
                  <w:tcBorders>
                    <w:top w:val="nil"/>
                    <w:left w:val="nil"/>
                    <w:bottom w:val="nil"/>
                    <w:right w:val="nil"/>
                  </w:tcBorders>
                </w:tcPr>
                <w:p w14:paraId="46107C3C"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017AE42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(2.734)</w:t>
                  </w:r>
                </w:p>
              </w:tc>
              <w:tc>
                <w:tcPr>
                  <w:tcW w:w="3231" w:type="dxa"/>
                  <w:tcBorders>
                    <w:top w:val="nil"/>
                    <w:left w:val="nil"/>
                    <w:bottom w:val="nil"/>
                    <w:right w:val="nil"/>
                  </w:tcBorders>
                  <w:vAlign w:val="center"/>
                </w:tcPr>
                <w:p w14:paraId="628FD4F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(-.145)</w:t>
                  </w:r>
                </w:p>
              </w:tc>
            </w:tr>
            <w:tr w:rsidR="00694090" w:rsidRPr="00EB468D" w14:paraId="27A3E345" w14:textId="77777777" w:rsidTr="00893C52">
              <w:tc>
                <w:tcPr>
                  <w:tcW w:w="3231" w:type="dxa"/>
                  <w:tcBorders>
                    <w:top w:val="nil"/>
                    <w:left w:val="nil"/>
                    <w:bottom w:val="nil"/>
                    <w:right w:val="nil"/>
                  </w:tcBorders>
                </w:tcPr>
                <w:p w14:paraId="39DA42AB"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Observations</w:t>
                  </w:r>
                </w:p>
              </w:tc>
              <w:tc>
                <w:tcPr>
                  <w:tcW w:w="3231" w:type="dxa"/>
                  <w:tcBorders>
                    <w:top w:val="nil"/>
                    <w:left w:val="nil"/>
                    <w:bottom w:val="nil"/>
                    <w:right w:val="nil"/>
                  </w:tcBorders>
                  <w:vAlign w:val="center"/>
                </w:tcPr>
                <w:p w14:paraId="053C6B9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187</w:t>
                  </w:r>
                </w:p>
              </w:tc>
              <w:tc>
                <w:tcPr>
                  <w:tcW w:w="3231" w:type="dxa"/>
                  <w:tcBorders>
                    <w:top w:val="nil"/>
                    <w:left w:val="nil"/>
                    <w:bottom w:val="nil"/>
                    <w:right w:val="nil"/>
                  </w:tcBorders>
                  <w:vAlign w:val="center"/>
                </w:tcPr>
                <w:p w14:paraId="79F7848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152</w:t>
                  </w:r>
                </w:p>
              </w:tc>
            </w:tr>
            <w:tr w:rsidR="00694090" w:rsidRPr="00EB468D" w14:paraId="3DF87A2C" w14:textId="77777777" w:rsidTr="00893C52">
              <w:tc>
                <w:tcPr>
                  <w:tcW w:w="3231" w:type="dxa"/>
                  <w:tcBorders>
                    <w:top w:val="nil"/>
                    <w:left w:val="nil"/>
                    <w:bottom w:val="nil"/>
                    <w:right w:val="nil"/>
                  </w:tcBorders>
                </w:tcPr>
                <w:p w14:paraId="555298C5"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Adj R</w:t>
                  </w:r>
                  <w:r w:rsidRPr="00EB468D">
                    <w:rPr>
                      <w:color w:val="000000" w:themeColor="text1"/>
                      <w:sz w:val="22"/>
                      <w:vertAlign w:val="superscript"/>
                      <w:lang w:val="en-US"/>
                    </w:rPr>
                    <w:t>2</w:t>
                  </w:r>
                </w:p>
              </w:tc>
              <w:tc>
                <w:tcPr>
                  <w:tcW w:w="3231" w:type="dxa"/>
                  <w:tcBorders>
                    <w:top w:val="nil"/>
                    <w:left w:val="nil"/>
                    <w:bottom w:val="nil"/>
                    <w:right w:val="nil"/>
                  </w:tcBorders>
                  <w:vAlign w:val="center"/>
                </w:tcPr>
                <w:p w14:paraId="5CBB9B1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.175</w:t>
                  </w:r>
                </w:p>
              </w:tc>
              <w:tc>
                <w:tcPr>
                  <w:tcW w:w="3231" w:type="dxa"/>
                  <w:tcBorders>
                    <w:top w:val="nil"/>
                    <w:left w:val="nil"/>
                    <w:bottom w:val="nil"/>
                    <w:right w:val="nil"/>
                  </w:tcBorders>
                  <w:vAlign w:val="center"/>
                </w:tcPr>
                <w:p w14:paraId="24391C1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.069</w:t>
                  </w:r>
                </w:p>
              </w:tc>
            </w:tr>
            <w:tr w:rsidR="00694090" w:rsidRPr="00EB468D" w14:paraId="3D2A2496" w14:textId="77777777" w:rsidTr="00893C52">
              <w:tc>
                <w:tcPr>
                  <w:tcW w:w="3231" w:type="dxa"/>
                  <w:tcBorders>
                    <w:top w:val="nil"/>
                    <w:left w:val="nil"/>
                    <w:bottom w:val="nil"/>
                    <w:right w:val="nil"/>
                  </w:tcBorders>
                </w:tcPr>
                <w:p w14:paraId="0073CA92"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Industry FE</w:t>
                  </w:r>
                </w:p>
              </w:tc>
              <w:tc>
                <w:tcPr>
                  <w:tcW w:w="3231" w:type="dxa"/>
                  <w:tcBorders>
                    <w:top w:val="nil"/>
                    <w:left w:val="nil"/>
                    <w:bottom w:val="nil"/>
                    <w:right w:val="nil"/>
                  </w:tcBorders>
                </w:tcPr>
                <w:p w14:paraId="752EFBA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c>
                <w:tcPr>
                  <w:tcW w:w="3231" w:type="dxa"/>
                  <w:tcBorders>
                    <w:top w:val="nil"/>
                    <w:left w:val="nil"/>
                    <w:bottom w:val="nil"/>
                    <w:right w:val="nil"/>
                  </w:tcBorders>
                </w:tcPr>
                <w:p w14:paraId="267A4EB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r>
            <w:tr w:rsidR="00694090" w:rsidRPr="00EB468D" w14:paraId="38428BFD" w14:textId="77777777" w:rsidTr="00893C52">
              <w:tc>
                <w:tcPr>
                  <w:tcW w:w="3231" w:type="dxa"/>
                  <w:tcBorders>
                    <w:top w:val="nil"/>
                    <w:left w:val="nil"/>
                    <w:bottom w:val="nil"/>
                    <w:right w:val="nil"/>
                  </w:tcBorders>
                </w:tcPr>
                <w:p w14:paraId="14CA5620"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Year FE</w:t>
                  </w:r>
                </w:p>
              </w:tc>
              <w:tc>
                <w:tcPr>
                  <w:tcW w:w="3231" w:type="dxa"/>
                  <w:tcBorders>
                    <w:top w:val="nil"/>
                    <w:left w:val="nil"/>
                    <w:bottom w:val="nil"/>
                    <w:right w:val="nil"/>
                  </w:tcBorders>
                </w:tcPr>
                <w:p w14:paraId="3156D5F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c>
                <w:tcPr>
                  <w:tcW w:w="3231" w:type="dxa"/>
                  <w:tcBorders>
                    <w:top w:val="nil"/>
                    <w:left w:val="nil"/>
                    <w:bottom w:val="nil"/>
                    <w:right w:val="nil"/>
                  </w:tcBorders>
                </w:tcPr>
                <w:p w14:paraId="6B5BB52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 xml:space="preserve"> Yes</w:t>
                  </w:r>
                </w:p>
              </w:tc>
            </w:tr>
          </w:tbl>
          <w:p w14:paraId="6C014080" w14:textId="77777777" w:rsidR="00694090" w:rsidRPr="00CC0559" w:rsidRDefault="00694090" w:rsidP="00AB066F">
            <w:pPr>
              <w:tabs>
                <w:tab w:val="left" w:pos="2710"/>
              </w:tabs>
              <w:rPr>
                <w:color w:val="000000" w:themeColor="text1"/>
                <w:lang w:val="en-US"/>
              </w:rPr>
            </w:pPr>
          </w:p>
        </w:tc>
      </w:tr>
      <w:tr w:rsidR="00694090" w:rsidRPr="00BE5632" w14:paraId="0FA82345" w14:textId="77777777" w:rsidTr="00893C52">
        <w:trPr>
          <w:trHeight w:val="20"/>
        </w:trPr>
        <w:tc>
          <w:tcPr>
            <w:tcW w:w="5000" w:type="pct"/>
            <w:tcBorders>
              <w:top w:val="single" w:sz="4" w:space="0" w:color="auto"/>
              <w:left w:val="nil"/>
              <w:right w:val="nil"/>
            </w:tcBorders>
            <w:shd w:val="clear" w:color="auto" w:fill="auto"/>
            <w:noWrap/>
          </w:tcPr>
          <w:p w14:paraId="32194CE8" w14:textId="77777777" w:rsidR="00694090" w:rsidRPr="00CC0559" w:rsidRDefault="00694090" w:rsidP="003108A1">
            <w:pPr>
              <w:spacing w:before="120" w:line="240" w:lineRule="auto"/>
              <w:rPr>
                <w:color w:val="000000" w:themeColor="text1"/>
                <w:sz w:val="20"/>
                <w:szCs w:val="20"/>
                <w:lang w:val="en-US"/>
              </w:rPr>
            </w:pPr>
            <w:r w:rsidRPr="00EB468D">
              <w:rPr>
                <w:i/>
                <w:iCs/>
                <w:color w:val="000000" w:themeColor="text1"/>
                <w:sz w:val="22"/>
                <w:lang w:val="en-US"/>
              </w:rPr>
              <w:t>Note</w:t>
            </w:r>
            <w:r w:rsidRPr="00EB468D">
              <w:rPr>
                <w:color w:val="000000" w:themeColor="text1"/>
                <w:sz w:val="22"/>
                <w:lang w:val="en-US"/>
              </w:rPr>
              <w:t xml:space="preserve">. This table reports fixed effects negative binomial regression results predicting the effect of organizational cultural distance between acquirers and targets on firm innovation. The dependent variable for Model 1 is the acquirer’s patent growth two years after deal completion compared to one year prior the deal. The dependent variable for Model 2 is the acquirer’s new product development growth two years after deal completion compared to one year prior the deal.  The main independent variable in Model 1 and 2 is </w:t>
            </w:r>
            <w:r w:rsidRPr="00EB468D">
              <w:rPr>
                <w:i/>
                <w:iCs/>
                <w:color w:val="000000" w:themeColor="text1"/>
                <w:sz w:val="22"/>
                <w:lang w:val="en-US"/>
              </w:rPr>
              <w:t>deal_culturaldistance_js</w:t>
            </w:r>
            <w:r w:rsidRPr="00EB468D">
              <w:rPr>
                <w:color w:val="000000" w:themeColor="text1"/>
                <w:sz w:val="22"/>
                <w:lang w:val="en-US"/>
              </w:rPr>
              <w:t xml:space="preserve">, measured with the Jensen-Shannon (JS) divergence measure developed by Corritore et al. (2020) with higher values indicating higher cultural dissimilarities between the acquirer and target. A detailed variable description can be found in Appendix B. Constant terms are estimated but not reported. We include the acquirer’s industry and </w:t>
            </w:r>
            <w:r w:rsidRPr="00EB468D">
              <w:rPr>
                <w:color w:val="000000" w:themeColor="text1"/>
                <w:sz w:val="22"/>
                <w:lang w:val="en-US"/>
              </w:rPr>
              <w:lastRenderedPageBreak/>
              <w:t>year fixed effects in all models. We cluster standard errors at the 2-digit SIC industry level. t-statistics are reported in parentheses below the coefficients. *, **, *** denote statistical significance at the .10, .05, and .01 levels (using two-tailed tests).</w:t>
            </w:r>
          </w:p>
        </w:tc>
      </w:tr>
    </w:tbl>
    <w:p w14:paraId="69B4F22C" w14:textId="77777777" w:rsidR="00895F66" w:rsidRDefault="00895F66">
      <w:pPr>
        <w:spacing w:after="160" w:line="259" w:lineRule="auto"/>
        <w:jc w:val="left"/>
        <w:rPr>
          <w:rStyle w:val="SchwacherVerweis"/>
          <w:rFonts w:eastAsiaTheme="majorEastAsia" w:cstheme="majorBidi"/>
          <w:b/>
          <w:caps/>
          <w:smallCaps w:val="0"/>
          <w:color w:val="auto"/>
          <w:szCs w:val="32"/>
          <w:lang w:val="en-US"/>
        </w:rPr>
      </w:pPr>
      <w:r w:rsidRPr="00932F58">
        <w:rPr>
          <w:rStyle w:val="SchwacherVerweis"/>
          <w:smallCaps w:val="0"/>
          <w:color w:val="auto"/>
          <w:lang w:val="en-US"/>
        </w:rPr>
        <w:br w:type="page"/>
      </w:r>
    </w:p>
    <w:p w14:paraId="6E268386" w14:textId="102800D7" w:rsidR="003C5E32" w:rsidRPr="003C5E32" w:rsidRDefault="003C5E32" w:rsidP="003C5E32">
      <w:pPr>
        <w:pStyle w:val="1fake"/>
        <w:rPr>
          <w:rStyle w:val="SchwacherVerweis"/>
          <w:smallCaps w:val="0"/>
          <w:color w:val="auto"/>
        </w:rPr>
      </w:pPr>
      <w:r w:rsidRPr="003C5E32">
        <w:rPr>
          <w:rStyle w:val="SchwacherVerweis"/>
          <w:smallCaps w:val="0"/>
          <w:color w:val="auto"/>
        </w:rPr>
        <w:lastRenderedPageBreak/>
        <w:t xml:space="preserve">Online Supplement </w:t>
      </w:r>
      <w:r>
        <w:rPr>
          <w:rStyle w:val="SchwacherVerweis"/>
          <w:smallCaps w:val="0"/>
          <w:color w:val="auto"/>
        </w:rPr>
        <w:t>5</w:t>
      </w:r>
    </w:p>
    <w:p w14:paraId="34A0EC51" w14:textId="761D53FD" w:rsidR="004F7333" w:rsidRDefault="004F7333" w:rsidP="004F7333">
      <w:pPr>
        <w:pStyle w:val="Beschriftung"/>
        <w:rPr>
          <w:color w:val="000000" w:themeColor="text1"/>
        </w:rPr>
      </w:pPr>
      <w:bookmarkStart w:id="623" w:name="_Toc180594851"/>
      <w:r>
        <w:t xml:space="preserve">T - III - </w:t>
      </w:r>
      <w:r>
        <w:fldChar w:fldCharType="begin"/>
      </w:r>
      <w:r>
        <w:instrText xml:space="preserve"> SEQ T_-_III_- \* ARABIC </w:instrText>
      </w:r>
      <w:r>
        <w:fldChar w:fldCharType="separate"/>
      </w:r>
      <w:r w:rsidR="00E91088">
        <w:rPr>
          <w:noProof/>
        </w:rPr>
        <w:t>15</w:t>
      </w:r>
      <w:r>
        <w:fldChar w:fldCharType="end"/>
      </w:r>
      <w:r>
        <w:t xml:space="preserve">: </w:t>
      </w:r>
      <w:r w:rsidRPr="004C58B9">
        <w:t>H1a: Capital market reactions (CARs) – No toehold deals</w:t>
      </w:r>
      <w:bookmarkEnd w:id="623"/>
    </w:p>
    <w:tbl>
      <w:tblPr>
        <w:tblW w:w="9072" w:type="dxa"/>
        <w:tblLook w:val="04A0" w:firstRow="1" w:lastRow="0" w:firstColumn="1" w:lastColumn="0" w:noHBand="0" w:noVBand="1"/>
      </w:tblPr>
      <w:tblGrid>
        <w:gridCol w:w="9072"/>
      </w:tblGrid>
      <w:tr w:rsidR="00694090" w:rsidRPr="00EB468D" w14:paraId="3333A9E1" w14:textId="77777777" w:rsidTr="005A060A">
        <w:trPr>
          <w:trHeight w:val="1887"/>
        </w:trPr>
        <w:tc>
          <w:tcPr>
            <w:tcW w:w="9072" w:type="dxa"/>
            <w:tcBorders>
              <w:left w:val="nil"/>
              <w:bottom w:val="single" w:sz="4" w:space="0" w:color="auto"/>
              <w:right w:val="nil"/>
            </w:tcBorders>
            <w:shd w:val="clear" w:color="auto" w:fill="auto"/>
          </w:tcPr>
          <w:tbl>
            <w:tblPr>
              <w:tblW w:w="8959" w:type="dxa"/>
              <w:tblLook w:val="0000" w:firstRow="0" w:lastRow="0" w:firstColumn="0" w:lastColumn="0" w:noHBand="0" w:noVBand="0"/>
            </w:tblPr>
            <w:tblGrid>
              <w:gridCol w:w="2452"/>
              <w:gridCol w:w="2169"/>
              <w:gridCol w:w="2169"/>
              <w:gridCol w:w="2169"/>
            </w:tblGrid>
            <w:tr w:rsidR="00694090" w:rsidRPr="00EB468D" w14:paraId="1D0FB094" w14:textId="77777777" w:rsidTr="005A060A">
              <w:tc>
                <w:tcPr>
                  <w:tcW w:w="1331" w:type="pct"/>
                  <w:tcBorders>
                    <w:top w:val="single" w:sz="4" w:space="0" w:color="auto"/>
                    <w:left w:val="nil"/>
                    <w:right w:val="nil"/>
                  </w:tcBorders>
                </w:tcPr>
                <w:p w14:paraId="020F310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 xml:space="preserve">   </w:t>
                  </w:r>
                </w:p>
              </w:tc>
              <w:tc>
                <w:tcPr>
                  <w:tcW w:w="1223" w:type="pct"/>
                  <w:tcBorders>
                    <w:top w:val="single" w:sz="4" w:space="0" w:color="auto"/>
                    <w:left w:val="nil"/>
                    <w:right w:val="nil"/>
                  </w:tcBorders>
                </w:tcPr>
                <w:p w14:paraId="1BD9BBE2"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(1)</w:t>
                  </w:r>
                </w:p>
              </w:tc>
              <w:tc>
                <w:tcPr>
                  <w:tcW w:w="1223" w:type="pct"/>
                  <w:tcBorders>
                    <w:top w:val="single" w:sz="4" w:space="0" w:color="auto"/>
                    <w:left w:val="nil"/>
                    <w:right w:val="nil"/>
                  </w:tcBorders>
                </w:tcPr>
                <w:p w14:paraId="0B097FC2"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(2)</w:t>
                  </w:r>
                </w:p>
              </w:tc>
              <w:tc>
                <w:tcPr>
                  <w:tcW w:w="1223" w:type="pct"/>
                  <w:tcBorders>
                    <w:top w:val="single" w:sz="4" w:space="0" w:color="auto"/>
                    <w:left w:val="nil"/>
                    <w:right w:val="nil"/>
                  </w:tcBorders>
                </w:tcPr>
                <w:p w14:paraId="0676F7DE"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(3)</w:t>
                  </w:r>
                </w:p>
              </w:tc>
            </w:tr>
            <w:tr w:rsidR="00694090" w:rsidRPr="00EB468D" w14:paraId="7CE1D0B3" w14:textId="77777777" w:rsidTr="005A060A">
              <w:tc>
                <w:tcPr>
                  <w:tcW w:w="1331" w:type="pct"/>
                  <w:tcBorders>
                    <w:top w:val="nil"/>
                    <w:left w:val="nil"/>
                    <w:bottom w:val="single" w:sz="4" w:space="0" w:color="auto"/>
                    <w:right w:val="nil"/>
                  </w:tcBorders>
                </w:tcPr>
                <w:p w14:paraId="7DF5E8B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single" w:sz="4" w:space="0" w:color="auto"/>
                    <w:right w:val="nil"/>
                  </w:tcBorders>
                </w:tcPr>
                <w:p w14:paraId="5DECC0B7"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acq_car</w:t>
                  </w:r>
                  <w:r w:rsidRPr="00EB468D">
                    <w:rPr>
                      <w:b/>
                      <w:bCs/>
                      <w:color w:val="000000" w:themeColor="text1"/>
                      <w:sz w:val="22"/>
                      <w:lang w:val="en-US"/>
                    </w:rPr>
                    <w:br/>
                    <w:t>[-10,10]</w:t>
                  </w:r>
                </w:p>
              </w:tc>
              <w:tc>
                <w:tcPr>
                  <w:tcW w:w="1223" w:type="pct"/>
                  <w:tcBorders>
                    <w:top w:val="nil"/>
                    <w:left w:val="nil"/>
                    <w:bottom w:val="single" w:sz="4" w:space="0" w:color="auto"/>
                    <w:right w:val="nil"/>
                  </w:tcBorders>
                </w:tcPr>
                <w:p w14:paraId="5EAA1468"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acq_car</w:t>
                  </w:r>
                  <w:r w:rsidRPr="00EB468D">
                    <w:rPr>
                      <w:b/>
                      <w:bCs/>
                      <w:color w:val="000000" w:themeColor="text1"/>
                      <w:sz w:val="22"/>
                      <w:lang w:val="en-US"/>
                    </w:rPr>
                    <w:br/>
                    <w:t>[-5,5]</w:t>
                  </w:r>
                </w:p>
              </w:tc>
              <w:tc>
                <w:tcPr>
                  <w:tcW w:w="1223" w:type="pct"/>
                  <w:tcBorders>
                    <w:top w:val="nil"/>
                    <w:left w:val="nil"/>
                    <w:bottom w:val="single" w:sz="4" w:space="0" w:color="auto"/>
                    <w:right w:val="nil"/>
                  </w:tcBorders>
                </w:tcPr>
                <w:p w14:paraId="3DDDB126"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bookmarkStart w:id="624" w:name="_Hlk158849981"/>
                  <w:r w:rsidRPr="00EB468D">
                    <w:rPr>
                      <w:b/>
                      <w:bCs/>
                      <w:color w:val="000000" w:themeColor="text1"/>
                      <w:sz w:val="22"/>
                      <w:lang w:val="en-US"/>
                    </w:rPr>
                    <w:t>deal_car_weighted</w:t>
                  </w:r>
                  <w:bookmarkEnd w:id="624"/>
                  <w:r w:rsidRPr="00EB468D">
                    <w:rPr>
                      <w:b/>
                      <w:bCs/>
                      <w:color w:val="000000" w:themeColor="text1"/>
                      <w:sz w:val="22"/>
                      <w:lang w:val="en-US"/>
                    </w:rPr>
                    <w:br/>
                    <w:t>[-5,5]</w:t>
                  </w:r>
                </w:p>
              </w:tc>
            </w:tr>
            <w:tr w:rsidR="00694090" w:rsidRPr="00EB468D" w14:paraId="6E9F6790" w14:textId="77777777" w:rsidTr="005A060A">
              <w:tc>
                <w:tcPr>
                  <w:tcW w:w="1331" w:type="pct"/>
                  <w:tcBorders>
                    <w:top w:val="single" w:sz="4" w:space="0" w:color="auto"/>
                    <w:left w:val="nil"/>
                    <w:bottom w:val="nil"/>
                    <w:right w:val="nil"/>
                  </w:tcBorders>
                </w:tcPr>
                <w:p w14:paraId="7E105151"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deal_culturaldistance</w:t>
                  </w:r>
                </w:p>
              </w:tc>
              <w:tc>
                <w:tcPr>
                  <w:tcW w:w="1223" w:type="pct"/>
                  <w:tcBorders>
                    <w:top w:val="single" w:sz="4" w:space="0" w:color="auto"/>
                    <w:left w:val="nil"/>
                    <w:bottom w:val="nil"/>
                    <w:right w:val="nil"/>
                  </w:tcBorders>
                  <w:vAlign w:val="center"/>
                </w:tcPr>
                <w:p w14:paraId="530C9F0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-.019*</w:t>
                  </w:r>
                </w:p>
              </w:tc>
              <w:tc>
                <w:tcPr>
                  <w:tcW w:w="1223" w:type="pct"/>
                  <w:tcBorders>
                    <w:top w:val="single" w:sz="4" w:space="0" w:color="auto"/>
                    <w:left w:val="nil"/>
                    <w:bottom w:val="nil"/>
                    <w:right w:val="nil"/>
                  </w:tcBorders>
                  <w:vAlign w:val="center"/>
                </w:tcPr>
                <w:p w14:paraId="263D296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-.009*</w:t>
                  </w:r>
                </w:p>
              </w:tc>
              <w:tc>
                <w:tcPr>
                  <w:tcW w:w="1223" w:type="pct"/>
                  <w:tcBorders>
                    <w:top w:val="single" w:sz="4" w:space="0" w:color="auto"/>
                    <w:left w:val="nil"/>
                    <w:bottom w:val="nil"/>
                    <w:right w:val="nil"/>
                  </w:tcBorders>
                  <w:vAlign w:val="center"/>
                </w:tcPr>
                <w:p w14:paraId="136A432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-.002</w:t>
                  </w:r>
                </w:p>
              </w:tc>
            </w:tr>
            <w:tr w:rsidR="00694090" w:rsidRPr="00EB468D" w14:paraId="08F7E18D" w14:textId="77777777" w:rsidTr="005A060A">
              <w:tc>
                <w:tcPr>
                  <w:tcW w:w="1331" w:type="pct"/>
                  <w:tcBorders>
                    <w:top w:val="nil"/>
                    <w:left w:val="nil"/>
                    <w:bottom w:val="nil"/>
                    <w:right w:val="nil"/>
                  </w:tcBorders>
                </w:tcPr>
                <w:p w14:paraId="74550030"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vAlign w:val="center"/>
                </w:tcPr>
                <w:p w14:paraId="7BF51B7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(-1.927)</w:t>
                  </w:r>
                </w:p>
              </w:tc>
              <w:tc>
                <w:tcPr>
                  <w:tcW w:w="1223" w:type="pct"/>
                  <w:tcBorders>
                    <w:top w:val="nil"/>
                    <w:left w:val="nil"/>
                    <w:bottom w:val="nil"/>
                    <w:right w:val="nil"/>
                  </w:tcBorders>
                  <w:vAlign w:val="center"/>
                </w:tcPr>
                <w:p w14:paraId="052B589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(-1.693)</w:t>
                  </w:r>
                </w:p>
              </w:tc>
              <w:tc>
                <w:tcPr>
                  <w:tcW w:w="1223" w:type="pct"/>
                  <w:tcBorders>
                    <w:top w:val="nil"/>
                    <w:left w:val="nil"/>
                    <w:bottom w:val="nil"/>
                    <w:right w:val="nil"/>
                  </w:tcBorders>
                  <w:vAlign w:val="center"/>
                </w:tcPr>
                <w:p w14:paraId="6AF30AF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(-1.009)</w:t>
                  </w:r>
                </w:p>
              </w:tc>
            </w:tr>
            <w:tr w:rsidR="00694090" w:rsidRPr="00EB468D" w14:paraId="0B21C43A" w14:textId="77777777" w:rsidTr="005A060A">
              <w:tc>
                <w:tcPr>
                  <w:tcW w:w="1331" w:type="pct"/>
                  <w:tcBorders>
                    <w:top w:val="nil"/>
                    <w:left w:val="nil"/>
                    <w:bottom w:val="nil"/>
                    <w:right w:val="nil"/>
                  </w:tcBorders>
                </w:tcPr>
                <w:p w14:paraId="2894869C"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deal_value_ln</w:t>
                  </w:r>
                </w:p>
              </w:tc>
              <w:tc>
                <w:tcPr>
                  <w:tcW w:w="1223" w:type="pct"/>
                  <w:tcBorders>
                    <w:top w:val="nil"/>
                    <w:left w:val="nil"/>
                    <w:bottom w:val="nil"/>
                    <w:right w:val="nil"/>
                  </w:tcBorders>
                  <w:vAlign w:val="center"/>
                </w:tcPr>
                <w:p w14:paraId="64FCE4D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.165**</w:t>
                  </w:r>
                </w:p>
              </w:tc>
              <w:tc>
                <w:tcPr>
                  <w:tcW w:w="1223" w:type="pct"/>
                  <w:tcBorders>
                    <w:top w:val="nil"/>
                    <w:left w:val="nil"/>
                    <w:bottom w:val="nil"/>
                    <w:right w:val="nil"/>
                  </w:tcBorders>
                  <w:vAlign w:val="center"/>
                </w:tcPr>
                <w:p w14:paraId="54E3E19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.094**</w:t>
                  </w:r>
                </w:p>
              </w:tc>
              <w:tc>
                <w:tcPr>
                  <w:tcW w:w="1223" w:type="pct"/>
                  <w:tcBorders>
                    <w:top w:val="nil"/>
                    <w:left w:val="nil"/>
                    <w:bottom w:val="nil"/>
                    <w:right w:val="nil"/>
                  </w:tcBorders>
                  <w:vAlign w:val="center"/>
                </w:tcPr>
                <w:p w14:paraId="45528E1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.042**</w:t>
                  </w:r>
                </w:p>
              </w:tc>
            </w:tr>
            <w:tr w:rsidR="00694090" w:rsidRPr="00EB468D" w14:paraId="5E0A8AB7" w14:textId="77777777" w:rsidTr="005A060A">
              <w:tc>
                <w:tcPr>
                  <w:tcW w:w="1331" w:type="pct"/>
                  <w:tcBorders>
                    <w:top w:val="nil"/>
                    <w:left w:val="nil"/>
                    <w:bottom w:val="nil"/>
                    <w:right w:val="nil"/>
                  </w:tcBorders>
                </w:tcPr>
                <w:p w14:paraId="29719D91"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vAlign w:val="center"/>
                </w:tcPr>
                <w:p w14:paraId="06B69BD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(2.233)</w:t>
                  </w:r>
                </w:p>
              </w:tc>
              <w:tc>
                <w:tcPr>
                  <w:tcW w:w="1223" w:type="pct"/>
                  <w:tcBorders>
                    <w:top w:val="nil"/>
                    <w:left w:val="nil"/>
                    <w:bottom w:val="nil"/>
                    <w:right w:val="nil"/>
                  </w:tcBorders>
                  <w:vAlign w:val="center"/>
                </w:tcPr>
                <w:p w14:paraId="2686657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(2.245)</w:t>
                  </w:r>
                </w:p>
              </w:tc>
              <w:tc>
                <w:tcPr>
                  <w:tcW w:w="1223" w:type="pct"/>
                  <w:tcBorders>
                    <w:top w:val="nil"/>
                    <w:left w:val="nil"/>
                    <w:bottom w:val="nil"/>
                    <w:right w:val="nil"/>
                  </w:tcBorders>
                  <w:vAlign w:val="center"/>
                </w:tcPr>
                <w:p w14:paraId="0CEF93E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(2.091)</w:t>
                  </w:r>
                </w:p>
              </w:tc>
            </w:tr>
            <w:tr w:rsidR="00694090" w:rsidRPr="00EB468D" w14:paraId="62B374E3" w14:textId="77777777" w:rsidTr="005A060A">
              <w:tc>
                <w:tcPr>
                  <w:tcW w:w="1331" w:type="pct"/>
                  <w:tcBorders>
                    <w:top w:val="nil"/>
                    <w:left w:val="nil"/>
                    <w:bottom w:val="nil"/>
                    <w:right w:val="nil"/>
                  </w:tcBorders>
                </w:tcPr>
                <w:p w14:paraId="55788158"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deal_hofstede_distance</w:t>
                  </w:r>
                </w:p>
              </w:tc>
              <w:tc>
                <w:tcPr>
                  <w:tcW w:w="1223" w:type="pct"/>
                  <w:tcBorders>
                    <w:top w:val="nil"/>
                    <w:left w:val="nil"/>
                    <w:bottom w:val="nil"/>
                    <w:right w:val="nil"/>
                  </w:tcBorders>
                  <w:vAlign w:val="center"/>
                </w:tcPr>
                <w:p w14:paraId="0B06F84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.111</w:t>
                  </w:r>
                </w:p>
              </w:tc>
              <w:tc>
                <w:tcPr>
                  <w:tcW w:w="1223" w:type="pct"/>
                  <w:tcBorders>
                    <w:top w:val="nil"/>
                    <w:left w:val="nil"/>
                    <w:bottom w:val="nil"/>
                    <w:right w:val="nil"/>
                  </w:tcBorders>
                  <w:vAlign w:val="center"/>
                </w:tcPr>
                <w:p w14:paraId="256F26B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-.018</w:t>
                  </w:r>
                </w:p>
              </w:tc>
              <w:tc>
                <w:tcPr>
                  <w:tcW w:w="1223" w:type="pct"/>
                  <w:tcBorders>
                    <w:top w:val="nil"/>
                    <w:left w:val="nil"/>
                    <w:bottom w:val="nil"/>
                    <w:right w:val="nil"/>
                  </w:tcBorders>
                  <w:vAlign w:val="center"/>
                </w:tcPr>
                <w:p w14:paraId="342DF8E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-.073</w:t>
                  </w:r>
                </w:p>
              </w:tc>
            </w:tr>
            <w:tr w:rsidR="00694090" w:rsidRPr="00EB468D" w14:paraId="2BAA7B3F" w14:textId="77777777" w:rsidTr="005A060A">
              <w:tc>
                <w:tcPr>
                  <w:tcW w:w="1331" w:type="pct"/>
                  <w:tcBorders>
                    <w:top w:val="nil"/>
                    <w:left w:val="nil"/>
                    <w:bottom w:val="nil"/>
                    <w:right w:val="nil"/>
                  </w:tcBorders>
                </w:tcPr>
                <w:p w14:paraId="19980BAC"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vAlign w:val="center"/>
                </w:tcPr>
                <w:p w14:paraId="79048BD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(.286)</w:t>
                  </w:r>
                </w:p>
              </w:tc>
              <w:tc>
                <w:tcPr>
                  <w:tcW w:w="1223" w:type="pct"/>
                  <w:tcBorders>
                    <w:top w:val="nil"/>
                    <w:left w:val="nil"/>
                    <w:bottom w:val="nil"/>
                    <w:right w:val="nil"/>
                  </w:tcBorders>
                  <w:vAlign w:val="center"/>
                </w:tcPr>
                <w:p w14:paraId="3E75A67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(-.094)</w:t>
                  </w:r>
                </w:p>
              </w:tc>
              <w:tc>
                <w:tcPr>
                  <w:tcW w:w="1223" w:type="pct"/>
                  <w:tcBorders>
                    <w:top w:val="nil"/>
                    <w:left w:val="nil"/>
                    <w:bottom w:val="nil"/>
                    <w:right w:val="nil"/>
                  </w:tcBorders>
                  <w:vAlign w:val="center"/>
                </w:tcPr>
                <w:p w14:paraId="427F609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(-.758)</w:t>
                  </w:r>
                </w:p>
              </w:tc>
            </w:tr>
            <w:tr w:rsidR="00694090" w:rsidRPr="00EB468D" w14:paraId="190C1C80" w14:textId="77777777" w:rsidTr="005A060A">
              <w:tc>
                <w:tcPr>
                  <w:tcW w:w="1331" w:type="pct"/>
                  <w:tcBorders>
                    <w:top w:val="nil"/>
                    <w:left w:val="nil"/>
                    <w:bottom w:val="nil"/>
                    <w:right w:val="nil"/>
                  </w:tcBorders>
                </w:tcPr>
                <w:p w14:paraId="4646DE4D"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deal_all_cash_dummy</w:t>
                  </w:r>
                </w:p>
              </w:tc>
              <w:tc>
                <w:tcPr>
                  <w:tcW w:w="1223" w:type="pct"/>
                  <w:tcBorders>
                    <w:top w:val="nil"/>
                    <w:left w:val="nil"/>
                    <w:bottom w:val="nil"/>
                    <w:right w:val="nil"/>
                  </w:tcBorders>
                  <w:vAlign w:val="center"/>
                </w:tcPr>
                <w:p w14:paraId="27CB159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.033</w:t>
                  </w:r>
                </w:p>
              </w:tc>
              <w:tc>
                <w:tcPr>
                  <w:tcW w:w="1223" w:type="pct"/>
                  <w:tcBorders>
                    <w:top w:val="nil"/>
                    <w:left w:val="nil"/>
                    <w:bottom w:val="nil"/>
                    <w:right w:val="nil"/>
                  </w:tcBorders>
                  <w:vAlign w:val="center"/>
                </w:tcPr>
                <w:p w14:paraId="35078DE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.034</w:t>
                  </w:r>
                </w:p>
              </w:tc>
              <w:tc>
                <w:tcPr>
                  <w:tcW w:w="1223" w:type="pct"/>
                  <w:tcBorders>
                    <w:top w:val="nil"/>
                    <w:left w:val="nil"/>
                    <w:bottom w:val="nil"/>
                    <w:right w:val="nil"/>
                  </w:tcBorders>
                  <w:vAlign w:val="center"/>
                </w:tcPr>
                <w:p w14:paraId="7DDCC20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.010</w:t>
                  </w:r>
                </w:p>
              </w:tc>
            </w:tr>
            <w:tr w:rsidR="00694090" w:rsidRPr="00EB468D" w14:paraId="57A671FA" w14:textId="77777777" w:rsidTr="005A060A">
              <w:tc>
                <w:tcPr>
                  <w:tcW w:w="1331" w:type="pct"/>
                  <w:tcBorders>
                    <w:top w:val="nil"/>
                    <w:left w:val="nil"/>
                    <w:bottom w:val="nil"/>
                    <w:right w:val="nil"/>
                  </w:tcBorders>
                </w:tcPr>
                <w:p w14:paraId="00AE1686"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vAlign w:val="center"/>
                </w:tcPr>
                <w:p w14:paraId="31A2B2C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(.347)</w:t>
                  </w:r>
                </w:p>
              </w:tc>
              <w:tc>
                <w:tcPr>
                  <w:tcW w:w="1223" w:type="pct"/>
                  <w:tcBorders>
                    <w:top w:val="nil"/>
                    <w:left w:val="nil"/>
                    <w:bottom w:val="nil"/>
                    <w:right w:val="nil"/>
                  </w:tcBorders>
                  <w:vAlign w:val="center"/>
                </w:tcPr>
                <w:p w14:paraId="49B03FB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(.609)</w:t>
                  </w:r>
                </w:p>
              </w:tc>
              <w:tc>
                <w:tcPr>
                  <w:tcW w:w="1223" w:type="pct"/>
                  <w:tcBorders>
                    <w:top w:val="nil"/>
                    <w:left w:val="nil"/>
                    <w:bottom w:val="nil"/>
                    <w:right w:val="nil"/>
                  </w:tcBorders>
                  <w:vAlign w:val="center"/>
                </w:tcPr>
                <w:p w14:paraId="0988941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(.459)</w:t>
                  </w:r>
                </w:p>
              </w:tc>
            </w:tr>
            <w:tr w:rsidR="00694090" w:rsidRPr="00EB468D" w14:paraId="3B479C12" w14:textId="77777777" w:rsidTr="005A060A">
              <w:tc>
                <w:tcPr>
                  <w:tcW w:w="1331" w:type="pct"/>
                  <w:tcBorders>
                    <w:top w:val="nil"/>
                    <w:left w:val="nil"/>
                    <w:bottom w:val="nil"/>
                    <w:right w:val="nil"/>
                  </w:tcBorders>
                </w:tcPr>
                <w:p w14:paraId="276F5711"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deal_all_stock_dummy</w:t>
                  </w:r>
                </w:p>
              </w:tc>
              <w:tc>
                <w:tcPr>
                  <w:tcW w:w="1223" w:type="pct"/>
                  <w:tcBorders>
                    <w:top w:val="nil"/>
                    <w:left w:val="nil"/>
                    <w:bottom w:val="nil"/>
                    <w:right w:val="nil"/>
                  </w:tcBorders>
                  <w:vAlign w:val="center"/>
                </w:tcPr>
                <w:p w14:paraId="756BF97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-.100</w:t>
                  </w:r>
                </w:p>
              </w:tc>
              <w:tc>
                <w:tcPr>
                  <w:tcW w:w="1223" w:type="pct"/>
                  <w:tcBorders>
                    <w:top w:val="nil"/>
                    <w:left w:val="nil"/>
                    <w:bottom w:val="nil"/>
                    <w:right w:val="nil"/>
                  </w:tcBorders>
                  <w:vAlign w:val="center"/>
                </w:tcPr>
                <w:p w14:paraId="4A4D753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-.054</w:t>
                  </w:r>
                </w:p>
              </w:tc>
              <w:tc>
                <w:tcPr>
                  <w:tcW w:w="1223" w:type="pct"/>
                  <w:tcBorders>
                    <w:top w:val="nil"/>
                    <w:left w:val="nil"/>
                    <w:bottom w:val="nil"/>
                    <w:right w:val="nil"/>
                  </w:tcBorders>
                  <w:vAlign w:val="center"/>
                </w:tcPr>
                <w:p w14:paraId="1895862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-.022</w:t>
                  </w:r>
                </w:p>
              </w:tc>
            </w:tr>
            <w:tr w:rsidR="00694090" w:rsidRPr="00EB468D" w14:paraId="1CA4DE84" w14:textId="77777777" w:rsidTr="005A060A">
              <w:tc>
                <w:tcPr>
                  <w:tcW w:w="1331" w:type="pct"/>
                  <w:tcBorders>
                    <w:top w:val="nil"/>
                    <w:left w:val="nil"/>
                    <w:bottom w:val="nil"/>
                    <w:right w:val="nil"/>
                  </w:tcBorders>
                </w:tcPr>
                <w:p w14:paraId="453B3096"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vAlign w:val="center"/>
                </w:tcPr>
                <w:p w14:paraId="0AC3C05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(-.869)</w:t>
                  </w:r>
                </w:p>
              </w:tc>
              <w:tc>
                <w:tcPr>
                  <w:tcW w:w="1223" w:type="pct"/>
                  <w:tcBorders>
                    <w:top w:val="nil"/>
                    <w:left w:val="nil"/>
                    <w:bottom w:val="nil"/>
                    <w:right w:val="nil"/>
                  </w:tcBorders>
                  <w:vAlign w:val="center"/>
                </w:tcPr>
                <w:p w14:paraId="12B7696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(-.969)</w:t>
                  </w:r>
                </w:p>
              </w:tc>
              <w:tc>
                <w:tcPr>
                  <w:tcW w:w="1223" w:type="pct"/>
                  <w:tcBorders>
                    <w:top w:val="nil"/>
                    <w:left w:val="nil"/>
                    <w:bottom w:val="nil"/>
                    <w:right w:val="nil"/>
                  </w:tcBorders>
                  <w:vAlign w:val="center"/>
                </w:tcPr>
                <w:p w14:paraId="2153886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(-1.003)</w:t>
                  </w:r>
                </w:p>
              </w:tc>
            </w:tr>
            <w:tr w:rsidR="00694090" w:rsidRPr="00EB468D" w14:paraId="5068CC7D" w14:textId="77777777" w:rsidTr="005A060A">
              <w:tc>
                <w:tcPr>
                  <w:tcW w:w="1331" w:type="pct"/>
                  <w:tcBorders>
                    <w:top w:val="nil"/>
                    <w:left w:val="nil"/>
                    <w:bottom w:val="nil"/>
                    <w:right w:val="nil"/>
                  </w:tcBorders>
                </w:tcPr>
                <w:p w14:paraId="7BF93488"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deal_tenderoffer_dummy</w:t>
                  </w:r>
                </w:p>
              </w:tc>
              <w:tc>
                <w:tcPr>
                  <w:tcW w:w="1223" w:type="pct"/>
                  <w:tcBorders>
                    <w:top w:val="nil"/>
                    <w:left w:val="nil"/>
                    <w:bottom w:val="nil"/>
                    <w:right w:val="nil"/>
                  </w:tcBorders>
                  <w:vAlign w:val="center"/>
                </w:tcPr>
                <w:p w14:paraId="226149A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-.083</w:t>
                  </w:r>
                </w:p>
              </w:tc>
              <w:tc>
                <w:tcPr>
                  <w:tcW w:w="1223" w:type="pct"/>
                  <w:tcBorders>
                    <w:top w:val="nil"/>
                    <w:left w:val="nil"/>
                    <w:bottom w:val="nil"/>
                    <w:right w:val="nil"/>
                  </w:tcBorders>
                  <w:vAlign w:val="center"/>
                </w:tcPr>
                <w:p w14:paraId="09537C7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-.038</w:t>
                  </w:r>
                </w:p>
              </w:tc>
              <w:tc>
                <w:tcPr>
                  <w:tcW w:w="1223" w:type="pct"/>
                  <w:tcBorders>
                    <w:top w:val="nil"/>
                    <w:left w:val="nil"/>
                    <w:bottom w:val="nil"/>
                    <w:right w:val="nil"/>
                  </w:tcBorders>
                  <w:vAlign w:val="center"/>
                </w:tcPr>
                <w:p w14:paraId="62D9965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-.021</w:t>
                  </w:r>
                </w:p>
              </w:tc>
            </w:tr>
            <w:tr w:rsidR="00694090" w:rsidRPr="00EB468D" w14:paraId="25D7518B" w14:textId="77777777" w:rsidTr="005A060A">
              <w:tc>
                <w:tcPr>
                  <w:tcW w:w="1331" w:type="pct"/>
                  <w:tcBorders>
                    <w:top w:val="nil"/>
                    <w:left w:val="nil"/>
                    <w:bottom w:val="nil"/>
                    <w:right w:val="nil"/>
                  </w:tcBorders>
                </w:tcPr>
                <w:p w14:paraId="5F79A52F"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vAlign w:val="center"/>
                </w:tcPr>
                <w:p w14:paraId="58C2EAB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(-.966)</w:t>
                  </w:r>
                </w:p>
              </w:tc>
              <w:tc>
                <w:tcPr>
                  <w:tcW w:w="1223" w:type="pct"/>
                  <w:tcBorders>
                    <w:top w:val="nil"/>
                    <w:left w:val="nil"/>
                    <w:bottom w:val="nil"/>
                    <w:right w:val="nil"/>
                  </w:tcBorders>
                  <w:vAlign w:val="center"/>
                </w:tcPr>
                <w:p w14:paraId="48B45FB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(-.748)</w:t>
                  </w:r>
                </w:p>
              </w:tc>
              <w:tc>
                <w:tcPr>
                  <w:tcW w:w="1223" w:type="pct"/>
                  <w:tcBorders>
                    <w:top w:val="nil"/>
                    <w:left w:val="nil"/>
                    <w:bottom w:val="nil"/>
                    <w:right w:val="nil"/>
                  </w:tcBorders>
                  <w:vAlign w:val="center"/>
                </w:tcPr>
                <w:p w14:paraId="4AC9413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(-.908)</w:t>
                  </w:r>
                </w:p>
              </w:tc>
            </w:tr>
            <w:tr w:rsidR="00694090" w:rsidRPr="00EB468D" w14:paraId="4E4C4862" w14:textId="77777777" w:rsidTr="005A060A">
              <w:tc>
                <w:tcPr>
                  <w:tcW w:w="1331" w:type="pct"/>
                  <w:tcBorders>
                    <w:top w:val="nil"/>
                    <w:left w:val="nil"/>
                    <w:bottom w:val="nil"/>
                    <w:right w:val="nil"/>
                  </w:tcBorders>
                </w:tcPr>
                <w:p w14:paraId="505FF951"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deal_friendly_dummy</w:t>
                  </w:r>
                </w:p>
              </w:tc>
              <w:tc>
                <w:tcPr>
                  <w:tcW w:w="1223" w:type="pct"/>
                  <w:tcBorders>
                    <w:top w:val="nil"/>
                    <w:left w:val="nil"/>
                    <w:bottom w:val="nil"/>
                    <w:right w:val="nil"/>
                  </w:tcBorders>
                  <w:vAlign w:val="center"/>
                </w:tcPr>
                <w:p w14:paraId="0CEC7EA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-.139</w:t>
                  </w:r>
                </w:p>
              </w:tc>
              <w:tc>
                <w:tcPr>
                  <w:tcW w:w="1223" w:type="pct"/>
                  <w:tcBorders>
                    <w:top w:val="nil"/>
                    <w:left w:val="nil"/>
                    <w:bottom w:val="nil"/>
                    <w:right w:val="nil"/>
                  </w:tcBorders>
                  <w:vAlign w:val="center"/>
                </w:tcPr>
                <w:p w14:paraId="67C2B70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-.049</w:t>
                  </w:r>
                </w:p>
              </w:tc>
              <w:tc>
                <w:tcPr>
                  <w:tcW w:w="1223" w:type="pct"/>
                  <w:tcBorders>
                    <w:top w:val="nil"/>
                    <w:left w:val="nil"/>
                    <w:bottom w:val="nil"/>
                    <w:right w:val="nil"/>
                  </w:tcBorders>
                  <w:vAlign w:val="center"/>
                </w:tcPr>
                <w:p w14:paraId="33F4B83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-.009</w:t>
                  </w:r>
                </w:p>
              </w:tc>
            </w:tr>
            <w:tr w:rsidR="00694090" w:rsidRPr="00EB468D" w14:paraId="38AC1DE8" w14:textId="77777777" w:rsidTr="005A060A">
              <w:tc>
                <w:tcPr>
                  <w:tcW w:w="1331" w:type="pct"/>
                  <w:tcBorders>
                    <w:top w:val="nil"/>
                    <w:left w:val="nil"/>
                    <w:bottom w:val="nil"/>
                    <w:right w:val="nil"/>
                  </w:tcBorders>
                </w:tcPr>
                <w:p w14:paraId="5F81C419"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vAlign w:val="center"/>
                </w:tcPr>
                <w:p w14:paraId="104CCD8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(-.697)</w:t>
                  </w:r>
                </w:p>
              </w:tc>
              <w:tc>
                <w:tcPr>
                  <w:tcW w:w="1223" w:type="pct"/>
                  <w:tcBorders>
                    <w:top w:val="nil"/>
                    <w:left w:val="nil"/>
                    <w:bottom w:val="nil"/>
                    <w:right w:val="nil"/>
                  </w:tcBorders>
                  <w:vAlign w:val="center"/>
                </w:tcPr>
                <w:p w14:paraId="6D754A5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(-.418)</w:t>
                  </w:r>
                </w:p>
              </w:tc>
              <w:tc>
                <w:tcPr>
                  <w:tcW w:w="1223" w:type="pct"/>
                  <w:tcBorders>
                    <w:top w:val="nil"/>
                    <w:left w:val="nil"/>
                    <w:bottom w:val="nil"/>
                    <w:right w:val="nil"/>
                  </w:tcBorders>
                  <w:vAlign w:val="center"/>
                </w:tcPr>
                <w:p w14:paraId="47B2FD4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(-.198)</w:t>
                  </w:r>
                </w:p>
              </w:tc>
            </w:tr>
            <w:tr w:rsidR="00694090" w:rsidRPr="00EB468D" w14:paraId="58983622" w14:textId="77777777" w:rsidTr="005A060A">
              <w:tc>
                <w:tcPr>
                  <w:tcW w:w="1331" w:type="pct"/>
                  <w:tcBorders>
                    <w:top w:val="nil"/>
                    <w:left w:val="nil"/>
                    <w:bottom w:val="nil"/>
                    <w:right w:val="nil"/>
                  </w:tcBorders>
                </w:tcPr>
                <w:p w14:paraId="3E042A31"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deal_relatedness_dummy</w:t>
                  </w:r>
                </w:p>
              </w:tc>
              <w:tc>
                <w:tcPr>
                  <w:tcW w:w="1223" w:type="pct"/>
                  <w:tcBorders>
                    <w:top w:val="nil"/>
                    <w:left w:val="nil"/>
                    <w:bottom w:val="nil"/>
                    <w:right w:val="nil"/>
                  </w:tcBorders>
                  <w:vAlign w:val="center"/>
                </w:tcPr>
                <w:p w14:paraId="40D37CA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.015</w:t>
                  </w:r>
                </w:p>
              </w:tc>
              <w:tc>
                <w:tcPr>
                  <w:tcW w:w="1223" w:type="pct"/>
                  <w:tcBorders>
                    <w:top w:val="nil"/>
                    <w:left w:val="nil"/>
                    <w:bottom w:val="nil"/>
                    <w:right w:val="nil"/>
                  </w:tcBorders>
                  <w:vAlign w:val="center"/>
                </w:tcPr>
                <w:p w14:paraId="0C611CB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-.002</w:t>
                  </w:r>
                </w:p>
              </w:tc>
              <w:tc>
                <w:tcPr>
                  <w:tcW w:w="1223" w:type="pct"/>
                  <w:tcBorders>
                    <w:top w:val="nil"/>
                    <w:left w:val="nil"/>
                    <w:bottom w:val="nil"/>
                    <w:right w:val="nil"/>
                  </w:tcBorders>
                  <w:vAlign w:val="center"/>
                </w:tcPr>
                <w:p w14:paraId="04980F8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-.004</w:t>
                  </w:r>
                </w:p>
              </w:tc>
            </w:tr>
            <w:tr w:rsidR="00694090" w:rsidRPr="00EB468D" w14:paraId="1828964F" w14:textId="77777777" w:rsidTr="005A060A">
              <w:tc>
                <w:tcPr>
                  <w:tcW w:w="1331" w:type="pct"/>
                  <w:tcBorders>
                    <w:top w:val="nil"/>
                    <w:left w:val="nil"/>
                    <w:bottom w:val="nil"/>
                    <w:right w:val="nil"/>
                  </w:tcBorders>
                </w:tcPr>
                <w:p w14:paraId="6261A7DE"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vAlign w:val="center"/>
                </w:tcPr>
                <w:p w14:paraId="5771D09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(.161)</w:t>
                  </w:r>
                </w:p>
              </w:tc>
              <w:tc>
                <w:tcPr>
                  <w:tcW w:w="1223" w:type="pct"/>
                  <w:tcBorders>
                    <w:top w:val="nil"/>
                    <w:left w:val="nil"/>
                    <w:bottom w:val="nil"/>
                    <w:right w:val="nil"/>
                  </w:tcBorders>
                  <w:vAlign w:val="center"/>
                </w:tcPr>
                <w:p w14:paraId="445CA5C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(-.044)</w:t>
                  </w:r>
                </w:p>
              </w:tc>
              <w:tc>
                <w:tcPr>
                  <w:tcW w:w="1223" w:type="pct"/>
                  <w:tcBorders>
                    <w:top w:val="nil"/>
                    <w:left w:val="nil"/>
                    <w:bottom w:val="nil"/>
                    <w:right w:val="nil"/>
                  </w:tcBorders>
                  <w:vAlign w:val="center"/>
                </w:tcPr>
                <w:p w14:paraId="315154A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(-.181)</w:t>
                  </w:r>
                </w:p>
              </w:tc>
            </w:tr>
            <w:tr w:rsidR="00694090" w:rsidRPr="00EB468D" w14:paraId="288A3AD5" w14:textId="77777777" w:rsidTr="005A060A">
              <w:tc>
                <w:tcPr>
                  <w:tcW w:w="1331" w:type="pct"/>
                  <w:tcBorders>
                    <w:top w:val="nil"/>
                    <w:left w:val="nil"/>
                    <w:bottom w:val="nil"/>
                    <w:right w:val="nil"/>
                  </w:tcBorders>
                </w:tcPr>
                <w:p w14:paraId="681B04CD"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acq_age</w:t>
                  </w:r>
                </w:p>
              </w:tc>
              <w:tc>
                <w:tcPr>
                  <w:tcW w:w="1223" w:type="pct"/>
                  <w:tcBorders>
                    <w:top w:val="nil"/>
                    <w:left w:val="nil"/>
                    <w:bottom w:val="nil"/>
                    <w:right w:val="nil"/>
                  </w:tcBorders>
                  <w:vAlign w:val="center"/>
                </w:tcPr>
                <w:p w14:paraId="6F941DD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.001</w:t>
                  </w:r>
                </w:p>
              </w:tc>
              <w:tc>
                <w:tcPr>
                  <w:tcW w:w="1223" w:type="pct"/>
                  <w:tcBorders>
                    <w:top w:val="nil"/>
                    <w:left w:val="nil"/>
                    <w:bottom w:val="nil"/>
                    <w:right w:val="nil"/>
                  </w:tcBorders>
                  <w:vAlign w:val="center"/>
                </w:tcPr>
                <w:p w14:paraId="2049942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.0005</w:t>
                  </w:r>
                </w:p>
              </w:tc>
              <w:tc>
                <w:tcPr>
                  <w:tcW w:w="1223" w:type="pct"/>
                  <w:tcBorders>
                    <w:top w:val="nil"/>
                    <w:left w:val="nil"/>
                    <w:bottom w:val="nil"/>
                    <w:right w:val="nil"/>
                  </w:tcBorders>
                  <w:vAlign w:val="center"/>
                </w:tcPr>
                <w:p w14:paraId="41C4735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.0003</w:t>
                  </w:r>
                </w:p>
              </w:tc>
            </w:tr>
            <w:tr w:rsidR="00694090" w:rsidRPr="00EB468D" w14:paraId="43381941" w14:textId="77777777" w:rsidTr="005A060A">
              <w:tc>
                <w:tcPr>
                  <w:tcW w:w="1331" w:type="pct"/>
                  <w:tcBorders>
                    <w:top w:val="nil"/>
                    <w:left w:val="nil"/>
                    <w:bottom w:val="nil"/>
                    <w:right w:val="nil"/>
                  </w:tcBorders>
                </w:tcPr>
                <w:p w14:paraId="59FFCFE0"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vAlign w:val="center"/>
                </w:tcPr>
                <w:p w14:paraId="45D69DB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(1.195)</w:t>
                  </w:r>
                </w:p>
              </w:tc>
              <w:tc>
                <w:tcPr>
                  <w:tcW w:w="1223" w:type="pct"/>
                  <w:tcBorders>
                    <w:top w:val="nil"/>
                    <w:left w:val="nil"/>
                    <w:bottom w:val="nil"/>
                    <w:right w:val="nil"/>
                  </w:tcBorders>
                  <w:vAlign w:val="center"/>
                </w:tcPr>
                <w:p w14:paraId="556C568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(1.255)</w:t>
                  </w:r>
                </w:p>
              </w:tc>
              <w:tc>
                <w:tcPr>
                  <w:tcW w:w="1223" w:type="pct"/>
                  <w:tcBorders>
                    <w:top w:val="nil"/>
                    <w:left w:val="nil"/>
                    <w:bottom w:val="nil"/>
                    <w:right w:val="nil"/>
                  </w:tcBorders>
                  <w:vAlign w:val="center"/>
                </w:tcPr>
                <w:p w14:paraId="38417BD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(1.370)</w:t>
                  </w:r>
                </w:p>
              </w:tc>
            </w:tr>
            <w:tr w:rsidR="00694090" w:rsidRPr="00EB468D" w14:paraId="6F17646D" w14:textId="77777777" w:rsidTr="005A060A">
              <w:tc>
                <w:tcPr>
                  <w:tcW w:w="1331" w:type="pct"/>
                  <w:tcBorders>
                    <w:top w:val="nil"/>
                    <w:left w:val="nil"/>
                    <w:bottom w:val="nil"/>
                    <w:right w:val="nil"/>
                  </w:tcBorders>
                </w:tcPr>
                <w:p w14:paraId="5A2DB704"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acq_assets_lastyear_ln</w:t>
                  </w:r>
                </w:p>
              </w:tc>
              <w:tc>
                <w:tcPr>
                  <w:tcW w:w="1223" w:type="pct"/>
                  <w:tcBorders>
                    <w:top w:val="nil"/>
                    <w:left w:val="nil"/>
                    <w:bottom w:val="nil"/>
                    <w:right w:val="nil"/>
                  </w:tcBorders>
                  <w:vAlign w:val="center"/>
                </w:tcPr>
                <w:p w14:paraId="26D2FD9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-.013</w:t>
                  </w:r>
                </w:p>
              </w:tc>
              <w:tc>
                <w:tcPr>
                  <w:tcW w:w="1223" w:type="pct"/>
                  <w:tcBorders>
                    <w:top w:val="nil"/>
                    <w:left w:val="nil"/>
                    <w:bottom w:val="nil"/>
                    <w:right w:val="nil"/>
                  </w:tcBorders>
                  <w:vAlign w:val="center"/>
                </w:tcPr>
                <w:p w14:paraId="0756EA8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-.007</w:t>
                  </w:r>
                </w:p>
              </w:tc>
              <w:tc>
                <w:tcPr>
                  <w:tcW w:w="1223" w:type="pct"/>
                  <w:tcBorders>
                    <w:top w:val="nil"/>
                    <w:left w:val="nil"/>
                    <w:bottom w:val="nil"/>
                    <w:right w:val="nil"/>
                  </w:tcBorders>
                  <w:vAlign w:val="center"/>
                </w:tcPr>
                <w:p w14:paraId="2C70667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-.008</w:t>
                  </w:r>
                </w:p>
              </w:tc>
            </w:tr>
            <w:tr w:rsidR="00694090" w:rsidRPr="00EB468D" w14:paraId="1A6EC298" w14:textId="77777777" w:rsidTr="005A060A">
              <w:tc>
                <w:tcPr>
                  <w:tcW w:w="1331" w:type="pct"/>
                  <w:tcBorders>
                    <w:top w:val="nil"/>
                    <w:left w:val="nil"/>
                    <w:bottom w:val="nil"/>
                    <w:right w:val="nil"/>
                  </w:tcBorders>
                </w:tcPr>
                <w:p w14:paraId="6F74A633"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vAlign w:val="center"/>
                </w:tcPr>
                <w:p w14:paraId="6918F56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(-.396)</w:t>
                  </w:r>
                </w:p>
              </w:tc>
              <w:tc>
                <w:tcPr>
                  <w:tcW w:w="1223" w:type="pct"/>
                  <w:tcBorders>
                    <w:top w:val="nil"/>
                    <w:left w:val="nil"/>
                    <w:bottom w:val="nil"/>
                    <w:right w:val="nil"/>
                  </w:tcBorders>
                  <w:vAlign w:val="center"/>
                </w:tcPr>
                <w:p w14:paraId="7D8C3D0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(-.416)</w:t>
                  </w:r>
                </w:p>
              </w:tc>
              <w:tc>
                <w:tcPr>
                  <w:tcW w:w="1223" w:type="pct"/>
                  <w:tcBorders>
                    <w:top w:val="nil"/>
                    <w:left w:val="nil"/>
                    <w:bottom w:val="nil"/>
                    <w:right w:val="nil"/>
                  </w:tcBorders>
                  <w:vAlign w:val="center"/>
                </w:tcPr>
                <w:p w14:paraId="080DF4A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(-1.037)</w:t>
                  </w:r>
                </w:p>
              </w:tc>
            </w:tr>
            <w:tr w:rsidR="00694090" w:rsidRPr="00EB468D" w14:paraId="6478B790" w14:textId="77777777" w:rsidTr="005A060A">
              <w:tc>
                <w:tcPr>
                  <w:tcW w:w="1331" w:type="pct"/>
                  <w:tcBorders>
                    <w:top w:val="nil"/>
                    <w:left w:val="nil"/>
                    <w:bottom w:val="nil"/>
                    <w:right w:val="nil"/>
                  </w:tcBorders>
                </w:tcPr>
                <w:p w14:paraId="262C0F98"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acq_roa_lastyear</w:t>
                  </w:r>
                </w:p>
              </w:tc>
              <w:tc>
                <w:tcPr>
                  <w:tcW w:w="1223" w:type="pct"/>
                  <w:tcBorders>
                    <w:top w:val="nil"/>
                    <w:left w:val="nil"/>
                    <w:bottom w:val="nil"/>
                    <w:right w:val="nil"/>
                  </w:tcBorders>
                  <w:vAlign w:val="center"/>
                </w:tcPr>
                <w:p w14:paraId="035F13E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-.086</w:t>
                  </w:r>
                </w:p>
              </w:tc>
              <w:tc>
                <w:tcPr>
                  <w:tcW w:w="1223" w:type="pct"/>
                  <w:tcBorders>
                    <w:top w:val="nil"/>
                    <w:left w:val="nil"/>
                    <w:bottom w:val="nil"/>
                    <w:right w:val="nil"/>
                  </w:tcBorders>
                  <w:vAlign w:val="center"/>
                </w:tcPr>
                <w:p w14:paraId="718B956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-.049</w:t>
                  </w:r>
                </w:p>
              </w:tc>
              <w:tc>
                <w:tcPr>
                  <w:tcW w:w="1223" w:type="pct"/>
                  <w:tcBorders>
                    <w:top w:val="nil"/>
                    <w:left w:val="nil"/>
                    <w:bottom w:val="nil"/>
                    <w:right w:val="nil"/>
                  </w:tcBorders>
                  <w:vAlign w:val="center"/>
                </w:tcPr>
                <w:p w14:paraId="12EE8BD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-.023</w:t>
                  </w:r>
                </w:p>
              </w:tc>
            </w:tr>
            <w:tr w:rsidR="00694090" w:rsidRPr="00EB468D" w14:paraId="27A6812C" w14:textId="77777777" w:rsidTr="005A060A">
              <w:tc>
                <w:tcPr>
                  <w:tcW w:w="1331" w:type="pct"/>
                  <w:tcBorders>
                    <w:top w:val="nil"/>
                    <w:left w:val="nil"/>
                    <w:bottom w:val="nil"/>
                    <w:right w:val="nil"/>
                  </w:tcBorders>
                </w:tcPr>
                <w:p w14:paraId="0626E915"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vAlign w:val="center"/>
                </w:tcPr>
                <w:p w14:paraId="1DC86EF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(-1.368)</w:t>
                  </w:r>
                </w:p>
              </w:tc>
              <w:tc>
                <w:tcPr>
                  <w:tcW w:w="1223" w:type="pct"/>
                  <w:tcBorders>
                    <w:top w:val="nil"/>
                    <w:left w:val="nil"/>
                    <w:bottom w:val="nil"/>
                    <w:right w:val="nil"/>
                  </w:tcBorders>
                  <w:vAlign w:val="center"/>
                </w:tcPr>
                <w:p w14:paraId="2D55FD9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(-1.356)</w:t>
                  </w:r>
                </w:p>
              </w:tc>
              <w:tc>
                <w:tcPr>
                  <w:tcW w:w="1223" w:type="pct"/>
                  <w:tcBorders>
                    <w:top w:val="nil"/>
                    <w:left w:val="nil"/>
                    <w:bottom w:val="nil"/>
                    <w:right w:val="nil"/>
                  </w:tcBorders>
                  <w:vAlign w:val="center"/>
                </w:tcPr>
                <w:p w14:paraId="56EEF12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(-1.447)</w:t>
                  </w:r>
                </w:p>
              </w:tc>
            </w:tr>
            <w:tr w:rsidR="00694090" w:rsidRPr="00EB468D" w14:paraId="369E883F" w14:textId="77777777" w:rsidTr="005A060A">
              <w:tc>
                <w:tcPr>
                  <w:tcW w:w="1331" w:type="pct"/>
                  <w:tcBorders>
                    <w:top w:val="nil"/>
                    <w:left w:val="nil"/>
                    <w:bottom w:val="nil"/>
                    <w:right w:val="nil"/>
                  </w:tcBorders>
                </w:tcPr>
                <w:p w14:paraId="39B62F34"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acq_industrygrowth</w:t>
                  </w:r>
                </w:p>
              </w:tc>
              <w:tc>
                <w:tcPr>
                  <w:tcW w:w="1223" w:type="pct"/>
                  <w:tcBorders>
                    <w:top w:val="nil"/>
                    <w:left w:val="nil"/>
                    <w:bottom w:val="nil"/>
                    <w:right w:val="nil"/>
                  </w:tcBorders>
                  <w:vAlign w:val="center"/>
                </w:tcPr>
                <w:p w14:paraId="1D3DBCE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3.325**</w:t>
                  </w:r>
                </w:p>
              </w:tc>
              <w:tc>
                <w:tcPr>
                  <w:tcW w:w="1223" w:type="pct"/>
                  <w:tcBorders>
                    <w:top w:val="nil"/>
                    <w:left w:val="nil"/>
                    <w:bottom w:val="nil"/>
                    <w:right w:val="nil"/>
                  </w:tcBorders>
                  <w:vAlign w:val="center"/>
                </w:tcPr>
                <w:p w14:paraId="6484A9A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2.038***</w:t>
                  </w:r>
                </w:p>
              </w:tc>
              <w:tc>
                <w:tcPr>
                  <w:tcW w:w="1223" w:type="pct"/>
                  <w:tcBorders>
                    <w:top w:val="nil"/>
                    <w:left w:val="nil"/>
                    <w:bottom w:val="nil"/>
                    <w:right w:val="nil"/>
                  </w:tcBorders>
                  <w:vAlign w:val="center"/>
                </w:tcPr>
                <w:p w14:paraId="506E682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.965***</w:t>
                  </w:r>
                </w:p>
              </w:tc>
            </w:tr>
            <w:tr w:rsidR="00694090" w:rsidRPr="00EB468D" w14:paraId="693472F8" w14:textId="77777777" w:rsidTr="005A060A">
              <w:tc>
                <w:tcPr>
                  <w:tcW w:w="1331" w:type="pct"/>
                  <w:tcBorders>
                    <w:top w:val="nil"/>
                    <w:left w:val="nil"/>
                    <w:bottom w:val="nil"/>
                    <w:right w:val="nil"/>
                  </w:tcBorders>
                </w:tcPr>
                <w:p w14:paraId="7ADD97D3"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vAlign w:val="center"/>
                </w:tcPr>
                <w:p w14:paraId="221669A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(2.308)</w:t>
                  </w:r>
                </w:p>
              </w:tc>
              <w:tc>
                <w:tcPr>
                  <w:tcW w:w="1223" w:type="pct"/>
                  <w:tcBorders>
                    <w:top w:val="nil"/>
                    <w:left w:val="nil"/>
                    <w:bottom w:val="nil"/>
                    <w:right w:val="nil"/>
                  </w:tcBorders>
                  <w:vAlign w:val="center"/>
                </w:tcPr>
                <w:p w14:paraId="50E0B43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(2.689)</w:t>
                  </w:r>
                </w:p>
              </w:tc>
              <w:tc>
                <w:tcPr>
                  <w:tcW w:w="1223" w:type="pct"/>
                  <w:tcBorders>
                    <w:top w:val="nil"/>
                    <w:left w:val="nil"/>
                    <w:bottom w:val="nil"/>
                    <w:right w:val="nil"/>
                  </w:tcBorders>
                  <w:vAlign w:val="center"/>
                </w:tcPr>
                <w:p w14:paraId="576F704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(2.791)</w:t>
                  </w:r>
                </w:p>
              </w:tc>
            </w:tr>
            <w:tr w:rsidR="00694090" w:rsidRPr="00EB468D" w14:paraId="73CEF7BE" w14:textId="77777777" w:rsidTr="005A060A">
              <w:tc>
                <w:tcPr>
                  <w:tcW w:w="1331" w:type="pct"/>
                  <w:tcBorders>
                    <w:top w:val="nil"/>
                    <w:left w:val="nil"/>
                    <w:bottom w:val="nil"/>
                    <w:right w:val="nil"/>
                  </w:tcBorders>
                </w:tcPr>
                <w:p w14:paraId="1C2B7FFE"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acq_dealexperience</w:t>
                  </w:r>
                </w:p>
              </w:tc>
              <w:tc>
                <w:tcPr>
                  <w:tcW w:w="1223" w:type="pct"/>
                  <w:tcBorders>
                    <w:top w:val="nil"/>
                    <w:left w:val="nil"/>
                    <w:bottom w:val="nil"/>
                    <w:right w:val="nil"/>
                  </w:tcBorders>
                  <w:vAlign w:val="center"/>
                </w:tcPr>
                <w:p w14:paraId="4BD9FC5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.007</w:t>
                  </w:r>
                </w:p>
              </w:tc>
              <w:tc>
                <w:tcPr>
                  <w:tcW w:w="1223" w:type="pct"/>
                  <w:tcBorders>
                    <w:top w:val="nil"/>
                    <w:left w:val="nil"/>
                    <w:bottom w:val="nil"/>
                    <w:right w:val="nil"/>
                  </w:tcBorders>
                  <w:vAlign w:val="center"/>
                </w:tcPr>
                <w:p w14:paraId="04B2002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-.003</w:t>
                  </w:r>
                </w:p>
              </w:tc>
              <w:tc>
                <w:tcPr>
                  <w:tcW w:w="1223" w:type="pct"/>
                  <w:tcBorders>
                    <w:top w:val="nil"/>
                    <w:left w:val="nil"/>
                    <w:bottom w:val="nil"/>
                    <w:right w:val="nil"/>
                  </w:tcBorders>
                  <w:vAlign w:val="center"/>
                </w:tcPr>
                <w:p w14:paraId="3BBD9A2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.006</w:t>
                  </w:r>
                </w:p>
              </w:tc>
            </w:tr>
            <w:tr w:rsidR="00694090" w:rsidRPr="00EB468D" w14:paraId="6155B93A" w14:textId="77777777" w:rsidTr="005A060A">
              <w:tc>
                <w:tcPr>
                  <w:tcW w:w="1331" w:type="pct"/>
                  <w:tcBorders>
                    <w:top w:val="nil"/>
                    <w:left w:val="nil"/>
                    <w:bottom w:val="nil"/>
                    <w:right w:val="nil"/>
                  </w:tcBorders>
                </w:tcPr>
                <w:p w14:paraId="66033BB7"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vAlign w:val="center"/>
                </w:tcPr>
                <w:p w14:paraId="2516D9E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(.163)</w:t>
                  </w:r>
                </w:p>
              </w:tc>
              <w:tc>
                <w:tcPr>
                  <w:tcW w:w="1223" w:type="pct"/>
                  <w:tcBorders>
                    <w:top w:val="nil"/>
                    <w:left w:val="nil"/>
                    <w:bottom w:val="nil"/>
                    <w:right w:val="nil"/>
                  </w:tcBorders>
                  <w:vAlign w:val="center"/>
                </w:tcPr>
                <w:p w14:paraId="78B19D5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(-.133)</w:t>
                  </w:r>
                </w:p>
              </w:tc>
              <w:tc>
                <w:tcPr>
                  <w:tcW w:w="1223" w:type="pct"/>
                  <w:tcBorders>
                    <w:top w:val="nil"/>
                    <w:left w:val="nil"/>
                    <w:bottom w:val="nil"/>
                    <w:right w:val="nil"/>
                  </w:tcBorders>
                  <w:vAlign w:val="center"/>
                </w:tcPr>
                <w:p w14:paraId="50EE4EE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(.592)</w:t>
                  </w:r>
                </w:p>
              </w:tc>
            </w:tr>
            <w:tr w:rsidR="00694090" w:rsidRPr="00EB468D" w14:paraId="1B4E4D52" w14:textId="77777777" w:rsidTr="005A060A">
              <w:tc>
                <w:tcPr>
                  <w:tcW w:w="1331" w:type="pct"/>
                  <w:tcBorders>
                    <w:top w:val="nil"/>
                    <w:left w:val="nil"/>
                    <w:bottom w:val="nil"/>
                    <w:right w:val="nil"/>
                  </w:tcBorders>
                </w:tcPr>
                <w:p w14:paraId="30AFC096"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acq_rd_intensity</w:t>
                  </w:r>
                </w:p>
              </w:tc>
              <w:tc>
                <w:tcPr>
                  <w:tcW w:w="1223" w:type="pct"/>
                  <w:tcBorders>
                    <w:top w:val="nil"/>
                    <w:left w:val="nil"/>
                    <w:bottom w:val="nil"/>
                    <w:right w:val="nil"/>
                  </w:tcBorders>
                  <w:vAlign w:val="center"/>
                </w:tcPr>
                <w:p w14:paraId="617BFE2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-.703**</w:t>
                  </w:r>
                </w:p>
              </w:tc>
              <w:tc>
                <w:tcPr>
                  <w:tcW w:w="1223" w:type="pct"/>
                  <w:tcBorders>
                    <w:top w:val="nil"/>
                    <w:left w:val="nil"/>
                    <w:bottom w:val="nil"/>
                    <w:right w:val="nil"/>
                  </w:tcBorders>
                  <w:vAlign w:val="center"/>
                </w:tcPr>
                <w:p w14:paraId="6CD1F8D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-.376**</w:t>
                  </w:r>
                </w:p>
              </w:tc>
              <w:tc>
                <w:tcPr>
                  <w:tcW w:w="1223" w:type="pct"/>
                  <w:tcBorders>
                    <w:top w:val="nil"/>
                    <w:left w:val="nil"/>
                    <w:bottom w:val="nil"/>
                    <w:right w:val="nil"/>
                  </w:tcBorders>
                  <w:vAlign w:val="center"/>
                </w:tcPr>
                <w:p w14:paraId="4E43D4F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-.165***</w:t>
                  </w:r>
                </w:p>
              </w:tc>
            </w:tr>
            <w:tr w:rsidR="00694090" w:rsidRPr="00EB468D" w14:paraId="67C4D4A1" w14:textId="77777777" w:rsidTr="005A060A">
              <w:tc>
                <w:tcPr>
                  <w:tcW w:w="1331" w:type="pct"/>
                  <w:tcBorders>
                    <w:top w:val="nil"/>
                    <w:left w:val="nil"/>
                    <w:bottom w:val="nil"/>
                    <w:right w:val="nil"/>
                  </w:tcBorders>
                </w:tcPr>
                <w:p w14:paraId="25F8F5BE"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p>
              </w:tc>
              <w:tc>
                <w:tcPr>
                  <w:tcW w:w="1223" w:type="pct"/>
                  <w:tcBorders>
                    <w:top w:val="nil"/>
                    <w:left w:val="nil"/>
                    <w:bottom w:val="nil"/>
                    <w:right w:val="nil"/>
                  </w:tcBorders>
                  <w:vAlign w:val="center"/>
                </w:tcPr>
                <w:p w14:paraId="5AF8414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(-1.989)</w:t>
                  </w:r>
                </w:p>
              </w:tc>
              <w:tc>
                <w:tcPr>
                  <w:tcW w:w="1223" w:type="pct"/>
                  <w:tcBorders>
                    <w:top w:val="nil"/>
                    <w:left w:val="nil"/>
                    <w:bottom w:val="nil"/>
                    <w:right w:val="nil"/>
                  </w:tcBorders>
                  <w:vAlign w:val="center"/>
                </w:tcPr>
                <w:p w14:paraId="00ED370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(-2.111)</w:t>
                  </w:r>
                </w:p>
              </w:tc>
              <w:tc>
                <w:tcPr>
                  <w:tcW w:w="1223" w:type="pct"/>
                  <w:tcBorders>
                    <w:top w:val="nil"/>
                    <w:left w:val="nil"/>
                    <w:bottom w:val="nil"/>
                    <w:right w:val="nil"/>
                  </w:tcBorders>
                  <w:vAlign w:val="center"/>
                </w:tcPr>
                <w:p w14:paraId="2764F98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(-2.768)</w:t>
                  </w:r>
                </w:p>
              </w:tc>
            </w:tr>
            <w:tr w:rsidR="00694090" w:rsidRPr="00EB468D" w14:paraId="36EA87AA" w14:textId="77777777" w:rsidTr="005A060A">
              <w:tc>
                <w:tcPr>
                  <w:tcW w:w="1331" w:type="pct"/>
                  <w:tcBorders>
                    <w:top w:val="nil"/>
                    <w:left w:val="nil"/>
                    <w:bottom w:val="nil"/>
                    <w:right w:val="nil"/>
                  </w:tcBorders>
                </w:tcPr>
                <w:p w14:paraId="051E191E"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tar_age</w:t>
                  </w:r>
                </w:p>
              </w:tc>
              <w:tc>
                <w:tcPr>
                  <w:tcW w:w="1223" w:type="pct"/>
                  <w:tcBorders>
                    <w:top w:val="nil"/>
                    <w:left w:val="nil"/>
                    <w:bottom w:val="nil"/>
                    <w:right w:val="nil"/>
                  </w:tcBorders>
                  <w:vAlign w:val="center"/>
                </w:tcPr>
                <w:p w14:paraId="6EB64FF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-.002**</w:t>
                  </w:r>
                </w:p>
              </w:tc>
              <w:tc>
                <w:tcPr>
                  <w:tcW w:w="1223" w:type="pct"/>
                  <w:tcBorders>
                    <w:top w:val="nil"/>
                    <w:left w:val="nil"/>
                    <w:bottom w:val="nil"/>
                    <w:right w:val="nil"/>
                  </w:tcBorders>
                  <w:vAlign w:val="center"/>
                </w:tcPr>
                <w:p w14:paraId="632790A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-.001**</w:t>
                  </w:r>
                </w:p>
              </w:tc>
              <w:tc>
                <w:tcPr>
                  <w:tcW w:w="1223" w:type="pct"/>
                  <w:tcBorders>
                    <w:top w:val="nil"/>
                    <w:left w:val="nil"/>
                    <w:bottom w:val="nil"/>
                    <w:right w:val="nil"/>
                  </w:tcBorders>
                  <w:vAlign w:val="center"/>
                </w:tcPr>
                <w:p w14:paraId="7FE608B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-.001**</w:t>
                  </w:r>
                </w:p>
              </w:tc>
            </w:tr>
            <w:tr w:rsidR="00694090" w:rsidRPr="00EB468D" w14:paraId="3816A2B4" w14:textId="77777777" w:rsidTr="005A060A">
              <w:tc>
                <w:tcPr>
                  <w:tcW w:w="1331" w:type="pct"/>
                  <w:tcBorders>
                    <w:top w:val="nil"/>
                    <w:left w:val="nil"/>
                    <w:bottom w:val="nil"/>
                    <w:right w:val="nil"/>
                  </w:tcBorders>
                </w:tcPr>
                <w:p w14:paraId="5E635D65"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vAlign w:val="center"/>
                </w:tcPr>
                <w:p w14:paraId="2502E75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(-2.048)</w:t>
                  </w:r>
                </w:p>
              </w:tc>
              <w:tc>
                <w:tcPr>
                  <w:tcW w:w="1223" w:type="pct"/>
                  <w:tcBorders>
                    <w:top w:val="nil"/>
                    <w:left w:val="nil"/>
                    <w:bottom w:val="nil"/>
                    <w:right w:val="nil"/>
                  </w:tcBorders>
                  <w:vAlign w:val="center"/>
                </w:tcPr>
                <w:p w14:paraId="7B7129C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(-2.111)</w:t>
                  </w:r>
                </w:p>
              </w:tc>
              <w:tc>
                <w:tcPr>
                  <w:tcW w:w="1223" w:type="pct"/>
                  <w:tcBorders>
                    <w:top w:val="nil"/>
                    <w:left w:val="nil"/>
                    <w:bottom w:val="nil"/>
                    <w:right w:val="nil"/>
                  </w:tcBorders>
                  <w:vAlign w:val="center"/>
                </w:tcPr>
                <w:p w14:paraId="3F5B995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(-2.121)</w:t>
                  </w:r>
                </w:p>
              </w:tc>
            </w:tr>
            <w:tr w:rsidR="00694090" w:rsidRPr="00EB468D" w14:paraId="1B64A13E" w14:textId="77777777" w:rsidTr="005A060A">
              <w:tc>
                <w:tcPr>
                  <w:tcW w:w="1331" w:type="pct"/>
                  <w:tcBorders>
                    <w:top w:val="nil"/>
                    <w:left w:val="nil"/>
                    <w:bottom w:val="nil"/>
                    <w:right w:val="nil"/>
                  </w:tcBorders>
                </w:tcPr>
                <w:p w14:paraId="576CB625"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tar_assets_lastyear_ln</w:t>
                  </w:r>
                </w:p>
              </w:tc>
              <w:tc>
                <w:tcPr>
                  <w:tcW w:w="1223" w:type="pct"/>
                  <w:tcBorders>
                    <w:top w:val="nil"/>
                    <w:left w:val="nil"/>
                    <w:bottom w:val="nil"/>
                    <w:right w:val="nil"/>
                  </w:tcBorders>
                  <w:vAlign w:val="center"/>
                </w:tcPr>
                <w:p w14:paraId="009492B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-.162*</w:t>
                  </w:r>
                </w:p>
              </w:tc>
              <w:tc>
                <w:tcPr>
                  <w:tcW w:w="1223" w:type="pct"/>
                  <w:tcBorders>
                    <w:top w:val="nil"/>
                    <w:left w:val="nil"/>
                    <w:bottom w:val="nil"/>
                    <w:right w:val="nil"/>
                  </w:tcBorders>
                  <w:vAlign w:val="center"/>
                </w:tcPr>
                <w:p w14:paraId="5ECD582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-.087*</w:t>
                  </w:r>
                </w:p>
              </w:tc>
              <w:tc>
                <w:tcPr>
                  <w:tcW w:w="1223" w:type="pct"/>
                  <w:tcBorders>
                    <w:top w:val="nil"/>
                    <w:left w:val="nil"/>
                    <w:bottom w:val="nil"/>
                    <w:right w:val="nil"/>
                  </w:tcBorders>
                  <w:vAlign w:val="center"/>
                </w:tcPr>
                <w:p w14:paraId="06BCFDE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-.036</w:t>
                  </w:r>
                </w:p>
              </w:tc>
            </w:tr>
            <w:tr w:rsidR="00694090" w:rsidRPr="00EB468D" w14:paraId="446365A2" w14:textId="77777777" w:rsidTr="005A060A">
              <w:tc>
                <w:tcPr>
                  <w:tcW w:w="1331" w:type="pct"/>
                  <w:tcBorders>
                    <w:top w:val="nil"/>
                    <w:left w:val="nil"/>
                    <w:bottom w:val="nil"/>
                    <w:right w:val="nil"/>
                  </w:tcBorders>
                </w:tcPr>
                <w:p w14:paraId="7E8A8EB4"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vAlign w:val="center"/>
                </w:tcPr>
                <w:p w14:paraId="24917EA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(-1.750)</w:t>
                  </w:r>
                </w:p>
              </w:tc>
              <w:tc>
                <w:tcPr>
                  <w:tcW w:w="1223" w:type="pct"/>
                  <w:tcBorders>
                    <w:top w:val="nil"/>
                    <w:left w:val="nil"/>
                    <w:bottom w:val="nil"/>
                    <w:right w:val="nil"/>
                  </w:tcBorders>
                  <w:vAlign w:val="center"/>
                </w:tcPr>
                <w:p w14:paraId="7CB4E93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(-1.690)</w:t>
                  </w:r>
                </w:p>
              </w:tc>
              <w:tc>
                <w:tcPr>
                  <w:tcW w:w="1223" w:type="pct"/>
                  <w:tcBorders>
                    <w:top w:val="nil"/>
                    <w:left w:val="nil"/>
                    <w:bottom w:val="nil"/>
                    <w:right w:val="nil"/>
                  </w:tcBorders>
                  <w:vAlign w:val="center"/>
                </w:tcPr>
                <w:p w14:paraId="4362E7C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(-1.473)</w:t>
                  </w:r>
                </w:p>
              </w:tc>
            </w:tr>
            <w:tr w:rsidR="00694090" w:rsidRPr="00EB468D" w14:paraId="5BA321A1" w14:textId="77777777" w:rsidTr="005A060A">
              <w:tc>
                <w:tcPr>
                  <w:tcW w:w="1331" w:type="pct"/>
                  <w:tcBorders>
                    <w:top w:val="nil"/>
                    <w:left w:val="nil"/>
                    <w:bottom w:val="nil"/>
                    <w:right w:val="nil"/>
                  </w:tcBorders>
                </w:tcPr>
                <w:p w14:paraId="343EE09A"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tar_roa_lastyear</w:t>
                  </w:r>
                </w:p>
              </w:tc>
              <w:tc>
                <w:tcPr>
                  <w:tcW w:w="1223" w:type="pct"/>
                  <w:tcBorders>
                    <w:top w:val="nil"/>
                    <w:left w:val="nil"/>
                    <w:bottom w:val="nil"/>
                    <w:right w:val="nil"/>
                  </w:tcBorders>
                  <w:vAlign w:val="center"/>
                </w:tcPr>
                <w:p w14:paraId="6B3B4B3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-.382</w:t>
                  </w:r>
                </w:p>
              </w:tc>
              <w:tc>
                <w:tcPr>
                  <w:tcW w:w="1223" w:type="pct"/>
                  <w:tcBorders>
                    <w:top w:val="nil"/>
                    <w:left w:val="nil"/>
                    <w:bottom w:val="nil"/>
                    <w:right w:val="nil"/>
                  </w:tcBorders>
                  <w:vAlign w:val="center"/>
                </w:tcPr>
                <w:p w14:paraId="5CC22E1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-.246</w:t>
                  </w:r>
                </w:p>
              </w:tc>
              <w:tc>
                <w:tcPr>
                  <w:tcW w:w="1223" w:type="pct"/>
                  <w:tcBorders>
                    <w:top w:val="nil"/>
                    <w:left w:val="nil"/>
                    <w:bottom w:val="nil"/>
                    <w:right w:val="nil"/>
                  </w:tcBorders>
                  <w:vAlign w:val="center"/>
                </w:tcPr>
                <w:p w14:paraId="206EF46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-.107</w:t>
                  </w:r>
                </w:p>
              </w:tc>
            </w:tr>
            <w:tr w:rsidR="00694090" w:rsidRPr="00EB468D" w14:paraId="0D85A295" w14:textId="77777777" w:rsidTr="005A060A">
              <w:tc>
                <w:tcPr>
                  <w:tcW w:w="1331" w:type="pct"/>
                  <w:tcBorders>
                    <w:top w:val="nil"/>
                    <w:left w:val="nil"/>
                    <w:bottom w:val="nil"/>
                    <w:right w:val="nil"/>
                  </w:tcBorders>
                </w:tcPr>
                <w:p w14:paraId="1C4E1441"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vAlign w:val="center"/>
                </w:tcPr>
                <w:p w14:paraId="7A6BB14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(-1.263)</w:t>
                  </w:r>
                </w:p>
              </w:tc>
              <w:tc>
                <w:tcPr>
                  <w:tcW w:w="1223" w:type="pct"/>
                  <w:tcBorders>
                    <w:top w:val="nil"/>
                    <w:left w:val="nil"/>
                    <w:bottom w:val="nil"/>
                    <w:right w:val="nil"/>
                  </w:tcBorders>
                  <w:vAlign w:val="center"/>
                </w:tcPr>
                <w:p w14:paraId="107C6BA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(-1.411)</w:t>
                  </w:r>
                </w:p>
              </w:tc>
              <w:tc>
                <w:tcPr>
                  <w:tcW w:w="1223" w:type="pct"/>
                  <w:tcBorders>
                    <w:top w:val="nil"/>
                    <w:left w:val="nil"/>
                    <w:bottom w:val="nil"/>
                    <w:right w:val="nil"/>
                  </w:tcBorders>
                  <w:vAlign w:val="center"/>
                </w:tcPr>
                <w:p w14:paraId="10399E9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(-1.421)</w:t>
                  </w:r>
                </w:p>
              </w:tc>
            </w:tr>
            <w:tr w:rsidR="00694090" w:rsidRPr="00EB468D" w14:paraId="2B25085B" w14:textId="77777777" w:rsidTr="005A060A">
              <w:tc>
                <w:tcPr>
                  <w:tcW w:w="1331" w:type="pct"/>
                  <w:tcBorders>
                    <w:top w:val="nil"/>
                    <w:left w:val="nil"/>
                    <w:bottom w:val="nil"/>
                    <w:right w:val="nil"/>
                  </w:tcBorders>
                </w:tcPr>
                <w:p w14:paraId="5ABAE98C"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tar_mbratio</w:t>
                  </w:r>
                </w:p>
              </w:tc>
              <w:tc>
                <w:tcPr>
                  <w:tcW w:w="1223" w:type="pct"/>
                  <w:tcBorders>
                    <w:top w:val="nil"/>
                    <w:left w:val="nil"/>
                    <w:bottom w:val="nil"/>
                    <w:right w:val="nil"/>
                  </w:tcBorders>
                  <w:vAlign w:val="center"/>
                </w:tcPr>
                <w:p w14:paraId="4F9E7B4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-.010</w:t>
                  </w:r>
                </w:p>
              </w:tc>
              <w:tc>
                <w:tcPr>
                  <w:tcW w:w="1223" w:type="pct"/>
                  <w:tcBorders>
                    <w:top w:val="nil"/>
                    <w:left w:val="nil"/>
                    <w:bottom w:val="nil"/>
                    <w:right w:val="nil"/>
                  </w:tcBorders>
                  <w:vAlign w:val="center"/>
                </w:tcPr>
                <w:p w14:paraId="0DEBF6F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-.006</w:t>
                  </w:r>
                </w:p>
              </w:tc>
              <w:tc>
                <w:tcPr>
                  <w:tcW w:w="1223" w:type="pct"/>
                  <w:tcBorders>
                    <w:top w:val="nil"/>
                    <w:left w:val="nil"/>
                    <w:bottom w:val="nil"/>
                    <w:right w:val="nil"/>
                  </w:tcBorders>
                  <w:vAlign w:val="center"/>
                </w:tcPr>
                <w:p w14:paraId="306EF11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-.003</w:t>
                  </w:r>
                </w:p>
              </w:tc>
            </w:tr>
            <w:tr w:rsidR="00694090" w:rsidRPr="00EB468D" w14:paraId="333E2FC1" w14:textId="77777777" w:rsidTr="005A060A">
              <w:tc>
                <w:tcPr>
                  <w:tcW w:w="1331" w:type="pct"/>
                  <w:tcBorders>
                    <w:top w:val="nil"/>
                    <w:left w:val="nil"/>
                    <w:bottom w:val="nil"/>
                    <w:right w:val="nil"/>
                  </w:tcBorders>
                </w:tcPr>
                <w:p w14:paraId="46BE5995"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vAlign w:val="center"/>
                </w:tcPr>
                <w:p w14:paraId="0F7F90C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(-1.383)</w:t>
                  </w:r>
                </w:p>
              </w:tc>
              <w:tc>
                <w:tcPr>
                  <w:tcW w:w="1223" w:type="pct"/>
                  <w:tcBorders>
                    <w:top w:val="nil"/>
                    <w:left w:val="nil"/>
                    <w:bottom w:val="nil"/>
                    <w:right w:val="nil"/>
                  </w:tcBorders>
                  <w:vAlign w:val="center"/>
                </w:tcPr>
                <w:p w14:paraId="2BE11DF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(-1.273)</w:t>
                  </w:r>
                </w:p>
              </w:tc>
              <w:tc>
                <w:tcPr>
                  <w:tcW w:w="1223" w:type="pct"/>
                  <w:tcBorders>
                    <w:top w:val="nil"/>
                    <w:left w:val="nil"/>
                    <w:bottom w:val="nil"/>
                    <w:right w:val="nil"/>
                  </w:tcBorders>
                  <w:vAlign w:val="center"/>
                </w:tcPr>
                <w:p w14:paraId="7647957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(-1.277)</w:t>
                  </w:r>
                </w:p>
              </w:tc>
            </w:tr>
            <w:tr w:rsidR="00694090" w:rsidRPr="00EB468D" w14:paraId="33476120" w14:textId="77777777" w:rsidTr="005A060A">
              <w:tc>
                <w:tcPr>
                  <w:tcW w:w="1331" w:type="pct"/>
                  <w:tcBorders>
                    <w:top w:val="nil"/>
                    <w:left w:val="nil"/>
                    <w:bottom w:val="nil"/>
                    <w:right w:val="nil"/>
                  </w:tcBorders>
                </w:tcPr>
                <w:p w14:paraId="73BACF0F"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Observations</w:t>
                  </w:r>
                </w:p>
              </w:tc>
              <w:tc>
                <w:tcPr>
                  <w:tcW w:w="1223" w:type="pct"/>
                  <w:tcBorders>
                    <w:top w:val="nil"/>
                    <w:left w:val="nil"/>
                    <w:bottom w:val="nil"/>
                    <w:right w:val="nil"/>
                  </w:tcBorders>
                </w:tcPr>
                <w:p w14:paraId="60A66B6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238</w:t>
                  </w:r>
                </w:p>
              </w:tc>
              <w:tc>
                <w:tcPr>
                  <w:tcW w:w="1223" w:type="pct"/>
                  <w:tcBorders>
                    <w:top w:val="nil"/>
                    <w:left w:val="nil"/>
                    <w:bottom w:val="nil"/>
                    <w:right w:val="nil"/>
                  </w:tcBorders>
                </w:tcPr>
                <w:p w14:paraId="6B726F0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238</w:t>
                  </w:r>
                </w:p>
              </w:tc>
              <w:tc>
                <w:tcPr>
                  <w:tcW w:w="1223" w:type="pct"/>
                  <w:tcBorders>
                    <w:top w:val="nil"/>
                    <w:left w:val="nil"/>
                    <w:bottom w:val="nil"/>
                    <w:right w:val="nil"/>
                  </w:tcBorders>
                </w:tcPr>
                <w:p w14:paraId="201A7D5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238</w:t>
                  </w:r>
                </w:p>
              </w:tc>
            </w:tr>
            <w:tr w:rsidR="00694090" w:rsidRPr="00EB468D" w14:paraId="283D94CC" w14:textId="77777777" w:rsidTr="005A060A">
              <w:tc>
                <w:tcPr>
                  <w:tcW w:w="1331" w:type="pct"/>
                  <w:tcBorders>
                    <w:top w:val="nil"/>
                    <w:left w:val="nil"/>
                    <w:bottom w:val="nil"/>
                    <w:right w:val="nil"/>
                  </w:tcBorders>
                </w:tcPr>
                <w:p w14:paraId="5465DF64"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Adj R2</w:t>
                  </w:r>
                </w:p>
              </w:tc>
              <w:tc>
                <w:tcPr>
                  <w:tcW w:w="1223" w:type="pct"/>
                  <w:tcBorders>
                    <w:top w:val="nil"/>
                    <w:left w:val="nil"/>
                    <w:bottom w:val="nil"/>
                    <w:right w:val="nil"/>
                  </w:tcBorders>
                  <w:vAlign w:val="center"/>
                </w:tcPr>
                <w:p w14:paraId="6337E63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.184</w:t>
                  </w:r>
                </w:p>
              </w:tc>
              <w:tc>
                <w:tcPr>
                  <w:tcW w:w="1223" w:type="pct"/>
                  <w:tcBorders>
                    <w:top w:val="nil"/>
                    <w:left w:val="nil"/>
                    <w:bottom w:val="nil"/>
                    <w:right w:val="nil"/>
                  </w:tcBorders>
                  <w:vAlign w:val="center"/>
                </w:tcPr>
                <w:p w14:paraId="728741C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.198</w:t>
                  </w:r>
                </w:p>
              </w:tc>
              <w:tc>
                <w:tcPr>
                  <w:tcW w:w="1223" w:type="pct"/>
                  <w:tcBorders>
                    <w:top w:val="nil"/>
                    <w:left w:val="nil"/>
                    <w:bottom w:val="nil"/>
                    <w:right w:val="nil"/>
                  </w:tcBorders>
                  <w:vAlign w:val="center"/>
                </w:tcPr>
                <w:p w14:paraId="49F3C79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.217</w:t>
                  </w:r>
                </w:p>
              </w:tc>
            </w:tr>
            <w:tr w:rsidR="00694090" w:rsidRPr="00EB468D" w14:paraId="7FE41444" w14:textId="77777777" w:rsidTr="005A060A">
              <w:tc>
                <w:tcPr>
                  <w:tcW w:w="1331" w:type="pct"/>
                  <w:tcBorders>
                    <w:top w:val="nil"/>
                    <w:left w:val="nil"/>
                    <w:bottom w:val="nil"/>
                    <w:right w:val="nil"/>
                  </w:tcBorders>
                </w:tcPr>
                <w:p w14:paraId="5D8229E1"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Industry FE</w:t>
                  </w:r>
                </w:p>
              </w:tc>
              <w:tc>
                <w:tcPr>
                  <w:tcW w:w="1223" w:type="pct"/>
                  <w:tcBorders>
                    <w:top w:val="nil"/>
                    <w:left w:val="nil"/>
                    <w:bottom w:val="nil"/>
                    <w:right w:val="nil"/>
                  </w:tcBorders>
                </w:tcPr>
                <w:p w14:paraId="658D796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c>
                <w:tcPr>
                  <w:tcW w:w="1223" w:type="pct"/>
                  <w:tcBorders>
                    <w:top w:val="nil"/>
                    <w:left w:val="nil"/>
                    <w:bottom w:val="nil"/>
                    <w:right w:val="nil"/>
                  </w:tcBorders>
                </w:tcPr>
                <w:p w14:paraId="7F78188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c>
                <w:tcPr>
                  <w:tcW w:w="1223" w:type="pct"/>
                  <w:tcBorders>
                    <w:top w:val="nil"/>
                    <w:left w:val="nil"/>
                    <w:bottom w:val="nil"/>
                    <w:right w:val="nil"/>
                  </w:tcBorders>
                </w:tcPr>
                <w:p w14:paraId="3D51A2E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r>
            <w:tr w:rsidR="00694090" w:rsidRPr="00EB468D" w14:paraId="2892A106" w14:textId="77777777" w:rsidTr="005A060A">
              <w:tc>
                <w:tcPr>
                  <w:tcW w:w="1331" w:type="pct"/>
                  <w:tcBorders>
                    <w:top w:val="nil"/>
                    <w:left w:val="nil"/>
                    <w:bottom w:val="nil"/>
                    <w:right w:val="nil"/>
                  </w:tcBorders>
                </w:tcPr>
                <w:p w14:paraId="6BEA816B"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Year FE</w:t>
                  </w:r>
                </w:p>
              </w:tc>
              <w:tc>
                <w:tcPr>
                  <w:tcW w:w="1223" w:type="pct"/>
                  <w:tcBorders>
                    <w:top w:val="nil"/>
                    <w:left w:val="nil"/>
                    <w:bottom w:val="nil"/>
                    <w:right w:val="nil"/>
                  </w:tcBorders>
                </w:tcPr>
                <w:p w14:paraId="1E73C48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c>
                <w:tcPr>
                  <w:tcW w:w="1223" w:type="pct"/>
                  <w:tcBorders>
                    <w:top w:val="nil"/>
                    <w:left w:val="nil"/>
                    <w:bottom w:val="nil"/>
                    <w:right w:val="nil"/>
                  </w:tcBorders>
                </w:tcPr>
                <w:p w14:paraId="5A46729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 xml:space="preserve"> Yes</w:t>
                  </w:r>
                </w:p>
              </w:tc>
              <w:tc>
                <w:tcPr>
                  <w:tcW w:w="1223" w:type="pct"/>
                  <w:tcBorders>
                    <w:top w:val="nil"/>
                    <w:left w:val="nil"/>
                    <w:bottom w:val="nil"/>
                    <w:right w:val="nil"/>
                  </w:tcBorders>
                </w:tcPr>
                <w:p w14:paraId="5BA6C9A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 xml:space="preserve"> Yes</w:t>
                  </w:r>
                </w:p>
              </w:tc>
            </w:tr>
          </w:tbl>
          <w:p w14:paraId="1C38341B" w14:textId="77777777" w:rsidR="00694090" w:rsidRPr="00EB468D" w:rsidRDefault="00694090" w:rsidP="00AB066F">
            <w:pPr>
              <w:jc w:val="left"/>
              <w:rPr>
                <w:color w:val="000000" w:themeColor="text1"/>
                <w:sz w:val="22"/>
                <w:lang w:val="en-US"/>
              </w:rPr>
            </w:pPr>
          </w:p>
        </w:tc>
      </w:tr>
      <w:tr w:rsidR="00694090" w:rsidRPr="00BE5632" w14:paraId="51980C91" w14:textId="77777777" w:rsidTr="005A060A">
        <w:trPr>
          <w:trHeight w:val="132"/>
        </w:trPr>
        <w:tc>
          <w:tcPr>
            <w:tcW w:w="9072" w:type="dxa"/>
            <w:tcBorders>
              <w:top w:val="single" w:sz="4" w:space="0" w:color="auto"/>
              <w:left w:val="nil"/>
              <w:right w:val="nil"/>
            </w:tcBorders>
            <w:shd w:val="clear" w:color="auto" w:fill="auto"/>
            <w:noWrap/>
          </w:tcPr>
          <w:p w14:paraId="6008EDCF" w14:textId="77777777" w:rsidR="00694090" w:rsidRPr="00EB468D" w:rsidRDefault="00694090" w:rsidP="003108A1">
            <w:pPr>
              <w:spacing w:before="120" w:line="240" w:lineRule="auto"/>
              <w:rPr>
                <w:color w:val="000000" w:themeColor="text1"/>
                <w:sz w:val="22"/>
                <w:lang w:val="en-US"/>
              </w:rPr>
            </w:pPr>
            <w:r w:rsidRPr="00EB468D">
              <w:rPr>
                <w:i/>
                <w:iCs/>
                <w:color w:val="000000" w:themeColor="text1"/>
                <w:sz w:val="22"/>
                <w:lang w:val="en-US"/>
              </w:rPr>
              <w:t>Note</w:t>
            </w:r>
            <w:r w:rsidRPr="00EB468D">
              <w:rPr>
                <w:color w:val="000000" w:themeColor="text1"/>
                <w:sz w:val="22"/>
                <w:lang w:val="en-US"/>
              </w:rPr>
              <w:t xml:space="preserve">. This table reports fixed effects linear OLS regression results predicting the effect of organizational cultural distance between acquirers and targets on deal announcement cumulative abnormal returns (CARs). The dependent variable for Models 1 and 2 is the acquirer’s cumulative abnormal return, with the day range being centered around announcement given in brackets. The dependent variable for Model 3 is the market value-weighted cumulative abnormal return of the acquirer and target. The main independent variable in Models 1-3 is </w:t>
            </w:r>
            <w:r w:rsidRPr="00EB468D">
              <w:rPr>
                <w:i/>
                <w:color w:val="000000" w:themeColor="text1"/>
                <w:sz w:val="22"/>
                <w:lang w:val="en-US"/>
              </w:rPr>
              <w:t xml:space="preserve">deal_culturaldistance </w:t>
            </w:r>
            <w:r w:rsidRPr="00EB468D">
              <w:rPr>
                <w:color w:val="000000" w:themeColor="text1"/>
                <w:sz w:val="22"/>
                <w:lang w:val="en-US"/>
              </w:rPr>
              <w:t xml:space="preserve">with higher </w:t>
            </w:r>
            <w:r w:rsidRPr="00EB468D">
              <w:rPr>
                <w:color w:val="000000" w:themeColor="text1"/>
                <w:sz w:val="22"/>
                <w:lang w:val="en-US"/>
              </w:rPr>
              <w:lastRenderedPageBreak/>
              <w:t>values indicating higher cultural dissimilarities between the acquirer and target. A detailed variable description can be found in Appendix B. Toehold deals, where the acquirer held shares in the target prior to the announcement of the deal, are excluded from the analysis. Constant terms are estimated but not reported. We include the acquirer’s industry and year fixed effects in all models. We cluster standard errors at the 2-digit SIC industry level. t-statistics are reported in parentheses below the coefficients. *, **, *** denote statistical significance at the .10, .05, and .01 levels (using two-tailed tests).</w:t>
            </w:r>
          </w:p>
        </w:tc>
      </w:tr>
    </w:tbl>
    <w:p w14:paraId="2E9F9F88" w14:textId="77777777" w:rsidR="009579F1" w:rsidRDefault="009579F1">
      <w:pPr>
        <w:spacing w:after="160" w:line="259" w:lineRule="auto"/>
        <w:jc w:val="left"/>
        <w:rPr>
          <w:rStyle w:val="SchwacherVerweis"/>
          <w:rFonts w:eastAsiaTheme="majorEastAsia" w:cstheme="majorBidi"/>
          <w:b/>
          <w:caps/>
          <w:smallCaps w:val="0"/>
          <w:color w:val="auto"/>
          <w:szCs w:val="32"/>
          <w:lang w:val="en-US"/>
        </w:rPr>
      </w:pPr>
      <w:r w:rsidRPr="007441F5">
        <w:rPr>
          <w:rStyle w:val="SchwacherVerweis"/>
          <w:smallCaps w:val="0"/>
          <w:color w:val="auto"/>
          <w:lang w:val="en-US"/>
        </w:rPr>
        <w:br w:type="page"/>
      </w:r>
    </w:p>
    <w:p w14:paraId="5898DB42" w14:textId="21B4C2BD" w:rsidR="003C5E32" w:rsidRPr="00666A10" w:rsidRDefault="003C5E32" w:rsidP="00666A10">
      <w:pPr>
        <w:pStyle w:val="1fake"/>
        <w:rPr>
          <w:rStyle w:val="SchwacherVerweis"/>
          <w:smallCaps w:val="0"/>
          <w:color w:val="auto"/>
        </w:rPr>
      </w:pPr>
      <w:r w:rsidRPr="00666A10">
        <w:rPr>
          <w:rStyle w:val="SchwacherVerweis"/>
          <w:smallCaps w:val="0"/>
          <w:color w:val="auto"/>
        </w:rPr>
        <w:lastRenderedPageBreak/>
        <w:t>Online Supplement 6</w:t>
      </w:r>
    </w:p>
    <w:p w14:paraId="452CBAB9" w14:textId="3D26B9C7" w:rsidR="004F7333" w:rsidRPr="009579F1" w:rsidRDefault="004F7333" w:rsidP="004F7333">
      <w:pPr>
        <w:pStyle w:val="Beschriftung"/>
      </w:pPr>
      <w:bookmarkStart w:id="625" w:name="_Toc180594852"/>
      <w:r>
        <w:t xml:space="preserve">T - III - </w:t>
      </w:r>
      <w:r>
        <w:fldChar w:fldCharType="begin"/>
      </w:r>
      <w:r>
        <w:instrText xml:space="preserve"> SEQ T_-_III_- \* ARABIC </w:instrText>
      </w:r>
      <w:r>
        <w:fldChar w:fldCharType="separate"/>
      </w:r>
      <w:r w:rsidR="00E91088">
        <w:rPr>
          <w:noProof/>
        </w:rPr>
        <w:t>16</w:t>
      </w:r>
      <w:r>
        <w:fldChar w:fldCharType="end"/>
      </w:r>
      <w:r>
        <w:t xml:space="preserve">: </w:t>
      </w:r>
      <w:r w:rsidRPr="00E75AAE">
        <w:t>H1b: Long-term operating synergies - No toehold deals</w:t>
      </w:r>
      <w:bookmarkEnd w:id="625"/>
    </w:p>
    <w:tbl>
      <w:tblPr>
        <w:tblW w:w="9072" w:type="dxa"/>
        <w:tblLayout w:type="fixed"/>
        <w:tblLook w:val="04A0" w:firstRow="1" w:lastRow="0" w:firstColumn="1" w:lastColumn="0" w:noHBand="0" w:noVBand="1"/>
      </w:tblPr>
      <w:tblGrid>
        <w:gridCol w:w="9072"/>
      </w:tblGrid>
      <w:tr w:rsidR="00694090" w:rsidRPr="00EB468D" w14:paraId="5EC1F9F2" w14:textId="77777777" w:rsidTr="006D06D3">
        <w:trPr>
          <w:trHeight w:val="909"/>
        </w:trPr>
        <w:tc>
          <w:tcPr>
            <w:tcW w:w="5000" w:type="pct"/>
            <w:tcBorders>
              <w:left w:val="nil"/>
              <w:bottom w:val="single" w:sz="4" w:space="0" w:color="auto"/>
              <w:right w:val="nil"/>
            </w:tcBorders>
            <w:shd w:val="clear" w:color="auto" w:fill="auto"/>
          </w:tcPr>
          <w:tbl>
            <w:tblPr>
              <w:tblW w:w="8959" w:type="dxa"/>
              <w:jc w:val="center"/>
              <w:tblLayout w:type="fixed"/>
              <w:tblLook w:val="0000" w:firstRow="0" w:lastRow="0" w:firstColumn="0" w:lastColumn="0" w:noHBand="0" w:noVBand="0"/>
            </w:tblPr>
            <w:tblGrid>
              <w:gridCol w:w="2987"/>
              <w:gridCol w:w="2986"/>
              <w:gridCol w:w="2986"/>
            </w:tblGrid>
            <w:tr w:rsidR="00694090" w:rsidRPr="00EB468D" w14:paraId="0BC73BD3" w14:textId="77777777" w:rsidTr="002045D9">
              <w:trPr>
                <w:jc w:val="center"/>
              </w:trPr>
              <w:tc>
                <w:tcPr>
                  <w:tcW w:w="3231" w:type="dxa"/>
                  <w:tcBorders>
                    <w:top w:val="single" w:sz="4" w:space="0" w:color="auto"/>
                    <w:left w:val="nil"/>
                    <w:right w:val="nil"/>
                  </w:tcBorders>
                </w:tcPr>
                <w:p w14:paraId="2E9A0B8B"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 xml:space="preserve">   </w:t>
                  </w:r>
                </w:p>
              </w:tc>
              <w:tc>
                <w:tcPr>
                  <w:tcW w:w="3231" w:type="dxa"/>
                  <w:tcBorders>
                    <w:top w:val="single" w:sz="4" w:space="0" w:color="auto"/>
                    <w:left w:val="nil"/>
                    <w:right w:val="nil"/>
                  </w:tcBorders>
                </w:tcPr>
                <w:p w14:paraId="66B9B128"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(1)</w:t>
                  </w:r>
                </w:p>
              </w:tc>
              <w:tc>
                <w:tcPr>
                  <w:tcW w:w="3231" w:type="dxa"/>
                  <w:tcBorders>
                    <w:top w:val="single" w:sz="4" w:space="0" w:color="auto"/>
                    <w:left w:val="nil"/>
                    <w:right w:val="nil"/>
                  </w:tcBorders>
                </w:tcPr>
                <w:p w14:paraId="7CCE2751"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(2)</w:t>
                  </w:r>
                </w:p>
              </w:tc>
            </w:tr>
            <w:tr w:rsidR="00694090" w:rsidRPr="00EB468D" w14:paraId="2BA0DD44" w14:textId="77777777" w:rsidTr="002045D9">
              <w:trPr>
                <w:jc w:val="center"/>
              </w:trPr>
              <w:tc>
                <w:tcPr>
                  <w:tcW w:w="3231" w:type="dxa"/>
                  <w:tcBorders>
                    <w:top w:val="nil"/>
                    <w:left w:val="nil"/>
                    <w:bottom w:val="single" w:sz="4" w:space="0" w:color="auto"/>
                    <w:right w:val="nil"/>
                  </w:tcBorders>
                </w:tcPr>
                <w:p w14:paraId="754EC89E"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 xml:space="preserve">   </w:t>
                  </w:r>
                </w:p>
              </w:tc>
              <w:tc>
                <w:tcPr>
                  <w:tcW w:w="3231" w:type="dxa"/>
                  <w:tcBorders>
                    <w:top w:val="nil"/>
                    <w:left w:val="nil"/>
                    <w:bottom w:val="single" w:sz="4" w:space="0" w:color="auto"/>
                    <w:right w:val="nil"/>
                  </w:tcBorders>
                </w:tcPr>
                <w:p w14:paraId="6A7353BA"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acq_sales_2yr_growth</w:t>
                  </w:r>
                </w:p>
              </w:tc>
              <w:tc>
                <w:tcPr>
                  <w:tcW w:w="3231" w:type="dxa"/>
                  <w:tcBorders>
                    <w:top w:val="nil"/>
                    <w:left w:val="nil"/>
                    <w:bottom w:val="single" w:sz="4" w:space="0" w:color="auto"/>
                    <w:right w:val="nil"/>
                  </w:tcBorders>
                </w:tcPr>
                <w:p w14:paraId="655FEA00"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acq_sales_4yr_growth</w:t>
                  </w:r>
                </w:p>
              </w:tc>
            </w:tr>
            <w:tr w:rsidR="00694090" w:rsidRPr="00EB468D" w14:paraId="036B463D" w14:textId="77777777" w:rsidTr="002045D9">
              <w:trPr>
                <w:trHeight w:val="224"/>
                <w:jc w:val="center"/>
              </w:trPr>
              <w:tc>
                <w:tcPr>
                  <w:tcW w:w="3231" w:type="dxa"/>
                  <w:tcBorders>
                    <w:top w:val="single" w:sz="4" w:space="0" w:color="auto"/>
                    <w:left w:val="nil"/>
                    <w:bottom w:val="nil"/>
                    <w:right w:val="nil"/>
                  </w:tcBorders>
                </w:tcPr>
                <w:p w14:paraId="55553652"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deal_culturaldistance</w:t>
                  </w:r>
                </w:p>
              </w:tc>
              <w:tc>
                <w:tcPr>
                  <w:tcW w:w="3231" w:type="dxa"/>
                  <w:tcBorders>
                    <w:top w:val="single" w:sz="4" w:space="0" w:color="auto"/>
                    <w:left w:val="nil"/>
                    <w:bottom w:val="nil"/>
                    <w:right w:val="nil"/>
                  </w:tcBorders>
                  <w:vAlign w:val="center"/>
                </w:tcPr>
                <w:p w14:paraId="4111BF9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-.004**</w:t>
                  </w:r>
                </w:p>
              </w:tc>
              <w:tc>
                <w:tcPr>
                  <w:tcW w:w="3231" w:type="dxa"/>
                  <w:tcBorders>
                    <w:top w:val="single" w:sz="4" w:space="0" w:color="auto"/>
                    <w:left w:val="nil"/>
                    <w:bottom w:val="nil"/>
                    <w:right w:val="nil"/>
                  </w:tcBorders>
                  <w:vAlign w:val="center"/>
                </w:tcPr>
                <w:p w14:paraId="60F072A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-.004</w:t>
                  </w:r>
                </w:p>
              </w:tc>
            </w:tr>
            <w:tr w:rsidR="00694090" w:rsidRPr="00EB468D" w14:paraId="5D567CCC" w14:textId="77777777" w:rsidTr="002045D9">
              <w:trPr>
                <w:jc w:val="center"/>
              </w:trPr>
              <w:tc>
                <w:tcPr>
                  <w:tcW w:w="3231" w:type="dxa"/>
                  <w:tcBorders>
                    <w:top w:val="nil"/>
                    <w:left w:val="nil"/>
                    <w:bottom w:val="nil"/>
                    <w:right w:val="nil"/>
                  </w:tcBorders>
                </w:tcPr>
                <w:p w14:paraId="45725645"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4E64732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(-2.290)</w:t>
                  </w:r>
                </w:p>
              </w:tc>
              <w:tc>
                <w:tcPr>
                  <w:tcW w:w="3231" w:type="dxa"/>
                  <w:tcBorders>
                    <w:top w:val="nil"/>
                    <w:left w:val="nil"/>
                    <w:bottom w:val="nil"/>
                    <w:right w:val="nil"/>
                  </w:tcBorders>
                  <w:vAlign w:val="center"/>
                </w:tcPr>
                <w:p w14:paraId="7EA3649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(-1.552)</w:t>
                  </w:r>
                </w:p>
              </w:tc>
            </w:tr>
            <w:tr w:rsidR="00694090" w:rsidRPr="00EB468D" w14:paraId="5A7DC61C" w14:textId="77777777" w:rsidTr="002045D9">
              <w:trPr>
                <w:jc w:val="center"/>
              </w:trPr>
              <w:tc>
                <w:tcPr>
                  <w:tcW w:w="3231" w:type="dxa"/>
                  <w:tcBorders>
                    <w:top w:val="nil"/>
                    <w:left w:val="nil"/>
                    <w:bottom w:val="nil"/>
                    <w:right w:val="nil"/>
                  </w:tcBorders>
                </w:tcPr>
                <w:p w14:paraId="59FE81D6"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deal_value_ln</w:t>
                  </w:r>
                </w:p>
              </w:tc>
              <w:tc>
                <w:tcPr>
                  <w:tcW w:w="3231" w:type="dxa"/>
                  <w:tcBorders>
                    <w:top w:val="nil"/>
                    <w:left w:val="nil"/>
                    <w:bottom w:val="nil"/>
                    <w:right w:val="nil"/>
                  </w:tcBorders>
                  <w:vAlign w:val="center"/>
                </w:tcPr>
                <w:p w14:paraId="13C7E5E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-.035</w:t>
                  </w:r>
                </w:p>
              </w:tc>
              <w:tc>
                <w:tcPr>
                  <w:tcW w:w="3231" w:type="dxa"/>
                  <w:tcBorders>
                    <w:top w:val="nil"/>
                    <w:left w:val="nil"/>
                    <w:bottom w:val="nil"/>
                    <w:right w:val="nil"/>
                  </w:tcBorders>
                  <w:vAlign w:val="center"/>
                </w:tcPr>
                <w:p w14:paraId="76CABB3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-.013</w:t>
                  </w:r>
                </w:p>
              </w:tc>
            </w:tr>
            <w:tr w:rsidR="00694090" w:rsidRPr="00EB468D" w14:paraId="5B692B30" w14:textId="77777777" w:rsidTr="002045D9">
              <w:trPr>
                <w:jc w:val="center"/>
              </w:trPr>
              <w:tc>
                <w:tcPr>
                  <w:tcW w:w="3231" w:type="dxa"/>
                  <w:tcBorders>
                    <w:top w:val="nil"/>
                    <w:left w:val="nil"/>
                    <w:bottom w:val="nil"/>
                    <w:right w:val="nil"/>
                  </w:tcBorders>
                </w:tcPr>
                <w:p w14:paraId="26260DCB"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1CEBF49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(-.992)</w:t>
                  </w:r>
                </w:p>
              </w:tc>
              <w:tc>
                <w:tcPr>
                  <w:tcW w:w="3231" w:type="dxa"/>
                  <w:tcBorders>
                    <w:top w:val="nil"/>
                    <w:left w:val="nil"/>
                    <w:bottom w:val="nil"/>
                    <w:right w:val="nil"/>
                  </w:tcBorders>
                  <w:vAlign w:val="center"/>
                </w:tcPr>
                <w:p w14:paraId="2314435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(-.560)</w:t>
                  </w:r>
                </w:p>
              </w:tc>
            </w:tr>
            <w:tr w:rsidR="00694090" w:rsidRPr="00EB468D" w14:paraId="17E4B02C" w14:textId="77777777" w:rsidTr="002045D9">
              <w:trPr>
                <w:jc w:val="center"/>
              </w:trPr>
              <w:tc>
                <w:tcPr>
                  <w:tcW w:w="3231" w:type="dxa"/>
                  <w:tcBorders>
                    <w:top w:val="nil"/>
                    <w:left w:val="nil"/>
                    <w:bottom w:val="nil"/>
                    <w:right w:val="nil"/>
                  </w:tcBorders>
                </w:tcPr>
                <w:p w14:paraId="6CAAB98F"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deal_hofstede_distance</w:t>
                  </w:r>
                </w:p>
              </w:tc>
              <w:tc>
                <w:tcPr>
                  <w:tcW w:w="3231" w:type="dxa"/>
                  <w:tcBorders>
                    <w:top w:val="nil"/>
                    <w:left w:val="nil"/>
                    <w:bottom w:val="nil"/>
                    <w:right w:val="nil"/>
                  </w:tcBorders>
                  <w:vAlign w:val="center"/>
                </w:tcPr>
                <w:p w14:paraId="6C9D9D1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-.068</w:t>
                  </w:r>
                </w:p>
              </w:tc>
              <w:tc>
                <w:tcPr>
                  <w:tcW w:w="3231" w:type="dxa"/>
                  <w:tcBorders>
                    <w:top w:val="nil"/>
                    <w:left w:val="nil"/>
                    <w:bottom w:val="nil"/>
                    <w:right w:val="nil"/>
                  </w:tcBorders>
                  <w:vAlign w:val="center"/>
                </w:tcPr>
                <w:p w14:paraId="75A00B7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-.143</w:t>
                  </w:r>
                </w:p>
              </w:tc>
            </w:tr>
            <w:tr w:rsidR="00694090" w:rsidRPr="00EB468D" w14:paraId="5C3387ED" w14:textId="77777777" w:rsidTr="002045D9">
              <w:trPr>
                <w:jc w:val="center"/>
              </w:trPr>
              <w:tc>
                <w:tcPr>
                  <w:tcW w:w="3231" w:type="dxa"/>
                  <w:tcBorders>
                    <w:top w:val="nil"/>
                    <w:left w:val="nil"/>
                    <w:bottom w:val="nil"/>
                    <w:right w:val="nil"/>
                  </w:tcBorders>
                </w:tcPr>
                <w:p w14:paraId="3B4736AA"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3608F7D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(-.294)</w:t>
                  </w:r>
                </w:p>
              </w:tc>
              <w:tc>
                <w:tcPr>
                  <w:tcW w:w="3231" w:type="dxa"/>
                  <w:tcBorders>
                    <w:top w:val="nil"/>
                    <w:left w:val="nil"/>
                    <w:bottom w:val="nil"/>
                    <w:right w:val="nil"/>
                  </w:tcBorders>
                  <w:vAlign w:val="center"/>
                </w:tcPr>
                <w:p w14:paraId="1117E18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(-.484)</w:t>
                  </w:r>
                </w:p>
              </w:tc>
            </w:tr>
            <w:tr w:rsidR="00694090" w:rsidRPr="00EB468D" w14:paraId="0F363D03" w14:textId="77777777" w:rsidTr="002045D9">
              <w:trPr>
                <w:jc w:val="center"/>
              </w:trPr>
              <w:tc>
                <w:tcPr>
                  <w:tcW w:w="3231" w:type="dxa"/>
                  <w:tcBorders>
                    <w:top w:val="nil"/>
                    <w:left w:val="nil"/>
                    <w:bottom w:val="nil"/>
                    <w:right w:val="nil"/>
                  </w:tcBorders>
                </w:tcPr>
                <w:p w14:paraId="3FF27C6B"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deal_all_cash_dummy</w:t>
                  </w:r>
                </w:p>
              </w:tc>
              <w:tc>
                <w:tcPr>
                  <w:tcW w:w="3231" w:type="dxa"/>
                  <w:tcBorders>
                    <w:top w:val="nil"/>
                    <w:left w:val="nil"/>
                    <w:bottom w:val="nil"/>
                    <w:right w:val="nil"/>
                  </w:tcBorders>
                  <w:vAlign w:val="center"/>
                </w:tcPr>
                <w:p w14:paraId="549BEF3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-.021</w:t>
                  </w:r>
                </w:p>
              </w:tc>
              <w:tc>
                <w:tcPr>
                  <w:tcW w:w="3231" w:type="dxa"/>
                  <w:tcBorders>
                    <w:top w:val="nil"/>
                    <w:left w:val="nil"/>
                    <w:bottom w:val="nil"/>
                    <w:right w:val="nil"/>
                  </w:tcBorders>
                  <w:vAlign w:val="center"/>
                </w:tcPr>
                <w:p w14:paraId="7D35ACE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-.065**</w:t>
                  </w:r>
                </w:p>
              </w:tc>
            </w:tr>
            <w:tr w:rsidR="00694090" w:rsidRPr="00EB468D" w14:paraId="0B20791B" w14:textId="77777777" w:rsidTr="002045D9">
              <w:trPr>
                <w:jc w:val="center"/>
              </w:trPr>
              <w:tc>
                <w:tcPr>
                  <w:tcW w:w="3231" w:type="dxa"/>
                  <w:tcBorders>
                    <w:top w:val="nil"/>
                    <w:left w:val="nil"/>
                    <w:bottom w:val="nil"/>
                    <w:right w:val="nil"/>
                  </w:tcBorders>
                </w:tcPr>
                <w:p w14:paraId="2ECF4693"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60D34ED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(-.379)</w:t>
                  </w:r>
                </w:p>
              </w:tc>
              <w:tc>
                <w:tcPr>
                  <w:tcW w:w="3231" w:type="dxa"/>
                  <w:tcBorders>
                    <w:top w:val="nil"/>
                    <w:left w:val="nil"/>
                    <w:bottom w:val="nil"/>
                    <w:right w:val="nil"/>
                  </w:tcBorders>
                  <w:vAlign w:val="center"/>
                </w:tcPr>
                <w:p w14:paraId="25856FD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(-2.153)</w:t>
                  </w:r>
                </w:p>
              </w:tc>
            </w:tr>
            <w:tr w:rsidR="00694090" w:rsidRPr="00EB468D" w14:paraId="7CAC2444" w14:textId="77777777" w:rsidTr="002045D9">
              <w:trPr>
                <w:jc w:val="center"/>
              </w:trPr>
              <w:tc>
                <w:tcPr>
                  <w:tcW w:w="3231" w:type="dxa"/>
                  <w:tcBorders>
                    <w:top w:val="nil"/>
                    <w:left w:val="nil"/>
                    <w:bottom w:val="nil"/>
                    <w:right w:val="nil"/>
                  </w:tcBorders>
                </w:tcPr>
                <w:p w14:paraId="77D2A6CB"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deal_all_stock_dummy</w:t>
                  </w:r>
                </w:p>
              </w:tc>
              <w:tc>
                <w:tcPr>
                  <w:tcW w:w="3231" w:type="dxa"/>
                  <w:tcBorders>
                    <w:top w:val="nil"/>
                    <w:left w:val="nil"/>
                    <w:bottom w:val="nil"/>
                    <w:right w:val="nil"/>
                  </w:tcBorders>
                  <w:vAlign w:val="center"/>
                </w:tcPr>
                <w:p w14:paraId="6755BD7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.011</w:t>
                  </w:r>
                </w:p>
              </w:tc>
              <w:tc>
                <w:tcPr>
                  <w:tcW w:w="3231" w:type="dxa"/>
                  <w:tcBorders>
                    <w:top w:val="nil"/>
                    <w:left w:val="nil"/>
                    <w:bottom w:val="nil"/>
                    <w:right w:val="nil"/>
                  </w:tcBorders>
                  <w:vAlign w:val="center"/>
                </w:tcPr>
                <w:p w14:paraId="5F528B0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-.032</w:t>
                  </w:r>
                </w:p>
              </w:tc>
            </w:tr>
            <w:tr w:rsidR="00694090" w:rsidRPr="00EB468D" w14:paraId="416BB7CF" w14:textId="77777777" w:rsidTr="002045D9">
              <w:trPr>
                <w:jc w:val="center"/>
              </w:trPr>
              <w:tc>
                <w:tcPr>
                  <w:tcW w:w="3231" w:type="dxa"/>
                  <w:tcBorders>
                    <w:top w:val="nil"/>
                    <w:left w:val="nil"/>
                    <w:bottom w:val="nil"/>
                    <w:right w:val="nil"/>
                  </w:tcBorders>
                </w:tcPr>
                <w:p w14:paraId="72F842A8"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39220DE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(.093)</w:t>
                  </w:r>
                </w:p>
              </w:tc>
              <w:tc>
                <w:tcPr>
                  <w:tcW w:w="3231" w:type="dxa"/>
                  <w:tcBorders>
                    <w:top w:val="nil"/>
                    <w:left w:val="nil"/>
                    <w:bottom w:val="nil"/>
                    <w:right w:val="nil"/>
                  </w:tcBorders>
                  <w:vAlign w:val="center"/>
                </w:tcPr>
                <w:p w14:paraId="6A7C664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(-.474)</w:t>
                  </w:r>
                </w:p>
              </w:tc>
            </w:tr>
            <w:tr w:rsidR="00694090" w:rsidRPr="00EB468D" w14:paraId="79362BE0" w14:textId="77777777" w:rsidTr="002045D9">
              <w:trPr>
                <w:jc w:val="center"/>
              </w:trPr>
              <w:tc>
                <w:tcPr>
                  <w:tcW w:w="3231" w:type="dxa"/>
                  <w:tcBorders>
                    <w:top w:val="nil"/>
                    <w:left w:val="nil"/>
                    <w:bottom w:val="nil"/>
                    <w:right w:val="nil"/>
                  </w:tcBorders>
                </w:tcPr>
                <w:p w14:paraId="5C776520"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deal_tenderoffer_dummy</w:t>
                  </w:r>
                </w:p>
              </w:tc>
              <w:tc>
                <w:tcPr>
                  <w:tcW w:w="3231" w:type="dxa"/>
                  <w:tcBorders>
                    <w:top w:val="nil"/>
                    <w:left w:val="nil"/>
                    <w:bottom w:val="nil"/>
                    <w:right w:val="nil"/>
                  </w:tcBorders>
                  <w:vAlign w:val="center"/>
                </w:tcPr>
                <w:p w14:paraId="6B6F702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-.044</w:t>
                  </w:r>
                </w:p>
              </w:tc>
              <w:tc>
                <w:tcPr>
                  <w:tcW w:w="3231" w:type="dxa"/>
                  <w:tcBorders>
                    <w:top w:val="nil"/>
                    <w:left w:val="nil"/>
                    <w:bottom w:val="nil"/>
                    <w:right w:val="nil"/>
                  </w:tcBorders>
                  <w:vAlign w:val="center"/>
                </w:tcPr>
                <w:p w14:paraId="2D2ED88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-.014</w:t>
                  </w:r>
                </w:p>
              </w:tc>
            </w:tr>
            <w:tr w:rsidR="00694090" w:rsidRPr="00EB468D" w14:paraId="4F347637" w14:textId="77777777" w:rsidTr="002045D9">
              <w:trPr>
                <w:jc w:val="center"/>
              </w:trPr>
              <w:tc>
                <w:tcPr>
                  <w:tcW w:w="3231" w:type="dxa"/>
                  <w:tcBorders>
                    <w:top w:val="nil"/>
                    <w:left w:val="nil"/>
                    <w:bottom w:val="nil"/>
                    <w:right w:val="nil"/>
                  </w:tcBorders>
                </w:tcPr>
                <w:p w14:paraId="2E3E3958"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242AC04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(-.726)</w:t>
                  </w:r>
                </w:p>
              </w:tc>
              <w:tc>
                <w:tcPr>
                  <w:tcW w:w="3231" w:type="dxa"/>
                  <w:tcBorders>
                    <w:top w:val="nil"/>
                    <w:left w:val="nil"/>
                    <w:bottom w:val="nil"/>
                    <w:right w:val="nil"/>
                  </w:tcBorders>
                  <w:vAlign w:val="center"/>
                </w:tcPr>
                <w:p w14:paraId="17205A4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(-.320)</w:t>
                  </w:r>
                </w:p>
              </w:tc>
            </w:tr>
            <w:tr w:rsidR="00694090" w:rsidRPr="00EB468D" w14:paraId="2231DD8D" w14:textId="77777777" w:rsidTr="002045D9">
              <w:trPr>
                <w:jc w:val="center"/>
              </w:trPr>
              <w:tc>
                <w:tcPr>
                  <w:tcW w:w="3231" w:type="dxa"/>
                  <w:tcBorders>
                    <w:top w:val="nil"/>
                    <w:left w:val="nil"/>
                    <w:bottom w:val="nil"/>
                    <w:right w:val="nil"/>
                  </w:tcBorders>
                </w:tcPr>
                <w:p w14:paraId="2AA7F1B3"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deal_friendly_dummy</w:t>
                  </w:r>
                </w:p>
              </w:tc>
              <w:tc>
                <w:tcPr>
                  <w:tcW w:w="3231" w:type="dxa"/>
                  <w:tcBorders>
                    <w:top w:val="nil"/>
                    <w:left w:val="nil"/>
                    <w:bottom w:val="nil"/>
                    <w:right w:val="nil"/>
                  </w:tcBorders>
                  <w:vAlign w:val="center"/>
                </w:tcPr>
                <w:p w14:paraId="07F0321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.203**</w:t>
                  </w:r>
                </w:p>
              </w:tc>
              <w:tc>
                <w:tcPr>
                  <w:tcW w:w="3231" w:type="dxa"/>
                  <w:tcBorders>
                    <w:top w:val="nil"/>
                    <w:left w:val="nil"/>
                    <w:bottom w:val="nil"/>
                    <w:right w:val="nil"/>
                  </w:tcBorders>
                </w:tcPr>
                <w:p w14:paraId="24BDD8C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w:t>
                  </w:r>
                </w:p>
              </w:tc>
            </w:tr>
            <w:tr w:rsidR="00694090" w:rsidRPr="00EB468D" w14:paraId="1937DEBC" w14:textId="77777777" w:rsidTr="002045D9">
              <w:trPr>
                <w:jc w:val="center"/>
              </w:trPr>
              <w:tc>
                <w:tcPr>
                  <w:tcW w:w="3231" w:type="dxa"/>
                  <w:tcBorders>
                    <w:top w:val="nil"/>
                    <w:left w:val="nil"/>
                    <w:bottom w:val="nil"/>
                    <w:right w:val="nil"/>
                  </w:tcBorders>
                </w:tcPr>
                <w:p w14:paraId="6E0D37D9"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0C24609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(2.110)</w:t>
                  </w:r>
                </w:p>
              </w:tc>
              <w:tc>
                <w:tcPr>
                  <w:tcW w:w="3231" w:type="dxa"/>
                  <w:tcBorders>
                    <w:top w:val="nil"/>
                    <w:left w:val="nil"/>
                    <w:bottom w:val="nil"/>
                    <w:right w:val="nil"/>
                  </w:tcBorders>
                </w:tcPr>
                <w:p w14:paraId="6A99615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w:t>
                  </w:r>
                </w:p>
              </w:tc>
            </w:tr>
            <w:tr w:rsidR="00694090" w:rsidRPr="00EB468D" w14:paraId="0E72DB2A" w14:textId="77777777" w:rsidTr="002045D9">
              <w:trPr>
                <w:jc w:val="center"/>
              </w:trPr>
              <w:tc>
                <w:tcPr>
                  <w:tcW w:w="3231" w:type="dxa"/>
                  <w:tcBorders>
                    <w:top w:val="nil"/>
                    <w:left w:val="nil"/>
                    <w:bottom w:val="nil"/>
                    <w:right w:val="nil"/>
                  </w:tcBorders>
                </w:tcPr>
                <w:p w14:paraId="0F689882"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deal_relatedness_dummy</w:t>
                  </w:r>
                </w:p>
              </w:tc>
              <w:tc>
                <w:tcPr>
                  <w:tcW w:w="3231" w:type="dxa"/>
                  <w:tcBorders>
                    <w:top w:val="nil"/>
                    <w:left w:val="nil"/>
                    <w:bottom w:val="nil"/>
                    <w:right w:val="nil"/>
                  </w:tcBorders>
                  <w:vAlign w:val="center"/>
                </w:tcPr>
                <w:p w14:paraId="3AAF6E4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-.160***</w:t>
                  </w:r>
                </w:p>
              </w:tc>
              <w:tc>
                <w:tcPr>
                  <w:tcW w:w="3231" w:type="dxa"/>
                  <w:tcBorders>
                    <w:top w:val="nil"/>
                    <w:left w:val="nil"/>
                    <w:bottom w:val="nil"/>
                    <w:right w:val="nil"/>
                  </w:tcBorders>
                  <w:vAlign w:val="center"/>
                </w:tcPr>
                <w:p w14:paraId="77262BF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-.060</w:t>
                  </w:r>
                </w:p>
              </w:tc>
            </w:tr>
            <w:tr w:rsidR="00694090" w:rsidRPr="00EB468D" w14:paraId="4BB2BFD4" w14:textId="77777777" w:rsidTr="002045D9">
              <w:trPr>
                <w:jc w:val="center"/>
              </w:trPr>
              <w:tc>
                <w:tcPr>
                  <w:tcW w:w="3231" w:type="dxa"/>
                  <w:tcBorders>
                    <w:top w:val="nil"/>
                    <w:left w:val="nil"/>
                    <w:bottom w:val="nil"/>
                    <w:right w:val="nil"/>
                  </w:tcBorders>
                </w:tcPr>
                <w:p w14:paraId="674E81BE"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49D44BA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(-2.674)</w:t>
                  </w:r>
                </w:p>
              </w:tc>
              <w:tc>
                <w:tcPr>
                  <w:tcW w:w="3231" w:type="dxa"/>
                  <w:tcBorders>
                    <w:top w:val="nil"/>
                    <w:left w:val="nil"/>
                    <w:bottom w:val="nil"/>
                    <w:right w:val="nil"/>
                  </w:tcBorders>
                  <w:vAlign w:val="center"/>
                </w:tcPr>
                <w:p w14:paraId="706772F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(-1.678)</w:t>
                  </w:r>
                </w:p>
              </w:tc>
            </w:tr>
            <w:tr w:rsidR="00694090" w:rsidRPr="00EB468D" w14:paraId="2152BE23" w14:textId="77777777" w:rsidTr="002045D9">
              <w:trPr>
                <w:jc w:val="center"/>
              </w:trPr>
              <w:tc>
                <w:tcPr>
                  <w:tcW w:w="3231" w:type="dxa"/>
                  <w:tcBorders>
                    <w:top w:val="nil"/>
                    <w:left w:val="nil"/>
                    <w:bottom w:val="nil"/>
                    <w:right w:val="nil"/>
                  </w:tcBorders>
                </w:tcPr>
                <w:p w14:paraId="23760E25"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acq_age</w:t>
                  </w:r>
                </w:p>
              </w:tc>
              <w:tc>
                <w:tcPr>
                  <w:tcW w:w="3231" w:type="dxa"/>
                  <w:tcBorders>
                    <w:top w:val="nil"/>
                    <w:left w:val="nil"/>
                    <w:bottom w:val="nil"/>
                    <w:right w:val="nil"/>
                  </w:tcBorders>
                  <w:vAlign w:val="center"/>
                </w:tcPr>
                <w:p w14:paraId="03096B0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-.001**</w:t>
                  </w:r>
                </w:p>
              </w:tc>
              <w:tc>
                <w:tcPr>
                  <w:tcW w:w="3231" w:type="dxa"/>
                  <w:tcBorders>
                    <w:top w:val="nil"/>
                    <w:left w:val="nil"/>
                    <w:bottom w:val="nil"/>
                    <w:right w:val="nil"/>
                  </w:tcBorders>
                  <w:vAlign w:val="center"/>
                </w:tcPr>
                <w:p w14:paraId="1B5B86E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-.001**</w:t>
                  </w:r>
                </w:p>
              </w:tc>
            </w:tr>
            <w:tr w:rsidR="00694090" w:rsidRPr="00EB468D" w14:paraId="3842BEE1" w14:textId="77777777" w:rsidTr="002045D9">
              <w:trPr>
                <w:jc w:val="center"/>
              </w:trPr>
              <w:tc>
                <w:tcPr>
                  <w:tcW w:w="3231" w:type="dxa"/>
                  <w:tcBorders>
                    <w:top w:val="nil"/>
                    <w:left w:val="nil"/>
                    <w:bottom w:val="nil"/>
                    <w:right w:val="nil"/>
                  </w:tcBorders>
                </w:tcPr>
                <w:p w14:paraId="7E54FF01"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1DC7D5B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(-2.305)</w:t>
                  </w:r>
                </w:p>
              </w:tc>
              <w:tc>
                <w:tcPr>
                  <w:tcW w:w="3231" w:type="dxa"/>
                  <w:tcBorders>
                    <w:top w:val="nil"/>
                    <w:left w:val="nil"/>
                    <w:bottom w:val="nil"/>
                    <w:right w:val="nil"/>
                  </w:tcBorders>
                  <w:vAlign w:val="center"/>
                </w:tcPr>
                <w:p w14:paraId="165E3C7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(-2.419)</w:t>
                  </w:r>
                </w:p>
              </w:tc>
            </w:tr>
            <w:tr w:rsidR="00694090" w:rsidRPr="00EB468D" w14:paraId="57FE2313" w14:textId="77777777" w:rsidTr="002045D9">
              <w:trPr>
                <w:jc w:val="center"/>
              </w:trPr>
              <w:tc>
                <w:tcPr>
                  <w:tcW w:w="3231" w:type="dxa"/>
                  <w:tcBorders>
                    <w:top w:val="nil"/>
                    <w:left w:val="nil"/>
                    <w:bottom w:val="nil"/>
                    <w:right w:val="nil"/>
                  </w:tcBorders>
                </w:tcPr>
                <w:p w14:paraId="73A19E2B"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acq_assets_lastyear_ln</w:t>
                  </w:r>
                </w:p>
              </w:tc>
              <w:tc>
                <w:tcPr>
                  <w:tcW w:w="3231" w:type="dxa"/>
                  <w:tcBorders>
                    <w:top w:val="nil"/>
                    <w:left w:val="nil"/>
                    <w:bottom w:val="nil"/>
                    <w:right w:val="nil"/>
                  </w:tcBorders>
                  <w:vAlign w:val="center"/>
                </w:tcPr>
                <w:p w14:paraId="1A3DCF0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-.080***</w:t>
                  </w:r>
                </w:p>
              </w:tc>
              <w:tc>
                <w:tcPr>
                  <w:tcW w:w="3231" w:type="dxa"/>
                  <w:tcBorders>
                    <w:top w:val="nil"/>
                    <w:left w:val="nil"/>
                    <w:bottom w:val="nil"/>
                    <w:right w:val="nil"/>
                  </w:tcBorders>
                  <w:vAlign w:val="center"/>
                </w:tcPr>
                <w:p w14:paraId="503D3A9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-.057***</w:t>
                  </w:r>
                </w:p>
              </w:tc>
            </w:tr>
            <w:tr w:rsidR="00694090" w:rsidRPr="00EB468D" w14:paraId="10283F98" w14:textId="77777777" w:rsidTr="002045D9">
              <w:trPr>
                <w:jc w:val="center"/>
              </w:trPr>
              <w:tc>
                <w:tcPr>
                  <w:tcW w:w="3231" w:type="dxa"/>
                  <w:tcBorders>
                    <w:top w:val="nil"/>
                    <w:left w:val="nil"/>
                    <w:bottom w:val="nil"/>
                    <w:right w:val="nil"/>
                  </w:tcBorders>
                </w:tcPr>
                <w:p w14:paraId="4B9476C7"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199D993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(-3.311)</w:t>
                  </w:r>
                </w:p>
              </w:tc>
              <w:tc>
                <w:tcPr>
                  <w:tcW w:w="3231" w:type="dxa"/>
                  <w:tcBorders>
                    <w:top w:val="nil"/>
                    <w:left w:val="nil"/>
                    <w:bottom w:val="nil"/>
                    <w:right w:val="nil"/>
                  </w:tcBorders>
                  <w:vAlign w:val="center"/>
                </w:tcPr>
                <w:p w14:paraId="4E0AD20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(-3.216)</w:t>
                  </w:r>
                </w:p>
              </w:tc>
            </w:tr>
            <w:tr w:rsidR="00694090" w:rsidRPr="00EB468D" w14:paraId="2B66049D" w14:textId="77777777" w:rsidTr="002045D9">
              <w:trPr>
                <w:jc w:val="center"/>
              </w:trPr>
              <w:tc>
                <w:tcPr>
                  <w:tcW w:w="3231" w:type="dxa"/>
                  <w:tcBorders>
                    <w:top w:val="nil"/>
                    <w:left w:val="nil"/>
                    <w:bottom w:val="nil"/>
                    <w:right w:val="nil"/>
                  </w:tcBorders>
                </w:tcPr>
                <w:p w14:paraId="731C7704"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acq_roa_lastyear</w:t>
                  </w:r>
                </w:p>
              </w:tc>
              <w:tc>
                <w:tcPr>
                  <w:tcW w:w="3231" w:type="dxa"/>
                  <w:tcBorders>
                    <w:top w:val="nil"/>
                    <w:left w:val="nil"/>
                    <w:bottom w:val="nil"/>
                    <w:right w:val="nil"/>
                  </w:tcBorders>
                  <w:vAlign w:val="center"/>
                </w:tcPr>
                <w:p w14:paraId="260EDBA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.091</w:t>
                  </w:r>
                </w:p>
              </w:tc>
              <w:tc>
                <w:tcPr>
                  <w:tcW w:w="3231" w:type="dxa"/>
                  <w:tcBorders>
                    <w:top w:val="nil"/>
                    <w:left w:val="nil"/>
                    <w:bottom w:val="nil"/>
                    <w:right w:val="nil"/>
                  </w:tcBorders>
                  <w:vAlign w:val="center"/>
                </w:tcPr>
                <w:p w14:paraId="230C56A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.005</w:t>
                  </w:r>
                </w:p>
              </w:tc>
            </w:tr>
            <w:tr w:rsidR="00694090" w:rsidRPr="00EB468D" w14:paraId="01E01B05" w14:textId="77777777" w:rsidTr="002045D9">
              <w:trPr>
                <w:jc w:val="center"/>
              </w:trPr>
              <w:tc>
                <w:tcPr>
                  <w:tcW w:w="3231" w:type="dxa"/>
                  <w:tcBorders>
                    <w:top w:val="nil"/>
                    <w:left w:val="nil"/>
                    <w:bottom w:val="nil"/>
                    <w:right w:val="nil"/>
                  </w:tcBorders>
                </w:tcPr>
                <w:p w14:paraId="03CBC5BE"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3B6DC12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(1.316)</w:t>
                  </w:r>
                </w:p>
              </w:tc>
              <w:tc>
                <w:tcPr>
                  <w:tcW w:w="3231" w:type="dxa"/>
                  <w:tcBorders>
                    <w:top w:val="nil"/>
                    <w:left w:val="nil"/>
                    <w:bottom w:val="nil"/>
                    <w:right w:val="nil"/>
                  </w:tcBorders>
                  <w:vAlign w:val="center"/>
                </w:tcPr>
                <w:p w14:paraId="7C9882D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(.167)</w:t>
                  </w:r>
                </w:p>
              </w:tc>
            </w:tr>
            <w:tr w:rsidR="00694090" w:rsidRPr="00EB468D" w14:paraId="30066A05" w14:textId="77777777" w:rsidTr="002045D9">
              <w:trPr>
                <w:jc w:val="center"/>
              </w:trPr>
              <w:tc>
                <w:tcPr>
                  <w:tcW w:w="3231" w:type="dxa"/>
                  <w:tcBorders>
                    <w:top w:val="nil"/>
                    <w:left w:val="nil"/>
                    <w:bottom w:val="nil"/>
                    <w:right w:val="nil"/>
                  </w:tcBorders>
                </w:tcPr>
                <w:p w14:paraId="0D794930"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acq_industrygrowth</w:t>
                  </w:r>
                </w:p>
              </w:tc>
              <w:tc>
                <w:tcPr>
                  <w:tcW w:w="3231" w:type="dxa"/>
                  <w:tcBorders>
                    <w:top w:val="nil"/>
                    <w:left w:val="nil"/>
                    <w:bottom w:val="nil"/>
                    <w:right w:val="nil"/>
                  </w:tcBorders>
                  <w:vAlign w:val="center"/>
                </w:tcPr>
                <w:p w14:paraId="00F97D0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3.434</w:t>
                  </w:r>
                </w:p>
              </w:tc>
              <w:tc>
                <w:tcPr>
                  <w:tcW w:w="3231" w:type="dxa"/>
                  <w:tcBorders>
                    <w:top w:val="nil"/>
                    <w:left w:val="nil"/>
                    <w:bottom w:val="nil"/>
                    <w:right w:val="nil"/>
                  </w:tcBorders>
                  <w:vAlign w:val="center"/>
                </w:tcPr>
                <w:p w14:paraId="7E3E1DB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5.236***</w:t>
                  </w:r>
                </w:p>
              </w:tc>
            </w:tr>
            <w:tr w:rsidR="00694090" w:rsidRPr="00EB468D" w14:paraId="5450BECE" w14:textId="77777777" w:rsidTr="002045D9">
              <w:trPr>
                <w:jc w:val="center"/>
              </w:trPr>
              <w:tc>
                <w:tcPr>
                  <w:tcW w:w="3231" w:type="dxa"/>
                  <w:tcBorders>
                    <w:top w:val="nil"/>
                    <w:left w:val="nil"/>
                    <w:bottom w:val="nil"/>
                    <w:right w:val="nil"/>
                  </w:tcBorders>
                </w:tcPr>
                <w:p w14:paraId="011E08ED"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78492E0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(1.590)</w:t>
                  </w:r>
                </w:p>
              </w:tc>
              <w:tc>
                <w:tcPr>
                  <w:tcW w:w="3231" w:type="dxa"/>
                  <w:tcBorders>
                    <w:top w:val="nil"/>
                    <w:left w:val="nil"/>
                    <w:bottom w:val="nil"/>
                    <w:right w:val="nil"/>
                  </w:tcBorders>
                  <w:vAlign w:val="center"/>
                </w:tcPr>
                <w:p w14:paraId="2A77E31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(3.759)</w:t>
                  </w:r>
                </w:p>
              </w:tc>
            </w:tr>
            <w:tr w:rsidR="00694090" w:rsidRPr="00EB468D" w14:paraId="2E04D19B" w14:textId="77777777" w:rsidTr="002045D9">
              <w:trPr>
                <w:jc w:val="center"/>
              </w:trPr>
              <w:tc>
                <w:tcPr>
                  <w:tcW w:w="3231" w:type="dxa"/>
                  <w:tcBorders>
                    <w:top w:val="nil"/>
                    <w:left w:val="nil"/>
                    <w:bottom w:val="nil"/>
                    <w:right w:val="nil"/>
                  </w:tcBorders>
                </w:tcPr>
                <w:p w14:paraId="38B4B48F"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acq_dealexperience</w:t>
                  </w:r>
                </w:p>
              </w:tc>
              <w:tc>
                <w:tcPr>
                  <w:tcW w:w="3231" w:type="dxa"/>
                  <w:tcBorders>
                    <w:top w:val="nil"/>
                    <w:left w:val="nil"/>
                    <w:bottom w:val="nil"/>
                    <w:right w:val="nil"/>
                  </w:tcBorders>
                  <w:vAlign w:val="center"/>
                </w:tcPr>
                <w:p w14:paraId="077FB5F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.003</w:t>
                  </w:r>
                </w:p>
              </w:tc>
              <w:tc>
                <w:tcPr>
                  <w:tcW w:w="3231" w:type="dxa"/>
                  <w:tcBorders>
                    <w:top w:val="nil"/>
                    <w:left w:val="nil"/>
                    <w:bottom w:val="nil"/>
                    <w:right w:val="nil"/>
                  </w:tcBorders>
                  <w:vAlign w:val="center"/>
                </w:tcPr>
                <w:p w14:paraId="4975247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.007</w:t>
                  </w:r>
                </w:p>
              </w:tc>
            </w:tr>
            <w:tr w:rsidR="00694090" w:rsidRPr="00EB468D" w14:paraId="3DD70421" w14:textId="77777777" w:rsidTr="002045D9">
              <w:trPr>
                <w:jc w:val="center"/>
              </w:trPr>
              <w:tc>
                <w:tcPr>
                  <w:tcW w:w="3231" w:type="dxa"/>
                  <w:tcBorders>
                    <w:top w:val="nil"/>
                    <w:left w:val="nil"/>
                    <w:bottom w:val="nil"/>
                    <w:right w:val="nil"/>
                  </w:tcBorders>
                </w:tcPr>
                <w:p w14:paraId="09EA0220"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71603EC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(.104)</w:t>
                  </w:r>
                </w:p>
              </w:tc>
              <w:tc>
                <w:tcPr>
                  <w:tcW w:w="3231" w:type="dxa"/>
                  <w:tcBorders>
                    <w:top w:val="nil"/>
                    <w:left w:val="nil"/>
                    <w:bottom w:val="nil"/>
                    <w:right w:val="nil"/>
                  </w:tcBorders>
                  <w:vAlign w:val="center"/>
                </w:tcPr>
                <w:p w14:paraId="1455E24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(.386)</w:t>
                  </w:r>
                </w:p>
              </w:tc>
            </w:tr>
            <w:tr w:rsidR="00694090" w:rsidRPr="00EB468D" w14:paraId="668D5621" w14:textId="77777777" w:rsidTr="002045D9">
              <w:trPr>
                <w:jc w:val="center"/>
              </w:trPr>
              <w:tc>
                <w:tcPr>
                  <w:tcW w:w="3231" w:type="dxa"/>
                  <w:tcBorders>
                    <w:top w:val="nil"/>
                    <w:left w:val="nil"/>
                    <w:bottom w:val="nil"/>
                    <w:right w:val="nil"/>
                  </w:tcBorders>
                  <w:vAlign w:val="center"/>
                </w:tcPr>
                <w:p w14:paraId="7CC63842"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acq_rd_intensity</w:t>
                  </w:r>
                </w:p>
              </w:tc>
              <w:tc>
                <w:tcPr>
                  <w:tcW w:w="3231" w:type="dxa"/>
                  <w:tcBorders>
                    <w:top w:val="nil"/>
                    <w:left w:val="nil"/>
                    <w:bottom w:val="nil"/>
                    <w:right w:val="nil"/>
                  </w:tcBorders>
                  <w:vAlign w:val="center"/>
                </w:tcPr>
                <w:p w14:paraId="5B6926B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.440**</w:t>
                  </w:r>
                </w:p>
              </w:tc>
              <w:tc>
                <w:tcPr>
                  <w:tcW w:w="3231" w:type="dxa"/>
                  <w:tcBorders>
                    <w:top w:val="nil"/>
                    <w:left w:val="nil"/>
                    <w:bottom w:val="nil"/>
                    <w:right w:val="nil"/>
                  </w:tcBorders>
                  <w:vAlign w:val="center"/>
                </w:tcPr>
                <w:p w14:paraId="6C00677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.106</w:t>
                  </w:r>
                </w:p>
              </w:tc>
            </w:tr>
            <w:tr w:rsidR="00694090" w:rsidRPr="00EB468D" w14:paraId="4D1CDF78" w14:textId="77777777" w:rsidTr="002045D9">
              <w:trPr>
                <w:jc w:val="center"/>
              </w:trPr>
              <w:tc>
                <w:tcPr>
                  <w:tcW w:w="3231" w:type="dxa"/>
                  <w:tcBorders>
                    <w:top w:val="nil"/>
                    <w:left w:val="nil"/>
                    <w:bottom w:val="nil"/>
                    <w:right w:val="nil"/>
                  </w:tcBorders>
                  <w:vAlign w:val="center"/>
                </w:tcPr>
                <w:p w14:paraId="572E2866"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p>
              </w:tc>
              <w:tc>
                <w:tcPr>
                  <w:tcW w:w="3231" w:type="dxa"/>
                  <w:tcBorders>
                    <w:top w:val="nil"/>
                    <w:left w:val="nil"/>
                    <w:bottom w:val="nil"/>
                    <w:right w:val="nil"/>
                  </w:tcBorders>
                  <w:vAlign w:val="center"/>
                </w:tcPr>
                <w:p w14:paraId="20D0A6E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(2.306)</w:t>
                  </w:r>
                </w:p>
              </w:tc>
              <w:tc>
                <w:tcPr>
                  <w:tcW w:w="3231" w:type="dxa"/>
                  <w:tcBorders>
                    <w:top w:val="nil"/>
                    <w:left w:val="nil"/>
                    <w:bottom w:val="nil"/>
                    <w:right w:val="nil"/>
                  </w:tcBorders>
                  <w:vAlign w:val="center"/>
                </w:tcPr>
                <w:p w14:paraId="7FA08BB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(.415)</w:t>
                  </w:r>
                </w:p>
              </w:tc>
            </w:tr>
            <w:tr w:rsidR="00694090" w:rsidRPr="00EB468D" w14:paraId="34BB006C" w14:textId="77777777" w:rsidTr="002045D9">
              <w:trPr>
                <w:jc w:val="center"/>
              </w:trPr>
              <w:tc>
                <w:tcPr>
                  <w:tcW w:w="3231" w:type="dxa"/>
                  <w:tcBorders>
                    <w:top w:val="nil"/>
                    <w:left w:val="nil"/>
                    <w:bottom w:val="nil"/>
                    <w:right w:val="nil"/>
                  </w:tcBorders>
                </w:tcPr>
                <w:p w14:paraId="67B5DF53"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tar_age</w:t>
                  </w:r>
                </w:p>
              </w:tc>
              <w:tc>
                <w:tcPr>
                  <w:tcW w:w="3231" w:type="dxa"/>
                  <w:tcBorders>
                    <w:top w:val="nil"/>
                    <w:left w:val="nil"/>
                    <w:bottom w:val="nil"/>
                    <w:right w:val="nil"/>
                  </w:tcBorders>
                  <w:vAlign w:val="center"/>
                </w:tcPr>
                <w:p w14:paraId="4745601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-.0002</w:t>
                  </w:r>
                </w:p>
              </w:tc>
              <w:tc>
                <w:tcPr>
                  <w:tcW w:w="3231" w:type="dxa"/>
                  <w:tcBorders>
                    <w:top w:val="nil"/>
                    <w:left w:val="nil"/>
                    <w:bottom w:val="nil"/>
                    <w:right w:val="nil"/>
                  </w:tcBorders>
                  <w:vAlign w:val="center"/>
                </w:tcPr>
                <w:p w14:paraId="4B847CF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-.0002</w:t>
                  </w:r>
                </w:p>
              </w:tc>
            </w:tr>
            <w:tr w:rsidR="00694090" w:rsidRPr="00EB468D" w14:paraId="71C7546F" w14:textId="77777777" w:rsidTr="002045D9">
              <w:trPr>
                <w:jc w:val="center"/>
              </w:trPr>
              <w:tc>
                <w:tcPr>
                  <w:tcW w:w="3231" w:type="dxa"/>
                  <w:tcBorders>
                    <w:top w:val="nil"/>
                    <w:left w:val="nil"/>
                    <w:bottom w:val="nil"/>
                    <w:right w:val="nil"/>
                  </w:tcBorders>
                </w:tcPr>
                <w:p w14:paraId="050C1045"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3AD8E32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(-.221)</w:t>
                  </w:r>
                </w:p>
              </w:tc>
              <w:tc>
                <w:tcPr>
                  <w:tcW w:w="3231" w:type="dxa"/>
                  <w:tcBorders>
                    <w:top w:val="nil"/>
                    <w:left w:val="nil"/>
                    <w:bottom w:val="nil"/>
                    <w:right w:val="nil"/>
                  </w:tcBorders>
                  <w:vAlign w:val="center"/>
                </w:tcPr>
                <w:p w14:paraId="2D8F694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(-.241)</w:t>
                  </w:r>
                </w:p>
              </w:tc>
            </w:tr>
            <w:tr w:rsidR="00694090" w:rsidRPr="00EB468D" w14:paraId="23610B7A" w14:textId="77777777" w:rsidTr="002045D9">
              <w:trPr>
                <w:jc w:val="center"/>
              </w:trPr>
              <w:tc>
                <w:tcPr>
                  <w:tcW w:w="3231" w:type="dxa"/>
                  <w:tcBorders>
                    <w:top w:val="nil"/>
                    <w:left w:val="nil"/>
                    <w:bottom w:val="nil"/>
                    <w:right w:val="nil"/>
                  </w:tcBorders>
                </w:tcPr>
                <w:p w14:paraId="06FF1FA3"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tar_assets_lastyear_ln</w:t>
                  </w:r>
                </w:p>
              </w:tc>
              <w:tc>
                <w:tcPr>
                  <w:tcW w:w="3231" w:type="dxa"/>
                  <w:tcBorders>
                    <w:top w:val="nil"/>
                    <w:left w:val="nil"/>
                    <w:bottom w:val="nil"/>
                    <w:right w:val="nil"/>
                  </w:tcBorders>
                  <w:vAlign w:val="center"/>
                </w:tcPr>
                <w:p w14:paraId="046D66B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.103***</w:t>
                  </w:r>
                </w:p>
              </w:tc>
              <w:tc>
                <w:tcPr>
                  <w:tcW w:w="3231" w:type="dxa"/>
                  <w:tcBorders>
                    <w:top w:val="nil"/>
                    <w:left w:val="nil"/>
                    <w:bottom w:val="nil"/>
                    <w:right w:val="nil"/>
                  </w:tcBorders>
                  <w:vAlign w:val="center"/>
                </w:tcPr>
                <w:p w14:paraId="740949C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.049*</w:t>
                  </w:r>
                </w:p>
              </w:tc>
            </w:tr>
            <w:tr w:rsidR="00694090" w:rsidRPr="00EB468D" w14:paraId="1100EAEA" w14:textId="77777777" w:rsidTr="002045D9">
              <w:trPr>
                <w:jc w:val="center"/>
              </w:trPr>
              <w:tc>
                <w:tcPr>
                  <w:tcW w:w="3231" w:type="dxa"/>
                  <w:tcBorders>
                    <w:top w:val="nil"/>
                    <w:left w:val="nil"/>
                    <w:bottom w:val="nil"/>
                    <w:right w:val="nil"/>
                  </w:tcBorders>
                </w:tcPr>
                <w:p w14:paraId="5D01FE3E"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30836FD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(2.881)</w:t>
                  </w:r>
                </w:p>
              </w:tc>
              <w:tc>
                <w:tcPr>
                  <w:tcW w:w="3231" w:type="dxa"/>
                  <w:tcBorders>
                    <w:top w:val="nil"/>
                    <w:left w:val="nil"/>
                    <w:bottom w:val="nil"/>
                    <w:right w:val="nil"/>
                  </w:tcBorders>
                  <w:vAlign w:val="center"/>
                </w:tcPr>
                <w:p w14:paraId="3D661A0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(1.951)</w:t>
                  </w:r>
                </w:p>
              </w:tc>
            </w:tr>
            <w:tr w:rsidR="00694090" w:rsidRPr="00EB468D" w14:paraId="264FC69B" w14:textId="77777777" w:rsidTr="002045D9">
              <w:trPr>
                <w:jc w:val="center"/>
              </w:trPr>
              <w:tc>
                <w:tcPr>
                  <w:tcW w:w="3231" w:type="dxa"/>
                  <w:tcBorders>
                    <w:top w:val="nil"/>
                    <w:left w:val="nil"/>
                    <w:bottom w:val="nil"/>
                    <w:right w:val="nil"/>
                  </w:tcBorders>
                </w:tcPr>
                <w:p w14:paraId="6B40D637"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tar_roa_lastyear</w:t>
                  </w:r>
                </w:p>
              </w:tc>
              <w:tc>
                <w:tcPr>
                  <w:tcW w:w="3231" w:type="dxa"/>
                  <w:tcBorders>
                    <w:top w:val="nil"/>
                    <w:left w:val="nil"/>
                    <w:bottom w:val="nil"/>
                    <w:right w:val="nil"/>
                  </w:tcBorders>
                  <w:vAlign w:val="center"/>
                </w:tcPr>
                <w:p w14:paraId="3166F99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-.005</w:t>
                  </w:r>
                </w:p>
              </w:tc>
              <w:tc>
                <w:tcPr>
                  <w:tcW w:w="3231" w:type="dxa"/>
                  <w:tcBorders>
                    <w:top w:val="nil"/>
                    <w:left w:val="nil"/>
                    <w:bottom w:val="nil"/>
                    <w:right w:val="nil"/>
                  </w:tcBorders>
                  <w:vAlign w:val="center"/>
                </w:tcPr>
                <w:p w14:paraId="5680CD4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-.018</w:t>
                  </w:r>
                </w:p>
              </w:tc>
            </w:tr>
            <w:tr w:rsidR="00694090" w:rsidRPr="00EB468D" w14:paraId="505C936E" w14:textId="77777777" w:rsidTr="002045D9">
              <w:trPr>
                <w:jc w:val="center"/>
              </w:trPr>
              <w:tc>
                <w:tcPr>
                  <w:tcW w:w="3231" w:type="dxa"/>
                  <w:tcBorders>
                    <w:top w:val="nil"/>
                    <w:left w:val="nil"/>
                    <w:bottom w:val="nil"/>
                    <w:right w:val="nil"/>
                  </w:tcBorders>
                </w:tcPr>
                <w:p w14:paraId="5D82E96B"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0241A82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(-.101)</w:t>
                  </w:r>
                </w:p>
              </w:tc>
              <w:tc>
                <w:tcPr>
                  <w:tcW w:w="3231" w:type="dxa"/>
                  <w:tcBorders>
                    <w:top w:val="nil"/>
                    <w:left w:val="nil"/>
                    <w:bottom w:val="nil"/>
                    <w:right w:val="nil"/>
                  </w:tcBorders>
                  <w:vAlign w:val="center"/>
                </w:tcPr>
                <w:p w14:paraId="2BDCCAC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(-.477)</w:t>
                  </w:r>
                </w:p>
              </w:tc>
            </w:tr>
            <w:tr w:rsidR="00694090" w:rsidRPr="00EB468D" w14:paraId="4EA85A4C" w14:textId="77777777" w:rsidTr="002045D9">
              <w:trPr>
                <w:jc w:val="center"/>
              </w:trPr>
              <w:tc>
                <w:tcPr>
                  <w:tcW w:w="3231" w:type="dxa"/>
                  <w:tcBorders>
                    <w:top w:val="nil"/>
                    <w:left w:val="nil"/>
                    <w:bottom w:val="nil"/>
                    <w:right w:val="nil"/>
                  </w:tcBorders>
                </w:tcPr>
                <w:p w14:paraId="0A90D0F6"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tar_mbratio</w:t>
                  </w:r>
                </w:p>
              </w:tc>
              <w:tc>
                <w:tcPr>
                  <w:tcW w:w="3231" w:type="dxa"/>
                  <w:tcBorders>
                    <w:top w:val="nil"/>
                    <w:left w:val="nil"/>
                    <w:bottom w:val="nil"/>
                    <w:right w:val="nil"/>
                  </w:tcBorders>
                  <w:vAlign w:val="center"/>
                </w:tcPr>
                <w:p w14:paraId="70AD135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.003</w:t>
                  </w:r>
                </w:p>
              </w:tc>
              <w:tc>
                <w:tcPr>
                  <w:tcW w:w="3231" w:type="dxa"/>
                  <w:tcBorders>
                    <w:top w:val="nil"/>
                    <w:left w:val="nil"/>
                    <w:bottom w:val="nil"/>
                    <w:right w:val="nil"/>
                  </w:tcBorders>
                  <w:vAlign w:val="center"/>
                </w:tcPr>
                <w:p w14:paraId="3ACC676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-.0003</w:t>
                  </w:r>
                </w:p>
              </w:tc>
            </w:tr>
            <w:tr w:rsidR="00694090" w:rsidRPr="00EB468D" w14:paraId="0A4D5047" w14:textId="77777777" w:rsidTr="002045D9">
              <w:trPr>
                <w:jc w:val="center"/>
              </w:trPr>
              <w:tc>
                <w:tcPr>
                  <w:tcW w:w="3231" w:type="dxa"/>
                  <w:tcBorders>
                    <w:top w:val="nil"/>
                    <w:left w:val="nil"/>
                    <w:bottom w:val="nil"/>
                    <w:right w:val="nil"/>
                  </w:tcBorders>
                </w:tcPr>
                <w:p w14:paraId="2B9CFB10"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vAlign w:val="center"/>
                </w:tcPr>
                <w:p w14:paraId="40586C6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(1.022)</w:t>
                  </w:r>
                </w:p>
              </w:tc>
              <w:tc>
                <w:tcPr>
                  <w:tcW w:w="3231" w:type="dxa"/>
                  <w:tcBorders>
                    <w:top w:val="nil"/>
                    <w:left w:val="nil"/>
                    <w:bottom w:val="nil"/>
                    <w:right w:val="nil"/>
                  </w:tcBorders>
                  <w:vAlign w:val="center"/>
                </w:tcPr>
                <w:p w14:paraId="1B43923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(-.221)</w:t>
                  </w:r>
                </w:p>
              </w:tc>
            </w:tr>
            <w:tr w:rsidR="00694090" w:rsidRPr="00EB468D" w14:paraId="72B201EB" w14:textId="77777777" w:rsidTr="002045D9">
              <w:trPr>
                <w:jc w:val="center"/>
              </w:trPr>
              <w:tc>
                <w:tcPr>
                  <w:tcW w:w="3231" w:type="dxa"/>
                  <w:tcBorders>
                    <w:top w:val="nil"/>
                    <w:left w:val="nil"/>
                    <w:bottom w:val="nil"/>
                    <w:right w:val="nil"/>
                  </w:tcBorders>
                </w:tcPr>
                <w:p w14:paraId="530D76C7"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Observations</w:t>
                  </w:r>
                </w:p>
              </w:tc>
              <w:tc>
                <w:tcPr>
                  <w:tcW w:w="3231" w:type="dxa"/>
                  <w:tcBorders>
                    <w:top w:val="nil"/>
                    <w:left w:val="nil"/>
                    <w:bottom w:val="nil"/>
                    <w:right w:val="nil"/>
                  </w:tcBorders>
                  <w:vAlign w:val="center"/>
                </w:tcPr>
                <w:p w14:paraId="469298F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179</w:t>
                  </w:r>
                </w:p>
              </w:tc>
              <w:tc>
                <w:tcPr>
                  <w:tcW w:w="3231" w:type="dxa"/>
                  <w:tcBorders>
                    <w:top w:val="nil"/>
                    <w:left w:val="nil"/>
                    <w:bottom w:val="nil"/>
                    <w:right w:val="nil"/>
                  </w:tcBorders>
                  <w:vAlign w:val="center"/>
                </w:tcPr>
                <w:p w14:paraId="0103326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129</w:t>
                  </w:r>
                </w:p>
              </w:tc>
            </w:tr>
            <w:tr w:rsidR="00694090" w:rsidRPr="00EB468D" w14:paraId="04707751" w14:textId="77777777" w:rsidTr="002045D9">
              <w:trPr>
                <w:jc w:val="center"/>
              </w:trPr>
              <w:tc>
                <w:tcPr>
                  <w:tcW w:w="3231" w:type="dxa"/>
                  <w:tcBorders>
                    <w:top w:val="nil"/>
                    <w:left w:val="nil"/>
                    <w:bottom w:val="nil"/>
                    <w:right w:val="nil"/>
                  </w:tcBorders>
                </w:tcPr>
                <w:p w14:paraId="3200866A"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Adj R2</w:t>
                  </w:r>
                </w:p>
              </w:tc>
              <w:tc>
                <w:tcPr>
                  <w:tcW w:w="3231" w:type="dxa"/>
                  <w:tcBorders>
                    <w:top w:val="nil"/>
                    <w:left w:val="nil"/>
                    <w:bottom w:val="nil"/>
                    <w:right w:val="nil"/>
                  </w:tcBorders>
                  <w:vAlign w:val="center"/>
                </w:tcPr>
                <w:p w14:paraId="5931610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.414</w:t>
                  </w:r>
                </w:p>
              </w:tc>
              <w:tc>
                <w:tcPr>
                  <w:tcW w:w="3231" w:type="dxa"/>
                  <w:tcBorders>
                    <w:top w:val="nil"/>
                    <w:left w:val="nil"/>
                    <w:bottom w:val="nil"/>
                    <w:right w:val="nil"/>
                  </w:tcBorders>
                  <w:vAlign w:val="center"/>
                </w:tcPr>
                <w:p w14:paraId="56653A0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.322</w:t>
                  </w:r>
                </w:p>
              </w:tc>
            </w:tr>
            <w:tr w:rsidR="00694090" w:rsidRPr="00EB468D" w14:paraId="163EA7F0" w14:textId="77777777" w:rsidTr="002045D9">
              <w:trPr>
                <w:jc w:val="center"/>
              </w:trPr>
              <w:tc>
                <w:tcPr>
                  <w:tcW w:w="3231" w:type="dxa"/>
                  <w:tcBorders>
                    <w:top w:val="nil"/>
                    <w:left w:val="nil"/>
                    <w:bottom w:val="nil"/>
                    <w:right w:val="nil"/>
                  </w:tcBorders>
                </w:tcPr>
                <w:p w14:paraId="699DFE31"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Industry FE</w:t>
                  </w:r>
                </w:p>
              </w:tc>
              <w:tc>
                <w:tcPr>
                  <w:tcW w:w="3231" w:type="dxa"/>
                  <w:tcBorders>
                    <w:top w:val="nil"/>
                    <w:left w:val="nil"/>
                    <w:bottom w:val="nil"/>
                    <w:right w:val="nil"/>
                  </w:tcBorders>
                </w:tcPr>
                <w:p w14:paraId="6D2D9E9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c>
                <w:tcPr>
                  <w:tcW w:w="3231" w:type="dxa"/>
                  <w:tcBorders>
                    <w:top w:val="nil"/>
                    <w:left w:val="nil"/>
                    <w:bottom w:val="nil"/>
                    <w:right w:val="nil"/>
                  </w:tcBorders>
                </w:tcPr>
                <w:p w14:paraId="0A2A5D0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r>
            <w:tr w:rsidR="00694090" w:rsidRPr="00EB468D" w14:paraId="2E17D630" w14:textId="77777777" w:rsidTr="002045D9">
              <w:trPr>
                <w:jc w:val="center"/>
              </w:trPr>
              <w:tc>
                <w:tcPr>
                  <w:tcW w:w="3231" w:type="dxa"/>
                  <w:tcBorders>
                    <w:top w:val="nil"/>
                    <w:left w:val="nil"/>
                    <w:bottom w:val="nil"/>
                    <w:right w:val="nil"/>
                  </w:tcBorders>
                </w:tcPr>
                <w:p w14:paraId="7CBD5AFB"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Year FE</w:t>
                  </w:r>
                </w:p>
              </w:tc>
              <w:tc>
                <w:tcPr>
                  <w:tcW w:w="3231" w:type="dxa"/>
                  <w:tcBorders>
                    <w:top w:val="nil"/>
                    <w:left w:val="nil"/>
                    <w:bottom w:val="nil"/>
                    <w:right w:val="nil"/>
                  </w:tcBorders>
                </w:tcPr>
                <w:p w14:paraId="0758434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c>
                <w:tcPr>
                  <w:tcW w:w="3231" w:type="dxa"/>
                  <w:tcBorders>
                    <w:top w:val="nil"/>
                    <w:left w:val="nil"/>
                    <w:bottom w:val="nil"/>
                    <w:right w:val="nil"/>
                  </w:tcBorders>
                </w:tcPr>
                <w:p w14:paraId="6018AFA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r>
          </w:tbl>
          <w:p w14:paraId="6380C993" w14:textId="77777777" w:rsidR="00694090" w:rsidRPr="00EB468D" w:rsidRDefault="00694090" w:rsidP="00AB066F">
            <w:pPr>
              <w:jc w:val="left"/>
              <w:rPr>
                <w:color w:val="000000" w:themeColor="text1"/>
                <w:sz w:val="22"/>
                <w:lang w:val="en-US"/>
              </w:rPr>
            </w:pPr>
          </w:p>
        </w:tc>
      </w:tr>
      <w:tr w:rsidR="00694090" w:rsidRPr="00BE5632" w14:paraId="2BA6E2CD" w14:textId="77777777" w:rsidTr="006D06D3">
        <w:trPr>
          <w:trHeight w:val="57"/>
        </w:trPr>
        <w:tc>
          <w:tcPr>
            <w:tcW w:w="5000" w:type="pct"/>
            <w:tcBorders>
              <w:top w:val="single" w:sz="4" w:space="0" w:color="auto"/>
              <w:left w:val="nil"/>
              <w:right w:val="nil"/>
            </w:tcBorders>
            <w:shd w:val="clear" w:color="auto" w:fill="auto"/>
            <w:noWrap/>
          </w:tcPr>
          <w:p w14:paraId="529EA82F" w14:textId="77777777" w:rsidR="00694090" w:rsidRPr="00EB468D" w:rsidRDefault="00694090" w:rsidP="003108A1">
            <w:pPr>
              <w:spacing w:before="120" w:line="240" w:lineRule="auto"/>
              <w:rPr>
                <w:color w:val="000000" w:themeColor="text1"/>
                <w:sz w:val="22"/>
                <w:lang w:val="en-US"/>
              </w:rPr>
            </w:pPr>
            <w:r w:rsidRPr="00EB468D">
              <w:rPr>
                <w:i/>
                <w:iCs/>
                <w:color w:val="000000" w:themeColor="text1"/>
                <w:sz w:val="22"/>
                <w:lang w:val="en-US"/>
              </w:rPr>
              <w:t>Note</w:t>
            </w:r>
            <w:r w:rsidRPr="00EB468D">
              <w:rPr>
                <w:color w:val="000000" w:themeColor="text1"/>
                <w:sz w:val="22"/>
                <w:lang w:val="en-US"/>
              </w:rPr>
              <w:t xml:space="preserve">. This table reports fixed effects linear OLS regression results predicting the effect of organizational cultural distance between acquirers and targets on long-term synergy gains. The dependent variable for Model 1 is the acquirer’s growth in return on sales two years after deal completion. The dependent variable for Model 2 is the acquirer’s growth in return on sales four years after deal completion. The main independent variable in Model 1 and 2 is </w:t>
            </w:r>
            <w:r w:rsidRPr="00EB468D">
              <w:rPr>
                <w:i/>
                <w:color w:val="000000" w:themeColor="text1"/>
                <w:sz w:val="22"/>
                <w:lang w:val="en-US"/>
              </w:rPr>
              <w:t>deal_culturaldistance</w:t>
            </w:r>
            <w:r w:rsidRPr="00EB468D">
              <w:rPr>
                <w:color w:val="000000" w:themeColor="text1"/>
                <w:sz w:val="22"/>
                <w:lang w:val="en-US"/>
              </w:rPr>
              <w:t xml:space="preserve">, with higher values indicating higher cultural dissimilarities between the acquirer and target. A detailed variable description can be found in Appendix B. Toehold deals, where the acquirer held shares in the target prior to the announcement of the deal, are excluded from the analysis. Constant terms are estimated but not reported. We include the acquirer’s industry and year fixed effects in all models. </w:t>
            </w:r>
            <w:r w:rsidRPr="00EB468D">
              <w:rPr>
                <w:color w:val="000000" w:themeColor="text1"/>
                <w:sz w:val="22"/>
                <w:lang w:val="en-US"/>
              </w:rPr>
              <w:lastRenderedPageBreak/>
              <w:t>We cluster standard errors at the 2-digit SIC industry level. t-statistics are reported in parentheses below the coefficients. *, **, *** denote statistical significance at the .10, .05, and .01 levels (using two-tailed tests).</w:t>
            </w:r>
          </w:p>
        </w:tc>
      </w:tr>
    </w:tbl>
    <w:p w14:paraId="5B602C31" w14:textId="77777777" w:rsidR="006D06D3" w:rsidRDefault="006D06D3">
      <w:pPr>
        <w:spacing w:after="160" w:line="259" w:lineRule="auto"/>
        <w:jc w:val="left"/>
        <w:rPr>
          <w:rStyle w:val="SchwacherVerweis"/>
          <w:rFonts w:eastAsiaTheme="majorEastAsia" w:cstheme="majorBidi"/>
          <w:b/>
          <w:caps/>
          <w:smallCaps w:val="0"/>
          <w:color w:val="auto"/>
          <w:szCs w:val="32"/>
          <w:lang w:val="en-US"/>
        </w:rPr>
      </w:pPr>
      <w:r w:rsidRPr="00BE5632">
        <w:rPr>
          <w:rStyle w:val="SchwacherVerweis"/>
          <w:smallCaps w:val="0"/>
          <w:color w:val="auto"/>
          <w:lang w:val="en-US"/>
        </w:rPr>
        <w:br w:type="page"/>
      </w:r>
    </w:p>
    <w:p w14:paraId="599E0EA8" w14:textId="169B3580" w:rsidR="00947673" w:rsidRPr="00947673" w:rsidRDefault="00947673" w:rsidP="00947673">
      <w:pPr>
        <w:pStyle w:val="1fake"/>
        <w:rPr>
          <w:rStyle w:val="SchwacherVerweis"/>
          <w:smallCaps w:val="0"/>
          <w:color w:val="auto"/>
        </w:rPr>
      </w:pPr>
      <w:r w:rsidRPr="00947673">
        <w:rPr>
          <w:rStyle w:val="SchwacherVerweis"/>
          <w:smallCaps w:val="0"/>
          <w:color w:val="auto"/>
        </w:rPr>
        <w:lastRenderedPageBreak/>
        <w:t>Online Supplement 7</w:t>
      </w:r>
    </w:p>
    <w:p w14:paraId="1F1D65C3" w14:textId="45E7C7CE" w:rsidR="00011AF5" w:rsidRPr="009579F1" w:rsidRDefault="00011AF5" w:rsidP="00011AF5">
      <w:pPr>
        <w:pStyle w:val="Beschriftung"/>
      </w:pPr>
      <w:bookmarkStart w:id="626" w:name="_Toc180594853"/>
      <w:r>
        <w:t xml:space="preserve">T - III - </w:t>
      </w:r>
      <w:r>
        <w:fldChar w:fldCharType="begin"/>
      </w:r>
      <w:r>
        <w:instrText xml:space="preserve"> SEQ T_-_III_- \* ARABIC </w:instrText>
      </w:r>
      <w:r>
        <w:fldChar w:fldCharType="separate"/>
      </w:r>
      <w:r w:rsidR="00E91088">
        <w:rPr>
          <w:noProof/>
        </w:rPr>
        <w:t>17</w:t>
      </w:r>
      <w:r>
        <w:fldChar w:fldCharType="end"/>
      </w:r>
      <w:r>
        <w:t xml:space="preserve">: </w:t>
      </w:r>
      <w:r w:rsidRPr="00ED71F6">
        <w:t>H2: Acquisition premiums - No toehold deals</w:t>
      </w:r>
      <w:bookmarkEnd w:id="626"/>
    </w:p>
    <w:tbl>
      <w:tblPr>
        <w:tblW w:w="9072" w:type="dxa"/>
        <w:tblLayout w:type="fixed"/>
        <w:tblLook w:val="04A0" w:firstRow="1" w:lastRow="0" w:firstColumn="1" w:lastColumn="0" w:noHBand="0" w:noVBand="1"/>
      </w:tblPr>
      <w:tblGrid>
        <w:gridCol w:w="9072"/>
      </w:tblGrid>
      <w:tr w:rsidR="00694090" w:rsidRPr="00EB468D" w14:paraId="71765735" w14:textId="77777777" w:rsidTr="006D06D3">
        <w:trPr>
          <w:trHeight w:val="611"/>
        </w:trPr>
        <w:tc>
          <w:tcPr>
            <w:tcW w:w="5000" w:type="pct"/>
            <w:tcBorders>
              <w:left w:val="nil"/>
              <w:bottom w:val="single" w:sz="4" w:space="0" w:color="auto"/>
              <w:right w:val="nil"/>
            </w:tcBorders>
            <w:shd w:val="clear" w:color="auto" w:fill="auto"/>
          </w:tcPr>
          <w:tbl>
            <w:tblPr>
              <w:tblW w:w="8903" w:type="dxa"/>
              <w:jc w:val="center"/>
              <w:tblLayout w:type="fixed"/>
              <w:tblLook w:val="0000" w:firstRow="0" w:lastRow="0" w:firstColumn="0" w:lastColumn="0" w:noHBand="0" w:noVBand="0"/>
            </w:tblPr>
            <w:tblGrid>
              <w:gridCol w:w="2381"/>
              <w:gridCol w:w="2047"/>
              <w:gridCol w:w="2174"/>
              <w:gridCol w:w="2301"/>
            </w:tblGrid>
            <w:tr w:rsidR="00694090" w:rsidRPr="00EB468D" w14:paraId="02797C5C" w14:textId="77777777" w:rsidTr="00107C6C">
              <w:trPr>
                <w:trHeight w:val="252"/>
                <w:jc w:val="center"/>
              </w:trPr>
              <w:tc>
                <w:tcPr>
                  <w:tcW w:w="2381" w:type="dxa"/>
                  <w:tcBorders>
                    <w:top w:val="single" w:sz="4" w:space="0" w:color="auto"/>
                    <w:left w:val="nil"/>
                    <w:right w:val="nil"/>
                  </w:tcBorders>
                </w:tcPr>
                <w:p w14:paraId="353EF65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 xml:space="preserve">   </w:t>
                  </w:r>
                </w:p>
              </w:tc>
              <w:tc>
                <w:tcPr>
                  <w:tcW w:w="2047" w:type="dxa"/>
                  <w:tcBorders>
                    <w:top w:val="single" w:sz="4" w:space="0" w:color="auto"/>
                    <w:left w:val="nil"/>
                    <w:right w:val="nil"/>
                  </w:tcBorders>
                </w:tcPr>
                <w:p w14:paraId="4B7C81DA"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(1)</w:t>
                  </w:r>
                </w:p>
              </w:tc>
              <w:tc>
                <w:tcPr>
                  <w:tcW w:w="2174" w:type="dxa"/>
                  <w:tcBorders>
                    <w:top w:val="single" w:sz="4" w:space="0" w:color="auto"/>
                    <w:left w:val="nil"/>
                    <w:right w:val="nil"/>
                  </w:tcBorders>
                </w:tcPr>
                <w:p w14:paraId="028E6EC7"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(2)</w:t>
                  </w:r>
                </w:p>
              </w:tc>
              <w:tc>
                <w:tcPr>
                  <w:tcW w:w="2301" w:type="dxa"/>
                  <w:tcBorders>
                    <w:top w:val="single" w:sz="4" w:space="0" w:color="auto"/>
                    <w:left w:val="nil"/>
                    <w:bottom w:val="nil"/>
                    <w:right w:val="nil"/>
                  </w:tcBorders>
                </w:tcPr>
                <w:p w14:paraId="2D3C6EF5" w14:textId="181A13F2" w:rsidR="00694090" w:rsidRPr="006D06D3" w:rsidRDefault="00694090" w:rsidP="00AB066F">
                  <w:pPr>
                    <w:widowControl w:val="0"/>
                    <w:autoSpaceDE w:val="0"/>
                    <w:autoSpaceDN w:val="0"/>
                    <w:adjustRightInd w:val="0"/>
                    <w:spacing w:line="240" w:lineRule="auto"/>
                    <w:jc w:val="center"/>
                    <w:rPr>
                      <w:b/>
                      <w:bCs/>
                      <w:color w:val="000000" w:themeColor="text1"/>
                      <w:sz w:val="22"/>
                      <w:lang w:val="en-US"/>
                    </w:rPr>
                  </w:pPr>
                  <w:r w:rsidRPr="006D06D3">
                    <w:rPr>
                      <w:b/>
                      <w:bCs/>
                      <w:color w:val="000000" w:themeColor="text1"/>
                      <w:sz w:val="22"/>
                      <w:lang w:val="en-US"/>
                    </w:rPr>
                    <w:t>(3)</w:t>
                  </w:r>
                </w:p>
              </w:tc>
            </w:tr>
            <w:tr w:rsidR="00694090" w:rsidRPr="00EB468D" w14:paraId="7152498C" w14:textId="77777777" w:rsidTr="00107C6C">
              <w:trPr>
                <w:trHeight w:val="505"/>
                <w:jc w:val="center"/>
              </w:trPr>
              <w:tc>
                <w:tcPr>
                  <w:tcW w:w="2381" w:type="dxa"/>
                  <w:tcBorders>
                    <w:top w:val="nil"/>
                    <w:left w:val="nil"/>
                    <w:bottom w:val="single" w:sz="4" w:space="0" w:color="auto"/>
                    <w:right w:val="nil"/>
                  </w:tcBorders>
                </w:tcPr>
                <w:p w14:paraId="09A4874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 xml:space="preserve">   </w:t>
                  </w:r>
                </w:p>
              </w:tc>
              <w:tc>
                <w:tcPr>
                  <w:tcW w:w="2047" w:type="dxa"/>
                  <w:tcBorders>
                    <w:top w:val="nil"/>
                    <w:left w:val="nil"/>
                    <w:bottom w:val="single" w:sz="4" w:space="0" w:color="auto"/>
                    <w:right w:val="nil"/>
                  </w:tcBorders>
                </w:tcPr>
                <w:p w14:paraId="07E57414" w14:textId="2CC17C61"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deal_premium</w:t>
                  </w:r>
                  <w:r w:rsidR="00165286">
                    <w:rPr>
                      <w:b/>
                      <w:bCs/>
                      <w:color w:val="000000" w:themeColor="text1"/>
                      <w:sz w:val="22"/>
                      <w:lang w:val="en-US"/>
                    </w:rPr>
                    <w:br/>
                  </w:r>
                  <w:r w:rsidRPr="00EB468D">
                    <w:rPr>
                      <w:b/>
                      <w:bCs/>
                      <w:color w:val="000000" w:themeColor="text1"/>
                      <w:sz w:val="22"/>
                      <w:lang w:val="en-US"/>
                    </w:rPr>
                    <w:t>_1day</w:t>
                  </w:r>
                </w:p>
              </w:tc>
              <w:tc>
                <w:tcPr>
                  <w:tcW w:w="2174" w:type="dxa"/>
                  <w:tcBorders>
                    <w:top w:val="nil"/>
                    <w:left w:val="nil"/>
                    <w:bottom w:val="single" w:sz="4" w:space="0" w:color="auto"/>
                    <w:right w:val="nil"/>
                  </w:tcBorders>
                </w:tcPr>
                <w:p w14:paraId="08A2D4DD" w14:textId="15CD554E"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deal_premium</w:t>
                  </w:r>
                  <w:r w:rsidR="00165286">
                    <w:rPr>
                      <w:b/>
                      <w:bCs/>
                      <w:color w:val="000000" w:themeColor="text1"/>
                      <w:sz w:val="22"/>
                      <w:lang w:val="en-US"/>
                    </w:rPr>
                    <w:br/>
                  </w:r>
                  <w:r w:rsidRPr="00EB468D">
                    <w:rPr>
                      <w:b/>
                      <w:bCs/>
                      <w:color w:val="000000" w:themeColor="text1"/>
                      <w:sz w:val="22"/>
                      <w:lang w:val="en-US"/>
                    </w:rPr>
                    <w:t>_1week</w:t>
                  </w:r>
                </w:p>
              </w:tc>
              <w:tc>
                <w:tcPr>
                  <w:tcW w:w="2301" w:type="dxa"/>
                  <w:tcBorders>
                    <w:top w:val="nil"/>
                    <w:left w:val="nil"/>
                    <w:bottom w:val="single" w:sz="10" w:space="0" w:color="auto"/>
                    <w:right w:val="nil"/>
                  </w:tcBorders>
                </w:tcPr>
                <w:p w14:paraId="69CCCFF1" w14:textId="014E506E" w:rsidR="00694090" w:rsidRPr="006D06D3" w:rsidRDefault="00694090" w:rsidP="00AB066F">
                  <w:pPr>
                    <w:widowControl w:val="0"/>
                    <w:autoSpaceDE w:val="0"/>
                    <w:autoSpaceDN w:val="0"/>
                    <w:adjustRightInd w:val="0"/>
                    <w:spacing w:line="240" w:lineRule="auto"/>
                    <w:jc w:val="center"/>
                    <w:rPr>
                      <w:b/>
                      <w:bCs/>
                      <w:color w:val="000000" w:themeColor="text1"/>
                      <w:sz w:val="22"/>
                      <w:lang w:val="en-US"/>
                    </w:rPr>
                  </w:pPr>
                  <w:r w:rsidRPr="006D06D3">
                    <w:rPr>
                      <w:b/>
                      <w:bCs/>
                      <w:color w:val="000000" w:themeColor="text1"/>
                      <w:sz w:val="22"/>
                      <w:lang w:val="en-US"/>
                    </w:rPr>
                    <w:t>deal_premium</w:t>
                  </w:r>
                  <w:r w:rsidR="00165286">
                    <w:rPr>
                      <w:b/>
                      <w:bCs/>
                      <w:color w:val="000000" w:themeColor="text1"/>
                      <w:sz w:val="22"/>
                      <w:lang w:val="en-US"/>
                    </w:rPr>
                    <w:br/>
                  </w:r>
                  <w:r w:rsidRPr="006D06D3">
                    <w:rPr>
                      <w:b/>
                      <w:bCs/>
                      <w:color w:val="000000" w:themeColor="text1"/>
                      <w:sz w:val="22"/>
                      <w:lang w:val="en-US"/>
                    </w:rPr>
                    <w:t>_1month</w:t>
                  </w:r>
                </w:p>
              </w:tc>
            </w:tr>
            <w:tr w:rsidR="00694090" w:rsidRPr="00EB468D" w14:paraId="21094DD5" w14:textId="77777777" w:rsidTr="00107C6C">
              <w:trPr>
                <w:trHeight w:val="265"/>
                <w:jc w:val="center"/>
              </w:trPr>
              <w:tc>
                <w:tcPr>
                  <w:tcW w:w="2381" w:type="dxa"/>
                  <w:tcBorders>
                    <w:top w:val="single" w:sz="4" w:space="0" w:color="auto"/>
                    <w:left w:val="nil"/>
                    <w:bottom w:val="nil"/>
                    <w:right w:val="nil"/>
                  </w:tcBorders>
                </w:tcPr>
                <w:p w14:paraId="7CDC7E2F"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deal_culturaldistance</w:t>
                  </w:r>
                </w:p>
              </w:tc>
              <w:tc>
                <w:tcPr>
                  <w:tcW w:w="2047" w:type="dxa"/>
                  <w:tcBorders>
                    <w:top w:val="single" w:sz="4" w:space="0" w:color="auto"/>
                    <w:left w:val="nil"/>
                    <w:bottom w:val="nil"/>
                    <w:right w:val="nil"/>
                  </w:tcBorders>
                  <w:vAlign w:val="center"/>
                </w:tcPr>
                <w:p w14:paraId="31E1DAD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.011**</w:t>
                  </w:r>
                </w:p>
              </w:tc>
              <w:tc>
                <w:tcPr>
                  <w:tcW w:w="2174" w:type="dxa"/>
                  <w:tcBorders>
                    <w:top w:val="single" w:sz="4" w:space="0" w:color="auto"/>
                    <w:left w:val="nil"/>
                    <w:bottom w:val="nil"/>
                    <w:right w:val="nil"/>
                  </w:tcBorders>
                  <w:vAlign w:val="center"/>
                </w:tcPr>
                <w:p w14:paraId="409651F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.011*</w:t>
                  </w:r>
                </w:p>
              </w:tc>
              <w:tc>
                <w:tcPr>
                  <w:tcW w:w="2301" w:type="dxa"/>
                  <w:tcBorders>
                    <w:top w:val="nil"/>
                    <w:left w:val="nil"/>
                    <w:bottom w:val="nil"/>
                    <w:right w:val="nil"/>
                  </w:tcBorders>
                  <w:vAlign w:val="center"/>
                </w:tcPr>
                <w:p w14:paraId="61D41A7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.503*</w:t>
                  </w:r>
                </w:p>
              </w:tc>
            </w:tr>
            <w:tr w:rsidR="00694090" w:rsidRPr="00EB468D" w14:paraId="181B4704" w14:textId="77777777" w:rsidTr="00107C6C">
              <w:trPr>
                <w:trHeight w:val="252"/>
                <w:jc w:val="center"/>
              </w:trPr>
              <w:tc>
                <w:tcPr>
                  <w:tcW w:w="2381" w:type="dxa"/>
                  <w:tcBorders>
                    <w:top w:val="nil"/>
                    <w:left w:val="nil"/>
                    <w:bottom w:val="nil"/>
                    <w:right w:val="nil"/>
                  </w:tcBorders>
                </w:tcPr>
                <w:p w14:paraId="7CFBBA18"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2047" w:type="dxa"/>
                  <w:tcBorders>
                    <w:top w:val="nil"/>
                    <w:left w:val="nil"/>
                    <w:bottom w:val="nil"/>
                    <w:right w:val="nil"/>
                  </w:tcBorders>
                  <w:vAlign w:val="center"/>
                </w:tcPr>
                <w:p w14:paraId="601F232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(1.981)</w:t>
                  </w:r>
                </w:p>
              </w:tc>
              <w:tc>
                <w:tcPr>
                  <w:tcW w:w="2174" w:type="dxa"/>
                  <w:tcBorders>
                    <w:top w:val="nil"/>
                    <w:left w:val="nil"/>
                    <w:bottom w:val="nil"/>
                    <w:right w:val="nil"/>
                  </w:tcBorders>
                  <w:vAlign w:val="center"/>
                </w:tcPr>
                <w:p w14:paraId="25937EE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(1.814)</w:t>
                  </w:r>
                </w:p>
              </w:tc>
              <w:tc>
                <w:tcPr>
                  <w:tcW w:w="2301" w:type="dxa"/>
                  <w:tcBorders>
                    <w:top w:val="nil"/>
                    <w:left w:val="nil"/>
                    <w:bottom w:val="nil"/>
                    <w:right w:val="nil"/>
                  </w:tcBorders>
                  <w:vAlign w:val="center"/>
                </w:tcPr>
                <w:p w14:paraId="2679576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(1.983)</w:t>
                  </w:r>
                </w:p>
              </w:tc>
            </w:tr>
            <w:tr w:rsidR="00694090" w:rsidRPr="00EB468D" w14:paraId="133FF48A" w14:textId="77777777" w:rsidTr="00107C6C">
              <w:trPr>
                <w:trHeight w:val="252"/>
                <w:jc w:val="center"/>
              </w:trPr>
              <w:tc>
                <w:tcPr>
                  <w:tcW w:w="2381" w:type="dxa"/>
                  <w:tcBorders>
                    <w:top w:val="nil"/>
                    <w:left w:val="nil"/>
                    <w:bottom w:val="nil"/>
                    <w:right w:val="nil"/>
                  </w:tcBorders>
                </w:tcPr>
                <w:p w14:paraId="69801F32"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deal_value_ln</w:t>
                  </w:r>
                </w:p>
              </w:tc>
              <w:tc>
                <w:tcPr>
                  <w:tcW w:w="2047" w:type="dxa"/>
                  <w:tcBorders>
                    <w:top w:val="nil"/>
                    <w:left w:val="nil"/>
                    <w:bottom w:val="nil"/>
                    <w:right w:val="nil"/>
                  </w:tcBorders>
                  <w:vAlign w:val="center"/>
                </w:tcPr>
                <w:p w14:paraId="7339AA9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-.006</w:t>
                  </w:r>
                </w:p>
              </w:tc>
              <w:tc>
                <w:tcPr>
                  <w:tcW w:w="2174" w:type="dxa"/>
                  <w:tcBorders>
                    <w:top w:val="nil"/>
                    <w:left w:val="nil"/>
                    <w:bottom w:val="nil"/>
                    <w:right w:val="nil"/>
                  </w:tcBorders>
                  <w:vAlign w:val="center"/>
                </w:tcPr>
                <w:p w14:paraId="06522C2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-.022</w:t>
                  </w:r>
                </w:p>
              </w:tc>
              <w:tc>
                <w:tcPr>
                  <w:tcW w:w="2301" w:type="dxa"/>
                  <w:tcBorders>
                    <w:top w:val="nil"/>
                    <w:left w:val="nil"/>
                    <w:bottom w:val="nil"/>
                    <w:right w:val="nil"/>
                  </w:tcBorders>
                  <w:vAlign w:val="center"/>
                </w:tcPr>
                <w:p w14:paraId="1974071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-.010</w:t>
                  </w:r>
                </w:p>
              </w:tc>
            </w:tr>
            <w:tr w:rsidR="00694090" w:rsidRPr="00EB468D" w14:paraId="440B4E50" w14:textId="77777777" w:rsidTr="00107C6C">
              <w:trPr>
                <w:trHeight w:val="252"/>
                <w:jc w:val="center"/>
              </w:trPr>
              <w:tc>
                <w:tcPr>
                  <w:tcW w:w="2381" w:type="dxa"/>
                  <w:tcBorders>
                    <w:top w:val="nil"/>
                    <w:left w:val="nil"/>
                    <w:bottom w:val="nil"/>
                    <w:right w:val="nil"/>
                  </w:tcBorders>
                </w:tcPr>
                <w:p w14:paraId="1795120D"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2047" w:type="dxa"/>
                  <w:tcBorders>
                    <w:top w:val="nil"/>
                    <w:left w:val="nil"/>
                    <w:bottom w:val="nil"/>
                    <w:right w:val="nil"/>
                  </w:tcBorders>
                  <w:vAlign w:val="center"/>
                </w:tcPr>
                <w:p w14:paraId="4CE22DE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(-.260)</w:t>
                  </w:r>
                </w:p>
              </w:tc>
              <w:tc>
                <w:tcPr>
                  <w:tcW w:w="2174" w:type="dxa"/>
                  <w:tcBorders>
                    <w:top w:val="nil"/>
                    <w:left w:val="nil"/>
                    <w:bottom w:val="nil"/>
                    <w:right w:val="nil"/>
                  </w:tcBorders>
                  <w:vAlign w:val="center"/>
                </w:tcPr>
                <w:p w14:paraId="1C06CA3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(-.848)</w:t>
                  </w:r>
                </w:p>
              </w:tc>
              <w:tc>
                <w:tcPr>
                  <w:tcW w:w="2301" w:type="dxa"/>
                  <w:tcBorders>
                    <w:top w:val="nil"/>
                    <w:left w:val="nil"/>
                    <w:bottom w:val="nil"/>
                    <w:right w:val="nil"/>
                  </w:tcBorders>
                  <w:vAlign w:val="center"/>
                </w:tcPr>
                <w:p w14:paraId="4B88394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(-.479)</w:t>
                  </w:r>
                </w:p>
              </w:tc>
            </w:tr>
            <w:tr w:rsidR="00694090" w:rsidRPr="00EB468D" w14:paraId="1E2A84F4" w14:textId="77777777" w:rsidTr="00107C6C">
              <w:trPr>
                <w:trHeight w:val="252"/>
                <w:jc w:val="center"/>
              </w:trPr>
              <w:tc>
                <w:tcPr>
                  <w:tcW w:w="2381" w:type="dxa"/>
                  <w:tcBorders>
                    <w:top w:val="nil"/>
                    <w:left w:val="nil"/>
                    <w:bottom w:val="nil"/>
                    <w:right w:val="nil"/>
                  </w:tcBorders>
                </w:tcPr>
                <w:p w14:paraId="00C818E6"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deal_hofstede_distance</w:t>
                  </w:r>
                </w:p>
              </w:tc>
              <w:tc>
                <w:tcPr>
                  <w:tcW w:w="2047" w:type="dxa"/>
                  <w:tcBorders>
                    <w:top w:val="nil"/>
                    <w:left w:val="nil"/>
                    <w:bottom w:val="nil"/>
                    <w:right w:val="nil"/>
                  </w:tcBorders>
                  <w:vAlign w:val="center"/>
                </w:tcPr>
                <w:p w14:paraId="176FEE1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.278*</w:t>
                  </w:r>
                </w:p>
              </w:tc>
              <w:tc>
                <w:tcPr>
                  <w:tcW w:w="2174" w:type="dxa"/>
                  <w:tcBorders>
                    <w:top w:val="nil"/>
                    <w:left w:val="nil"/>
                    <w:bottom w:val="nil"/>
                    <w:right w:val="nil"/>
                  </w:tcBorders>
                  <w:vAlign w:val="center"/>
                </w:tcPr>
                <w:p w14:paraId="3C0EE87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.029</w:t>
                  </w:r>
                </w:p>
              </w:tc>
              <w:tc>
                <w:tcPr>
                  <w:tcW w:w="2301" w:type="dxa"/>
                  <w:tcBorders>
                    <w:top w:val="nil"/>
                    <w:left w:val="nil"/>
                    <w:bottom w:val="nil"/>
                    <w:right w:val="nil"/>
                  </w:tcBorders>
                  <w:vAlign w:val="center"/>
                </w:tcPr>
                <w:p w14:paraId="22F7F97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.071</w:t>
                  </w:r>
                </w:p>
              </w:tc>
            </w:tr>
            <w:tr w:rsidR="00694090" w:rsidRPr="00EB468D" w14:paraId="7F987FB1" w14:textId="77777777" w:rsidTr="00107C6C">
              <w:trPr>
                <w:trHeight w:val="265"/>
                <w:jc w:val="center"/>
              </w:trPr>
              <w:tc>
                <w:tcPr>
                  <w:tcW w:w="2381" w:type="dxa"/>
                  <w:tcBorders>
                    <w:top w:val="nil"/>
                    <w:left w:val="nil"/>
                    <w:bottom w:val="nil"/>
                    <w:right w:val="nil"/>
                  </w:tcBorders>
                </w:tcPr>
                <w:p w14:paraId="603B50FE"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2047" w:type="dxa"/>
                  <w:tcBorders>
                    <w:top w:val="nil"/>
                    <w:left w:val="nil"/>
                    <w:bottom w:val="nil"/>
                    <w:right w:val="nil"/>
                  </w:tcBorders>
                  <w:vAlign w:val="center"/>
                </w:tcPr>
                <w:p w14:paraId="5E9EFDA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(1.657)</w:t>
                  </w:r>
                </w:p>
              </w:tc>
              <w:tc>
                <w:tcPr>
                  <w:tcW w:w="2174" w:type="dxa"/>
                  <w:tcBorders>
                    <w:top w:val="nil"/>
                    <w:left w:val="nil"/>
                    <w:bottom w:val="nil"/>
                    <w:right w:val="nil"/>
                  </w:tcBorders>
                  <w:vAlign w:val="center"/>
                </w:tcPr>
                <w:p w14:paraId="1475162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(.144)</w:t>
                  </w:r>
                </w:p>
              </w:tc>
              <w:tc>
                <w:tcPr>
                  <w:tcW w:w="2301" w:type="dxa"/>
                  <w:tcBorders>
                    <w:top w:val="nil"/>
                    <w:left w:val="nil"/>
                    <w:bottom w:val="nil"/>
                    <w:right w:val="nil"/>
                  </w:tcBorders>
                  <w:vAlign w:val="center"/>
                </w:tcPr>
                <w:p w14:paraId="6ADEC78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(.286)</w:t>
                  </w:r>
                </w:p>
              </w:tc>
            </w:tr>
            <w:tr w:rsidR="00694090" w:rsidRPr="00EB468D" w14:paraId="0D1EE0BC" w14:textId="77777777" w:rsidTr="00107C6C">
              <w:trPr>
                <w:trHeight w:val="252"/>
                <w:jc w:val="center"/>
              </w:trPr>
              <w:tc>
                <w:tcPr>
                  <w:tcW w:w="2381" w:type="dxa"/>
                  <w:tcBorders>
                    <w:top w:val="nil"/>
                    <w:left w:val="nil"/>
                    <w:bottom w:val="nil"/>
                    <w:right w:val="nil"/>
                  </w:tcBorders>
                </w:tcPr>
                <w:p w14:paraId="1867B5CB"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deal_all_cash_dummy</w:t>
                  </w:r>
                </w:p>
              </w:tc>
              <w:tc>
                <w:tcPr>
                  <w:tcW w:w="2047" w:type="dxa"/>
                  <w:tcBorders>
                    <w:top w:val="nil"/>
                    <w:left w:val="nil"/>
                    <w:bottom w:val="nil"/>
                    <w:right w:val="nil"/>
                  </w:tcBorders>
                  <w:vAlign w:val="center"/>
                </w:tcPr>
                <w:p w14:paraId="5DB5F66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.088*</w:t>
                  </w:r>
                </w:p>
              </w:tc>
              <w:tc>
                <w:tcPr>
                  <w:tcW w:w="2174" w:type="dxa"/>
                  <w:tcBorders>
                    <w:top w:val="nil"/>
                    <w:left w:val="nil"/>
                    <w:bottom w:val="nil"/>
                    <w:right w:val="nil"/>
                  </w:tcBorders>
                  <w:vAlign w:val="center"/>
                </w:tcPr>
                <w:p w14:paraId="28BA961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.111**</w:t>
                  </w:r>
                </w:p>
              </w:tc>
              <w:tc>
                <w:tcPr>
                  <w:tcW w:w="2301" w:type="dxa"/>
                  <w:tcBorders>
                    <w:top w:val="nil"/>
                    <w:left w:val="nil"/>
                    <w:bottom w:val="nil"/>
                    <w:right w:val="nil"/>
                  </w:tcBorders>
                  <w:vAlign w:val="center"/>
                </w:tcPr>
                <w:p w14:paraId="191D1E4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.088</w:t>
                  </w:r>
                </w:p>
              </w:tc>
            </w:tr>
            <w:tr w:rsidR="00694090" w:rsidRPr="00EB468D" w14:paraId="35646836" w14:textId="77777777" w:rsidTr="00107C6C">
              <w:trPr>
                <w:trHeight w:val="252"/>
                <w:jc w:val="center"/>
              </w:trPr>
              <w:tc>
                <w:tcPr>
                  <w:tcW w:w="2381" w:type="dxa"/>
                  <w:tcBorders>
                    <w:top w:val="nil"/>
                    <w:left w:val="nil"/>
                    <w:bottom w:val="nil"/>
                    <w:right w:val="nil"/>
                  </w:tcBorders>
                </w:tcPr>
                <w:p w14:paraId="74A05174"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2047" w:type="dxa"/>
                  <w:tcBorders>
                    <w:top w:val="nil"/>
                    <w:left w:val="nil"/>
                    <w:bottom w:val="nil"/>
                    <w:right w:val="nil"/>
                  </w:tcBorders>
                  <w:vAlign w:val="center"/>
                </w:tcPr>
                <w:p w14:paraId="4561C21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(1.700)</w:t>
                  </w:r>
                </w:p>
              </w:tc>
              <w:tc>
                <w:tcPr>
                  <w:tcW w:w="2174" w:type="dxa"/>
                  <w:tcBorders>
                    <w:top w:val="nil"/>
                    <w:left w:val="nil"/>
                    <w:bottom w:val="nil"/>
                    <w:right w:val="nil"/>
                  </w:tcBorders>
                  <w:vAlign w:val="center"/>
                </w:tcPr>
                <w:p w14:paraId="525F6BA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(2.017)</w:t>
                  </w:r>
                </w:p>
              </w:tc>
              <w:tc>
                <w:tcPr>
                  <w:tcW w:w="2301" w:type="dxa"/>
                  <w:tcBorders>
                    <w:top w:val="nil"/>
                    <w:left w:val="nil"/>
                    <w:bottom w:val="nil"/>
                    <w:right w:val="nil"/>
                  </w:tcBorders>
                  <w:vAlign w:val="center"/>
                </w:tcPr>
                <w:p w14:paraId="31B2DA1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(1.527)</w:t>
                  </w:r>
                </w:p>
              </w:tc>
            </w:tr>
            <w:tr w:rsidR="00694090" w:rsidRPr="00EB468D" w14:paraId="12FCE267" w14:textId="77777777" w:rsidTr="00107C6C">
              <w:trPr>
                <w:trHeight w:val="252"/>
                <w:jc w:val="center"/>
              </w:trPr>
              <w:tc>
                <w:tcPr>
                  <w:tcW w:w="2381" w:type="dxa"/>
                  <w:tcBorders>
                    <w:top w:val="nil"/>
                    <w:left w:val="nil"/>
                    <w:bottom w:val="nil"/>
                    <w:right w:val="nil"/>
                  </w:tcBorders>
                </w:tcPr>
                <w:p w14:paraId="67FEB5A2"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deal_all_stock_dummy</w:t>
                  </w:r>
                </w:p>
              </w:tc>
              <w:tc>
                <w:tcPr>
                  <w:tcW w:w="2047" w:type="dxa"/>
                  <w:tcBorders>
                    <w:top w:val="nil"/>
                    <w:left w:val="nil"/>
                    <w:bottom w:val="nil"/>
                    <w:right w:val="nil"/>
                  </w:tcBorders>
                  <w:vAlign w:val="center"/>
                </w:tcPr>
                <w:p w14:paraId="318AF5C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-.092</w:t>
                  </w:r>
                </w:p>
              </w:tc>
              <w:tc>
                <w:tcPr>
                  <w:tcW w:w="2174" w:type="dxa"/>
                  <w:tcBorders>
                    <w:top w:val="nil"/>
                    <w:left w:val="nil"/>
                    <w:bottom w:val="nil"/>
                    <w:right w:val="nil"/>
                  </w:tcBorders>
                  <w:vAlign w:val="center"/>
                </w:tcPr>
                <w:p w14:paraId="3B03725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-.096</w:t>
                  </w:r>
                </w:p>
              </w:tc>
              <w:tc>
                <w:tcPr>
                  <w:tcW w:w="2301" w:type="dxa"/>
                  <w:tcBorders>
                    <w:top w:val="nil"/>
                    <w:left w:val="nil"/>
                    <w:bottom w:val="nil"/>
                    <w:right w:val="nil"/>
                  </w:tcBorders>
                  <w:vAlign w:val="center"/>
                </w:tcPr>
                <w:p w14:paraId="0E45488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-.109</w:t>
                  </w:r>
                </w:p>
              </w:tc>
            </w:tr>
            <w:tr w:rsidR="00694090" w:rsidRPr="00EB468D" w14:paraId="2B999E90" w14:textId="77777777" w:rsidTr="00107C6C">
              <w:trPr>
                <w:trHeight w:val="252"/>
                <w:jc w:val="center"/>
              </w:trPr>
              <w:tc>
                <w:tcPr>
                  <w:tcW w:w="2381" w:type="dxa"/>
                  <w:tcBorders>
                    <w:top w:val="nil"/>
                    <w:left w:val="nil"/>
                    <w:bottom w:val="nil"/>
                    <w:right w:val="nil"/>
                  </w:tcBorders>
                </w:tcPr>
                <w:p w14:paraId="0A863E19"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2047" w:type="dxa"/>
                  <w:tcBorders>
                    <w:top w:val="nil"/>
                    <w:left w:val="nil"/>
                    <w:bottom w:val="nil"/>
                    <w:right w:val="nil"/>
                  </w:tcBorders>
                  <w:vAlign w:val="center"/>
                </w:tcPr>
                <w:p w14:paraId="5B08ECC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(-1.284)</w:t>
                  </w:r>
                </w:p>
              </w:tc>
              <w:tc>
                <w:tcPr>
                  <w:tcW w:w="2174" w:type="dxa"/>
                  <w:tcBorders>
                    <w:top w:val="nil"/>
                    <w:left w:val="nil"/>
                    <w:bottom w:val="nil"/>
                    <w:right w:val="nil"/>
                  </w:tcBorders>
                  <w:vAlign w:val="center"/>
                </w:tcPr>
                <w:p w14:paraId="00710BE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(-1.407)</w:t>
                  </w:r>
                </w:p>
              </w:tc>
              <w:tc>
                <w:tcPr>
                  <w:tcW w:w="2301" w:type="dxa"/>
                  <w:tcBorders>
                    <w:top w:val="nil"/>
                    <w:left w:val="nil"/>
                    <w:bottom w:val="nil"/>
                    <w:right w:val="nil"/>
                  </w:tcBorders>
                  <w:vAlign w:val="center"/>
                </w:tcPr>
                <w:p w14:paraId="0BE3575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(-1.551)</w:t>
                  </w:r>
                </w:p>
              </w:tc>
            </w:tr>
            <w:tr w:rsidR="00694090" w:rsidRPr="00EB468D" w14:paraId="3ABA2830" w14:textId="77777777" w:rsidTr="00107C6C">
              <w:trPr>
                <w:trHeight w:val="771"/>
                <w:jc w:val="center"/>
              </w:trPr>
              <w:tc>
                <w:tcPr>
                  <w:tcW w:w="2381" w:type="dxa"/>
                  <w:tcBorders>
                    <w:top w:val="nil"/>
                    <w:left w:val="nil"/>
                    <w:bottom w:val="nil"/>
                    <w:right w:val="nil"/>
                  </w:tcBorders>
                </w:tcPr>
                <w:p w14:paraId="3F64BB03"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deal_tenderoffer_dummy</w:t>
                  </w:r>
                </w:p>
              </w:tc>
              <w:tc>
                <w:tcPr>
                  <w:tcW w:w="2047" w:type="dxa"/>
                  <w:tcBorders>
                    <w:top w:val="nil"/>
                    <w:left w:val="nil"/>
                    <w:bottom w:val="nil"/>
                    <w:right w:val="nil"/>
                  </w:tcBorders>
                  <w:vAlign w:val="center"/>
                </w:tcPr>
                <w:p w14:paraId="1667493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-.072</w:t>
                  </w:r>
                </w:p>
              </w:tc>
              <w:tc>
                <w:tcPr>
                  <w:tcW w:w="2174" w:type="dxa"/>
                  <w:tcBorders>
                    <w:top w:val="nil"/>
                    <w:left w:val="nil"/>
                    <w:bottom w:val="nil"/>
                    <w:right w:val="nil"/>
                  </w:tcBorders>
                  <w:vAlign w:val="center"/>
                </w:tcPr>
                <w:p w14:paraId="1371243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-.098</w:t>
                  </w:r>
                </w:p>
              </w:tc>
              <w:tc>
                <w:tcPr>
                  <w:tcW w:w="2301" w:type="dxa"/>
                  <w:tcBorders>
                    <w:top w:val="nil"/>
                    <w:left w:val="nil"/>
                    <w:bottom w:val="nil"/>
                    <w:right w:val="nil"/>
                  </w:tcBorders>
                  <w:vAlign w:val="center"/>
                </w:tcPr>
                <w:p w14:paraId="76872C4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-.084</w:t>
                  </w:r>
                </w:p>
              </w:tc>
            </w:tr>
            <w:tr w:rsidR="00694090" w:rsidRPr="00EB468D" w14:paraId="113770B0" w14:textId="77777777" w:rsidTr="00107C6C">
              <w:trPr>
                <w:trHeight w:val="252"/>
                <w:jc w:val="center"/>
              </w:trPr>
              <w:tc>
                <w:tcPr>
                  <w:tcW w:w="2381" w:type="dxa"/>
                  <w:tcBorders>
                    <w:top w:val="nil"/>
                    <w:left w:val="nil"/>
                    <w:bottom w:val="nil"/>
                    <w:right w:val="nil"/>
                  </w:tcBorders>
                </w:tcPr>
                <w:p w14:paraId="12A47A1B"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2047" w:type="dxa"/>
                  <w:tcBorders>
                    <w:top w:val="nil"/>
                    <w:left w:val="nil"/>
                    <w:bottom w:val="nil"/>
                    <w:right w:val="nil"/>
                  </w:tcBorders>
                  <w:vAlign w:val="center"/>
                </w:tcPr>
                <w:p w14:paraId="4AED07E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(-1.150)</w:t>
                  </w:r>
                </w:p>
              </w:tc>
              <w:tc>
                <w:tcPr>
                  <w:tcW w:w="2174" w:type="dxa"/>
                  <w:tcBorders>
                    <w:top w:val="nil"/>
                    <w:left w:val="nil"/>
                    <w:bottom w:val="nil"/>
                    <w:right w:val="nil"/>
                  </w:tcBorders>
                  <w:vAlign w:val="center"/>
                </w:tcPr>
                <w:p w14:paraId="02559F5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(-1.444)</w:t>
                  </w:r>
                </w:p>
              </w:tc>
              <w:tc>
                <w:tcPr>
                  <w:tcW w:w="2301" w:type="dxa"/>
                  <w:tcBorders>
                    <w:top w:val="nil"/>
                    <w:left w:val="nil"/>
                    <w:bottom w:val="nil"/>
                    <w:right w:val="nil"/>
                  </w:tcBorders>
                  <w:vAlign w:val="center"/>
                </w:tcPr>
                <w:p w14:paraId="29CF4FD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(-1.212)</w:t>
                  </w:r>
                </w:p>
              </w:tc>
            </w:tr>
            <w:tr w:rsidR="00694090" w:rsidRPr="00EB468D" w14:paraId="7A9F4CE2" w14:textId="77777777" w:rsidTr="00107C6C">
              <w:trPr>
                <w:trHeight w:val="252"/>
                <w:jc w:val="center"/>
              </w:trPr>
              <w:tc>
                <w:tcPr>
                  <w:tcW w:w="2381" w:type="dxa"/>
                  <w:tcBorders>
                    <w:top w:val="nil"/>
                    <w:left w:val="nil"/>
                    <w:bottom w:val="nil"/>
                    <w:right w:val="nil"/>
                  </w:tcBorders>
                </w:tcPr>
                <w:p w14:paraId="16EAB82D"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deal_friendly_dummy</w:t>
                  </w:r>
                </w:p>
              </w:tc>
              <w:tc>
                <w:tcPr>
                  <w:tcW w:w="2047" w:type="dxa"/>
                  <w:tcBorders>
                    <w:top w:val="nil"/>
                    <w:left w:val="nil"/>
                    <w:bottom w:val="nil"/>
                    <w:right w:val="nil"/>
                  </w:tcBorders>
                  <w:vAlign w:val="center"/>
                </w:tcPr>
                <w:p w14:paraId="45A85E9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.384***</w:t>
                  </w:r>
                </w:p>
              </w:tc>
              <w:tc>
                <w:tcPr>
                  <w:tcW w:w="2174" w:type="dxa"/>
                  <w:tcBorders>
                    <w:top w:val="nil"/>
                    <w:left w:val="nil"/>
                    <w:bottom w:val="nil"/>
                    <w:right w:val="nil"/>
                  </w:tcBorders>
                  <w:vAlign w:val="center"/>
                </w:tcPr>
                <w:p w14:paraId="6741318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.342**</w:t>
                  </w:r>
                </w:p>
              </w:tc>
              <w:tc>
                <w:tcPr>
                  <w:tcW w:w="2301" w:type="dxa"/>
                  <w:tcBorders>
                    <w:top w:val="nil"/>
                    <w:left w:val="nil"/>
                    <w:bottom w:val="nil"/>
                    <w:right w:val="nil"/>
                  </w:tcBorders>
                  <w:vAlign w:val="center"/>
                </w:tcPr>
                <w:p w14:paraId="4B14DE4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.352***</w:t>
                  </w:r>
                </w:p>
              </w:tc>
            </w:tr>
            <w:tr w:rsidR="00694090" w:rsidRPr="00EB468D" w14:paraId="4F0AE01F" w14:textId="77777777" w:rsidTr="00107C6C">
              <w:trPr>
                <w:trHeight w:val="265"/>
                <w:jc w:val="center"/>
              </w:trPr>
              <w:tc>
                <w:tcPr>
                  <w:tcW w:w="2381" w:type="dxa"/>
                  <w:tcBorders>
                    <w:top w:val="nil"/>
                    <w:left w:val="nil"/>
                    <w:bottom w:val="nil"/>
                    <w:right w:val="nil"/>
                  </w:tcBorders>
                </w:tcPr>
                <w:p w14:paraId="4C55822C"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2047" w:type="dxa"/>
                  <w:tcBorders>
                    <w:top w:val="nil"/>
                    <w:left w:val="nil"/>
                    <w:bottom w:val="nil"/>
                    <w:right w:val="nil"/>
                  </w:tcBorders>
                  <w:vAlign w:val="center"/>
                </w:tcPr>
                <w:p w14:paraId="076FA66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(2.944)</w:t>
                  </w:r>
                </w:p>
              </w:tc>
              <w:tc>
                <w:tcPr>
                  <w:tcW w:w="2174" w:type="dxa"/>
                  <w:tcBorders>
                    <w:top w:val="nil"/>
                    <w:left w:val="nil"/>
                    <w:bottom w:val="nil"/>
                    <w:right w:val="nil"/>
                  </w:tcBorders>
                  <w:vAlign w:val="center"/>
                </w:tcPr>
                <w:p w14:paraId="615098A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(2.350)</w:t>
                  </w:r>
                </w:p>
              </w:tc>
              <w:tc>
                <w:tcPr>
                  <w:tcW w:w="2301" w:type="dxa"/>
                  <w:tcBorders>
                    <w:top w:val="nil"/>
                    <w:left w:val="nil"/>
                    <w:bottom w:val="nil"/>
                    <w:right w:val="nil"/>
                  </w:tcBorders>
                  <w:vAlign w:val="center"/>
                </w:tcPr>
                <w:p w14:paraId="6BFC746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(2.888)</w:t>
                  </w:r>
                </w:p>
              </w:tc>
            </w:tr>
            <w:tr w:rsidR="00694090" w:rsidRPr="00EB468D" w14:paraId="20070E9D" w14:textId="77777777" w:rsidTr="00107C6C">
              <w:trPr>
                <w:trHeight w:val="758"/>
                <w:jc w:val="center"/>
              </w:trPr>
              <w:tc>
                <w:tcPr>
                  <w:tcW w:w="2381" w:type="dxa"/>
                  <w:tcBorders>
                    <w:top w:val="nil"/>
                    <w:left w:val="nil"/>
                    <w:bottom w:val="nil"/>
                    <w:right w:val="nil"/>
                  </w:tcBorders>
                </w:tcPr>
                <w:p w14:paraId="6F44E864"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deal_relatedness_dummy</w:t>
                  </w:r>
                </w:p>
              </w:tc>
              <w:tc>
                <w:tcPr>
                  <w:tcW w:w="2047" w:type="dxa"/>
                  <w:tcBorders>
                    <w:top w:val="nil"/>
                    <w:left w:val="nil"/>
                    <w:bottom w:val="nil"/>
                    <w:right w:val="nil"/>
                  </w:tcBorders>
                  <w:vAlign w:val="center"/>
                </w:tcPr>
                <w:p w14:paraId="41942A1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.049</w:t>
                  </w:r>
                </w:p>
              </w:tc>
              <w:tc>
                <w:tcPr>
                  <w:tcW w:w="2174" w:type="dxa"/>
                  <w:tcBorders>
                    <w:top w:val="nil"/>
                    <w:left w:val="nil"/>
                    <w:bottom w:val="nil"/>
                    <w:right w:val="nil"/>
                  </w:tcBorders>
                  <w:vAlign w:val="center"/>
                </w:tcPr>
                <w:p w14:paraId="6C1F34E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.039</w:t>
                  </w:r>
                </w:p>
              </w:tc>
              <w:tc>
                <w:tcPr>
                  <w:tcW w:w="2301" w:type="dxa"/>
                  <w:tcBorders>
                    <w:top w:val="nil"/>
                    <w:left w:val="nil"/>
                    <w:bottom w:val="nil"/>
                    <w:right w:val="nil"/>
                  </w:tcBorders>
                  <w:vAlign w:val="center"/>
                </w:tcPr>
                <w:p w14:paraId="043C7FF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.120**</w:t>
                  </w:r>
                </w:p>
              </w:tc>
            </w:tr>
            <w:tr w:rsidR="00694090" w:rsidRPr="00EB468D" w14:paraId="20379EFC" w14:textId="77777777" w:rsidTr="00107C6C">
              <w:trPr>
                <w:trHeight w:val="252"/>
                <w:jc w:val="center"/>
              </w:trPr>
              <w:tc>
                <w:tcPr>
                  <w:tcW w:w="2381" w:type="dxa"/>
                  <w:tcBorders>
                    <w:top w:val="nil"/>
                    <w:left w:val="nil"/>
                    <w:bottom w:val="nil"/>
                    <w:right w:val="nil"/>
                  </w:tcBorders>
                </w:tcPr>
                <w:p w14:paraId="49C8609F"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2047" w:type="dxa"/>
                  <w:tcBorders>
                    <w:top w:val="nil"/>
                    <w:left w:val="nil"/>
                    <w:bottom w:val="nil"/>
                    <w:right w:val="nil"/>
                  </w:tcBorders>
                  <w:vAlign w:val="center"/>
                </w:tcPr>
                <w:p w14:paraId="272F877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(.866)</w:t>
                  </w:r>
                </w:p>
              </w:tc>
              <w:tc>
                <w:tcPr>
                  <w:tcW w:w="2174" w:type="dxa"/>
                  <w:tcBorders>
                    <w:top w:val="nil"/>
                    <w:left w:val="nil"/>
                    <w:bottom w:val="nil"/>
                    <w:right w:val="nil"/>
                  </w:tcBorders>
                  <w:vAlign w:val="center"/>
                </w:tcPr>
                <w:p w14:paraId="656C693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(.735)</w:t>
                  </w:r>
                </w:p>
              </w:tc>
              <w:tc>
                <w:tcPr>
                  <w:tcW w:w="2301" w:type="dxa"/>
                  <w:tcBorders>
                    <w:top w:val="nil"/>
                    <w:left w:val="nil"/>
                    <w:bottom w:val="nil"/>
                    <w:right w:val="nil"/>
                  </w:tcBorders>
                  <w:vAlign w:val="center"/>
                </w:tcPr>
                <w:p w14:paraId="0B0D81C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(2.145)</w:t>
                  </w:r>
                </w:p>
              </w:tc>
            </w:tr>
            <w:tr w:rsidR="00694090" w:rsidRPr="00EB468D" w14:paraId="45352701" w14:textId="77777777" w:rsidTr="00107C6C">
              <w:trPr>
                <w:trHeight w:val="265"/>
                <w:jc w:val="center"/>
              </w:trPr>
              <w:tc>
                <w:tcPr>
                  <w:tcW w:w="2381" w:type="dxa"/>
                  <w:tcBorders>
                    <w:top w:val="nil"/>
                    <w:left w:val="nil"/>
                    <w:bottom w:val="nil"/>
                    <w:right w:val="nil"/>
                  </w:tcBorders>
                </w:tcPr>
                <w:p w14:paraId="10DAE32C"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acq_age</w:t>
                  </w:r>
                </w:p>
              </w:tc>
              <w:tc>
                <w:tcPr>
                  <w:tcW w:w="2047" w:type="dxa"/>
                  <w:tcBorders>
                    <w:top w:val="nil"/>
                    <w:left w:val="nil"/>
                    <w:bottom w:val="nil"/>
                    <w:right w:val="nil"/>
                  </w:tcBorders>
                  <w:vAlign w:val="center"/>
                </w:tcPr>
                <w:p w14:paraId="3849B63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-.0001</w:t>
                  </w:r>
                </w:p>
              </w:tc>
              <w:tc>
                <w:tcPr>
                  <w:tcW w:w="2174" w:type="dxa"/>
                  <w:tcBorders>
                    <w:top w:val="nil"/>
                    <w:left w:val="nil"/>
                    <w:bottom w:val="nil"/>
                    <w:right w:val="nil"/>
                  </w:tcBorders>
                  <w:vAlign w:val="center"/>
                </w:tcPr>
                <w:p w14:paraId="7EE16F9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-.0003</w:t>
                  </w:r>
                </w:p>
              </w:tc>
              <w:tc>
                <w:tcPr>
                  <w:tcW w:w="2301" w:type="dxa"/>
                  <w:tcBorders>
                    <w:top w:val="nil"/>
                    <w:left w:val="nil"/>
                    <w:bottom w:val="nil"/>
                    <w:right w:val="nil"/>
                  </w:tcBorders>
                  <w:vAlign w:val="center"/>
                </w:tcPr>
                <w:p w14:paraId="2983ED5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-.0003</w:t>
                  </w:r>
                </w:p>
              </w:tc>
            </w:tr>
            <w:tr w:rsidR="00694090" w:rsidRPr="00EB468D" w14:paraId="032DD568" w14:textId="77777777" w:rsidTr="00107C6C">
              <w:trPr>
                <w:trHeight w:val="252"/>
                <w:jc w:val="center"/>
              </w:trPr>
              <w:tc>
                <w:tcPr>
                  <w:tcW w:w="2381" w:type="dxa"/>
                  <w:tcBorders>
                    <w:top w:val="nil"/>
                    <w:left w:val="nil"/>
                    <w:bottom w:val="nil"/>
                    <w:right w:val="nil"/>
                  </w:tcBorders>
                </w:tcPr>
                <w:p w14:paraId="232629A2"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2047" w:type="dxa"/>
                  <w:tcBorders>
                    <w:top w:val="nil"/>
                    <w:left w:val="nil"/>
                    <w:bottom w:val="nil"/>
                    <w:right w:val="nil"/>
                  </w:tcBorders>
                  <w:vAlign w:val="center"/>
                </w:tcPr>
                <w:p w14:paraId="0A17DE4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(-.098)</w:t>
                  </w:r>
                </w:p>
              </w:tc>
              <w:tc>
                <w:tcPr>
                  <w:tcW w:w="2174" w:type="dxa"/>
                  <w:tcBorders>
                    <w:top w:val="nil"/>
                    <w:left w:val="nil"/>
                    <w:bottom w:val="nil"/>
                    <w:right w:val="nil"/>
                  </w:tcBorders>
                  <w:vAlign w:val="center"/>
                </w:tcPr>
                <w:p w14:paraId="50B72CF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(-.585)</w:t>
                  </w:r>
                </w:p>
              </w:tc>
              <w:tc>
                <w:tcPr>
                  <w:tcW w:w="2301" w:type="dxa"/>
                  <w:tcBorders>
                    <w:top w:val="nil"/>
                    <w:left w:val="nil"/>
                    <w:bottom w:val="nil"/>
                    <w:right w:val="nil"/>
                  </w:tcBorders>
                  <w:vAlign w:val="center"/>
                </w:tcPr>
                <w:p w14:paraId="1E461F5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(-.707)</w:t>
                  </w:r>
                </w:p>
              </w:tc>
            </w:tr>
            <w:tr w:rsidR="00694090" w:rsidRPr="00EB468D" w14:paraId="250D8385" w14:textId="77777777" w:rsidTr="00107C6C">
              <w:trPr>
                <w:trHeight w:val="252"/>
                <w:jc w:val="center"/>
              </w:trPr>
              <w:tc>
                <w:tcPr>
                  <w:tcW w:w="2381" w:type="dxa"/>
                  <w:tcBorders>
                    <w:top w:val="nil"/>
                    <w:left w:val="nil"/>
                    <w:bottom w:val="nil"/>
                    <w:right w:val="nil"/>
                  </w:tcBorders>
                </w:tcPr>
                <w:p w14:paraId="1060A71D"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acq_assets_lastyear_ln</w:t>
                  </w:r>
                </w:p>
              </w:tc>
              <w:tc>
                <w:tcPr>
                  <w:tcW w:w="2047" w:type="dxa"/>
                  <w:tcBorders>
                    <w:top w:val="nil"/>
                    <w:left w:val="nil"/>
                    <w:bottom w:val="nil"/>
                    <w:right w:val="nil"/>
                  </w:tcBorders>
                  <w:vAlign w:val="center"/>
                </w:tcPr>
                <w:p w14:paraId="66F7BD1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.016</w:t>
                  </w:r>
                </w:p>
              </w:tc>
              <w:tc>
                <w:tcPr>
                  <w:tcW w:w="2174" w:type="dxa"/>
                  <w:tcBorders>
                    <w:top w:val="nil"/>
                    <w:left w:val="nil"/>
                    <w:bottom w:val="nil"/>
                    <w:right w:val="nil"/>
                  </w:tcBorders>
                  <w:vAlign w:val="center"/>
                </w:tcPr>
                <w:p w14:paraId="491DAC4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.024</w:t>
                  </w:r>
                </w:p>
              </w:tc>
              <w:tc>
                <w:tcPr>
                  <w:tcW w:w="2301" w:type="dxa"/>
                  <w:tcBorders>
                    <w:top w:val="nil"/>
                    <w:left w:val="nil"/>
                    <w:bottom w:val="nil"/>
                    <w:right w:val="nil"/>
                  </w:tcBorders>
                  <w:vAlign w:val="center"/>
                </w:tcPr>
                <w:p w14:paraId="12676EA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.045</w:t>
                  </w:r>
                </w:p>
              </w:tc>
            </w:tr>
            <w:tr w:rsidR="00694090" w:rsidRPr="00EB468D" w14:paraId="687B7A53" w14:textId="77777777" w:rsidTr="00107C6C">
              <w:trPr>
                <w:trHeight w:val="252"/>
                <w:jc w:val="center"/>
              </w:trPr>
              <w:tc>
                <w:tcPr>
                  <w:tcW w:w="2381" w:type="dxa"/>
                  <w:tcBorders>
                    <w:top w:val="nil"/>
                    <w:left w:val="nil"/>
                    <w:bottom w:val="nil"/>
                    <w:right w:val="nil"/>
                  </w:tcBorders>
                </w:tcPr>
                <w:p w14:paraId="127B404A"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2047" w:type="dxa"/>
                  <w:tcBorders>
                    <w:top w:val="nil"/>
                    <w:left w:val="nil"/>
                    <w:bottom w:val="nil"/>
                    <w:right w:val="nil"/>
                  </w:tcBorders>
                  <w:vAlign w:val="center"/>
                </w:tcPr>
                <w:p w14:paraId="1D5E087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(.463)</w:t>
                  </w:r>
                </w:p>
              </w:tc>
              <w:tc>
                <w:tcPr>
                  <w:tcW w:w="2174" w:type="dxa"/>
                  <w:tcBorders>
                    <w:top w:val="nil"/>
                    <w:left w:val="nil"/>
                    <w:bottom w:val="nil"/>
                    <w:right w:val="nil"/>
                  </w:tcBorders>
                  <w:vAlign w:val="center"/>
                </w:tcPr>
                <w:p w14:paraId="3B78605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(.767)</w:t>
                  </w:r>
                </w:p>
              </w:tc>
              <w:tc>
                <w:tcPr>
                  <w:tcW w:w="2301" w:type="dxa"/>
                  <w:tcBorders>
                    <w:top w:val="nil"/>
                    <w:left w:val="nil"/>
                    <w:bottom w:val="nil"/>
                    <w:right w:val="nil"/>
                  </w:tcBorders>
                  <w:vAlign w:val="center"/>
                </w:tcPr>
                <w:p w14:paraId="141443D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(1.203)</w:t>
                  </w:r>
                </w:p>
              </w:tc>
            </w:tr>
            <w:tr w:rsidR="00694090" w:rsidRPr="00EB468D" w14:paraId="1BD67757" w14:textId="77777777" w:rsidTr="00107C6C">
              <w:trPr>
                <w:trHeight w:val="252"/>
                <w:jc w:val="center"/>
              </w:trPr>
              <w:tc>
                <w:tcPr>
                  <w:tcW w:w="2381" w:type="dxa"/>
                  <w:tcBorders>
                    <w:top w:val="nil"/>
                    <w:left w:val="nil"/>
                    <w:bottom w:val="nil"/>
                    <w:right w:val="nil"/>
                  </w:tcBorders>
                </w:tcPr>
                <w:p w14:paraId="6410BF95"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acq_roa_lastyear</w:t>
                  </w:r>
                </w:p>
              </w:tc>
              <w:tc>
                <w:tcPr>
                  <w:tcW w:w="2047" w:type="dxa"/>
                  <w:tcBorders>
                    <w:top w:val="nil"/>
                    <w:left w:val="nil"/>
                    <w:bottom w:val="nil"/>
                    <w:right w:val="nil"/>
                  </w:tcBorders>
                  <w:vAlign w:val="center"/>
                </w:tcPr>
                <w:p w14:paraId="7192938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.018</w:t>
                  </w:r>
                </w:p>
              </w:tc>
              <w:tc>
                <w:tcPr>
                  <w:tcW w:w="2174" w:type="dxa"/>
                  <w:tcBorders>
                    <w:top w:val="nil"/>
                    <w:left w:val="nil"/>
                    <w:bottom w:val="nil"/>
                    <w:right w:val="nil"/>
                  </w:tcBorders>
                  <w:vAlign w:val="center"/>
                </w:tcPr>
                <w:p w14:paraId="1F32075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.032*</w:t>
                  </w:r>
                </w:p>
              </w:tc>
              <w:tc>
                <w:tcPr>
                  <w:tcW w:w="2301" w:type="dxa"/>
                  <w:tcBorders>
                    <w:top w:val="nil"/>
                    <w:left w:val="nil"/>
                    <w:bottom w:val="nil"/>
                    <w:right w:val="nil"/>
                  </w:tcBorders>
                  <w:vAlign w:val="center"/>
                </w:tcPr>
                <w:p w14:paraId="5D5187E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.030*</w:t>
                  </w:r>
                </w:p>
              </w:tc>
            </w:tr>
            <w:tr w:rsidR="00694090" w:rsidRPr="00EB468D" w14:paraId="3017B585" w14:textId="77777777" w:rsidTr="00107C6C">
              <w:trPr>
                <w:trHeight w:val="265"/>
                <w:jc w:val="center"/>
              </w:trPr>
              <w:tc>
                <w:tcPr>
                  <w:tcW w:w="2381" w:type="dxa"/>
                  <w:tcBorders>
                    <w:top w:val="nil"/>
                    <w:left w:val="nil"/>
                    <w:bottom w:val="nil"/>
                    <w:right w:val="nil"/>
                  </w:tcBorders>
                </w:tcPr>
                <w:p w14:paraId="0DAD0BB7"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2047" w:type="dxa"/>
                  <w:tcBorders>
                    <w:top w:val="nil"/>
                    <w:left w:val="nil"/>
                    <w:bottom w:val="nil"/>
                    <w:right w:val="nil"/>
                  </w:tcBorders>
                  <w:vAlign w:val="center"/>
                </w:tcPr>
                <w:p w14:paraId="42A72D6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(.789)</w:t>
                  </w:r>
                </w:p>
              </w:tc>
              <w:tc>
                <w:tcPr>
                  <w:tcW w:w="2174" w:type="dxa"/>
                  <w:tcBorders>
                    <w:top w:val="nil"/>
                    <w:left w:val="nil"/>
                    <w:bottom w:val="nil"/>
                    <w:right w:val="nil"/>
                  </w:tcBorders>
                  <w:vAlign w:val="center"/>
                </w:tcPr>
                <w:p w14:paraId="228635B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(1.768)</w:t>
                  </w:r>
                </w:p>
              </w:tc>
              <w:tc>
                <w:tcPr>
                  <w:tcW w:w="2301" w:type="dxa"/>
                  <w:tcBorders>
                    <w:top w:val="nil"/>
                    <w:left w:val="nil"/>
                    <w:bottom w:val="nil"/>
                    <w:right w:val="nil"/>
                  </w:tcBorders>
                  <w:vAlign w:val="center"/>
                </w:tcPr>
                <w:p w14:paraId="11C7912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(1.919)</w:t>
                  </w:r>
                </w:p>
              </w:tc>
            </w:tr>
            <w:tr w:rsidR="00694090" w:rsidRPr="00EB468D" w14:paraId="277A337D" w14:textId="77777777" w:rsidTr="00107C6C">
              <w:trPr>
                <w:trHeight w:val="252"/>
                <w:jc w:val="center"/>
              </w:trPr>
              <w:tc>
                <w:tcPr>
                  <w:tcW w:w="2381" w:type="dxa"/>
                  <w:tcBorders>
                    <w:top w:val="nil"/>
                    <w:left w:val="nil"/>
                    <w:bottom w:val="nil"/>
                    <w:right w:val="nil"/>
                  </w:tcBorders>
                </w:tcPr>
                <w:p w14:paraId="189B85F0"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acq_industrygrowth</w:t>
                  </w:r>
                </w:p>
              </w:tc>
              <w:tc>
                <w:tcPr>
                  <w:tcW w:w="2047" w:type="dxa"/>
                  <w:tcBorders>
                    <w:top w:val="nil"/>
                    <w:left w:val="nil"/>
                    <w:bottom w:val="nil"/>
                    <w:right w:val="nil"/>
                  </w:tcBorders>
                  <w:vAlign w:val="center"/>
                </w:tcPr>
                <w:p w14:paraId="216DFAC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-6.211**</w:t>
                  </w:r>
                </w:p>
              </w:tc>
              <w:tc>
                <w:tcPr>
                  <w:tcW w:w="2174" w:type="dxa"/>
                  <w:tcBorders>
                    <w:top w:val="nil"/>
                    <w:left w:val="nil"/>
                    <w:bottom w:val="nil"/>
                    <w:right w:val="nil"/>
                  </w:tcBorders>
                  <w:vAlign w:val="center"/>
                </w:tcPr>
                <w:p w14:paraId="1339FBF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-5.650**</w:t>
                  </w:r>
                </w:p>
              </w:tc>
              <w:tc>
                <w:tcPr>
                  <w:tcW w:w="2301" w:type="dxa"/>
                  <w:tcBorders>
                    <w:top w:val="nil"/>
                    <w:left w:val="nil"/>
                    <w:bottom w:val="nil"/>
                    <w:right w:val="nil"/>
                  </w:tcBorders>
                  <w:vAlign w:val="center"/>
                </w:tcPr>
                <w:p w14:paraId="3284B0A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-1.912***</w:t>
                  </w:r>
                </w:p>
              </w:tc>
            </w:tr>
            <w:tr w:rsidR="00694090" w:rsidRPr="00EB468D" w14:paraId="304CB4C4" w14:textId="77777777" w:rsidTr="00107C6C">
              <w:trPr>
                <w:trHeight w:val="252"/>
                <w:jc w:val="center"/>
              </w:trPr>
              <w:tc>
                <w:tcPr>
                  <w:tcW w:w="2381" w:type="dxa"/>
                  <w:tcBorders>
                    <w:top w:val="nil"/>
                    <w:left w:val="nil"/>
                    <w:bottom w:val="nil"/>
                    <w:right w:val="nil"/>
                  </w:tcBorders>
                </w:tcPr>
                <w:p w14:paraId="16161210"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2047" w:type="dxa"/>
                  <w:tcBorders>
                    <w:top w:val="nil"/>
                    <w:left w:val="nil"/>
                    <w:bottom w:val="nil"/>
                    <w:right w:val="nil"/>
                  </w:tcBorders>
                  <w:vAlign w:val="center"/>
                </w:tcPr>
                <w:p w14:paraId="67BFA68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(-2.324)</w:t>
                  </w:r>
                </w:p>
              </w:tc>
              <w:tc>
                <w:tcPr>
                  <w:tcW w:w="2174" w:type="dxa"/>
                  <w:tcBorders>
                    <w:top w:val="nil"/>
                    <w:left w:val="nil"/>
                    <w:bottom w:val="nil"/>
                    <w:right w:val="nil"/>
                  </w:tcBorders>
                  <w:vAlign w:val="center"/>
                </w:tcPr>
                <w:p w14:paraId="3E63B9F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(-2.332)</w:t>
                  </w:r>
                </w:p>
              </w:tc>
              <w:tc>
                <w:tcPr>
                  <w:tcW w:w="2301" w:type="dxa"/>
                  <w:tcBorders>
                    <w:top w:val="nil"/>
                    <w:left w:val="nil"/>
                    <w:bottom w:val="nil"/>
                    <w:right w:val="nil"/>
                  </w:tcBorders>
                  <w:vAlign w:val="center"/>
                </w:tcPr>
                <w:p w14:paraId="12E32D4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(-2.770)</w:t>
                  </w:r>
                </w:p>
              </w:tc>
            </w:tr>
            <w:tr w:rsidR="00694090" w:rsidRPr="00EB468D" w14:paraId="31AB7F59" w14:textId="77777777" w:rsidTr="00107C6C">
              <w:trPr>
                <w:trHeight w:val="252"/>
                <w:jc w:val="center"/>
              </w:trPr>
              <w:tc>
                <w:tcPr>
                  <w:tcW w:w="2381" w:type="dxa"/>
                  <w:tcBorders>
                    <w:top w:val="nil"/>
                    <w:left w:val="nil"/>
                    <w:bottom w:val="nil"/>
                    <w:right w:val="nil"/>
                  </w:tcBorders>
                </w:tcPr>
                <w:p w14:paraId="09BF90FB"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acq_dealexperience</w:t>
                  </w:r>
                </w:p>
              </w:tc>
              <w:tc>
                <w:tcPr>
                  <w:tcW w:w="2047" w:type="dxa"/>
                  <w:tcBorders>
                    <w:top w:val="nil"/>
                    <w:left w:val="nil"/>
                    <w:bottom w:val="nil"/>
                    <w:right w:val="nil"/>
                  </w:tcBorders>
                  <w:vAlign w:val="center"/>
                </w:tcPr>
                <w:p w14:paraId="1529B57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-.040</w:t>
                  </w:r>
                </w:p>
              </w:tc>
              <w:tc>
                <w:tcPr>
                  <w:tcW w:w="2174" w:type="dxa"/>
                  <w:tcBorders>
                    <w:top w:val="nil"/>
                    <w:left w:val="nil"/>
                    <w:bottom w:val="nil"/>
                    <w:right w:val="nil"/>
                  </w:tcBorders>
                  <w:vAlign w:val="center"/>
                </w:tcPr>
                <w:p w14:paraId="7C24611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-.042</w:t>
                  </w:r>
                </w:p>
              </w:tc>
              <w:tc>
                <w:tcPr>
                  <w:tcW w:w="2301" w:type="dxa"/>
                  <w:tcBorders>
                    <w:top w:val="nil"/>
                    <w:left w:val="nil"/>
                    <w:bottom w:val="nil"/>
                    <w:right w:val="nil"/>
                  </w:tcBorders>
                  <w:vAlign w:val="center"/>
                </w:tcPr>
                <w:p w14:paraId="1AAE742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-.037</w:t>
                  </w:r>
                </w:p>
              </w:tc>
            </w:tr>
            <w:tr w:rsidR="00694090" w:rsidRPr="00EB468D" w14:paraId="6BD03569" w14:textId="77777777" w:rsidTr="00107C6C">
              <w:trPr>
                <w:trHeight w:val="252"/>
                <w:jc w:val="center"/>
              </w:trPr>
              <w:tc>
                <w:tcPr>
                  <w:tcW w:w="2381" w:type="dxa"/>
                  <w:tcBorders>
                    <w:top w:val="nil"/>
                    <w:left w:val="nil"/>
                    <w:bottom w:val="nil"/>
                    <w:right w:val="nil"/>
                  </w:tcBorders>
                </w:tcPr>
                <w:p w14:paraId="1B413820"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2047" w:type="dxa"/>
                  <w:tcBorders>
                    <w:top w:val="nil"/>
                    <w:left w:val="nil"/>
                    <w:bottom w:val="nil"/>
                    <w:right w:val="nil"/>
                  </w:tcBorders>
                  <w:vAlign w:val="center"/>
                </w:tcPr>
                <w:p w14:paraId="3012DF5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(-.981)</w:t>
                  </w:r>
                </w:p>
              </w:tc>
              <w:tc>
                <w:tcPr>
                  <w:tcW w:w="2174" w:type="dxa"/>
                  <w:tcBorders>
                    <w:top w:val="nil"/>
                    <w:left w:val="nil"/>
                    <w:bottom w:val="nil"/>
                    <w:right w:val="nil"/>
                  </w:tcBorders>
                  <w:vAlign w:val="center"/>
                </w:tcPr>
                <w:p w14:paraId="5F0F03E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(-1.200)</w:t>
                  </w:r>
                </w:p>
              </w:tc>
              <w:tc>
                <w:tcPr>
                  <w:tcW w:w="2301" w:type="dxa"/>
                  <w:tcBorders>
                    <w:top w:val="nil"/>
                    <w:left w:val="nil"/>
                    <w:bottom w:val="nil"/>
                    <w:right w:val="nil"/>
                  </w:tcBorders>
                  <w:vAlign w:val="center"/>
                </w:tcPr>
                <w:p w14:paraId="5E15224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(-.987)</w:t>
                  </w:r>
                </w:p>
              </w:tc>
            </w:tr>
            <w:tr w:rsidR="00694090" w:rsidRPr="00EB468D" w14:paraId="78A309BD" w14:textId="77777777" w:rsidTr="00107C6C">
              <w:trPr>
                <w:trHeight w:val="265"/>
                <w:jc w:val="center"/>
              </w:trPr>
              <w:tc>
                <w:tcPr>
                  <w:tcW w:w="2381" w:type="dxa"/>
                  <w:tcBorders>
                    <w:top w:val="nil"/>
                    <w:left w:val="nil"/>
                    <w:bottom w:val="nil"/>
                    <w:right w:val="nil"/>
                  </w:tcBorders>
                  <w:vAlign w:val="center"/>
                </w:tcPr>
                <w:p w14:paraId="2D9DEB84"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acq_rd_intensity</w:t>
                  </w:r>
                </w:p>
              </w:tc>
              <w:tc>
                <w:tcPr>
                  <w:tcW w:w="2047" w:type="dxa"/>
                  <w:tcBorders>
                    <w:top w:val="nil"/>
                    <w:left w:val="nil"/>
                    <w:bottom w:val="nil"/>
                    <w:right w:val="nil"/>
                  </w:tcBorders>
                  <w:vAlign w:val="center"/>
                </w:tcPr>
                <w:p w14:paraId="1E60EFD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-.716***</w:t>
                  </w:r>
                </w:p>
              </w:tc>
              <w:tc>
                <w:tcPr>
                  <w:tcW w:w="2174" w:type="dxa"/>
                  <w:tcBorders>
                    <w:top w:val="nil"/>
                    <w:left w:val="nil"/>
                    <w:bottom w:val="nil"/>
                    <w:right w:val="nil"/>
                  </w:tcBorders>
                  <w:vAlign w:val="center"/>
                </w:tcPr>
                <w:p w14:paraId="07DE9AA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-.568***</w:t>
                  </w:r>
                </w:p>
              </w:tc>
              <w:tc>
                <w:tcPr>
                  <w:tcW w:w="2301" w:type="dxa"/>
                  <w:tcBorders>
                    <w:top w:val="nil"/>
                    <w:left w:val="nil"/>
                    <w:bottom w:val="nil"/>
                    <w:right w:val="nil"/>
                  </w:tcBorders>
                  <w:vAlign w:val="center"/>
                </w:tcPr>
                <w:p w14:paraId="01DF8FF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-.365</w:t>
                  </w:r>
                </w:p>
              </w:tc>
            </w:tr>
            <w:tr w:rsidR="00694090" w:rsidRPr="00EB468D" w14:paraId="2FCBDC1C" w14:textId="77777777" w:rsidTr="00107C6C">
              <w:trPr>
                <w:trHeight w:val="252"/>
                <w:jc w:val="center"/>
              </w:trPr>
              <w:tc>
                <w:tcPr>
                  <w:tcW w:w="2381" w:type="dxa"/>
                  <w:tcBorders>
                    <w:top w:val="nil"/>
                    <w:left w:val="nil"/>
                    <w:bottom w:val="nil"/>
                    <w:right w:val="nil"/>
                  </w:tcBorders>
                  <w:vAlign w:val="center"/>
                </w:tcPr>
                <w:p w14:paraId="21B9800A"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p>
              </w:tc>
              <w:tc>
                <w:tcPr>
                  <w:tcW w:w="2047" w:type="dxa"/>
                  <w:tcBorders>
                    <w:top w:val="nil"/>
                    <w:left w:val="nil"/>
                    <w:bottom w:val="nil"/>
                    <w:right w:val="nil"/>
                  </w:tcBorders>
                  <w:vAlign w:val="center"/>
                </w:tcPr>
                <w:p w14:paraId="6471CB1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(-4.271)</w:t>
                  </w:r>
                </w:p>
              </w:tc>
              <w:tc>
                <w:tcPr>
                  <w:tcW w:w="2174" w:type="dxa"/>
                  <w:tcBorders>
                    <w:top w:val="nil"/>
                    <w:left w:val="nil"/>
                    <w:bottom w:val="nil"/>
                    <w:right w:val="nil"/>
                  </w:tcBorders>
                  <w:vAlign w:val="center"/>
                </w:tcPr>
                <w:p w14:paraId="7C88E17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(-3.439)</w:t>
                  </w:r>
                </w:p>
              </w:tc>
              <w:tc>
                <w:tcPr>
                  <w:tcW w:w="2301" w:type="dxa"/>
                  <w:tcBorders>
                    <w:top w:val="nil"/>
                    <w:left w:val="nil"/>
                    <w:bottom w:val="nil"/>
                    <w:right w:val="nil"/>
                  </w:tcBorders>
                  <w:vAlign w:val="center"/>
                </w:tcPr>
                <w:p w14:paraId="2A3E36D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(-1.155)</w:t>
                  </w:r>
                </w:p>
              </w:tc>
            </w:tr>
            <w:tr w:rsidR="00694090" w:rsidRPr="00EB468D" w14:paraId="6DED8B3E" w14:textId="77777777" w:rsidTr="00107C6C">
              <w:trPr>
                <w:trHeight w:val="252"/>
                <w:jc w:val="center"/>
              </w:trPr>
              <w:tc>
                <w:tcPr>
                  <w:tcW w:w="2381" w:type="dxa"/>
                  <w:tcBorders>
                    <w:top w:val="nil"/>
                    <w:left w:val="nil"/>
                    <w:bottom w:val="nil"/>
                    <w:right w:val="nil"/>
                  </w:tcBorders>
                </w:tcPr>
                <w:p w14:paraId="3AC7E282"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tar_age</w:t>
                  </w:r>
                </w:p>
              </w:tc>
              <w:tc>
                <w:tcPr>
                  <w:tcW w:w="2047" w:type="dxa"/>
                  <w:tcBorders>
                    <w:top w:val="nil"/>
                    <w:left w:val="nil"/>
                    <w:bottom w:val="nil"/>
                    <w:right w:val="nil"/>
                  </w:tcBorders>
                  <w:vAlign w:val="center"/>
                </w:tcPr>
                <w:p w14:paraId="214961E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-.0002</w:t>
                  </w:r>
                </w:p>
              </w:tc>
              <w:tc>
                <w:tcPr>
                  <w:tcW w:w="2174" w:type="dxa"/>
                  <w:tcBorders>
                    <w:top w:val="nil"/>
                    <w:left w:val="nil"/>
                    <w:bottom w:val="nil"/>
                    <w:right w:val="nil"/>
                  </w:tcBorders>
                  <w:vAlign w:val="center"/>
                </w:tcPr>
                <w:p w14:paraId="173CC79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-.0002</w:t>
                  </w:r>
                </w:p>
              </w:tc>
              <w:tc>
                <w:tcPr>
                  <w:tcW w:w="2301" w:type="dxa"/>
                  <w:tcBorders>
                    <w:top w:val="nil"/>
                    <w:left w:val="nil"/>
                    <w:bottom w:val="nil"/>
                    <w:right w:val="nil"/>
                  </w:tcBorders>
                  <w:vAlign w:val="center"/>
                </w:tcPr>
                <w:p w14:paraId="11C2817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.0002</w:t>
                  </w:r>
                </w:p>
              </w:tc>
            </w:tr>
            <w:tr w:rsidR="00694090" w:rsidRPr="00EB468D" w14:paraId="424749E7" w14:textId="77777777" w:rsidTr="00107C6C">
              <w:trPr>
                <w:trHeight w:val="252"/>
                <w:jc w:val="center"/>
              </w:trPr>
              <w:tc>
                <w:tcPr>
                  <w:tcW w:w="2381" w:type="dxa"/>
                  <w:tcBorders>
                    <w:top w:val="nil"/>
                    <w:left w:val="nil"/>
                    <w:bottom w:val="nil"/>
                    <w:right w:val="nil"/>
                  </w:tcBorders>
                </w:tcPr>
                <w:p w14:paraId="4D03C1A2"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2047" w:type="dxa"/>
                  <w:tcBorders>
                    <w:top w:val="nil"/>
                    <w:left w:val="nil"/>
                    <w:bottom w:val="nil"/>
                    <w:right w:val="nil"/>
                  </w:tcBorders>
                  <w:vAlign w:val="center"/>
                </w:tcPr>
                <w:p w14:paraId="2428444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(-.229)</w:t>
                  </w:r>
                </w:p>
              </w:tc>
              <w:tc>
                <w:tcPr>
                  <w:tcW w:w="2174" w:type="dxa"/>
                  <w:tcBorders>
                    <w:top w:val="nil"/>
                    <w:left w:val="nil"/>
                    <w:bottom w:val="nil"/>
                    <w:right w:val="nil"/>
                  </w:tcBorders>
                  <w:vAlign w:val="center"/>
                </w:tcPr>
                <w:p w14:paraId="37D0759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(-.265)</w:t>
                  </w:r>
                </w:p>
              </w:tc>
              <w:tc>
                <w:tcPr>
                  <w:tcW w:w="2301" w:type="dxa"/>
                  <w:tcBorders>
                    <w:top w:val="nil"/>
                    <w:left w:val="nil"/>
                    <w:bottom w:val="nil"/>
                    <w:right w:val="nil"/>
                  </w:tcBorders>
                  <w:vAlign w:val="center"/>
                </w:tcPr>
                <w:p w14:paraId="533C103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(.343)</w:t>
                  </w:r>
                </w:p>
              </w:tc>
            </w:tr>
            <w:tr w:rsidR="00694090" w:rsidRPr="00EB468D" w14:paraId="60DEE6F3" w14:textId="77777777" w:rsidTr="00107C6C">
              <w:trPr>
                <w:trHeight w:val="265"/>
                <w:jc w:val="center"/>
              </w:trPr>
              <w:tc>
                <w:tcPr>
                  <w:tcW w:w="2381" w:type="dxa"/>
                  <w:tcBorders>
                    <w:top w:val="nil"/>
                    <w:left w:val="nil"/>
                    <w:bottom w:val="nil"/>
                    <w:right w:val="nil"/>
                  </w:tcBorders>
                </w:tcPr>
                <w:p w14:paraId="43EAEBAC"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tar_assets_lastyear_ln</w:t>
                  </w:r>
                </w:p>
              </w:tc>
              <w:tc>
                <w:tcPr>
                  <w:tcW w:w="2047" w:type="dxa"/>
                  <w:tcBorders>
                    <w:top w:val="nil"/>
                    <w:left w:val="nil"/>
                    <w:bottom w:val="nil"/>
                    <w:right w:val="nil"/>
                  </w:tcBorders>
                  <w:vAlign w:val="center"/>
                </w:tcPr>
                <w:p w14:paraId="26600DA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.018</w:t>
                  </w:r>
                </w:p>
              </w:tc>
              <w:tc>
                <w:tcPr>
                  <w:tcW w:w="2174" w:type="dxa"/>
                  <w:tcBorders>
                    <w:top w:val="nil"/>
                    <w:left w:val="nil"/>
                    <w:bottom w:val="nil"/>
                    <w:right w:val="nil"/>
                  </w:tcBorders>
                  <w:vAlign w:val="center"/>
                </w:tcPr>
                <w:p w14:paraId="4DF7EC1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.027</w:t>
                  </w:r>
                </w:p>
              </w:tc>
              <w:tc>
                <w:tcPr>
                  <w:tcW w:w="2301" w:type="dxa"/>
                  <w:tcBorders>
                    <w:top w:val="nil"/>
                    <w:left w:val="nil"/>
                    <w:bottom w:val="nil"/>
                    <w:right w:val="nil"/>
                  </w:tcBorders>
                  <w:vAlign w:val="center"/>
                </w:tcPr>
                <w:p w14:paraId="3B2A4D2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-.015</w:t>
                  </w:r>
                </w:p>
              </w:tc>
            </w:tr>
            <w:tr w:rsidR="00694090" w:rsidRPr="00EB468D" w14:paraId="0E02D303" w14:textId="77777777" w:rsidTr="00107C6C">
              <w:trPr>
                <w:trHeight w:val="252"/>
                <w:jc w:val="center"/>
              </w:trPr>
              <w:tc>
                <w:tcPr>
                  <w:tcW w:w="2381" w:type="dxa"/>
                  <w:tcBorders>
                    <w:top w:val="nil"/>
                    <w:left w:val="nil"/>
                    <w:bottom w:val="nil"/>
                    <w:right w:val="nil"/>
                  </w:tcBorders>
                </w:tcPr>
                <w:p w14:paraId="624ED5F0"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2047" w:type="dxa"/>
                  <w:tcBorders>
                    <w:top w:val="nil"/>
                    <w:left w:val="nil"/>
                    <w:bottom w:val="nil"/>
                    <w:right w:val="nil"/>
                  </w:tcBorders>
                  <w:vAlign w:val="center"/>
                </w:tcPr>
                <w:p w14:paraId="057233F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(.456)</w:t>
                  </w:r>
                </w:p>
              </w:tc>
              <w:tc>
                <w:tcPr>
                  <w:tcW w:w="2174" w:type="dxa"/>
                  <w:tcBorders>
                    <w:top w:val="nil"/>
                    <w:left w:val="nil"/>
                    <w:bottom w:val="nil"/>
                    <w:right w:val="nil"/>
                  </w:tcBorders>
                  <w:vAlign w:val="center"/>
                </w:tcPr>
                <w:p w14:paraId="0940C4D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(.694)</w:t>
                  </w:r>
                </w:p>
              </w:tc>
              <w:tc>
                <w:tcPr>
                  <w:tcW w:w="2301" w:type="dxa"/>
                  <w:tcBorders>
                    <w:top w:val="nil"/>
                    <w:left w:val="nil"/>
                    <w:bottom w:val="nil"/>
                    <w:right w:val="nil"/>
                  </w:tcBorders>
                  <w:vAlign w:val="center"/>
                </w:tcPr>
                <w:p w14:paraId="14CCC08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(-.476)</w:t>
                  </w:r>
                </w:p>
              </w:tc>
            </w:tr>
            <w:tr w:rsidR="00694090" w:rsidRPr="00EB468D" w14:paraId="6BF07991" w14:textId="77777777" w:rsidTr="00107C6C">
              <w:trPr>
                <w:trHeight w:val="252"/>
                <w:jc w:val="center"/>
              </w:trPr>
              <w:tc>
                <w:tcPr>
                  <w:tcW w:w="2381" w:type="dxa"/>
                  <w:tcBorders>
                    <w:top w:val="nil"/>
                    <w:left w:val="nil"/>
                    <w:bottom w:val="nil"/>
                    <w:right w:val="nil"/>
                  </w:tcBorders>
                </w:tcPr>
                <w:p w14:paraId="1D65D702"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tar_roa_lastyear</w:t>
                  </w:r>
                </w:p>
              </w:tc>
              <w:tc>
                <w:tcPr>
                  <w:tcW w:w="2047" w:type="dxa"/>
                  <w:tcBorders>
                    <w:top w:val="nil"/>
                    <w:left w:val="nil"/>
                    <w:bottom w:val="nil"/>
                    <w:right w:val="nil"/>
                  </w:tcBorders>
                  <w:vAlign w:val="center"/>
                </w:tcPr>
                <w:p w14:paraId="66F6350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-.530*</w:t>
                  </w:r>
                </w:p>
              </w:tc>
              <w:tc>
                <w:tcPr>
                  <w:tcW w:w="2174" w:type="dxa"/>
                  <w:tcBorders>
                    <w:top w:val="nil"/>
                    <w:left w:val="nil"/>
                    <w:bottom w:val="nil"/>
                    <w:right w:val="nil"/>
                  </w:tcBorders>
                  <w:vAlign w:val="center"/>
                </w:tcPr>
                <w:p w14:paraId="0E5E1EF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-.442</w:t>
                  </w:r>
                </w:p>
              </w:tc>
              <w:tc>
                <w:tcPr>
                  <w:tcW w:w="2301" w:type="dxa"/>
                  <w:tcBorders>
                    <w:top w:val="nil"/>
                    <w:left w:val="nil"/>
                    <w:bottom w:val="nil"/>
                    <w:right w:val="nil"/>
                  </w:tcBorders>
                  <w:vAlign w:val="center"/>
                </w:tcPr>
                <w:p w14:paraId="4BD600F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-.245</w:t>
                  </w:r>
                </w:p>
              </w:tc>
            </w:tr>
            <w:tr w:rsidR="00694090" w:rsidRPr="00EB468D" w14:paraId="6C0B7060" w14:textId="77777777" w:rsidTr="00107C6C">
              <w:trPr>
                <w:trHeight w:val="252"/>
                <w:jc w:val="center"/>
              </w:trPr>
              <w:tc>
                <w:tcPr>
                  <w:tcW w:w="2381" w:type="dxa"/>
                  <w:tcBorders>
                    <w:top w:val="nil"/>
                    <w:left w:val="nil"/>
                    <w:bottom w:val="nil"/>
                    <w:right w:val="nil"/>
                  </w:tcBorders>
                </w:tcPr>
                <w:p w14:paraId="0374AE75"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2047" w:type="dxa"/>
                  <w:tcBorders>
                    <w:top w:val="nil"/>
                    <w:left w:val="nil"/>
                    <w:bottom w:val="nil"/>
                    <w:right w:val="nil"/>
                  </w:tcBorders>
                  <w:vAlign w:val="center"/>
                </w:tcPr>
                <w:p w14:paraId="2E557ED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(-1.953)</w:t>
                  </w:r>
                </w:p>
              </w:tc>
              <w:tc>
                <w:tcPr>
                  <w:tcW w:w="2174" w:type="dxa"/>
                  <w:tcBorders>
                    <w:top w:val="nil"/>
                    <w:left w:val="nil"/>
                    <w:bottom w:val="nil"/>
                    <w:right w:val="nil"/>
                  </w:tcBorders>
                  <w:vAlign w:val="center"/>
                </w:tcPr>
                <w:p w14:paraId="20F0E59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(-1.622)</w:t>
                  </w:r>
                </w:p>
              </w:tc>
              <w:tc>
                <w:tcPr>
                  <w:tcW w:w="2301" w:type="dxa"/>
                  <w:tcBorders>
                    <w:top w:val="nil"/>
                    <w:left w:val="nil"/>
                    <w:bottom w:val="nil"/>
                    <w:right w:val="nil"/>
                  </w:tcBorders>
                  <w:vAlign w:val="center"/>
                </w:tcPr>
                <w:p w14:paraId="54A57F2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(-1.016)</w:t>
                  </w:r>
                </w:p>
              </w:tc>
            </w:tr>
            <w:tr w:rsidR="00694090" w:rsidRPr="00EB468D" w14:paraId="10ECF0B6" w14:textId="77777777" w:rsidTr="00107C6C">
              <w:trPr>
                <w:trHeight w:val="252"/>
                <w:jc w:val="center"/>
              </w:trPr>
              <w:tc>
                <w:tcPr>
                  <w:tcW w:w="2381" w:type="dxa"/>
                  <w:tcBorders>
                    <w:top w:val="nil"/>
                    <w:left w:val="nil"/>
                    <w:bottom w:val="nil"/>
                    <w:right w:val="nil"/>
                  </w:tcBorders>
                </w:tcPr>
                <w:p w14:paraId="0DE30D16"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tar_mbratio</w:t>
                  </w:r>
                </w:p>
              </w:tc>
              <w:tc>
                <w:tcPr>
                  <w:tcW w:w="2047" w:type="dxa"/>
                  <w:tcBorders>
                    <w:top w:val="nil"/>
                    <w:left w:val="nil"/>
                    <w:bottom w:val="nil"/>
                    <w:right w:val="nil"/>
                  </w:tcBorders>
                  <w:vAlign w:val="center"/>
                </w:tcPr>
                <w:p w14:paraId="5A79C25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-.005***</w:t>
                  </w:r>
                </w:p>
              </w:tc>
              <w:tc>
                <w:tcPr>
                  <w:tcW w:w="2174" w:type="dxa"/>
                  <w:tcBorders>
                    <w:top w:val="nil"/>
                    <w:left w:val="nil"/>
                    <w:bottom w:val="nil"/>
                    <w:right w:val="nil"/>
                  </w:tcBorders>
                  <w:vAlign w:val="center"/>
                </w:tcPr>
                <w:p w14:paraId="0C22143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-.004**</w:t>
                  </w:r>
                </w:p>
              </w:tc>
              <w:tc>
                <w:tcPr>
                  <w:tcW w:w="2301" w:type="dxa"/>
                  <w:tcBorders>
                    <w:top w:val="nil"/>
                    <w:left w:val="nil"/>
                    <w:bottom w:val="nil"/>
                    <w:right w:val="nil"/>
                  </w:tcBorders>
                  <w:vAlign w:val="center"/>
                </w:tcPr>
                <w:p w14:paraId="126D94A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-.006***</w:t>
                  </w:r>
                </w:p>
              </w:tc>
            </w:tr>
            <w:tr w:rsidR="00694090" w:rsidRPr="00EB468D" w14:paraId="1E6858FD" w14:textId="77777777" w:rsidTr="00107C6C">
              <w:trPr>
                <w:trHeight w:val="265"/>
                <w:jc w:val="center"/>
              </w:trPr>
              <w:tc>
                <w:tcPr>
                  <w:tcW w:w="2381" w:type="dxa"/>
                  <w:tcBorders>
                    <w:top w:val="nil"/>
                    <w:left w:val="nil"/>
                    <w:bottom w:val="nil"/>
                    <w:right w:val="nil"/>
                  </w:tcBorders>
                </w:tcPr>
                <w:p w14:paraId="6CDB3D5F"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2047" w:type="dxa"/>
                  <w:tcBorders>
                    <w:top w:val="nil"/>
                    <w:left w:val="nil"/>
                    <w:bottom w:val="nil"/>
                    <w:right w:val="nil"/>
                  </w:tcBorders>
                  <w:vAlign w:val="center"/>
                </w:tcPr>
                <w:p w14:paraId="31CE5BC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(-3.342)</w:t>
                  </w:r>
                </w:p>
              </w:tc>
              <w:tc>
                <w:tcPr>
                  <w:tcW w:w="2174" w:type="dxa"/>
                  <w:tcBorders>
                    <w:top w:val="nil"/>
                    <w:left w:val="nil"/>
                    <w:bottom w:val="nil"/>
                    <w:right w:val="nil"/>
                  </w:tcBorders>
                  <w:vAlign w:val="center"/>
                </w:tcPr>
                <w:p w14:paraId="54A2A08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(-2.606)</w:t>
                  </w:r>
                </w:p>
              </w:tc>
              <w:tc>
                <w:tcPr>
                  <w:tcW w:w="2301" w:type="dxa"/>
                  <w:tcBorders>
                    <w:top w:val="nil"/>
                    <w:left w:val="nil"/>
                    <w:bottom w:val="nil"/>
                    <w:right w:val="nil"/>
                  </w:tcBorders>
                  <w:vAlign w:val="center"/>
                </w:tcPr>
                <w:p w14:paraId="7DF440D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(-3.431)</w:t>
                  </w:r>
                </w:p>
              </w:tc>
            </w:tr>
            <w:tr w:rsidR="00694090" w:rsidRPr="00EB468D" w14:paraId="60C6F2C4" w14:textId="77777777" w:rsidTr="00107C6C">
              <w:trPr>
                <w:trHeight w:val="252"/>
                <w:jc w:val="center"/>
              </w:trPr>
              <w:tc>
                <w:tcPr>
                  <w:tcW w:w="2381" w:type="dxa"/>
                  <w:tcBorders>
                    <w:top w:val="nil"/>
                    <w:left w:val="nil"/>
                    <w:bottom w:val="nil"/>
                    <w:right w:val="nil"/>
                  </w:tcBorders>
                </w:tcPr>
                <w:p w14:paraId="242AB682"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Observations</w:t>
                  </w:r>
                </w:p>
              </w:tc>
              <w:tc>
                <w:tcPr>
                  <w:tcW w:w="2047" w:type="dxa"/>
                  <w:tcBorders>
                    <w:top w:val="nil"/>
                    <w:left w:val="nil"/>
                    <w:bottom w:val="nil"/>
                    <w:right w:val="nil"/>
                  </w:tcBorders>
                </w:tcPr>
                <w:p w14:paraId="15A84F7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221</w:t>
                  </w:r>
                </w:p>
              </w:tc>
              <w:tc>
                <w:tcPr>
                  <w:tcW w:w="2174" w:type="dxa"/>
                  <w:tcBorders>
                    <w:top w:val="nil"/>
                    <w:left w:val="nil"/>
                    <w:bottom w:val="nil"/>
                    <w:right w:val="nil"/>
                  </w:tcBorders>
                </w:tcPr>
                <w:p w14:paraId="74FDC24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221</w:t>
                  </w:r>
                </w:p>
              </w:tc>
              <w:tc>
                <w:tcPr>
                  <w:tcW w:w="2301" w:type="dxa"/>
                  <w:tcBorders>
                    <w:top w:val="nil"/>
                    <w:left w:val="nil"/>
                    <w:bottom w:val="nil"/>
                    <w:right w:val="nil"/>
                  </w:tcBorders>
                </w:tcPr>
                <w:p w14:paraId="4612F82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226</w:t>
                  </w:r>
                </w:p>
              </w:tc>
            </w:tr>
            <w:tr w:rsidR="00694090" w:rsidRPr="00EB468D" w14:paraId="1A689DF6" w14:textId="77777777" w:rsidTr="00107C6C">
              <w:trPr>
                <w:trHeight w:val="252"/>
                <w:jc w:val="center"/>
              </w:trPr>
              <w:tc>
                <w:tcPr>
                  <w:tcW w:w="2381" w:type="dxa"/>
                  <w:tcBorders>
                    <w:top w:val="nil"/>
                    <w:left w:val="nil"/>
                    <w:bottom w:val="nil"/>
                    <w:right w:val="nil"/>
                  </w:tcBorders>
                </w:tcPr>
                <w:p w14:paraId="4B5C3A0B"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Adj R2</w:t>
                  </w:r>
                </w:p>
              </w:tc>
              <w:tc>
                <w:tcPr>
                  <w:tcW w:w="2047" w:type="dxa"/>
                  <w:tcBorders>
                    <w:top w:val="nil"/>
                    <w:left w:val="nil"/>
                    <w:bottom w:val="nil"/>
                    <w:right w:val="nil"/>
                  </w:tcBorders>
                  <w:vAlign w:val="center"/>
                </w:tcPr>
                <w:p w14:paraId="2C2BA6F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.099</w:t>
                  </w:r>
                </w:p>
              </w:tc>
              <w:tc>
                <w:tcPr>
                  <w:tcW w:w="2174" w:type="dxa"/>
                  <w:tcBorders>
                    <w:top w:val="nil"/>
                    <w:left w:val="nil"/>
                    <w:bottom w:val="nil"/>
                    <w:right w:val="nil"/>
                  </w:tcBorders>
                  <w:vAlign w:val="center"/>
                </w:tcPr>
                <w:p w14:paraId="21B12BF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.094</w:t>
                  </w:r>
                </w:p>
              </w:tc>
              <w:tc>
                <w:tcPr>
                  <w:tcW w:w="2301" w:type="dxa"/>
                  <w:tcBorders>
                    <w:top w:val="nil"/>
                    <w:left w:val="nil"/>
                    <w:bottom w:val="nil"/>
                    <w:right w:val="nil"/>
                  </w:tcBorders>
                  <w:vAlign w:val="center"/>
                </w:tcPr>
                <w:p w14:paraId="24EFB11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.066</w:t>
                  </w:r>
                </w:p>
              </w:tc>
            </w:tr>
            <w:tr w:rsidR="00694090" w:rsidRPr="00EB468D" w14:paraId="6C3C0EDE" w14:textId="77777777" w:rsidTr="00107C6C">
              <w:trPr>
                <w:trHeight w:val="252"/>
                <w:jc w:val="center"/>
              </w:trPr>
              <w:tc>
                <w:tcPr>
                  <w:tcW w:w="2381" w:type="dxa"/>
                  <w:tcBorders>
                    <w:top w:val="nil"/>
                    <w:left w:val="nil"/>
                    <w:bottom w:val="nil"/>
                    <w:right w:val="nil"/>
                  </w:tcBorders>
                </w:tcPr>
                <w:p w14:paraId="3A80B677"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Industry FE</w:t>
                  </w:r>
                </w:p>
              </w:tc>
              <w:tc>
                <w:tcPr>
                  <w:tcW w:w="2047" w:type="dxa"/>
                  <w:tcBorders>
                    <w:top w:val="nil"/>
                    <w:left w:val="nil"/>
                    <w:bottom w:val="nil"/>
                    <w:right w:val="nil"/>
                  </w:tcBorders>
                </w:tcPr>
                <w:p w14:paraId="76E4D3B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c>
                <w:tcPr>
                  <w:tcW w:w="2174" w:type="dxa"/>
                  <w:tcBorders>
                    <w:top w:val="nil"/>
                    <w:left w:val="nil"/>
                    <w:bottom w:val="nil"/>
                    <w:right w:val="nil"/>
                  </w:tcBorders>
                </w:tcPr>
                <w:p w14:paraId="439BD1B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c>
                <w:tcPr>
                  <w:tcW w:w="2301" w:type="dxa"/>
                  <w:tcBorders>
                    <w:top w:val="nil"/>
                    <w:left w:val="nil"/>
                    <w:bottom w:val="nil"/>
                    <w:right w:val="nil"/>
                  </w:tcBorders>
                </w:tcPr>
                <w:p w14:paraId="4BC8AA5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r>
            <w:tr w:rsidR="00694090" w:rsidRPr="00EB468D" w14:paraId="30E5E11C" w14:textId="77777777" w:rsidTr="00107C6C">
              <w:trPr>
                <w:trHeight w:val="252"/>
                <w:jc w:val="center"/>
              </w:trPr>
              <w:tc>
                <w:tcPr>
                  <w:tcW w:w="2381" w:type="dxa"/>
                  <w:tcBorders>
                    <w:top w:val="nil"/>
                    <w:left w:val="nil"/>
                    <w:bottom w:val="nil"/>
                    <w:right w:val="nil"/>
                  </w:tcBorders>
                </w:tcPr>
                <w:p w14:paraId="57134220"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Year FE</w:t>
                  </w:r>
                </w:p>
              </w:tc>
              <w:tc>
                <w:tcPr>
                  <w:tcW w:w="2047" w:type="dxa"/>
                  <w:tcBorders>
                    <w:top w:val="nil"/>
                    <w:left w:val="nil"/>
                    <w:bottom w:val="nil"/>
                    <w:right w:val="nil"/>
                  </w:tcBorders>
                </w:tcPr>
                <w:p w14:paraId="18DC999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c>
                <w:tcPr>
                  <w:tcW w:w="2174" w:type="dxa"/>
                  <w:tcBorders>
                    <w:top w:val="nil"/>
                    <w:left w:val="nil"/>
                    <w:bottom w:val="nil"/>
                    <w:right w:val="nil"/>
                  </w:tcBorders>
                </w:tcPr>
                <w:p w14:paraId="61FE33F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 xml:space="preserve"> Yes</w:t>
                  </w:r>
                </w:p>
              </w:tc>
              <w:tc>
                <w:tcPr>
                  <w:tcW w:w="2301" w:type="dxa"/>
                  <w:tcBorders>
                    <w:top w:val="nil"/>
                    <w:left w:val="nil"/>
                    <w:bottom w:val="nil"/>
                    <w:right w:val="nil"/>
                  </w:tcBorders>
                </w:tcPr>
                <w:p w14:paraId="701D58D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 xml:space="preserve"> Yes</w:t>
                  </w:r>
                </w:p>
              </w:tc>
            </w:tr>
          </w:tbl>
          <w:p w14:paraId="7DF9C137" w14:textId="77777777" w:rsidR="00694090" w:rsidRPr="00EB468D" w:rsidRDefault="00694090" w:rsidP="00AB066F">
            <w:pPr>
              <w:jc w:val="left"/>
              <w:rPr>
                <w:color w:val="000000" w:themeColor="text1"/>
                <w:sz w:val="22"/>
                <w:lang w:val="en-US"/>
              </w:rPr>
            </w:pPr>
          </w:p>
        </w:tc>
      </w:tr>
      <w:tr w:rsidR="00694090" w:rsidRPr="00BE5632" w14:paraId="6B96AB63" w14:textId="77777777" w:rsidTr="006D06D3">
        <w:trPr>
          <w:trHeight w:val="340"/>
        </w:trPr>
        <w:tc>
          <w:tcPr>
            <w:tcW w:w="5000" w:type="pct"/>
            <w:tcBorders>
              <w:top w:val="single" w:sz="4" w:space="0" w:color="auto"/>
              <w:left w:val="nil"/>
              <w:right w:val="nil"/>
            </w:tcBorders>
            <w:shd w:val="clear" w:color="auto" w:fill="auto"/>
            <w:noWrap/>
          </w:tcPr>
          <w:p w14:paraId="63FC92C0" w14:textId="77777777" w:rsidR="00694090" w:rsidRPr="00EB468D" w:rsidRDefault="00694090" w:rsidP="003108A1">
            <w:pPr>
              <w:spacing w:before="120" w:line="240" w:lineRule="auto"/>
              <w:rPr>
                <w:color w:val="000000" w:themeColor="text1"/>
                <w:sz w:val="22"/>
                <w:lang w:val="en-US"/>
              </w:rPr>
            </w:pPr>
            <w:r w:rsidRPr="00EB468D">
              <w:rPr>
                <w:i/>
                <w:iCs/>
                <w:color w:val="000000" w:themeColor="text1"/>
                <w:sz w:val="22"/>
                <w:lang w:val="en-US"/>
              </w:rPr>
              <w:t>Note</w:t>
            </w:r>
            <w:r w:rsidRPr="00EB468D">
              <w:rPr>
                <w:color w:val="000000" w:themeColor="text1"/>
                <w:sz w:val="22"/>
                <w:lang w:val="en-US"/>
              </w:rPr>
              <w:t xml:space="preserve">. This table reports fixed effects linear OLS regression results predicting the effect of organizational cultural distance between acquirers and targets on acquisition premiums. The dependent variable for all Models is the acquisition premium paid in relation to the target’s market value, which is measured 1 day and 1 week prior deal announcement. The main independent variable </w:t>
            </w:r>
            <w:r w:rsidRPr="00EB468D">
              <w:rPr>
                <w:color w:val="000000" w:themeColor="text1"/>
                <w:sz w:val="22"/>
                <w:lang w:val="en-US"/>
              </w:rPr>
              <w:lastRenderedPageBreak/>
              <w:t xml:space="preserve">in Models 1 and 2 is </w:t>
            </w:r>
            <w:r w:rsidRPr="00EB468D">
              <w:rPr>
                <w:i/>
                <w:iCs/>
                <w:color w:val="000000" w:themeColor="text1"/>
                <w:sz w:val="22"/>
                <w:lang w:val="en-US"/>
              </w:rPr>
              <w:t>deal_culturaldistance</w:t>
            </w:r>
            <w:r w:rsidRPr="00EB468D">
              <w:rPr>
                <w:color w:val="000000" w:themeColor="text1"/>
                <w:sz w:val="22"/>
                <w:lang w:val="en-US"/>
              </w:rPr>
              <w:t>, with higher values indicating higher cultural dissimilarities between the acquirer and target. A detailed variable description can be found in Appendix B. Toehold deals, where the acquirer held shares in the target prior to the announcement of the deal, are excluded from the analysis. Constant terms are estimated but not reported. We include the acquirer’s industry and year fixed effects in all models. We cluster standard errors at the 2-digit SIC industry level. t-statistics are reported in parentheses below the coefficients. *, **, *** denote statistical significance at the .10, .05, and .01 levels (using two-tailed tests).</w:t>
            </w:r>
          </w:p>
        </w:tc>
      </w:tr>
    </w:tbl>
    <w:p w14:paraId="3966B536" w14:textId="77777777" w:rsidR="00EA286F" w:rsidRDefault="00EA286F">
      <w:pPr>
        <w:spacing w:after="160" w:line="259" w:lineRule="auto"/>
        <w:jc w:val="left"/>
        <w:rPr>
          <w:rStyle w:val="SchwacherVerweis"/>
          <w:rFonts w:eastAsiaTheme="majorEastAsia" w:cstheme="majorBidi"/>
          <w:b/>
          <w:caps/>
          <w:smallCaps w:val="0"/>
          <w:color w:val="auto"/>
          <w:szCs w:val="32"/>
          <w:lang w:val="en-US"/>
        </w:rPr>
      </w:pPr>
      <w:r w:rsidRPr="00A7042B">
        <w:rPr>
          <w:rStyle w:val="SchwacherVerweis"/>
          <w:smallCaps w:val="0"/>
          <w:color w:val="auto"/>
          <w:lang w:val="en-US"/>
        </w:rPr>
        <w:br w:type="page"/>
      </w:r>
    </w:p>
    <w:p w14:paraId="1397B63B" w14:textId="6B23043E" w:rsidR="00DD7734" w:rsidRPr="00947673" w:rsidRDefault="00DD7734" w:rsidP="00DD7734">
      <w:pPr>
        <w:pStyle w:val="1fake"/>
        <w:rPr>
          <w:rStyle w:val="SchwacherVerweis"/>
          <w:smallCaps w:val="0"/>
          <w:color w:val="auto"/>
        </w:rPr>
      </w:pPr>
      <w:r w:rsidRPr="00947673">
        <w:rPr>
          <w:rStyle w:val="SchwacherVerweis"/>
          <w:smallCaps w:val="0"/>
          <w:color w:val="auto"/>
        </w:rPr>
        <w:lastRenderedPageBreak/>
        <w:t xml:space="preserve">Online Supplement </w:t>
      </w:r>
      <w:r>
        <w:rPr>
          <w:rStyle w:val="SchwacherVerweis"/>
          <w:smallCaps w:val="0"/>
          <w:color w:val="auto"/>
        </w:rPr>
        <w:t>8</w:t>
      </w:r>
    </w:p>
    <w:p w14:paraId="38A5B3A2" w14:textId="39C5CCC1" w:rsidR="00011AF5" w:rsidRPr="009579F1" w:rsidRDefault="00011AF5" w:rsidP="00011AF5">
      <w:pPr>
        <w:pStyle w:val="Beschriftung"/>
      </w:pPr>
      <w:bookmarkStart w:id="627" w:name="_Toc180594854"/>
      <w:r>
        <w:t xml:space="preserve">T - III - </w:t>
      </w:r>
      <w:r>
        <w:fldChar w:fldCharType="begin"/>
      </w:r>
      <w:r>
        <w:instrText xml:space="preserve"> SEQ T_-_III_- \* ARABIC </w:instrText>
      </w:r>
      <w:r>
        <w:fldChar w:fldCharType="separate"/>
      </w:r>
      <w:r w:rsidR="00E91088">
        <w:rPr>
          <w:noProof/>
        </w:rPr>
        <w:t>18</w:t>
      </w:r>
      <w:r>
        <w:fldChar w:fldCharType="end"/>
      </w:r>
      <w:r>
        <w:t xml:space="preserve">: </w:t>
      </w:r>
      <w:r w:rsidRPr="00CC04D1">
        <w:t>H3: Innovation – No Toehold Deals</w:t>
      </w:r>
      <w:bookmarkEnd w:id="627"/>
    </w:p>
    <w:tbl>
      <w:tblPr>
        <w:tblW w:w="9072" w:type="dxa"/>
        <w:tblLayout w:type="fixed"/>
        <w:tblLook w:val="04A0" w:firstRow="1" w:lastRow="0" w:firstColumn="1" w:lastColumn="0" w:noHBand="0" w:noVBand="1"/>
      </w:tblPr>
      <w:tblGrid>
        <w:gridCol w:w="9072"/>
      </w:tblGrid>
      <w:tr w:rsidR="00694090" w:rsidRPr="00EB468D" w14:paraId="0DDB9A0B" w14:textId="77777777" w:rsidTr="006D06D3">
        <w:trPr>
          <w:trHeight w:val="611"/>
        </w:trPr>
        <w:tc>
          <w:tcPr>
            <w:tcW w:w="5000" w:type="pct"/>
            <w:tcBorders>
              <w:left w:val="nil"/>
              <w:bottom w:val="single" w:sz="4" w:space="0" w:color="auto"/>
              <w:right w:val="nil"/>
            </w:tcBorders>
            <w:shd w:val="clear" w:color="auto" w:fill="auto"/>
          </w:tcPr>
          <w:tbl>
            <w:tblPr>
              <w:tblW w:w="9072" w:type="dxa"/>
              <w:jc w:val="center"/>
              <w:tblLayout w:type="fixed"/>
              <w:tblLook w:val="0000" w:firstRow="0" w:lastRow="0" w:firstColumn="0" w:lastColumn="0" w:noHBand="0" w:noVBand="0"/>
            </w:tblPr>
            <w:tblGrid>
              <w:gridCol w:w="3024"/>
              <w:gridCol w:w="3024"/>
              <w:gridCol w:w="3024"/>
            </w:tblGrid>
            <w:tr w:rsidR="00694090" w:rsidRPr="00EB468D" w14:paraId="37D850AA" w14:textId="77777777" w:rsidTr="006D06D3">
              <w:trPr>
                <w:jc w:val="center"/>
              </w:trPr>
              <w:tc>
                <w:tcPr>
                  <w:tcW w:w="3231" w:type="dxa"/>
                  <w:tcBorders>
                    <w:top w:val="single" w:sz="4" w:space="0" w:color="auto"/>
                    <w:left w:val="nil"/>
                    <w:right w:val="nil"/>
                  </w:tcBorders>
                </w:tcPr>
                <w:p w14:paraId="1DFAFA70"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 xml:space="preserve">   </w:t>
                  </w:r>
                </w:p>
              </w:tc>
              <w:tc>
                <w:tcPr>
                  <w:tcW w:w="3231" w:type="dxa"/>
                  <w:tcBorders>
                    <w:top w:val="single" w:sz="4" w:space="0" w:color="auto"/>
                    <w:left w:val="nil"/>
                    <w:right w:val="nil"/>
                  </w:tcBorders>
                </w:tcPr>
                <w:p w14:paraId="40666BC3"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(1)</w:t>
                  </w:r>
                </w:p>
              </w:tc>
              <w:tc>
                <w:tcPr>
                  <w:tcW w:w="3231" w:type="dxa"/>
                  <w:tcBorders>
                    <w:top w:val="single" w:sz="4" w:space="0" w:color="auto"/>
                    <w:left w:val="nil"/>
                    <w:right w:val="nil"/>
                  </w:tcBorders>
                </w:tcPr>
                <w:p w14:paraId="3440DFD9"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(2)</w:t>
                  </w:r>
                </w:p>
              </w:tc>
            </w:tr>
            <w:tr w:rsidR="00694090" w:rsidRPr="00EB468D" w14:paraId="122952D3" w14:textId="77777777" w:rsidTr="006D06D3">
              <w:trPr>
                <w:jc w:val="center"/>
              </w:trPr>
              <w:tc>
                <w:tcPr>
                  <w:tcW w:w="3231" w:type="dxa"/>
                  <w:tcBorders>
                    <w:top w:val="nil"/>
                    <w:left w:val="nil"/>
                    <w:bottom w:val="single" w:sz="4" w:space="0" w:color="auto"/>
                    <w:right w:val="nil"/>
                  </w:tcBorders>
                </w:tcPr>
                <w:p w14:paraId="009B5284"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 xml:space="preserve">   </w:t>
                  </w:r>
                </w:p>
              </w:tc>
              <w:tc>
                <w:tcPr>
                  <w:tcW w:w="3231" w:type="dxa"/>
                  <w:tcBorders>
                    <w:top w:val="nil"/>
                    <w:left w:val="nil"/>
                    <w:bottom w:val="single" w:sz="4" w:space="0" w:color="auto"/>
                    <w:right w:val="nil"/>
                  </w:tcBorders>
                </w:tcPr>
                <w:p w14:paraId="61B953BD"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acq_2yr_patent_growth</w:t>
                  </w:r>
                </w:p>
              </w:tc>
              <w:tc>
                <w:tcPr>
                  <w:tcW w:w="3231" w:type="dxa"/>
                  <w:tcBorders>
                    <w:top w:val="nil"/>
                    <w:left w:val="nil"/>
                    <w:bottom w:val="single" w:sz="4" w:space="0" w:color="auto"/>
                    <w:right w:val="nil"/>
                  </w:tcBorders>
                </w:tcPr>
                <w:p w14:paraId="1DCE65EF"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acq_2yr_npd_growth</w:t>
                  </w:r>
                </w:p>
              </w:tc>
            </w:tr>
            <w:tr w:rsidR="00694090" w:rsidRPr="00EB468D" w14:paraId="441644F3" w14:textId="77777777" w:rsidTr="006D06D3">
              <w:trPr>
                <w:jc w:val="center"/>
              </w:trPr>
              <w:tc>
                <w:tcPr>
                  <w:tcW w:w="3231" w:type="dxa"/>
                  <w:tcBorders>
                    <w:top w:val="single" w:sz="4" w:space="0" w:color="auto"/>
                    <w:left w:val="nil"/>
                    <w:bottom w:val="nil"/>
                    <w:right w:val="nil"/>
                  </w:tcBorders>
                </w:tcPr>
                <w:p w14:paraId="565B29B0"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deal_culturaldistance</w:t>
                  </w:r>
                </w:p>
              </w:tc>
              <w:tc>
                <w:tcPr>
                  <w:tcW w:w="3231" w:type="dxa"/>
                  <w:tcBorders>
                    <w:top w:val="single" w:sz="4" w:space="0" w:color="auto"/>
                    <w:left w:val="nil"/>
                    <w:bottom w:val="nil"/>
                    <w:right w:val="nil"/>
                  </w:tcBorders>
                </w:tcPr>
                <w:p w14:paraId="025B384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-0.051**</w:t>
                  </w:r>
                </w:p>
              </w:tc>
              <w:tc>
                <w:tcPr>
                  <w:tcW w:w="3231" w:type="dxa"/>
                  <w:tcBorders>
                    <w:top w:val="single" w:sz="4" w:space="0" w:color="auto"/>
                    <w:left w:val="nil"/>
                    <w:bottom w:val="nil"/>
                    <w:right w:val="nil"/>
                  </w:tcBorders>
                </w:tcPr>
                <w:p w14:paraId="0089DE0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-0.027*</w:t>
                  </w:r>
                </w:p>
              </w:tc>
            </w:tr>
            <w:tr w:rsidR="00694090" w:rsidRPr="00EB468D" w14:paraId="0839DA75" w14:textId="77777777" w:rsidTr="006D06D3">
              <w:trPr>
                <w:jc w:val="center"/>
              </w:trPr>
              <w:tc>
                <w:tcPr>
                  <w:tcW w:w="3231" w:type="dxa"/>
                  <w:tcBorders>
                    <w:top w:val="nil"/>
                    <w:left w:val="nil"/>
                    <w:bottom w:val="nil"/>
                    <w:right w:val="nil"/>
                  </w:tcBorders>
                </w:tcPr>
                <w:p w14:paraId="255FE96D"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tcPr>
                <w:p w14:paraId="6B8AC87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(-2.514)</w:t>
                  </w:r>
                </w:p>
              </w:tc>
              <w:tc>
                <w:tcPr>
                  <w:tcW w:w="3231" w:type="dxa"/>
                  <w:tcBorders>
                    <w:top w:val="nil"/>
                    <w:left w:val="nil"/>
                    <w:bottom w:val="nil"/>
                    <w:right w:val="nil"/>
                  </w:tcBorders>
                </w:tcPr>
                <w:p w14:paraId="4638B30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(-1.798)</w:t>
                  </w:r>
                </w:p>
              </w:tc>
            </w:tr>
            <w:tr w:rsidR="00694090" w:rsidRPr="00EB468D" w14:paraId="37765D35" w14:textId="77777777" w:rsidTr="006D06D3">
              <w:trPr>
                <w:jc w:val="center"/>
              </w:trPr>
              <w:tc>
                <w:tcPr>
                  <w:tcW w:w="3231" w:type="dxa"/>
                  <w:tcBorders>
                    <w:top w:val="nil"/>
                    <w:left w:val="nil"/>
                    <w:bottom w:val="nil"/>
                    <w:right w:val="nil"/>
                  </w:tcBorders>
                </w:tcPr>
                <w:p w14:paraId="2E7E8116"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deal_value_ln</w:t>
                  </w:r>
                </w:p>
              </w:tc>
              <w:tc>
                <w:tcPr>
                  <w:tcW w:w="3231" w:type="dxa"/>
                  <w:tcBorders>
                    <w:top w:val="nil"/>
                    <w:left w:val="nil"/>
                    <w:bottom w:val="nil"/>
                    <w:right w:val="nil"/>
                  </w:tcBorders>
                </w:tcPr>
                <w:p w14:paraId="462B06E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-0.061</w:t>
                  </w:r>
                </w:p>
              </w:tc>
              <w:tc>
                <w:tcPr>
                  <w:tcW w:w="3231" w:type="dxa"/>
                  <w:tcBorders>
                    <w:top w:val="nil"/>
                    <w:left w:val="nil"/>
                    <w:bottom w:val="nil"/>
                    <w:right w:val="nil"/>
                  </w:tcBorders>
                </w:tcPr>
                <w:p w14:paraId="7BB3B01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0.108</w:t>
                  </w:r>
                </w:p>
              </w:tc>
            </w:tr>
            <w:tr w:rsidR="00694090" w:rsidRPr="00EB468D" w14:paraId="26A93797" w14:textId="77777777" w:rsidTr="006D06D3">
              <w:trPr>
                <w:jc w:val="center"/>
              </w:trPr>
              <w:tc>
                <w:tcPr>
                  <w:tcW w:w="3231" w:type="dxa"/>
                  <w:tcBorders>
                    <w:top w:val="nil"/>
                    <w:left w:val="nil"/>
                    <w:bottom w:val="nil"/>
                    <w:right w:val="nil"/>
                  </w:tcBorders>
                </w:tcPr>
                <w:p w14:paraId="52E29CC9"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tcPr>
                <w:p w14:paraId="5AA59F6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(-0.545)</w:t>
                  </w:r>
                </w:p>
              </w:tc>
              <w:tc>
                <w:tcPr>
                  <w:tcW w:w="3231" w:type="dxa"/>
                  <w:tcBorders>
                    <w:top w:val="nil"/>
                    <w:left w:val="nil"/>
                    <w:bottom w:val="nil"/>
                    <w:right w:val="nil"/>
                  </w:tcBorders>
                </w:tcPr>
                <w:p w14:paraId="1EE0870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(0.806)</w:t>
                  </w:r>
                </w:p>
              </w:tc>
            </w:tr>
            <w:tr w:rsidR="00694090" w:rsidRPr="00EB468D" w14:paraId="79541674" w14:textId="77777777" w:rsidTr="006D06D3">
              <w:trPr>
                <w:jc w:val="center"/>
              </w:trPr>
              <w:tc>
                <w:tcPr>
                  <w:tcW w:w="3231" w:type="dxa"/>
                  <w:tcBorders>
                    <w:top w:val="nil"/>
                    <w:left w:val="nil"/>
                    <w:bottom w:val="nil"/>
                    <w:right w:val="nil"/>
                  </w:tcBorders>
                </w:tcPr>
                <w:p w14:paraId="44C67518"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deal_hofstede_distance</w:t>
                  </w:r>
                </w:p>
              </w:tc>
              <w:tc>
                <w:tcPr>
                  <w:tcW w:w="3231" w:type="dxa"/>
                  <w:tcBorders>
                    <w:top w:val="nil"/>
                    <w:left w:val="nil"/>
                    <w:bottom w:val="nil"/>
                    <w:right w:val="nil"/>
                  </w:tcBorders>
                </w:tcPr>
                <w:p w14:paraId="0C87006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-0.059</w:t>
                  </w:r>
                </w:p>
              </w:tc>
              <w:tc>
                <w:tcPr>
                  <w:tcW w:w="3231" w:type="dxa"/>
                  <w:tcBorders>
                    <w:top w:val="nil"/>
                    <w:left w:val="nil"/>
                    <w:bottom w:val="nil"/>
                    <w:right w:val="nil"/>
                  </w:tcBorders>
                </w:tcPr>
                <w:p w14:paraId="3226108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-0.505</w:t>
                  </w:r>
                </w:p>
              </w:tc>
            </w:tr>
            <w:tr w:rsidR="00694090" w:rsidRPr="00EB468D" w14:paraId="2D52C584" w14:textId="77777777" w:rsidTr="006D06D3">
              <w:trPr>
                <w:jc w:val="center"/>
              </w:trPr>
              <w:tc>
                <w:tcPr>
                  <w:tcW w:w="3231" w:type="dxa"/>
                  <w:tcBorders>
                    <w:top w:val="nil"/>
                    <w:left w:val="nil"/>
                    <w:bottom w:val="nil"/>
                    <w:right w:val="nil"/>
                  </w:tcBorders>
                </w:tcPr>
                <w:p w14:paraId="29EE4811"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tcPr>
                <w:p w14:paraId="354F8B9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(-0.044)</w:t>
                  </w:r>
                </w:p>
              </w:tc>
              <w:tc>
                <w:tcPr>
                  <w:tcW w:w="3231" w:type="dxa"/>
                  <w:tcBorders>
                    <w:top w:val="nil"/>
                    <w:left w:val="nil"/>
                    <w:bottom w:val="nil"/>
                    <w:right w:val="nil"/>
                  </w:tcBorders>
                </w:tcPr>
                <w:p w14:paraId="47AC054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(-0.478)</w:t>
                  </w:r>
                </w:p>
              </w:tc>
            </w:tr>
            <w:tr w:rsidR="00694090" w:rsidRPr="00EB468D" w14:paraId="197721D9" w14:textId="77777777" w:rsidTr="006D06D3">
              <w:trPr>
                <w:jc w:val="center"/>
              </w:trPr>
              <w:tc>
                <w:tcPr>
                  <w:tcW w:w="3231" w:type="dxa"/>
                  <w:tcBorders>
                    <w:top w:val="nil"/>
                    <w:left w:val="nil"/>
                    <w:bottom w:val="nil"/>
                    <w:right w:val="nil"/>
                  </w:tcBorders>
                </w:tcPr>
                <w:p w14:paraId="5B701B30"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deal_all_cash_dummy</w:t>
                  </w:r>
                </w:p>
              </w:tc>
              <w:tc>
                <w:tcPr>
                  <w:tcW w:w="3231" w:type="dxa"/>
                  <w:tcBorders>
                    <w:top w:val="nil"/>
                    <w:left w:val="nil"/>
                    <w:bottom w:val="nil"/>
                    <w:right w:val="nil"/>
                  </w:tcBorders>
                </w:tcPr>
                <w:p w14:paraId="76CFF02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0.090</w:t>
                  </w:r>
                </w:p>
              </w:tc>
              <w:tc>
                <w:tcPr>
                  <w:tcW w:w="3231" w:type="dxa"/>
                  <w:tcBorders>
                    <w:top w:val="nil"/>
                    <w:left w:val="nil"/>
                    <w:bottom w:val="nil"/>
                    <w:right w:val="nil"/>
                  </w:tcBorders>
                </w:tcPr>
                <w:p w14:paraId="223D01B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0.078</w:t>
                  </w:r>
                </w:p>
              </w:tc>
            </w:tr>
            <w:tr w:rsidR="00694090" w:rsidRPr="00EB468D" w14:paraId="1348E506" w14:textId="77777777" w:rsidTr="006D06D3">
              <w:trPr>
                <w:jc w:val="center"/>
              </w:trPr>
              <w:tc>
                <w:tcPr>
                  <w:tcW w:w="3231" w:type="dxa"/>
                  <w:tcBorders>
                    <w:top w:val="nil"/>
                    <w:left w:val="nil"/>
                    <w:bottom w:val="nil"/>
                    <w:right w:val="nil"/>
                  </w:tcBorders>
                </w:tcPr>
                <w:p w14:paraId="0A5A31F1"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tcPr>
                <w:p w14:paraId="413A8F3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(0.371)</w:t>
                  </w:r>
                </w:p>
              </w:tc>
              <w:tc>
                <w:tcPr>
                  <w:tcW w:w="3231" w:type="dxa"/>
                  <w:tcBorders>
                    <w:top w:val="nil"/>
                    <w:left w:val="nil"/>
                    <w:bottom w:val="nil"/>
                    <w:right w:val="nil"/>
                  </w:tcBorders>
                </w:tcPr>
                <w:p w14:paraId="7E941DD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(0.363)</w:t>
                  </w:r>
                </w:p>
              </w:tc>
            </w:tr>
            <w:tr w:rsidR="00694090" w:rsidRPr="00EB468D" w14:paraId="29DA984B" w14:textId="77777777" w:rsidTr="006D06D3">
              <w:trPr>
                <w:jc w:val="center"/>
              </w:trPr>
              <w:tc>
                <w:tcPr>
                  <w:tcW w:w="3231" w:type="dxa"/>
                  <w:tcBorders>
                    <w:top w:val="nil"/>
                    <w:left w:val="nil"/>
                    <w:bottom w:val="nil"/>
                    <w:right w:val="nil"/>
                  </w:tcBorders>
                </w:tcPr>
                <w:p w14:paraId="6E86C1A9"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deal_all_stock_dummy</w:t>
                  </w:r>
                </w:p>
              </w:tc>
              <w:tc>
                <w:tcPr>
                  <w:tcW w:w="3231" w:type="dxa"/>
                  <w:tcBorders>
                    <w:top w:val="nil"/>
                    <w:left w:val="nil"/>
                    <w:bottom w:val="nil"/>
                    <w:right w:val="nil"/>
                  </w:tcBorders>
                </w:tcPr>
                <w:p w14:paraId="42C0703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-0.163</w:t>
                  </w:r>
                </w:p>
              </w:tc>
              <w:tc>
                <w:tcPr>
                  <w:tcW w:w="3231" w:type="dxa"/>
                  <w:tcBorders>
                    <w:top w:val="nil"/>
                    <w:left w:val="nil"/>
                    <w:bottom w:val="nil"/>
                    <w:right w:val="nil"/>
                  </w:tcBorders>
                </w:tcPr>
                <w:p w14:paraId="6B9E100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0.008</w:t>
                  </w:r>
                </w:p>
              </w:tc>
            </w:tr>
            <w:tr w:rsidR="00694090" w:rsidRPr="00EB468D" w14:paraId="2794BCA3" w14:textId="77777777" w:rsidTr="006D06D3">
              <w:trPr>
                <w:jc w:val="center"/>
              </w:trPr>
              <w:tc>
                <w:tcPr>
                  <w:tcW w:w="3231" w:type="dxa"/>
                  <w:tcBorders>
                    <w:top w:val="nil"/>
                    <w:left w:val="nil"/>
                    <w:bottom w:val="nil"/>
                    <w:right w:val="nil"/>
                  </w:tcBorders>
                </w:tcPr>
                <w:p w14:paraId="42113982"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tcPr>
                <w:p w14:paraId="29D7F5E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(-0.416)</w:t>
                  </w:r>
                </w:p>
              </w:tc>
              <w:tc>
                <w:tcPr>
                  <w:tcW w:w="3231" w:type="dxa"/>
                  <w:tcBorders>
                    <w:top w:val="nil"/>
                    <w:left w:val="nil"/>
                    <w:bottom w:val="nil"/>
                    <w:right w:val="nil"/>
                  </w:tcBorders>
                </w:tcPr>
                <w:p w14:paraId="5D01C2A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(0.032)</w:t>
                  </w:r>
                </w:p>
              </w:tc>
            </w:tr>
            <w:tr w:rsidR="00694090" w:rsidRPr="00EB468D" w14:paraId="3C20EA5B" w14:textId="77777777" w:rsidTr="006D06D3">
              <w:trPr>
                <w:jc w:val="center"/>
              </w:trPr>
              <w:tc>
                <w:tcPr>
                  <w:tcW w:w="3231" w:type="dxa"/>
                  <w:tcBorders>
                    <w:top w:val="nil"/>
                    <w:left w:val="nil"/>
                    <w:bottom w:val="nil"/>
                    <w:right w:val="nil"/>
                  </w:tcBorders>
                </w:tcPr>
                <w:p w14:paraId="10156F64"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deal_tenderoffer_dummy</w:t>
                  </w:r>
                </w:p>
              </w:tc>
              <w:tc>
                <w:tcPr>
                  <w:tcW w:w="3231" w:type="dxa"/>
                  <w:tcBorders>
                    <w:top w:val="nil"/>
                    <w:left w:val="nil"/>
                    <w:bottom w:val="nil"/>
                    <w:right w:val="nil"/>
                  </w:tcBorders>
                </w:tcPr>
                <w:p w14:paraId="215F0F5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-0.102</w:t>
                  </w:r>
                </w:p>
              </w:tc>
              <w:tc>
                <w:tcPr>
                  <w:tcW w:w="3231" w:type="dxa"/>
                  <w:tcBorders>
                    <w:top w:val="nil"/>
                    <w:left w:val="nil"/>
                    <w:bottom w:val="nil"/>
                    <w:right w:val="nil"/>
                  </w:tcBorders>
                </w:tcPr>
                <w:p w14:paraId="56DB74E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0.330</w:t>
                  </w:r>
                </w:p>
              </w:tc>
            </w:tr>
            <w:tr w:rsidR="00694090" w:rsidRPr="00EB468D" w14:paraId="07F1083C" w14:textId="77777777" w:rsidTr="006D06D3">
              <w:trPr>
                <w:jc w:val="center"/>
              </w:trPr>
              <w:tc>
                <w:tcPr>
                  <w:tcW w:w="3231" w:type="dxa"/>
                  <w:tcBorders>
                    <w:top w:val="nil"/>
                    <w:left w:val="nil"/>
                    <w:bottom w:val="nil"/>
                    <w:right w:val="nil"/>
                  </w:tcBorders>
                </w:tcPr>
                <w:p w14:paraId="55CB8B7C"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tcPr>
                <w:p w14:paraId="7CB2F97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(-0.373)</w:t>
                  </w:r>
                </w:p>
              </w:tc>
              <w:tc>
                <w:tcPr>
                  <w:tcW w:w="3231" w:type="dxa"/>
                  <w:tcBorders>
                    <w:top w:val="nil"/>
                    <w:left w:val="nil"/>
                    <w:bottom w:val="nil"/>
                    <w:right w:val="nil"/>
                  </w:tcBorders>
                </w:tcPr>
                <w:p w14:paraId="791A7B1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(1.549)</w:t>
                  </w:r>
                </w:p>
              </w:tc>
            </w:tr>
            <w:tr w:rsidR="00694090" w:rsidRPr="00EB468D" w14:paraId="450132ED" w14:textId="77777777" w:rsidTr="006D06D3">
              <w:trPr>
                <w:jc w:val="center"/>
              </w:trPr>
              <w:tc>
                <w:tcPr>
                  <w:tcW w:w="3231" w:type="dxa"/>
                  <w:tcBorders>
                    <w:top w:val="nil"/>
                    <w:left w:val="nil"/>
                    <w:bottom w:val="nil"/>
                    <w:right w:val="nil"/>
                  </w:tcBorders>
                </w:tcPr>
                <w:p w14:paraId="44D5A868"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deal_friendly_dummy</w:t>
                  </w:r>
                </w:p>
              </w:tc>
              <w:tc>
                <w:tcPr>
                  <w:tcW w:w="3231" w:type="dxa"/>
                  <w:tcBorders>
                    <w:top w:val="nil"/>
                    <w:left w:val="nil"/>
                    <w:bottom w:val="nil"/>
                    <w:right w:val="nil"/>
                  </w:tcBorders>
                </w:tcPr>
                <w:p w14:paraId="53AA89F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-4.387***</w:t>
                  </w:r>
                </w:p>
              </w:tc>
              <w:tc>
                <w:tcPr>
                  <w:tcW w:w="3231" w:type="dxa"/>
                  <w:tcBorders>
                    <w:top w:val="nil"/>
                    <w:left w:val="nil"/>
                    <w:bottom w:val="nil"/>
                    <w:right w:val="nil"/>
                  </w:tcBorders>
                </w:tcPr>
                <w:p w14:paraId="507C20B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w:t>
                  </w:r>
                </w:p>
              </w:tc>
            </w:tr>
            <w:tr w:rsidR="00694090" w:rsidRPr="00EB468D" w14:paraId="7D20CC9D" w14:textId="77777777" w:rsidTr="006D06D3">
              <w:trPr>
                <w:jc w:val="center"/>
              </w:trPr>
              <w:tc>
                <w:tcPr>
                  <w:tcW w:w="3231" w:type="dxa"/>
                  <w:tcBorders>
                    <w:top w:val="nil"/>
                    <w:left w:val="nil"/>
                    <w:bottom w:val="nil"/>
                    <w:right w:val="nil"/>
                  </w:tcBorders>
                </w:tcPr>
                <w:p w14:paraId="5A0B8B62"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tcPr>
                <w:p w14:paraId="07EF0DE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(-5.684)</w:t>
                  </w:r>
                </w:p>
              </w:tc>
              <w:tc>
                <w:tcPr>
                  <w:tcW w:w="3231" w:type="dxa"/>
                  <w:tcBorders>
                    <w:top w:val="nil"/>
                    <w:left w:val="nil"/>
                    <w:bottom w:val="nil"/>
                    <w:right w:val="nil"/>
                  </w:tcBorders>
                </w:tcPr>
                <w:p w14:paraId="78F57F4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(0.000)</w:t>
                  </w:r>
                </w:p>
              </w:tc>
            </w:tr>
            <w:tr w:rsidR="00694090" w:rsidRPr="00EB468D" w14:paraId="258860BA" w14:textId="77777777" w:rsidTr="006D06D3">
              <w:trPr>
                <w:jc w:val="center"/>
              </w:trPr>
              <w:tc>
                <w:tcPr>
                  <w:tcW w:w="3231" w:type="dxa"/>
                  <w:tcBorders>
                    <w:top w:val="nil"/>
                    <w:left w:val="nil"/>
                    <w:bottom w:val="nil"/>
                    <w:right w:val="nil"/>
                  </w:tcBorders>
                </w:tcPr>
                <w:p w14:paraId="6E568CC2"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deal_relatedness_dummy</w:t>
                  </w:r>
                </w:p>
              </w:tc>
              <w:tc>
                <w:tcPr>
                  <w:tcW w:w="3231" w:type="dxa"/>
                  <w:tcBorders>
                    <w:top w:val="nil"/>
                    <w:left w:val="nil"/>
                    <w:bottom w:val="nil"/>
                    <w:right w:val="nil"/>
                  </w:tcBorders>
                </w:tcPr>
                <w:p w14:paraId="0962D3B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-0.114</w:t>
                  </w:r>
                </w:p>
              </w:tc>
              <w:tc>
                <w:tcPr>
                  <w:tcW w:w="3231" w:type="dxa"/>
                  <w:tcBorders>
                    <w:top w:val="nil"/>
                    <w:left w:val="nil"/>
                    <w:bottom w:val="nil"/>
                    <w:right w:val="nil"/>
                  </w:tcBorders>
                </w:tcPr>
                <w:p w14:paraId="2F60898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-0.192</w:t>
                  </w:r>
                </w:p>
              </w:tc>
            </w:tr>
            <w:tr w:rsidR="00694090" w:rsidRPr="00EB468D" w14:paraId="5407C28A" w14:textId="77777777" w:rsidTr="006D06D3">
              <w:trPr>
                <w:jc w:val="center"/>
              </w:trPr>
              <w:tc>
                <w:tcPr>
                  <w:tcW w:w="3231" w:type="dxa"/>
                  <w:tcBorders>
                    <w:top w:val="nil"/>
                    <w:left w:val="nil"/>
                    <w:bottom w:val="nil"/>
                    <w:right w:val="nil"/>
                  </w:tcBorders>
                </w:tcPr>
                <w:p w14:paraId="7BF375E4"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tcPr>
                <w:p w14:paraId="45FEA01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(-0.556)</w:t>
                  </w:r>
                </w:p>
              </w:tc>
              <w:tc>
                <w:tcPr>
                  <w:tcW w:w="3231" w:type="dxa"/>
                  <w:tcBorders>
                    <w:top w:val="nil"/>
                    <w:left w:val="nil"/>
                    <w:bottom w:val="nil"/>
                    <w:right w:val="nil"/>
                  </w:tcBorders>
                </w:tcPr>
                <w:p w14:paraId="5451752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(-1.443)</w:t>
                  </w:r>
                </w:p>
              </w:tc>
            </w:tr>
            <w:tr w:rsidR="00694090" w:rsidRPr="00EB468D" w14:paraId="3BBCFC78" w14:textId="77777777" w:rsidTr="006D06D3">
              <w:trPr>
                <w:jc w:val="center"/>
              </w:trPr>
              <w:tc>
                <w:tcPr>
                  <w:tcW w:w="3231" w:type="dxa"/>
                  <w:tcBorders>
                    <w:top w:val="nil"/>
                    <w:left w:val="nil"/>
                    <w:bottom w:val="nil"/>
                    <w:right w:val="nil"/>
                  </w:tcBorders>
                </w:tcPr>
                <w:p w14:paraId="48BF0784"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acq_age</w:t>
                  </w:r>
                </w:p>
              </w:tc>
              <w:tc>
                <w:tcPr>
                  <w:tcW w:w="3231" w:type="dxa"/>
                  <w:tcBorders>
                    <w:top w:val="nil"/>
                    <w:left w:val="nil"/>
                    <w:bottom w:val="nil"/>
                    <w:right w:val="nil"/>
                  </w:tcBorders>
                </w:tcPr>
                <w:p w14:paraId="6390358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0.001</w:t>
                  </w:r>
                </w:p>
              </w:tc>
              <w:tc>
                <w:tcPr>
                  <w:tcW w:w="3231" w:type="dxa"/>
                  <w:tcBorders>
                    <w:top w:val="nil"/>
                    <w:left w:val="nil"/>
                    <w:bottom w:val="nil"/>
                    <w:right w:val="nil"/>
                  </w:tcBorders>
                </w:tcPr>
                <w:p w14:paraId="2E638A4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-0.001</w:t>
                  </w:r>
                </w:p>
              </w:tc>
            </w:tr>
            <w:tr w:rsidR="00694090" w:rsidRPr="00EB468D" w14:paraId="533F2A37" w14:textId="77777777" w:rsidTr="006D06D3">
              <w:trPr>
                <w:jc w:val="center"/>
              </w:trPr>
              <w:tc>
                <w:tcPr>
                  <w:tcW w:w="3231" w:type="dxa"/>
                  <w:tcBorders>
                    <w:top w:val="nil"/>
                    <w:left w:val="nil"/>
                    <w:bottom w:val="nil"/>
                    <w:right w:val="nil"/>
                  </w:tcBorders>
                </w:tcPr>
                <w:p w14:paraId="5C2E5B4A"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tcPr>
                <w:p w14:paraId="7970FB9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(0.464)</w:t>
                  </w:r>
                </w:p>
              </w:tc>
              <w:tc>
                <w:tcPr>
                  <w:tcW w:w="3231" w:type="dxa"/>
                  <w:tcBorders>
                    <w:top w:val="nil"/>
                    <w:left w:val="nil"/>
                    <w:bottom w:val="nil"/>
                    <w:right w:val="nil"/>
                  </w:tcBorders>
                </w:tcPr>
                <w:p w14:paraId="7E7114F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(-0.486)</w:t>
                  </w:r>
                </w:p>
              </w:tc>
            </w:tr>
            <w:tr w:rsidR="00694090" w:rsidRPr="00EB468D" w14:paraId="37373064" w14:textId="77777777" w:rsidTr="006D06D3">
              <w:trPr>
                <w:jc w:val="center"/>
              </w:trPr>
              <w:tc>
                <w:tcPr>
                  <w:tcW w:w="3231" w:type="dxa"/>
                  <w:tcBorders>
                    <w:top w:val="nil"/>
                    <w:left w:val="nil"/>
                    <w:bottom w:val="nil"/>
                    <w:right w:val="nil"/>
                  </w:tcBorders>
                </w:tcPr>
                <w:p w14:paraId="39436702"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acq_assets_lastyear_ln</w:t>
                  </w:r>
                </w:p>
              </w:tc>
              <w:tc>
                <w:tcPr>
                  <w:tcW w:w="3231" w:type="dxa"/>
                  <w:tcBorders>
                    <w:top w:val="nil"/>
                    <w:left w:val="nil"/>
                    <w:bottom w:val="nil"/>
                    <w:right w:val="nil"/>
                  </w:tcBorders>
                </w:tcPr>
                <w:p w14:paraId="69D3883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0.178*</w:t>
                  </w:r>
                </w:p>
              </w:tc>
              <w:tc>
                <w:tcPr>
                  <w:tcW w:w="3231" w:type="dxa"/>
                  <w:tcBorders>
                    <w:top w:val="nil"/>
                    <w:left w:val="nil"/>
                    <w:bottom w:val="nil"/>
                    <w:right w:val="nil"/>
                  </w:tcBorders>
                </w:tcPr>
                <w:p w14:paraId="731CE98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-0.072</w:t>
                  </w:r>
                </w:p>
              </w:tc>
            </w:tr>
            <w:tr w:rsidR="00694090" w:rsidRPr="00EB468D" w14:paraId="7AF53C2C" w14:textId="77777777" w:rsidTr="006D06D3">
              <w:trPr>
                <w:jc w:val="center"/>
              </w:trPr>
              <w:tc>
                <w:tcPr>
                  <w:tcW w:w="3231" w:type="dxa"/>
                  <w:tcBorders>
                    <w:top w:val="nil"/>
                    <w:left w:val="nil"/>
                    <w:bottom w:val="nil"/>
                    <w:right w:val="nil"/>
                  </w:tcBorders>
                </w:tcPr>
                <w:p w14:paraId="5B483216"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tcPr>
                <w:p w14:paraId="7BB653F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(1.777)</w:t>
                  </w:r>
                </w:p>
              </w:tc>
              <w:tc>
                <w:tcPr>
                  <w:tcW w:w="3231" w:type="dxa"/>
                  <w:tcBorders>
                    <w:top w:val="nil"/>
                    <w:left w:val="nil"/>
                    <w:bottom w:val="nil"/>
                    <w:right w:val="nil"/>
                  </w:tcBorders>
                </w:tcPr>
                <w:p w14:paraId="1CBF88F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(-0.891)</w:t>
                  </w:r>
                </w:p>
              </w:tc>
            </w:tr>
            <w:tr w:rsidR="00694090" w:rsidRPr="00EB468D" w14:paraId="0F3D03EA" w14:textId="77777777" w:rsidTr="006D06D3">
              <w:trPr>
                <w:jc w:val="center"/>
              </w:trPr>
              <w:tc>
                <w:tcPr>
                  <w:tcW w:w="3231" w:type="dxa"/>
                  <w:tcBorders>
                    <w:top w:val="nil"/>
                    <w:left w:val="nil"/>
                    <w:bottom w:val="nil"/>
                    <w:right w:val="nil"/>
                  </w:tcBorders>
                </w:tcPr>
                <w:p w14:paraId="2D124DC9"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acq_roa_lastyear</w:t>
                  </w:r>
                </w:p>
              </w:tc>
              <w:tc>
                <w:tcPr>
                  <w:tcW w:w="3231" w:type="dxa"/>
                  <w:tcBorders>
                    <w:top w:val="nil"/>
                    <w:left w:val="nil"/>
                    <w:bottom w:val="nil"/>
                    <w:right w:val="nil"/>
                  </w:tcBorders>
                </w:tcPr>
                <w:p w14:paraId="323EDDC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0.328***</w:t>
                  </w:r>
                </w:p>
              </w:tc>
              <w:tc>
                <w:tcPr>
                  <w:tcW w:w="3231" w:type="dxa"/>
                  <w:tcBorders>
                    <w:top w:val="nil"/>
                    <w:left w:val="nil"/>
                    <w:bottom w:val="nil"/>
                    <w:right w:val="nil"/>
                  </w:tcBorders>
                </w:tcPr>
                <w:p w14:paraId="30CEF94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-0.012</w:t>
                  </w:r>
                </w:p>
              </w:tc>
            </w:tr>
            <w:tr w:rsidR="00694090" w:rsidRPr="00EB468D" w14:paraId="560E3D56" w14:textId="77777777" w:rsidTr="006D06D3">
              <w:trPr>
                <w:jc w:val="center"/>
              </w:trPr>
              <w:tc>
                <w:tcPr>
                  <w:tcW w:w="3231" w:type="dxa"/>
                  <w:tcBorders>
                    <w:top w:val="nil"/>
                    <w:left w:val="nil"/>
                    <w:bottom w:val="nil"/>
                    <w:right w:val="nil"/>
                  </w:tcBorders>
                </w:tcPr>
                <w:p w14:paraId="32CBDE8F"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tcPr>
                <w:p w14:paraId="5225D06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(3.203)</w:t>
                  </w:r>
                </w:p>
              </w:tc>
              <w:tc>
                <w:tcPr>
                  <w:tcW w:w="3231" w:type="dxa"/>
                  <w:tcBorders>
                    <w:top w:val="nil"/>
                    <w:left w:val="nil"/>
                    <w:bottom w:val="nil"/>
                    <w:right w:val="nil"/>
                  </w:tcBorders>
                </w:tcPr>
                <w:p w14:paraId="0FB962C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(-0.256)</w:t>
                  </w:r>
                </w:p>
              </w:tc>
            </w:tr>
            <w:tr w:rsidR="00694090" w:rsidRPr="00EB468D" w14:paraId="0CEA044D" w14:textId="77777777" w:rsidTr="006D06D3">
              <w:trPr>
                <w:jc w:val="center"/>
              </w:trPr>
              <w:tc>
                <w:tcPr>
                  <w:tcW w:w="3231" w:type="dxa"/>
                  <w:tcBorders>
                    <w:top w:val="nil"/>
                    <w:left w:val="nil"/>
                    <w:bottom w:val="nil"/>
                    <w:right w:val="nil"/>
                  </w:tcBorders>
                </w:tcPr>
                <w:p w14:paraId="7B53E10F"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acq_industrygrowth</w:t>
                  </w:r>
                </w:p>
              </w:tc>
              <w:tc>
                <w:tcPr>
                  <w:tcW w:w="3231" w:type="dxa"/>
                  <w:tcBorders>
                    <w:top w:val="nil"/>
                    <w:left w:val="nil"/>
                    <w:bottom w:val="nil"/>
                    <w:right w:val="nil"/>
                  </w:tcBorders>
                </w:tcPr>
                <w:p w14:paraId="5BEDEDF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-30.860**</w:t>
                  </w:r>
                </w:p>
              </w:tc>
              <w:tc>
                <w:tcPr>
                  <w:tcW w:w="3231" w:type="dxa"/>
                  <w:tcBorders>
                    <w:top w:val="nil"/>
                    <w:left w:val="nil"/>
                    <w:bottom w:val="nil"/>
                    <w:right w:val="nil"/>
                  </w:tcBorders>
                </w:tcPr>
                <w:p w14:paraId="51CEFDC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5.247</w:t>
                  </w:r>
                </w:p>
              </w:tc>
            </w:tr>
            <w:tr w:rsidR="00694090" w:rsidRPr="00EB468D" w14:paraId="669E8943" w14:textId="77777777" w:rsidTr="006D06D3">
              <w:trPr>
                <w:jc w:val="center"/>
              </w:trPr>
              <w:tc>
                <w:tcPr>
                  <w:tcW w:w="3231" w:type="dxa"/>
                  <w:tcBorders>
                    <w:top w:val="nil"/>
                    <w:left w:val="nil"/>
                    <w:bottom w:val="nil"/>
                    <w:right w:val="nil"/>
                  </w:tcBorders>
                </w:tcPr>
                <w:p w14:paraId="08B3A504"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tcPr>
                <w:p w14:paraId="6ECE2FE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(-2.394)</w:t>
                  </w:r>
                </w:p>
              </w:tc>
              <w:tc>
                <w:tcPr>
                  <w:tcW w:w="3231" w:type="dxa"/>
                  <w:tcBorders>
                    <w:top w:val="nil"/>
                    <w:left w:val="nil"/>
                    <w:bottom w:val="nil"/>
                    <w:right w:val="nil"/>
                  </w:tcBorders>
                </w:tcPr>
                <w:p w14:paraId="77111D5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(0.915)</w:t>
                  </w:r>
                </w:p>
              </w:tc>
            </w:tr>
            <w:tr w:rsidR="00694090" w:rsidRPr="00EB468D" w14:paraId="06B8FEEC" w14:textId="77777777" w:rsidTr="006D06D3">
              <w:trPr>
                <w:jc w:val="center"/>
              </w:trPr>
              <w:tc>
                <w:tcPr>
                  <w:tcW w:w="3231" w:type="dxa"/>
                  <w:tcBorders>
                    <w:top w:val="nil"/>
                    <w:left w:val="nil"/>
                    <w:bottom w:val="nil"/>
                    <w:right w:val="nil"/>
                  </w:tcBorders>
                </w:tcPr>
                <w:p w14:paraId="6B04AB46"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acq_dealexperience</w:t>
                  </w:r>
                </w:p>
              </w:tc>
              <w:tc>
                <w:tcPr>
                  <w:tcW w:w="3231" w:type="dxa"/>
                  <w:tcBorders>
                    <w:top w:val="nil"/>
                    <w:left w:val="nil"/>
                    <w:bottom w:val="nil"/>
                    <w:right w:val="nil"/>
                  </w:tcBorders>
                </w:tcPr>
                <w:p w14:paraId="2D2B97C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-0.243*</w:t>
                  </w:r>
                </w:p>
              </w:tc>
              <w:tc>
                <w:tcPr>
                  <w:tcW w:w="3231" w:type="dxa"/>
                  <w:tcBorders>
                    <w:top w:val="nil"/>
                    <w:left w:val="nil"/>
                    <w:bottom w:val="nil"/>
                    <w:right w:val="nil"/>
                  </w:tcBorders>
                </w:tcPr>
                <w:p w14:paraId="7C69ED1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0.067*</w:t>
                  </w:r>
                </w:p>
              </w:tc>
            </w:tr>
            <w:tr w:rsidR="00694090" w:rsidRPr="00EB468D" w14:paraId="53A3673F" w14:textId="77777777" w:rsidTr="006D06D3">
              <w:trPr>
                <w:jc w:val="center"/>
              </w:trPr>
              <w:tc>
                <w:tcPr>
                  <w:tcW w:w="3231" w:type="dxa"/>
                  <w:tcBorders>
                    <w:top w:val="nil"/>
                    <w:left w:val="nil"/>
                    <w:bottom w:val="nil"/>
                    <w:right w:val="nil"/>
                  </w:tcBorders>
                </w:tcPr>
                <w:p w14:paraId="02185185"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tcPr>
                <w:p w14:paraId="79FC0E1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(-1.858)</w:t>
                  </w:r>
                </w:p>
              </w:tc>
              <w:tc>
                <w:tcPr>
                  <w:tcW w:w="3231" w:type="dxa"/>
                  <w:tcBorders>
                    <w:top w:val="nil"/>
                    <w:left w:val="nil"/>
                    <w:bottom w:val="nil"/>
                    <w:right w:val="nil"/>
                  </w:tcBorders>
                </w:tcPr>
                <w:p w14:paraId="55B6749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(1.696)</w:t>
                  </w:r>
                </w:p>
              </w:tc>
            </w:tr>
            <w:tr w:rsidR="00694090" w:rsidRPr="00EB468D" w14:paraId="7413EEF5" w14:textId="77777777" w:rsidTr="006D06D3">
              <w:trPr>
                <w:jc w:val="center"/>
              </w:trPr>
              <w:tc>
                <w:tcPr>
                  <w:tcW w:w="3231" w:type="dxa"/>
                  <w:tcBorders>
                    <w:top w:val="nil"/>
                    <w:left w:val="nil"/>
                    <w:bottom w:val="nil"/>
                    <w:right w:val="nil"/>
                  </w:tcBorders>
                </w:tcPr>
                <w:p w14:paraId="3EBCC40A"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acq_rd_intensity</w:t>
                  </w:r>
                </w:p>
              </w:tc>
              <w:tc>
                <w:tcPr>
                  <w:tcW w:w="3231" w:type="dxa"/>
                  <w:tcBorders>
                    <w:top w:val="nil"/>
                    <w:left w:val="nil"/>
                    <w:bottom w:val="nil"/>
                    <w:right w:val="nil"/>
                  </w:tcBorders>
                </w:tcPr>
                <w:p w14:paraId="6AB9798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0.265</w:t>
                  </w:r>
                </w:p>
              </w:tc>
              <w:tc>
                <w:tcPr>
                  <w:tcW w:w="3231" w:type="dxa"/>
                  <w:tcBorders>
                    <w:top w:val="nil"/>
                    <w:left w:val="nil"/>
                    <w:bottom w:val="nil"/>
                    <w:right w:val="nil"/>
                  </w:tcBorders>
                </w:tcPr>
                <w:p w14:paraId="68788F0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-0.949</w:t>
                  </w:r>
                </w:p>
              </w:tc>
            </w:tr>
            <w:tr w:rsidR="00694090" w:rsidRPr="00EB468D" w14:paraId="3FBE53C2" w14:textId="77777777" w:rsidTr="006D06D3">
              <w:trPr>
                <w:jc w:val="center"/>
              </w:trPr>
              <w:tc>
                <w:tcPr>
                  <w:tcW w:w="3231" w:type="dxa"/>
                  <w:tcBorders>
                    <w:top w:val="nil"/>
                    <w:left w:val="nil"/>
                    <w:bottom w:val="nil"/>
                    <w:right w:val="nil"/>
                  </w:tcBorders>
                </w:tcPr>
                <w:p w14:paraId="3BC33107"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p>
              </w:tc>
              <w:tc>
                <w:tcPr>
                  <w:tcW w:w="3231" w:type="dxa"/>
                  <w:tcBorders>
                    <w:top w:val="nil"/>
                    <w:left w:val="nil"/>
                    <w:bottom w:val="nil"/>
                    <w:right w:val="nil"/>
                  </w:tcBorders>
                </w:tcPr>
                <w:p w14:paraId="4A3CB57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(0.265)</w:t>
                  </w:r>
                </w:p>
              </w:tc>
              <w:tc>
                <w:tcPr>
                  <w:tcW w:w="3231" w:type="dxa"/>
                  <w:tcBorders>
                    <w:top w:val="nil"/>
                    <w:left w:val="nil"/>
                    <w:bottom w:val="nil"/>
                    <w:right w:val="nil"/>
                  </w:tcBorders>
                </w:tcPr>
                <w:p w14:paraId="160B04A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(-0.977)</w:t>
                  </w:r>
                </w:p>
              </w:tc>
            </w:tr>
            <w:tr w:rsidR="00694090" w:rsidRPr="00EB468D" w14:paraId="7DAF3123" w14:textId="77777777" w:rsidTr="006D06D3">
              <w:trPr>
                <w:jc w:val="center"/>
              </w:trPr>
              <w:tc>
                <w:tcPr>
                  <w:tcW w:w="3231" w:type="dxa"/>
                  <w:tcBorders>
                    <w:top w:val="nil"/>
                    <w:left w:val="nil"/>
                    <w:bottom w:val="nil"/>
                    <w:right w:val="nil"/>
                  </w:tcBorders>
                </w:tcPr>
                <w:p w14:paraId="03A01232"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tar_age</w:t>
                  </w:r>
                </w:p>
              </w:tc>
              <w:tc>
                <w:tcPr>
                  <w:tcW w:w="3231" w:type="dxa"/>
                  <w:tcBorders>
                    <w:top w:val="nil"/>
                    <w:left w:val="nil"/>
                    <w:bottom w:val="nil"/>
                    <w:right w:val="nil"/>
                  </w:tcBorders>
                </w:tcPr>
                <w:p w14:paraId="2EE6BE0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-0.001</w:t>
                  </w:r>
                </w:p>
              </w:tc>
              <w:tc>
                <w:tcPr>
                  <w:tcW w:w="3231" w:type="dxa"/>
                  <w:tcBorders>
                    <w:top w:val="nil"/>
                    <w:left w:val="nil"/>
                    <w:bottom w:val="nil"/>
                    <w:right w:val="nil"/>
                  </w:tcBorders>
                </w:tcPr>
                <w:p w14:paraId="6515501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-0.003</w:t>
                  </w:r>
                </w:p>
              </w:tc>
            </w:tr>
            <w:tr w:rsidR="00694090" w:rsidRPr="00EB468D" w14:paraId="479CA034" w14:textId="77777777" w:rsidTr="006D06D3">
              <w:trPr>
                <w:jc w:val="center"/>
              </w:trPr>
              <w:tc>
                <w:tcPr>
                  <w:tcW w:w="3231" w:type="dxa"/>
                  <w:tcBorders>
                    <w:top w:val="nil"/>
                    <w:left w:val="nil"/>
                    <w:bottom w:val="nil"/>
                    <w:right w:val="nil"/>
                  </w:tcBorders>
                </w:tcPr>
                <w:p w14:paraId="44FD0C4B"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tcPr>
                <w:p w14:paraId="3ACD676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(-0.316)</w:t>
                  </w:r>
                </w:p>
              </w:tc>
              <w:tc>
                <w:tcPr>
                  <w:tcW w:w="3231" w:type="dxa"/>
                  <w:tcBorders>
                    <w:top w:val="nil"/>
                    <w:left w:val="nil"/>
                    <w:bottom w:val="nil"/>
                    <w:right w:val="nil"/>
                  </w:tcBorders>
                </w:tcPr>
                <w:p w14:paraId="750478D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(-1.171)</w:t>
                  </w:r>
                </w:p>
              </w:tc>
            </w:tr>
            <w:tr w:rsidR="00694090" w:rsidRPr="00EB468D" w14:paraId="2C7A5D81" w14:textId="77777777" w:rsidTr="006D06D3">
              <w:trPr>
                <w:jc w:val="center"/>
              </w:trPr>
              <w:tc>
                <w:tcPr>
                  <w:tcW w:w="3231" w:type="dxa"/>
                  <w:tcBorders>
                    <w:top w:val="nil"/>
                    <w:left w:val="nil"/>
                    <w:bottom w:val="nil"/>
                    <w:right w:val="nil"/>
                  </w:tcBorders>
                </w:tcPr>
                <w:p w14:paraId="5EBACB79"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tar_assets_lastyear_ln</w:t>
                  </w:r>
                </w:p>
              </w:tc>
              <w:tc>
                <w:tcPr>
                  <w:tcW w:w="3231" w:type="dxa"/>
                  <w:tcBorders>
                    <w:top w:val="nil"/>
                    <w:left w:val="nil"/>
                    <w:bottom w:val="nil"/>
                    <w:right w:val="nil"/>
                  </w:tcBorders>
                </w:tcPr>
                <w:p w14:paraId="3F1CBFF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0.040</w:t>
                  </w:r>
                </w:p>
              </w:tc>
              <w:tc>
                <w:tcPr>
                  <w:tcW w:w="3231" w:type="dxa"/>
                  <w:tcBorders>
                    <w:top w:val="nil"/>
                    <w:left w:val="nil"/>
                    <w:bottom w:val="nil"/>
                    <w:right w:val="nil"/>
                  </w:tcBorders>
                </w:tcPr>
                <w:p w14:paraId="4CFD4CD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-0.076</w:t>
                  </w:r>
                </w:p>
              </w:tc>
            </w:tr>
            <w:tr w:rsidR="00694090" w:rsidRPr="00EB468D" w14:paraId="75FAD0D2" w14:textId="77777777" w:rsidTr="006D06D3">
              <w:trPr>
                <w:jc w:val="center"/>
              </w:trPr>
              <w:tc>
                <w:tcPr>
                  <w:tcW w:w="3231" w:type="dxa"/>
                  <w:tcBorders>
                    <w:top w:val="nil"/>
                    <w:left w:val="nil"/>
                    <w:bottom w:val="nil"/>
                    <w:right w:val="nil"/>
                  </w:tcBorders>
                </w:tcPr>
                <w:p w14:paraId="6D61DF93"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tcPr>
                <w:p w14:paraId="5ECAEFB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(0.372)</w:t>
                  </w:r>
                </w:p>
              </w:tc>
              <w:tc>
                <w:tcPr>
                  <w:tcW w:w="3231" w:type="dxa"/>
                  <w:tcBorders>
                    <w:top w:val="nil"/>
                    <w:left w:val="nil"/>
                    <w:bottom w:val="nil"/>
                    <w:right w:val="nil"/>
                  </w:tcBorders>
                </w:tcPr>
                <w:p w14:paraId="2A5ABC6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(-0.953)</w:t>
                  </w:r>
                </w:p>
              </w:tc>
            </w:tr>
            <w:tr w:rsidR="00694090" w:rsidRPr="00EB468D" w14:paraId="40F8F3D3" w14:textId="77777777" w:rsidTr="006D06D3">
              <w:trPr>
                <w:jc w:val="center"/>
              </w:trPr>
              <w:tc>
                <w:tcPr>
                  <w:tcW w:w="3231" w:type="dxa"/>
                  <w:tcBorders>
                    <w:top w:val="nil"/>
                    <w:left w:val="nil"/>
                    <w:bottom w:val="nil"/>
                    <w:right w:val="nil"/>
                  </w:tcBorders>
                </w:tcPr>
                <w:p w14:paraId="322A0FD6"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tar_roa_lastyear</w:t>
                  </w:r>
                </w:p>
              </w:tc>
              <w:tc>
                <w:tcPr>
                  <w:tcW w:w="3231" w:type="dxa"/>
                  <w:tcBorders>
                    <w:top w:val="nil"/>
                    <w:left w:val="nil"/>
                    <w:bottom w:val="nil"/>
                    <w:right w:val="nil"/>
                  </w:tcBorders>
                </w:tcPr>
                <w:p w14:paraId="12AE4ED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-0.116</w:t>
                  </w:r>
                </w:p>
              </w:tc>
              <w:tc>
                <w:tcPr>
                  <w:tcW w:w="3231" w:type="dxa"/>
                  <w:tcBorders>
                    <w:top w:val="nil"/>
                    <w:left w:val="nil"/>
                    <w:bottom w:val="nil"/>
                    <w:right w:val="nil"/>
                  </w:tcBorders>
                </w:tcPr>
                <w:p w14:paraId="4413A6F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0.316</w:t>
                  </w:r>
                </w:p>
              </w:tc>
            </w:tr>
            <w:tr w:rsidR="00694090" w:rsidRPr="00EB468D" w14:paraId="1416B45D" w14:textId="77777777" w:rsidTr="006D06D3">
              <w:trPr>
                <w:jc w:val="center"/>
              </w:trPr>
              <w:tc>
                <w:tcPr>
                  <w:tcW w:w="3231" w:type="dxa"/>
                  <w:tcBorders>
                    <w:top w:val="nil"/>
                    <w:left w:val="nil"/>
                    <w:bottom w:val="nil"/>
                    <w:right w:val="nil"/>
                  </w:tcBorders>
                </w:tcPr>
                <w:p w14:paraId="29AEB1EE"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tcPr>
                <w:p w14:paraId="2DECCDD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(-0.374)</w:t>
                  </w:r>
                </w:p>
              </w:tc>
              <w:tc>
                <w:tcPr>
                  <w:tcW w:w="3231" w:type="dxa"/>
                  <w:tcBorders>
                    <w:top w:val="nil"/>
                    <w:left w:val="nil"/>
                    <w:bottom w:val="nil"/>
                    <w:right w:val="nil"/>
                  </w:tcBorders>
                </w:tcPr>
                <w:p w14:paraId="70A20E9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(1.229)</w:t>
                  </w:r>
                </w:p>
              </w:tc>
            </w:tr>
            <w:tr w:rsidR="00694090" w:rsidRPr="00EB468D" w14:paraId="1094D1DE" w14:textId="77777777" w:rsidTr="006D06D3">
              <w:trPr>
                <w:jc w:val="center"/>
              </w:trPr>
              <w:tc>
                <w:tcPr>
                  <w:tcW w:w="3231" w:type="dxa"/>
                  <w:tcBorders>
                    <w:top w:val="nil"/>
                    <w:left w:val="nil"/>
                    <w:bottom w:val="nil"/>
                    <w:right w:val="nil"/>
                  </w:tcBorders>
                </w:tcPr>
                <w:p w14:paraId="461210DA"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tar_mbratio</w:t>
                  </w:r>
                </w:p>
              </w:tc>
              <w:tc>
                <w:tcPr>
                  <w:tcW w:w="3231" w:type="dxa"/>
                  <w:tcBorders>
                    <w:top w:val="nil"/>
                    <w:left w:val="nil"/>
                    <w:bottom w:val="nil"/>
                    <w:right w:val="nil"/>
                  </w:tcBorders>
                </w:tcPr>
                <w:p w14:paraId="3E1D567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0.019***</w:t>
                  </w:r>
                </w:p>
              </w:tc>
              <w:tc>
                <w:tcPr>
                  <w:tcW w:w="3231" w:type="dxa"/>
                  <w:tcBorders>
                    <w:top w:val="nil"/>
                    <w:left w:val="nil"/>
                    <w:bottom w:val="nil"/>
                    <w:right w:val="nil"/>
                  </w:tcBorders>
                </w:tcPr>
                <w:p w14:paraId="068AA97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0.005</w:t>
                  </w:r>
                </w:p>
              </w:tc>
            </w:tr>
            <w:tr w:rsidR="00694090" w:rsidRPr="00EB468D" w14:paraId="0DFEE910" w14:textId="77777777" w:rsidTr="006D06D3">
              <w:trPr>
                <w:jc w:val="center"/>
              </w:trPr>
              <w:tc>
                <w:tcPr>
                  <w:tcW w:w="3231" w:type="dxa"/>
                  <w:tcBorders>
                    <w:top w:val="nil"/>
                    <w:left w:val="nil"/>
                    <w:bottom w:val="nil"/>
                    <w:right w:val="nil"/>
                  </w:tcBorders>
                </w:tcPr>
                <w:p w14:paraId="3843E0A1"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3231" w:type="dxa"/>
                  <w:tcBorders>
                    <w:top w:val="nil"/>
                    <w:left w:val="nil"/>
                    <w:bottom w:val="nil"/>
                    <w:right w:val="nil"/>
                  </w:tcBorders>
                </w:tcPr>
                <w:p w14:paraId="1F0D560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(2.803)</w:t>
                  </w:r>
                </w:p>
              </w:tc>
              <w:tc>
                <w:tcPr>
                  <w:tcW w:w="3231" w:type="dxa"/>
                  <w:tcBorders>
                    <w:top w:val="nil"/>
                    <w:left w:val="nil"/>
                    <w:bottom w:val="nil"/>
                    <w:right w:val="nil"/>
                  </w:tcBorders>
                </w:tcPr>
                <w:p w14:paraId="5DAB418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(0.478)</w:t>
                  </w:r>
                </w:p>
              </w:tc>
            </w:tr>
            <w:tr w:rsidR="00694090" w:rsidRPr="00EB468D" w14:paraId="038A51A6" w14:textId="77777777" w:rsidTr="006D06D3">
              <w:trPr>
                <w:jc w:val="center"/>
              </w:trPr>
              <w:tc>
                <w:tcPr>
                  <w:tcW w:w="3231" w:type="dxa"/>
                  <w:tcBorders>
                    <w:top w:val="nil"/>
                    <w:left w:val="nil"/>
                    <w:bottom w:val="nil"/>
                    <w:right w:val="nil"/>
                  </w:tcBorders>
                </w:tcPr>
                <w:p w14:paraId="073FC3B0"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Observations</w:t>
                  </w:r>
                </w:p>
              </w:tc>
              <w:tc>
                <w:tcPr>
                  <w:tcW w:w="3231" w:type="dxa"/>
                  <w:tcBorders>
                    <w:top w:val="nil"/>
                    <w:left w:val="nil"/>
                    <w:bottom w:val="nil"/>
                    <w:right w:val="nil"/>
                  </w:tcBorders>
                </w:tcPr>
                <w:p w14:paraId="3442E53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183</w:t>
                  </w:r>
                </w:p>
              </w:tc>
              <w:tc>
                <w:tcPr>
                  <w:tcW w:w="3231" w:type="dxa"/>
                  <w:tcBorders>
                    <w:top w:val="nil"/>
                    <w:left w:val="nil"/>
                    <w:bottom w:val="nil"/>
                    <w:right w:val="nil"/>
                  </w:tcBorders>
                </w:tcPr>
                <w:p w14:paraId="05615F1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150</w:t>
                  </w:r>
                </w:p>
              </w:tc>
            </w:tr>
            <w:tr w:rsidR="00694090" w:rsidRPr="00EB468D" w14:paraId="395201AF" w14:textId="77777777" w:rsidTr="006D06D3">
              <w:trPr>
                <w:jc w:val="center"/>
              </w:trPr>
              <w:tc>
                <w:tcPr>
                  <w:tcW w:w="3231" w:type="dxa"/>
                  <w:tcBorders>
                    <w:top w:val="nil"/>
                    <w:left w:val="nil"/>
                    <w:bottom w:val="nil"/>
                    <w:right w:val="nil"/>
                  </w:tcBorders>
                </w:tcPr>
                <w:p w14:paraId="6C6B01AD"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Adj R2</w:t>
                  </w:r>
                </w:p>
              </w:tc>
              <w:tc>
                <w:tcPr>
                  <w:tcW w:w="3231" w:type="dxa"/>
                  <w:tcBorders>
                    <w:top w:val="nil"/>
                    <w:left w:val="nil"/>
                    <w:bottom w:val="nil"/>
                    <w:right w:val="nil"/>
                  </w:tcBorders>
                  <w:vAlign w:val="center"/>
                </w:tcPr>
                <w:p w14:paraId="602C48C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0.176</w:t>
                  </w:r>
                </w:p>
              </w:tc>
              <w:tc>
                <w:tcPr>
                  <w:tcW w:w="3231" w:type="dxa"/>
                  <w:tcBorders>
                    <w:top w:val="nil"/>
                    <w:left w:val="nil"/>
                    <w:bottom w:val="nil"/>
                    <w:right w:val="nil"/>
                  </w:tcBorders>
                  <w:vAlign w:val="center"/>
                </w:tcPr>
                <w:p w14:paraId="1DF0C8B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0.069</w:t>
                  </w:r>
                </w:p>
              </w:tc>
            </w:tr>
            <w:tr w:rsidR="00694090" w:rsidRPr="00EB468D" w14:paraId="457D96B4" w14:textId="77777777" w:rsidTr="006D06D3">
              <w:trPr>
                <w:jc w:val="center"/>
              </w:trPr>
              <w:tc>
                <w:tcPr>
                  <w:tcW w:w="3231" w:type="dxa"/>
                  <w:tcBorders>
                    <w:top w:val="nil"/>
                    <w:left w:val="nil"/>
                    <w:bottom w:val="nil"/>
                    <w:right w:val="nil"/>
                  </w:tcBorders>
                </w:tcPr>
                <w:p w14:paraId="1A175631"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Industry FE</w:t>
                  </w:r>
                </w:p>
              </w:tc>
              <w:tc>
                <w:tcPr>
                  <w:tcW w:w="3231" w:type="dxa"/>
                  <w:tcBorders>
                    <w:top w:val="nil"/>
                    <w:left w:val="nil"/>
                    <w:bottom w:val="nil"/>
                    <w:right w:val="nil"/>
                  </w:tcBorders>
                </w:tcPr>
                <w:p w14:paraId="0C52517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c>
                <w:tcPr>
                  <w:tcW w:w="3231" w:type="dxa"/>
                  <w:tcBorders>
                    <w:top w:val="nil"/>
                    <w:left w:val="nil"/>
                    <w:bottom w:val="nil"/>
                    <w:right w:val="nil"/>
                  </w:tcBorders>
                </w:tcPr>
                <w:p w14:paraId="4D0B4C5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r>
            <w:tr w:rsidR="00694090" w:rsidRPr="00EB468D" w14:paraId="491EB104" w14:textId="77777777" w:rsidTr="006D06D3">
              <w:trPr>
                <w:jc w:val="center"/>
              </w:trPr>
              <w:tc>
                <w:tcPr>
                  <w:tcW w:w="3231" w:type="dxa"/>
                  <w:tcBorders>
                    <w:top w:val="nil"/>
                    <w:left w:val="nil"/>
                    <w:bottom w:val="nil"/>
                    <w:right w:val="nil"/>
                  </w:tcBorders>
                </w:tcPr>
                <w:p w14:paraId="7E0B4816"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Year FE</w:t>
                  </w:r>
                </w:p>
              </w:tc>
              <w:tc>
                <w:tcPr>
                  <w:tcW w:w="3231" w:type="dxa"/>
                  <w:tcBorders>
                    <w:top w:val="nil"/>
                    <w:left w:val="nil"/>
                    <w:bottom w:val="nil"/>
                    <w:right w:val="nil"/>
                  </w:tcBorders>
                </w:tcPr>
                <w:p w14:paraId="11D965E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c>
                <w:tcPr>
                  <w:tcW w:w="3231" w:type="dxa"/>
                  <w:tcBorders>
                    <w:top w:val="nil"/>
                    <w:left w:val="nil"/>
                    <w:bottom w:val="nil"/>
                    <w:right w:val="nil"/>
                  </w:tcBorders>
                </w:tcPr>
                <w:p w14:paraId="5C266C8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 xml:space="preserve"> Yes</w:t>
                  </w:r>
                </w:p>
              </w:tc>
            </w:tr>
          </w:tbl>
          <w:p w14:paraId="3979B9D9" w14:textId="77777777" w:rsidR="00694090" w:rsidRPr="00EB468D" w:rsidRDefault="00694090" w:rsidP="00AB066F">
            <w:pPr>
              <w:tabs>
                <w:tab w:val="left" w:pos="2710"/>
              </w:tabs>
              <w:rPr>
                <w:color w:val="000000" w:themeColor="text1"/>
                <w:sz w:val="22"/>
                <w:lang w:val="en-US"/>
              </w:rPr>
            </w:pPr>
          </w:p>
        </w:tc>
      </w:tr>
      <w:tr w:rsidR="00694090" w:rsidRPr="00BE5632" w14:paraId="79F6A3A0" w14:textId="77777777" w:rsidTr="006D06D3">
        <w:trPr>
          <w:trHeight w:val="57"/>
        </w:trPr>
        <w:tc>
          <w:tcPr>
            <w:tcW w:w="5000" w:type="pct"/>
            <w:tcBorders>
              <w:top w:val="single" w:sz="4" w:space="0" w:color="auto"/>
              <w:left w:val="nil"/>
              <w:right w:val="nil"/>
            </w:tcBorders>
            <w:shd w:val="clear" w:color="auto" w:fill="auto"/>
            <w:noWrap/>
          </w:tcPr>
          <w:p w14:paraId="3CB1542A" w14:textId="77777777" w:rsidR="00694090" w:rsidRPr="00EB468D" w:rsidRDefault="00694090" w:rsidP="003108A1">
            <w:pPr>
              <w:spacing w:before="120" w:line="240" w:lineRule="auto"/>
              <w:rPr>
                <w:color w:val="000000" w:themeColor="text1"/>
                <w:sz w:val="22"/>
                <w:lang w:val="en-US"/>
              </w:rPr>
            </w:pPr>
            <w:r w:rsidRPr="00EB468D">
              <w:rPr>
                <w:i/>
                <w:iCs/>
                <w:color w:val="000000" w:themeColor="text1"/>
                <w:sz w:val="22"/>
                <w:lang w:val="en-US"/>
              </w:rPr>
              <w:t>Note</w:t>
            </w:r>
            <w:r w:rsidRPr="00EB468D">
              <w:rPr>
                <w:color w:val="000000" w:themeColor="text1"/>
                <w:sz w:val="22"/>
                <w:lang w:val="en-US"/>
              </w:rPr>
              <w:t xml:space="preserve">. This table reports fixed effects negative binomial regression results predicting the effect of organizational cultural distance between acquirers and targets on innovation. The dependent variable for Model 1 is the acquirer’s patent growth two years after deal completion compared to one year prior the deal. The dependent variable for Model 2 is the acquirer’s new product development growth two years after deal completion compared to one year prior the deal. The main independent variable in Models 1 and 2 is </w:t>
            </w:r>
            <w:r w:rsidRPr="00EB468D">
              <w:rPr>
                <w:i/>
                <w:iCs/>
                <w:color w:val="000000" w:themeColor="text1"/>
                <w:sz w:val="22"/>
                <w:lang w:val="en-US"/>
              </w:rPr>
              <w:t>deal_culturaldistance</w:t>
            </w:r>
            <w:r w:rsidRPr="00EB468D">
              <w:rPr>
                <w:color w:val="000000" w:themeColor="text1"/>
                <w:sz w:val="22"/>
                <w:lang w:val="en-US"/>
              </w:rPr>
              <w:t xml:space="preserve">, with higher values indicating higher cultural dissimilarities between the acquirer and target. A detailed variable description can be found in Appendix B. Toehold deals, where the acquirer held shares in the target prior to the announcement of the deal, are excluded from the analysis. Constant terms are estimated but not reported. We include </w:t>
            </w:r>
            <w:r w:rsidRPr="00EB468D">
              <w:rPr>
                <w:color w:val="000000" w:themeColor="text1"/>
                <w:sz w:val="22"/>
                <w:lang w:val="en-US"/>
              </w:rPr>
              <w:lastRenderedPageBreak/>
              <w:t>the acquirer’s industry and year fixed effects in all models. We cluster standard errors at the 2-digit SIC industry level. t-statistics are reported in parentheses below the coefficients. *, **, *** denote statistical significance at the .10, .05, and .01 levels (using two-tailed tests).</w:t>
            </w:r>
          </w:p>
        </w:tc>
      </w:tr>
    </w:tbl>
    <w:p w14:paraId="61578349" w14:textId="77777777" w:rsidR="00895F66" w:rsidRDefault="00895F66">
      <w:pPr>
        <w:spacing w:after="160" w:line="259" w:lineRule="auto"/>
        <w:jc w:val="left"/>
        <w:rPr>
          <w:rStyle w:val="SchwacherVerweis"/>
          <w:rFonts w:eastAsiaTheme="majorEastAsia" w:cstheme="majorBidi"/>
          <w:b/>
          <w:caps/>
          <w:smallCaps w:val="0"/>
          <w:color w:val="auto"/>
          <w:szCs w:val="32"/>
          <w:lang w:val="en-US"/>
        </w:rPr>
      </w:pPr>
      <w:r w:rsidRPr="00932F58">
        <w:rPr>
          <w:rStyle w:val="SchwacherVerweis"/>
          <w:smallCaps w:val="0"/>
          <w:color w:val="auto"/>
          <w:lang w:val="en-US"/>
        </w:rPr>
        <w:br w:type="page"/>
      </w:r>
    </w:p>
    <w:p w14:paraId="58617D0A" w14:textId="4F5DECF0" w:rsidR="00C91DF9" w:rsidRPr="00947673" w:rsidRDefault="00C91DF9" w:rsidP="00C91DF9">
      <w:pPr>
        <w:pStyle w:val="1fake"/>
        <w:rPr>
          <w:rStyle w:val="SchwacherVerweis"/>
          <w:smallCaps w:val="0"/>
          <w:color w:val="auto"/>
        </w:rPr>
      </w:pPr>
      <w:r w:rsidRPr="00947673">
        <w:rPr>
          <w:rStyle w:val="SchwacherVerweis"/>
          <w:smallCaps w:val="0"/>
          <w:color w:val="auto"/>
        </w:rPr>
        <w:lastRenderedPageBreak/>
        <w:t xml:space="preserve">Online Supplement </w:t>
      </w:r>
      <w:r>
        <w:rPr>
          <w:rStyle w:val="SchwacherVerweis"/>
          <w:smallCaps w:val="0"/>
          <w:color w:val="auto"/>
        </w:rPr>
        <w:t>9</w:t>
      </w:r>
    </w:p>
    <w:p w14:paraId="20053414" w14:textId="4AF0C181" w:rsidR="00011AF5" w:rsidRPr="009579F1" w:rsidRDefault="00011AF5" w:rsidP="00011AF5">
      <w:pPr>
        <w:pStyle w:val="Beschriftung"/>
      </w:pPr>
      <w:bookmarkStart w:id="628" w:name="_Toc180594855"/>
      <w:r>
        <w:t xml:space="preserve">T - III - </w:t>
      </w:r>
      <w:r>
        <w:fldChar w:fldCharType="begin"/>
      </w:r>
      <w:r>
        <w:instrText xml:space="preserve"> SEQ T_-_III_- \* ARABIC </w:instrText>
      </w:r>
      <w:r>
        <w:fldChar w:fldCharType="separate"/>
      </w:r>
      <w:r w:rsidR="00E91088">
        <w:rPr>
          <w:noProof/>
        </w:rPr>
        <w:t>19</w:t>
      </w:r>
      <w:r>
        <w:fldChar w:fldCharType="end"/>
      </w:r>
      <w:r>
        <w:t xml:space="preserve">: </w:t>
      </w:r>
      <w:r w:rsidRPr="000958DB">
        <w:t>H1a: Capital market reactions (CARs) - No international deals</w:t>
      </w:r>
      <w:bookmarkEnd w:id="628"/>
    </w:p>
    <w:tbl>
      <w:tblPr>
        <w:tblW w:w="9072" w:type="dxa"/>
        <w:tblLook w:val="04A0" w:firstRow="1" w:lastRow="0" w:firstColumn="1" w:lastColumn="0" w:noHBand="0" w:noVBand="1"/>
      </w:tblPr>
      <w:tblGrid>
        <w:gridCol w:w="9072"/>
      </w:tblGrid>
      <w:tr w:rsidR="00694090" w:rsidRPr="00EB468D" w14:paraId="5DEE1EB5" w14:textId="77777777" w:rsidTr="00107C6C">
        <w:trPr>
          <w:trHeight w:val="1887"/>
        </w:trPr>
        <w:tc>
          <w:tcPr>
            <w:tcW w:w="8647" w:type="dxa"/>
            <w:tcBorders>
              <w:left w:val="nil"/>
              <w:bottom w:val="single" w:sz="4" w:space="0" w:color="auto"/>
              <w:right w:val="nil"/>
            </w:tcBorders>
            <w:shd w:val="clear" w:color="auto" w:fill="auto"/>
          </w:tcPr>
          <w:tbl>
            <w:tblPr>
              <w:tblW w:w="9072" w:type="dxa"/>
              <w:tblLook w:val="0000" w:firstRow="0" w:lastRow="0" w:firstColumn="0" w:lastColumn="0" w:noHBand="0" w:noVBand="0"/>
            </w:tblPr>
            <w:tblGrid>
              <w:gridCol w:w="2452"/>
              <w:gridCol w:w="2206"/>
              <w:gridCol w:w="2207"/>
              <w:gridCol w:w="2207"/>
            </w:tblGrid>
            <w:tr w:rsidR="00694090" w:rsidRPr="00EB468D" w14:paraId="2A6613B1" w14:textId="77777777" w:rsidTr="00902176">
              <w:tc>
                <w:tcPr>
                  <w:tcW w:w="1331" w:type="pct"/>
                  <w:tcBorders>
                    <w:top w:val="single" w:sz="4" w:space="0" w:color="auto"/>
                    <w:left w:val="nil"/>
                    <w:right w:val="nil"/>
                  </w:tcBorders>
                </w:tcPr>
                <w:p w14:paraId="3200E7C9"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 xml:space="preserve">   </w:t>
                  </w:r>
                </w:p>
              </w:tc>
              <w:tc>
                <w:tcPr>
                  <w:tcW w:w="1223" w:type="pct"/>
                  <w:tcBorders>
                    <w:top w:val="single" w:sz="4" w:space="0" w:color="auto"/>
                    <w:left w:val="nil"/>
                    <w:right w:val="nil"/>
                  </w:tcBorders>
                </w:tcPr>
                <w:p w14:paraId="67C8CDFA"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(1)</w:t>
                  </w:r>
                </w:p>
              </w:tc>
              <w:tc>
                <w:tcPr>
                  <w:tcW w:w="1223" w:type="pct"/>
                  <w:tcBorders>
                    <w:top w:val="single" w:sz="4" w:space="0" w:color="auto"/>
                    <w:left w:val="nil"/>
                    <w:right w:val="nil"/>
                  </w:tcBorders>
                </w:tcPr>
                <w:p w14:paraId="1D92E65C"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(2)</w:t>
                  </w:r>
                </w:p>
              </w:tc>
              <w:tc>
                <w:tcPr>
                  <w:tcW w:w="1223" w:type="pct"/>
                  <w:tcBorders>
                    <w:top w:val="single" w:sz="4" w:space="0" w:color="auto"/>
                    <w:left w:val="nil"/>
                    <w:right w:val="nil"/>
                  </w:tcBorders>
                </w:tcPr>
                <w:p w14:paraId="279C1889"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(3)</w:t>
                  </w:r>
                </w:p>
              </w:tc>
            </w:tr>
            <w:tr w:rsidR="00694090" w:rsidRPr="00EB468D" w14:paraId="452994D1" w14:textId="77777777" w:rsidTr="00902176">
              <w:tc>
                <w:tcPr>
                  <w:tcW w:w="1331" w:type="pct"/>
                  <w:tcBorders>
                    <w:top w:val="nil"/>
                    <w:left w:val="nil"/>
                    <w:bottom w:val="single" w:sz="4" w:space="0" w:color="auto"/>
                    <w:right w:val="nil"/>
                  </w:tcBorders>
                </w:tcPr>
                <w:p w14:paraId="290E3190"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 xml:space="preserve">   </w:t>
                  </w:r>
                </w:p>
              </w:tc>
              <w:tc>
                <w:tcPr>
                  <w:tcW w:w="1223" w:type="pct"/>
                  <w:tcBorders>
                    <w:top w:val="nil"/>
                    <w:left w:val="nil"/>
                    <w:bottom w:val="single" w:sz="4" w:space="0" w:color="auto"/>
                    <w:right w:val="nil"/>
                  </w:tcBorders>
                </w:tcPr>
                <w:p w14:paraId="20902700"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acq_car</w:t>
                  </w:r>
                  <w:r w:rsidRPr="00EB468D">
                    <w:rPr>
                      <w:b/>
                      <w:bCs/>
                      <w:color w:val="000000" w:themeColor="text1"/>
                      <w:sz w:val="22"/>
                      <w:lang w:val="en-US"/>
                    </w:rPr>
                    <w:br/>
                    <w:t>[-10,10]</w:t>
                  </w:r>
                </w:p>
              </w:tc>
              <w:tc>
                <w:tcPr>
                  <w:tcW w:w="1223" w:type="pct"/>
                  <w:tcBorders>
                    <w:top w:val="nil"/>
                    <w:left w:val="nil"/>
                    <w:bottom w:val="single" w:sz="4" w:space="0" w:color="auto"/>
                    <w:right w:val="nil"/>
                  </w:tcBorders>
                </w:tcPr>
                <w:p w14:paraId="5534DBA1"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acq_car</w:t>
                  </w:r>
                  <w:r w:rsidRPr="00EB468D">
                    <w:rPr>
                      <w:b/>
                      <w:bCs/>
                      <w:color w:val="000000" w:themeColor="text1"/>
                      <w:sz w:val="22"/>
                      <w:lang w:val="en-US"/>
                    </w:rPr>
                    <w:br/>
                    <w:t>[-5,5]</w:t>
                  </w:r>
                </w:p>
              </w:tc>
              <w:tc>
                <w:tcPr>
                  <w:tcW w:w="1223" w:type="pct"/>
                  <w:tcBorders>
                    <w:top w:val="nil"/>
                    <w:left w:val="nil"/>
                    <w:bottom w:val="single" w:sz="4" w:space="0" w:color="auto"/>
                    <w:right w:val="nil"/>
                  </w:tcBorders>
                </w:tcPr>
                <w:p w14:paraId="67DA84E8" w14:textId="77777777" w:rsidR="00694090" w:rsidRPr="00EB468D" w:rsidRDefault="00694090" w:rsidP="00AB066F">
                  <w:pPr>
                    <w:widowControl w:val="0"/>
                    <w:autoSpaceDE w:val="0"/>
                    <w:autoSpaceDN w:val="0"/>
                    <w:adjustRightInd w:val="0"/>
                    <w:spacing w:line="240" w:lineRule="auto"/>
                    <w:jc w:val="center"/>
                    <w:rPr>
                      <w:b/>
                      <w:bCs/>
                      <w:color w:val="000000" w:themeColor="text1"/>
                      <w:sz w:val="22"/>
                      <w:lang w:val="en-US"/>
                    </w:rPr>
                  </w:pPr>
                  <w:r w:rsidRPr="00EB468D">
                    <w:rPr>
                      <w:b/>
                      <w:bCs/>
                      <w:color w:val="000000" w:themeColor="text1"/>
                      <w:sz w:val="22"/>
                      <w:lang w:val="en-US"/>
                    </w:rPr>
                    <w:t>deal_car_weighted</w:t>
                  </w:r>
                  <w:r w:rsidRPr="00EB468D">
                    <w:rPr>
                      <w:b/>
                      <w:bCs/>
                      <w:color w:val="000000" w:themeColor="text1"/>
                      <w:sz w:val="22"/>
                      <w:lang w:val="en-US"/>
                    </w:rPr>
                    <w:br/>
                    <w:t>[-5,5]</w:t>
                  </w:r>
                </w:p>
              </w:tc>
            </w:tr>
            <w:tr w:rsidR="00694090" w:rsidRPr="00EB468D" w14:paraId="4A9A6856" w14:textId="77777777" w:rsidTr="00902176">
              <w:tc>
                <w:tcPr>
                  <w:tcW w:w="1331" w:type="pct"/>
                  <w:tcBorders>
                    <w:top w:val="single" w:sz="4" w:space="0" w:color="auto"/>
                    <w:left w:val="nil"/>
                    <w:bottom w:val="nil"/>
                    <w:right w:val="nil"/>
                  </w:tcBorders>
                </w:tcPr>
                <w:p w14:paraId="673EFC47"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deal_culturaldistance</w:t>
                  </w:r>
                </w:p>
              </w:tc>
              <w:tc>
                <w:tcPr>
                  <w:tcW w:w="1223" w:type="pct"/>
                  <w:tcBorders>
                    <w:top w:val="single" w:sz="4" w:space="0" w:color="auto"/>
                    <w:left w:val="nil"/>
                    <w:bottom w:val="nil"/>
                    <w:right w:val="nil"/>
                  </w:tcBorders>
                </w:tcPr>
                <w:p w14:paraId="76610E4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-.026**</w:t>
                  </w:r>
                </w:p>
              </w:tc>
              <w:tc>
                <w:tcPr>
                  <w:tcW w:w="1223" w:type="pct"/>
                  <w:tcBorders>
                    <w:top w:val="single" w:sz="4" w:space="0" w:color="auto"/>
                    <w:left w:val="nil"/>
                    <w:bottom w:val="nil"/>
                    <w:right w:val="nil"/>
                  </w:tcBorders>
                </w:tcPr>
                <w:p w14:paraId="046D958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-.013*</w:t>
                  </w:r>
                </w:p>
              </w:tc>
              <w:tc>
                <w:tcPr>
                  <w:tcW w:w="1223" w:type="pct"/>
                  <w:tcBorders>
                    <w:top w:val="single" w:sz="4" w:space="0" w:color="auto"/>
                    <w:left w:val="nil"/>
                    <w:bottom w:val="nil"/>
                    <w:right w:val="nil"/>
                  </w:tcBorders>
                </w:tcPr>
                <w:p w14:paraId="7B0D5C4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-.005*</w:t>
                  </w:r>
                </w:p>
              </w:tc>
            </w:tr>
            <w:tr w:rsidR="00694090" w:rsidRPr="00EB468D" w14:paraId="2C48B962" w14:textId="77777777" w:rsidTr="00902176">
              <w:tc>
                <w:tcPr>
                  <w:tcW w:w="1331" w:type="pct"/>
                  <w:tcBorders>
                    <w:top w:val="nil"/>
                    <w:left w:val="nil"/>
                    <w:bottom w:val="nil"/>
                    <w:right w:val="nil"/>
                  </w:tcBorders>
                </w:tcPr>
                <w:p w14:paraId="20A182FC"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tcPr>
                <w:p w14:paraId="6F2ACBE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(-2.092)</w:t>
                  </w:r>
                </w:p>
              </w:tc>
              <w:tc>
                <w:tcPr>
                  <w:tcW w:w="1223" w:type="pct"/>
                  <w:tcBorders>
                    <w:top w:val="nil"/>
                    <w:left w:val="nil"/>
                    <w:bottom w:val="nil"/>
                    <w:right w:val="nil"/>
                  </w:tcBorders>
                </w:tcPr>
                <w:p w14:paraId="57DDF66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(-1.905)</w:t>
                  </w:r>
                </w:p>
              </w:tc>
              <w:tc>
                <w:tcPr>
                  <w:tcW w:w="1223" w:type="pct"/>
                  <w:tcBorders>
                    <w:top w:val="nil"/>
                    <w:left w:val="nil"/>
                    <w:bottom w:val="nil"/>
                    <w:right w:val="nil"/>
                  </w:tcBorders>
                </w:tcPr>
                <w:p w14:paraId="7943776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(-1.807)</w:t>
                  </w:r>
                </w:p>
              </w:tc>
            </w:tr>
            <w:tr w:rsidR="00694090" w:rsidRPr="00EB468D" w14:paraId="243EFE8E" w14:textId="77777777" w:rsidTr="00902176">
              <w:tc>
                <w:tcPr>
                  <w:tcW w:w="1331" w:type="pct"/>
                  <w:tcBorders>
                    <w:top w:val="nil"/>
                    <w:left w:val="nil"/>
                    <w:bottom w:val="nil"/>
                    <w:right w:val="nil"/>
                  </w:tcBorders>
                </w:tcPr>
                <w:p w14:paraId="7CFCADF4"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deal_value_ln</w:t>
                  </w:r>
                </w:p>
              </w:tc>
              <w:tc>
                <w:tcPr>
                  <w:tcW w:w="1223" w:type="pct"/>
                  <w:tcBorders>
                    <w:top w:val="nil"/>
                    <w:left w:val="nil"/>
                    <w:bottom w:val="nil"/>
                    <w:right w:val="nil"/>
                  </w:tcBorders>
                </w:tcPr>
                <w:p w14:paraId="04AA632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.186**</w:t>
                  </w:r>
                </w:p>
              </w:tc>
              <w:tc>
                <w:tcPr>
                  <w:tcW w:w="1223" w:type="pct"/>
                  <w:tcBorders>
                    <w:top w:val="nil"/>
                    <w:left w:val="nil"/>
                    <w:bottom w:val="nil"/>
                    <w:right w:val="nil"/>
                  </w:tcBorders>
                </w:tcPr>
                <w:p w14:paraId="17AB80C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.109**</w:t>
                  </w:r>
                </w:p>
              </w:tc>
              <w:tc>
                <w:tcPr>
                  <w:tcW w:w="1223" w:type="pct"/>
                  <w:tcBorders>
                    <w:top w:val="nil"/>
                    <w:left w:val="nil"/>
                    <w:bottom w:val="nil"/>
                    <w:right w:val="nil"/>
                  </w:tcBorders>
                </w:tcPr>
                <w:p w14:paraId="29790EF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.049**</w:t>
                  </w:r>
                </w:p>
              </w:tc>
            </w:tr>
            <w:tr w:rsidR="00694090" w:rsidRPr="00EB468D" w14:paraId="3876CAED" w14:textId="77777777" w:rsidTr="00902176">
              <w:tc>
                <w:tcPr>
                  <w:tcW w:w="1331" w:type="pct"/>
                  <w:tcBorders>
                    <w:top w:val="nil"/>
                    <w:left w:val="nil"/>
                    <w:bottom w:val="nil"/>
                    <w:right w:val="nil"/>
                  </w:tcBorders>
                </w:tcPr>
                <w:p w14:paraId="1FB8609C"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tcPr>
                <w:p w14:paraId="7F5EFE0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(2.197)</w:t>
                  </w:r>
                </w:p>
              </w:tc>
              <w:tc>
                <w:tcPr>
                  <w:tcW w:w="1223" w:type="pct"/>
                  <w:tcBorders>
                    <w:top w:val="nil"/>
                    <w:left w:val="nil"/>
                    <w:bottom w:val="nil"/>
                    <w:right w:val="nil"/>
                  </w:tcBorders>
                </w:tcPr>
                <w:p w14:paraId="7A44966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(2.331)</w:t>
                  </w:r>
                </w:p>
              </w:tc>
              <w:tc>
                <w:tcPr>
                  <w:tcW w:w="1223" w:type="pct"/>
                  <w:tcBorders>
                    <w:top w:val="nil"/>
                    <w:left w:val="nil"/>
                    <w:bottom w:val="nil"/>
                    <w:right w:val="nil"/>
                  </w:tcBorders>
                </w:tcPr>
                <w:p w14:paraId="344AE66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(2.142)</w:t>
                  </w:r>
                </w:p>
              </w:tc>
            </w:tr>
            <w:tr w:rsidR="00694090" w:rsidRPr="00EB468D" w14:paraId="706EA0D9" w14:textId="77777777" w:rsidTr="00902176">
              <w:tc>
                <w:tcPr>
                  <w:tcW w:w="1331" w:type="pct"/>
                  <w:tcBorders>
                    <w:top w:val="nil"/>
                    <w:left w:val="nil"/>
                    <w:bottom w:val="nil"/>
                    <w:right w:val="nil"/>
                  </w:tcBorders>
                </w:tcPr>
                <w:p w14:paraId="4053AC15"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deal_hofstede_distance</w:t>
                  </w:r>
                </w:p>
              </w:tc>
              <w:tc>
                <w:tcPr>
                  <w:tcW w:w="1223" w:type="pct"/>
                  <w:tcBorders>
                    <w:top w:val="nil"/>
                    <w:left w:val="nil"/>
                    <w:bottom w:val="nil"/>
                    <w:right w:val="nil"/>
                  </w:tcBorders>
                </w:tcPr>
                <w:p w14:paraId="64FD6E2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w:t>
                  </w:r>
                </w:p>
              </w:tc>
              <w:tc>
                <w:tcPr>
                  <w:tcW w:w="1223" w:type="pct"/>
                  <w:tcBorders>
                    <w:top w:val="nil"/>
                    <w:left w:val="nil"/>
                    <w:bottom w:val="nil"/>
                    <w:right w:val="nil"/>
                  </w:tcBorders>
                </w:tcPr>
                <w:p w14:paraId="6976D34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w:t>
                  </w:r>
                </w:p>
              </w:tc>
              <w:tc>
                <w:tcPr>
                  <w:tcW w:w="1223" w:type="pct"/>
                  <w:tcBorders>
                    <w:top w:val="nil"/>
                    <w:left w:val="nil"/>
                    <w:bottom w:val="nil"/>
                    <w:right w:val="nil"/>
                  </w:tcBorders>
                </w:tcPr>
                <w:p w14:paraId="0E94758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w:t>
                  </w:r>
                </w:p>
              </w:tc>
            </w:tr>
            <w:tr w:rsidR="00694090" w:rsidRPr="00EB468D" w14:paraId="590F3315" w14:textId="77777777" w:rsidTr="00902176">
              <w:tc>
                <w:tcPr>
                  <w:tcW w:w="1331" w:type="pct"/>
                  <w:tcBorders>
                    <w:top w:val="nil"/>
                    <w:left w:val="nil"/>
                    <w:bottom w:val="nil"/>
                    <w:right w:val="nil"/>
                  </w:tcBorders>
                </w:tcPr>
                <w:p w14:paraId="5F1DA3FC"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tcPr>
                <w:p w14:paraId="0F28DDD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w:t>
                  </w:r>
                </w:p>
              </w:tc>
              <w:tc>
                <w:tcPr>
                  <w:tcW w:w="1223" w:type="pct"/>
                  <w:tcBorders>
                    <w:top w:val="nil"/>
                    <w:left w:val="nil"/>
                    <w:bottom w:val="nil"/>
                    <w:right w:val="nil"/>
                  </w:tcBorders>
                </w:tcPr>
                <w:p w14:paraId="2DD2DB5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w:t>
                  </w:r>
                </w:p>
              </w:tc>
              <w:tc>
                <w:tcPr>
                  <w:tcW w:w="1223" w:type="pct"/>
                  <w:tcBorders>
                    <w:top w:val="nil"/>
                    <w:left w:val="nil"/>
                    <w:bottom w:val="nil"/>
                    <w:right w:val="nil"/>
                  </w:tcBorders>
                </w:tcPr>
                <w:p w14:paraId="0D3583D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w:t>
                  </w:r>
                </w:p>
              </w:tc>
            </w:tr>
            <w:tr w:rsidR="00694090" w:rsidRPr="00EB468D" w14:paraId="3B101037" w14:textId="77777777" w:rsidTr="00902176">
              <w:tc>
                <w:tcPr>
                  <w:tcW w:w="1331" w:type="pct"/>
                  <w:tcBorders>
                    <w:top w:val="nil"/>
                    <w:left w:val="nil"/>
                    <w:bottom w:val="nil"/>
                    <w:right w:val="nil"/>
                  </w:tcBorders>
                </w:tcPr>
                <w:p w14:paraId="37278904"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deal_all_cash_dummy</w:t>
                  </w:r>
                </w:p>
              </w:tc>
              <w:tc>
                <w:tcPr>
                  <w:tcW w:w="1223" w:type="pct"/>
                  <w:tcBorders>
                    <w:top w:val="nil"/>
                    <w:left w:val="nil"/>
                    <w:bottom w:val="nil"/>
                    <w:right w:val="nil"/>
                  </w:tcBorders>
                </w:tcPr>
                <w:p w14:paraId="02C036D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.012</w:t>
                  </w:r>
                </w:p>
              </w:tc>
              <w:tc>
                <w:tcPr>
                  <w:tcW w:w="1223" w:type="pct"/>
                  <w:tcBorders>
                    <w:top w:val="nil"/>
                    <w:left w:val="nil"/>
                    <w:bottom w:val="nil"/>
                    <w:right w:val="nil"/>
                  </w:tcBorders>
                </w:tcPr>
                <w:p w14:paraId="2305C96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.021</w:t>
                  </w:r>
                </w:p>
              </w:tc>
              <w:tc>
                <w:tcPr>
                  <w:tcW w:w="1223" w:type="pct"/>
                  <w:tcBorders>
                    <w:top w:val="nil"/>
                    <w:left w:val="nil"/>
                    <w:bottom w:val="nil"/>
                    <w:right w:val="nil"/>
                  </w:tcBorders>
                </w:tcPr>
                <w:p w14:paraId="300B42D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-.003</w:t>
                  </w:r>
                </w:p>
              </w:tc>
            </w:tr>
            <w:tr w:rsidR="00694090" w:rsidRPr="00EB468D" w14:paraId="5FCA75A4" w14:textId="77777777" w:rsidTr="00902176">
              <w:tc>
                <w:tcPr>
                  <w:tcW w:w="1331" w:type="pct"/>
                  <w:tcBorders>
                    <w:top w:val="nil"/>
                    <w:left w:val="nil"/>
                    <w:bottom w:val="nil"/>
                    <w:right w:val="nil"/>
                  </w:tcBorders>
                </w:tcPr>
                <w:p w14:paraId="724AED36"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tcPr>
                <w:p w14:paraId="3F7B2BA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(.119)</w:t>
                  </w:r>
                </w:p>
              </w:tc>
              <w:tc>
                <w:tcPr>
                  <w:tcW w:w="1223" w:type="pct"/>
                  <w:tcBorders>
                    <w:top w:val="nil"/>
                    <w:left w:val="nil"/>
                    <w:bottom w:val="nil"/>
                    <w:right w:val="nil"/>
                  </w:tcBorders>
                </w:tcPr>
                <w:p w14:paraId="7346630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(.373)</w:t>
                  </w:r>
                </w:p>
              </w:tc>
              <w:tc>
                <w:tcPr>
                  <w:tcW w:w="1223" w:type="pct"/>
                  <w:tcBorders>
                    <w:top w:val="nil"/>
                    <w:left w:val="nil"/>
                    <w:bottom w:val="nil"/>
                    <w:right w:val="nil"/>
                  </w:tcBorders>
                </w:tcPr>
                <w:p w14:paraId="6E52210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(-.107)</w:t>
                  </w:r>
                </w:p>
              </w:tc>
            </w:tr>
            <w:tr w:rsidR="00694090" w:rsidRPr="00EB468D" w14:paraId="2BC74EC1" w14:textId="77777777" w:rsidTr="00902176">
              <w:tc>
                <w:tcPr>
                  <w:tcW w:w="1331" w:type="pct"/>
                  <w:tcBorders>
                    <w:top w:val="nil"/>
                    <w:left w:val="nil"/>
                    <w:bottom w:val="nil"/>
                    <w:right w:val="nil"/>
                  </w:tcBorders>
                </w:tcPr>
                <w:p w14:paraId="750FFBE7"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deal_all_stock_dummy</w:t>
                  </w:r>
                </w:p>
              </w:tc>
              <w:tc>
                <w:tcPr>
                  <w:tcW w:w="1223" w:type="pct"/>
                  <w:tcBorders>
                    <w:top w:val="nil"/>
                    <w:left w:val="nil"/>
                    <w:bottom w:val="nil"/>
                    <w:right w:val="nil"/>
                  </w:tcBorders>
                </w:tcPr>
                <w:p w14:paraId="013FB94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-.158</w:t>
                  </w:r>
                </w:p>
              </w:tc>
              <w:tc>
                <w:tcPr>
                  <w:tcW w:w="1223" w:type="pct"/>
                  <w:tcBorders>
                    <w:top w:val="nil"/>
                    <w:left w:val="nil"/>
                    <w:bottom w:val="nil"/>
                    <w:right w:val="nil"/>
                  </w:tcBorders>
                </w:tcPr>
                <w:p w14:paraId="04B3325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-.089</w:t>
                  </w:r>
                </w:p>
              </w:tc>
              <w:tc>
                <w:tcPr>
                  <w:tcW w:w="1223" w:type="pct"/>
                  <w:tcBorders>
                    <w:top w:val="nil"/>
                    <w:left w:val="nil"/>
                    <w:bottom w:val="nil"/>
                    <w:right w:val="nil"/>
                  </w:tcBorders>
                </w:tcPr>
                <w:p w14:paraId="699F9FE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-.042</w:t>
                  </w:r>
                </w:p>
              </w:tc>
            </w:tr>
            <w:tr w:rsidR="00694090" w:rsidRPr="00EB468D" w14:paraId="01D6639B" w14:textId="77777777" w:rsidTr="00902176">
              <w:tc>
                <w:tcPr>
                  <w:tcW w:w="1331" w:type="pct"/>
                  <w:tcBorders>
                    <w:top w:val="nil"/>
                    <w:left w:val="nil"/>
                    <w:bottom w:val="nil"/>
                    <w:right w:val="nil"/>
                  </w:tcBorders>
                </w:tcPr>
                <w:p w14:paraId="1824FBD0"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tcPr>
                <w:p w14:paraId="5DDD08C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(-1.157)</w:t>
                  </w:r>
                </w:p>
              </w:tc>
              <w:tc>
                <w:tcPr>
                  <w:tcW w:w="1223" w:type="pct"/>
                  <w:tcBorders>
                    <w:top w:val="nil"/>
                    <w:left w:val="nil"/>
                    <w:bottom w:val="nil"/>
                    <w:right w:val="nil"/>
                  </w:tcBorders>
                </w:tcPr>
                <w:p w14:paraId="03A7305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(-1.279)</w:t>
                  </w:r>
                </w:p>
              </w:tc>
              <w:tc>
                <w:tcPr>
                  <w:tcW w:w="1223" w:type="pct"/>
                  <w:tcBorders>
                    <w:top w:val="nil"/>
                    <w:left w:val="nil"/>
                    <w:bottom w:val="nil"/>
                    <w:right w:val="nil"/>
                  </w:tcBorders>
                </w:tcPr>
                <w:p w14:paraId="3FF7006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(-1.420)</w:t>
                  </w:r>
                </w:p>
              </w:tc>
            </w:tr>
            <w:tr w:rsidR="00694090" w:rsidRPr="00EB468D" w14:paraId="266D2F4D" w14:textId="77777777" w:rsidTr="00902176">
              <w:tc>
                <w:tcPr>
                  <w:tcW w:w="1331" w:type="pct"/>
                  <w:tcBorders>
                    <w:top w:val="nil"/>
                    <w:left w:val="nil"/>
                    <w:bottom w:val="nil"/>
                    <w:right w:val="nil"/>
                  </w:tcBorders>
                </w:tcPr>
                <w:p w14:paraId="18B7E709"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deal_tenderoffer_dummy</w:t>
                  </w:r>
                </w:p>
              </w:tc>
              <w:tc>
                <w:tcPr>
                  <w:tcW w:w="1223" w:type="pct"/>
                  <w:tcBorders>
                    <w:top w:val="nil"/>
                    <w:left w:val="nil"/>
                    <w:bottom w:val="nil"/>
                    <w:right w:val="nil"/>
                  </w:tcBorders>
                </w:tcPr>
                <w:p w14:paraId="622700D0"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-.040</w:t>
                  </w:r>
                </w:p>
              </w:tc>
              <w:tc>
                <w:tcPr>
                  <w:tcW w:w="1223" w:type="pct"/>
                  <w:tcBorders>
                    <w:top w:val="nil"/>
                    <w:left w:val="nil"/>
                    <w:bottom w:val="nil"/>
                    <w:right w:val="nil"/>
                  </w:tcBorders>
                </w:tcPr>
                <w:p w14:paraId="0D57136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-.031</w:t>
                  </w:r>
                </w:p>
              </w:tc>
              <w:tc>
                <w:tcPr>
                  <w:tcW w:w="1223" w:type="pct"/>
                  <w:tcBorders>
                    <w:top w:val="nil"/>
                    <w:left w:val="nil"/>
                    <w:bottom w:val="nil"/>
                    <w:right w:val="nil"/>
                  </w:tcBorders>
                </w:tcPr>
                <w:p w14:paraId="609099E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-.024</w:t>
                  </w:r>
                </w:p>
              </w:tc>
            </w:tr>
            <w:tr w:rsidR="00694090" w:rsidRPr="00EB468D" w14:paraId="53B1B879" w14:textId="77777777" w:rsidTr="00902176">
              <w:tc>
                <w:tcPr>
                  <w:tcW w:w="1331" w:type="pct"/>
                  <w:tcBorders>
                    <w:top w:val="nil"/>
                    <w:left w:val="nil"/>
                    <w:bottom w:val="nil"/>
                    <w:right w:val="nil"/>
                  </w:tcBorders>
                </w:tcPr>
                <w:p w14:paraId="45BC6487"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tcPr>
                <w:p w14:paraId="67697AC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(-.449)</w:t>
                  </w:r>
                </w:p>
              </w:tc>
              <w:tc>
                <w:tcPr>
                  <w:tcW w:w="1223" w:type="pct"/>
                  <w:tcBorders>
                    <w:top w:val="nil"/>
                    <w:left w:val="nil"/>
                    <w:bottom w:val="nil"/>
                    <w:right w:val="nil"/>
                  </w:tcBorders>
                </w:tcPr>
                <w:p w14:paraId="549878D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(-.608)</w:t>
                  </w:r>
                </w:p>
              </w:tc>
              <w:tc>
                <w:tcPr>
                  <w:tcW w:w="1223" w:type="pct"/>
                  <w:tcBorders>
                    <w:top w:val="nil"/>
                    <w:left w:val="nil"/>
                    <w:bottom w:val="nil"/>
                    <w:right w:val="nil"/>
                  </w:tcBorders>
                </w:tcPr>
                <w:p w14:paraId="78619C2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(-.990)</w:t>
                  </w:r>
                </w:p>
              </w:tc>
            </w:tr>
            <w:tr w:rsidR="00694090" w:rsidRPr="00EB468D" w14:paraId="01C1CB9C" w14:textId="77777777" w:rsidTr="00902176">
              <w:tc>
                <w:tcPr>
                  <w:tcW w:w="1331" w:type="pct"/>
                  <w:tcBorders>
                    <w:top w:val="nil"/>
                    <w:left w:val="nil"/>
                    <w:bottom w:val="nil"/>
                    <w:right w:val="nil"/>
                  </w:tcBorders>
                </w:tcPr>
                <w:p w14:paraId="63FEEE78"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deal_friendly_dummy</w:t>
                  </w:r>
                </w:p>
              </w:tc>
              <w:tc>
                <w:tcPr>
                  <w:tcW w:w="1223" w:type="pct"/>
                  <w:tcBorders>
                    <w:top w:val="nil"/>
                    <w:left w:val="nil"/>
                    <w:bottom w:val="nil"/>
                    <w:right w:val="nil"/>
                  </w:tcBorders>
                </w:tcPr>
                <w:p w14:paraId="460F5CB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-.218</w:t>
                  </w:r>
                </w:p>
              </w:tc>
              <w:tc>
                <w:tcPr>
                  <w:tcW w:w="1223" w:type="pct"/>
                  <w:tcBorders>
                    <w:top w:val="nil"/>
                    <w:left w:val="nil"/>
                    <w:bottom w:val="nil"/>
                    <w:right w:val="nil"/>
                  </w:tcBorders>
                </w:tcPr>
                <w:p w14:paraId="5665B51F"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-.095</w:t>
                  </w:r>
                </w:p>
              </w:tc>
              <w:tc>
                <w:tcPr>
                  <w:tcW w:w="1223" w:type="pct"/>
                  <w:tcBorders>
                    <w:top w:val="nil"/>
                    <w:left w:val="nil"/>
                    <w:bottom w:val="nil"/>
                    <w:right w:val="nil"/>
                  </w:tcBorders>
                </w:tcPr>
                <w:p w14:paraId="16E246C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-.048</w:t>
                  </w:r>
                </w:p>
              </w:tc>
            </w:tr>
            <w:tr w:rsidR="00694090" w:rsidRPr="00EB468D" w14:paraId="4345445F" w14:textId="77777777" w:rsidTr="00902176">
              <w:tc>
                <w:tcPr>
                  <w:tcW w:w="1331" w:type="pct"/>
                  <w:tcBorders>
                    <w:top w:val="nil"/>
                    <w:left w:val="nil"/>
                    <w:bottom w:val="nil"/>
                    <w:right w:val="nil"/>
                  </w:tcBorders>
                </w:tcPr>
                <w:p w14:paraId="02ACE390"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tcPr>
                <w:p w14:paraId="3DA2AE2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(-1.123)</w:t>
                  </w:r>
                </w:p>
              </w:tc>
              <w:tc>
                <w:tcPr>
                  <w:tcW w:w="1223" w:type="pct"/>
                  <w:tcBorders>
                    <w:top w:val="nil"/>
                    <w:left w:val="nil"/>
                    <w:bottom w:val="nil"/>
                    <w:right w:val="nil"/>
                  </w:tcBorders>
                </w:tcPr>
                <w:p w14:paraId="250010C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(-.814)</w:t>
                  </w:r>
                </w:p>
              </w:tc>
              <w:tc>
                <w:tcPr>
                  <w:tcW w:w="1223" w:type="pct"/>
                  <w:tcBorders>
                    <w:top w:val="nil"/>
                    <w:left w:val="nil"/>
                    <w:bottom w:val="nil"/>
                    <w:right w:val="nil"/>
                  </w:tcBorders>
                </w:tcPr>
                <w:p w14:paraId="0E8FF20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(-1.152)</w:t>
                  </w:r>
                </w:p>
              </w:tc>
            </w:tr>
            <w:tr w:rsidR="00694090" w:rsidRPr="00EB468D" w14:paraId="7C116AE6" w14:textId="77777777" w:rsidTr="00902176">
              <w:tc>
                <w:tcPr>
                  <w:tcW w:w="1331" w:type="pct"/>
                  <w:tcBorders>
                    <w:top w:val="nil"/>
                    <w:left w:val="nil"/>
                    <w:bottom w:val="nil"/>
                    <w:right w:val="nil"/>
                  </w:tcBorders>
                </w:tcPr>
                <w:p w14:paraId="535CC913"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deal_relatedness_dummy</w:t>
                  </w:r>
                </w:p>
              </w:tc>
              <w:tc>
                <w:tcPr>
                  <w:tcW w:w="1223" w:type="pct"/>
                  <w:tcBorders>
                    <w:top w:val="nil"/>
                    <w:left w:val="nil"/>
                    <w:bottom w:val="nil"/>
                    <w:right w:val="nil"/>
                  </w:tcBorders>
                </w:tcPr>
                <w:p w14:paraId="299AD29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.013</w:t>
                  </w:r>
                </w:p>
              </w:tc>
              <w:tc>
                <w:tcPr>
                  <w:tcW w:w="1223" w:type="pct"/>
                  <w:tcBorders>
                    <w:top w:val="nil"/>
                    <w:left w:val="nil"/>
                    <w:bottom w:val="nil"/>
                    <w:right w:val="nil"/>
                  </w:tcBorders>
                </w:tcPr>
                <w:p w14:paraId="338CD76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.001</w:t>
                  </w:r>
                </w:p>
              </w:tc>
              <w:tc>
                <w:tcPr>
                  <w:tcW w:w="1223" w:type="pct"/>
                  <w:tcBorders>
                    <w:top w:val="nil"/>
                    <w:left w:val="nil"/>
                    <w:bottom w:val="nil"/>
                    <w:right w:val="nil"/>
                  </w:tcBorders>
                </w:tcPr>
                <w:p w14:paraId="3D302BE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-.002</w:t>
                  </w:r>
                </w:p>
              </w:tc>
            </w:tr>
            <w:tr w:rsidR="00694090" w:rsidRPr="00EB468D" w14:paraId="1BA44ED2" w14:textId="77777777" w:rsidTr="00902176">
              <w:tc>
                <w:tcPr>
                  <w:tcW w:w="1331" w:type="pct"/>
                  <w:tcBorders>
                    <w:top w:val="nil"/>
                    <w:left w:val="nil"/>
                    <w:bottom w:val="nil"/>
                    <w:right w:val="nil"/>
                  </w:tcBorders>
                </w:tcPr>
                <w:p w14:paraId="433EF0EA"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tcPr>
                <w:p w14:paraId="60AD287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(.155)</w:t>
                  </w:r>
                </w:p>
              </w:tc>
              <w:tc>
                <w:tcPr>
                  <w:tcW w:w="1223" w:type="pct"/>
                  <w:tcBorders>
                    <w:top w:val="nil"/>
                    <w:left w:val="nil"/>
                    <w:bottom w:val="nil"/>
                    <w:right w:val="nil"/>
                  </w:tcBorders>
                </w:tcPr>
                <w:p w14:paraId="6DF6F0F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(.021)</w:t>
                  </w:r>
                </w:p>
              </w:tc>
              <w:tc>
                <w:tcPr>
                  <w:tcW w:w="1223" w:type="pct"/>
                  <w:tcBorders>
                    <w:top w:val="nil"/>
                    <w:left w:val="nil"/>
                    <w:bottom w:val="nil"/>
                    <w:right w:val="nil"/>
                  </w:tcBorders>
                </w:tcPr>
                <w:p w14:paraId="35871E5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(-.099)</w:t>
                  </w:r>
                </w:p>
              </w:tc>
            </w:tr>
            <w:tr w:rsidR="00694090" w:rsidRPr="00EB468D" w14:paraId="00726103" w14:textId="77777777" w:rsidTr="00902176">
              <w:tc>
                <w:tcPr>
                  <w:tcW w:w="1331" w:type="pct"/>
                  <w:tcBorders>
                    <w:top w:val="nil"/>
                    <w:left w:val="nil"/>
                    <w:bottom w:val="nil"/>
                    <w:right w:val="nil"/>
                  </w:tcBorders>
                </w:tcPr>
                <w:p w14:paraId="097085E4"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acq_age</w:t>
                  </w:r>
                </w:p>
              </w:tc>
              <w:tc>
                <w:tcPr>
                  <w:tcW w:w="1223" w:type="pct"/>
                  <w:tcBorders>
                    <w:top w:val="nil"/>
                    <w:left w:val="nil"/>
                    <w:bottom w:val="nil"/>
                    <w:right w:val="nil"/>
                  </w:tcBorders>
                </w:tcPr>
                <w:p w14:paraId="3CCD26C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.001</w:t>
                  </w:r>
                </w:p>
              </w:tc>
              <w:tc>
                <w:tcPr>
                  <w:tcW w:w="1223" w:type="pct"/>
                  <w:tcBorders>
                    <w:top w:val="nil"/>
                    <w:left w:val="nil"/>
                    <w:bottom w:val="nil"/>
                    <w:right w:val="nil"/>
                  </w:tcBorders>
                </w:tcPr>
                <w:p w14:paraId="2554E3C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.0004</w:t>
                  </w:r>
                </w:p>
              </w:tc>
              <w:tc>
                <w:tcPr>
                  <w:tcW w:w="1223" w:type="pct"/>
                  <w:tcBorders>
                    <w:top w:val="nil"/>
                    <w:left w:val="nil"/>
                    <w:bottom w:val="nil"/>
                    <w:right w:val="nil"/>
                  </w:tcBorders>
                </w:tcPr>
                <w:p w14:paraId="44B21F9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.0002</w:t>
                  </w:r>
                </w:p>
              </w:tc>
            </w:tr>
            <w:tr w:rsidR="00694090" w:rsidRPr="00EB468D" w14:paraId="3DD448CC" w14:textId="77777777" w:rsidTr="00902176">
              <w:tc>
                <w:tcPr>
                  <w:tcW w:w="1331" w:type="pct"/>
                  <w:tcBorders>
                    <w:top w:val="nil"/>
                    <w:left w:val="nil"/>
                    <w:bottom w:val="nil"/>
                    <w:right w:val="nil"/>
                  </w:tcBorders>
                </w:tcPr>
                <w:p w14:paraId="3F006750"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tcPr>
                <w:p w14:paraId="0D883CE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(1.131)</w:t>
                  </w:r>
                </w:p>
              </w:tc>
              <w:tc>
                <w:tcPr>
                  <w:tcW w:w="1223" w:type="pct"/>
                  <w:tcBorders>
                    <w:top w:val="nil"/>
                    <w:left w:val="nil"/>
                    <w:bottom w:val="nil"/>
                    <w:right w:val="nil"/>
                  </w:tcBorders>
                </w:tcPr>
                <w:p w14:paraId="3E9480B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(1.058)</w:t>
                  </w:r>
                </w:p>
              </w:tc>
              <w:tc>
                <w:tcPr>
                  <w:tcW w:w="1223" w:type="pct"/>
                  <w:tcBorders>
                    <w:top w:val="nil"/>
                    <w:left w:val="nil"/>
                    <w:bottom w:val="nil"/>
                    <w:right w:val="nil"/>
                  </w:tcBorders>
                </w:tcPr>
                <w:p w14:paraId="621AEBC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(.955)</w:t>
                  </w:r>
                </w:p>
              </w:tc>
            </w:tr>
            <w:tr w:rsidR="00694090" w:rsidRPr="00EB468D" w14:paraId="46B4537B" w14:textId="77777777" w:rsidTr="00902176">
              <w:tc>
                <w:tcPr>
                  <w:tcW w:w="1331" w:type="pct"/>
                  <w:tcBorders>
                    <w:top w:val="nil"/>
                    <w:left w:val="nil"/>
                    <w:bottom w:val="nil"/>
                    <w:right w:val="nil"/>
                  </w:tcBorders>
                </w:tcPr>
                <w:p w14:paraId="13F99E97"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acq_assets_lastyear_ln</w:t>
                  </w:r>
                </w:p>
              </w:tc>
              <w:tc>
                <w:tcPr>
                  <w:tcW w:w="1223" w:type="pct"/>
                  <w:tcBorders>
                    <w:top w:val="nil"/>
                    <w:left w:val="nil"/>
                    <w:bottom w:val="nil"/>
                    <w:right w:val="nil"/>
                  </w:tcBorders>
                </w:tcPr>
                <w:p w14:paraId="6A45D09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-.002</w:t>
                  </w:r>
                </w:p>
              </w:tc>
              <w:tc>
                <w:tcPr>
                  <w:tcW w:w="1223" w:type="pct"/>
                  <w:tcBorders>
                    <w:top w:val="nil"/>
                    <w:left w:val="nil"/>
                    <w:bottom w:val="nil"/>
                    <w:right w:val="nil"/>
                  </w:tcBorders>
                </w:tcPr>
                <w:p w14:paraId="135FDA2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-.003</w:t>
                  </w:r>
                </w:p>
              </w:tc>
              <w:tc>
                <w:tcPr>
                  <w:tcW w:w="1223" w:type="pct"/>
                  <w:tcBorders>
                    <w:top w:val="nil"/>
                    <w:left w:val="nil"/>
                    <w:bottom w:val="nil"/>
                    <w:right w:val="nil"/>
                  </w:tcBorders>
                </w:tcPr>
                <w:p w14:paraId="5F40742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-.004</w:t>
                  </w:r>
                </w:p>
              </w:tc>
            </w:tr>
            <w:tr w:rsidR="00694090" w:rsidRPr="00EB468D" w14:paraId="6F7045D5" w14:textId="77777777" w:rsidTr="00902176">
              <w:tc>
                <w:tcPr>
                  <w:tcW w:w="1331" w:type="pct"/>
                  <w:tcBorders>
                    <w:top w:val="nil"/>
                    <w:left w:val="nil"/>
                    <w:bottom w:val="nil"/>
                    <w:right w:val="nil"/>
                  </w:tcBorders>
                </w:tcPr>
                <w:p w14:paraId="0EF37DB0"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tcPr>
                <w:p w14:paraId="2E2980E9"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(-.075)</w:t>
                  </w:r>
                </w:p>
              </w:tc>
              <w:tc>
                <w:tcPr>
                  <w:tcW w:w="1223" w:type="pct"/>
                  <w:tcBorders>
                    <w:top w:val="nil"/>
                    <w:left w:val="nil"/>
                    <w:bottom w:val="nil"/>
                    <w:right w:val="nil"/>
                  </w:tcBorders>
                </w:tcPr>
                <w:p w14:paraId="0943386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(-.228)</w:t>
                  </w:r>
                </w:p>
              </w:tc>
              <w:tc>
                <w:tcPr>
                  <w:tcW w:w="1223" w:type="pct"/>
                  <w:tcBorders>
                    <w:top w:val="nil"/>
                    <w:left w:val="nil"/>
                    <w:bottom w:val="nil"/>
                    <w:right w:val="nil"/>
                  </w:tcBorders>
                </w:tcPr>
                <w:p w14:paraId="72D84F8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(-.851)</w:t>
                  </w:r>
                </w:p>
              </w:tc>
            </w:tr>
            <w:tr w:rsidR="00694090" w:rsidRPr="00EB468D" w14:paraId="4707B62A" w14:textId="77777777" w:rsidTr="00902176">
              <w:tc>
                <w:tcPr>
                  <w:tcW w:w="1331" w:type="pct"/>
                  <w:tcBorders>
                    <w:top w:val="nil"/>
                    <w:left w:val="nil"/>
                    <w:bottom w:val="nil"/>
                    <w:right w:val="nil"/>
                  </w:tcBorders>
                </w:tcPr>
                <w:p w14:paraId="41340160"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acq_roa_lastyear</w:t>
                  </w:r>
                </w:p>
              </w:tc>
              <w:tc>
                <w:tcPr>
                  <w:tcW w:w="1223" w:type="pct"/>
                  <w:tcBorders>
                    <w:top w:val="nil"/>
                    <w:left w:val="nil"/>
                    <w:bottom w:val="nil"/>
                    <w:right w:val="nil"/>
                  </w:tcBorders>
                </w:tcPr>
                <w:p w14:paraId="0325A99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-.094</w:t>
                  </w:r>
                </w:p>
              </w:tc>
              <w:tc>
                <w:tcPr>
                  <w:tcW w:w="1223" w:type="pct"/>
                  <w:tcBorders>
                    <w:top w:val="nil"/>
                    <w:left w:val="nil"/>
                    <w:bottom w:val="nil"/>
                    <w:right w:val="nil"/>
                  </w:tcBorders>
                </w:tcPr>
                <w:p w14:paraId="56E837B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-.053</w:t>
                  </w:r>
                </w:p>
              </w:tc>
              <w:tc>
                <w:tcPr>
                  <w:tcW w:w="1223" w:type="pct"/>
                  <w:tcBorders>
                    <w:top w:val="nil"/>
                    <w:left w:val="nil"/>
                    <w:bottom w:val="nil"/>
                    <w:right w:val="nil"/>
                  </w:tcBorders>
                </w:tcPr>
                <w:p w14:paraId="25AF096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-.021</w:t>
                  </w:r>
                </w:p>
              </w:tc>
            </w:tr>
            <w:tr w:rsidR="00694090" w:rsidRPr="00EB468D" w14:paraId="3B9261EF" w14:textId="77777777" w:rsidTr="00902176">
              <w:tc>
                <w:tcPr>
                  <w:tcW w:w="1331" w:type="pct"/>
                  <w:tcBorders>
                    <w:top w:val="nil"/>
                    <w:left w:val="nil"/>
                    <w:bottom w:val="nil"/>
                    <w:right w:val="nil"/>
                  </w:tcBorders>
                </w:tcPr>
                <w:p w14:paraId="0DE440A1"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tcPr>
                <w:p w14:paraId="08900C0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(-1.604)</w:t>
                  </w:r>
                </w:p>
              </w:tc>
              <w:tc>
                <w:tcPr>
                  <w:tcW w:w="1223" w:type="pct"/>
                  <w:tcBorders>
                    <w:top w:val="nil"/>
                    <w:left w:val="nil"/>
                    <w:bottom w:val="nil"/>
                    <w:right w:val="nil"/>
                  </w:tcBorders>
                </w:tcPr>
                <w:p w14:paraId="192A0A1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(-1.588)</w:t>
                  </w:r>
                </w:p>
              </w:tc>
              <w:tc>
                <w:tcPr>
                  <w:tcW w:w="1223" w:type="pct"/>
                  <w:tcBorders>
                    <w:top w:val="nil"/>
                    <w:left w:val="nil"/>
                    <w:bottom w:val="nil"/>
                    <w:right w:val="nil"/>
                  </w:tcBorders>
                </w:tcPr>
                <w:p w14:paraId="7CD2BC6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(-1.549)</w:t>
                  </w:r>
                </w:p>
              </w:tc>
            </w:tr>
            <w:tr w:rsidR="00694090" w:rsidRPr="00EB468D" w14:paraId="0EB616B8" w14:textId="77777777" w:rsidTr="00902176">
              <w:tc>
                <w:tcPr>
                  <w:tcW w:w="1331" w:type="pct"/>
                  <w:tcBorders>
                    <w:top w:val="nil"/>
                    <w:left w:val="nil"/>
                    <w:bottom w:val="nil"/>
                    <w:right w:val="nil"/>
                  </w:tcBorders>
                </w:tcPr>
                <w:p w14:paraId="79C3CF62"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acq_industrygrowth</w:t>
                  </w:r>
                </w:p>
              </w:tc>
              <w:tc>
                <w:tcPr>
                  <w:tcW w:w="1223" w:type="pct"/>
                  <w:tcBorders>
                    <w:top w:val="nil"/>
                    <w:left w:val="nil"/>
                    <w:bottom w:val="nil"/>
                    <w:right w:val="nil"/>
                  </w:tcBorders>
                </w:tcPr>
                <w:p w14:paraId="67F7E05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3.504**</w:t>
                  </w:r>
                </w:p>
              </w:tc>
              <w:tc>
                <w:tcPr>
                  <w:tcW w:w="1223" w:type="pct"/>
                  <w:tcBorders>
                    <w:top w:val="nil"/>
                    <w:left w:val="nil"/>
                    <w:bottom w:val="nil"/>
                    <w:right w:val="nil"/>
                  </w:tcBorders>
                </w:tcPr>
                <w:p w14:paraId="2B65EEE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1.958**</w:t>
                  </w:r>
                </w:p>
              </w:tc>
              <w:tc>
                <w:tcPr>
                  <w:tcW w:w="1223" w:type="pct"/>
                  <w:tcBorders>
                    <w:top w:val="nil"/>
                    <w:left w:val="nil"/>
                    <w:bottom w:val="nil"/>
                    <w:right w:val="nil"/>
                  </w:tcBorders>
                </w:tcPr>
                <w:p w14:paraId="008BCFF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.763**</w:t>
                  </w:r>
                </w:p>
              </w:tc>
            </w:tr>
            <w:tr w:rsidR="00694090" w:rsidRPr="00EB468D" w14:paraId="15BDA89C" w14:textId="77777777" w:rsidTr="00902176">
              <w:tc>
                <w:tcPr>
                  <w:tcW w:w="1331" w:type="pct"/>
                  <w:tcBorders>
                    <w:top w:val="nil"/>
                    <w:left w:val="nil"/>
                    <w:bottom w:val="nil"/>
                    <w:right w:val="nil"/>
                  </w:tcBorders>
                </w:tcPr>
                <w:p w14:paraId="7A92381B"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tcPr>
                <w:p w14:paraId="567F500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(2.395)</w:t>
                  </w:r>
                </w:p>
              </w:tc>
              <w:tc>
                <w:tcPr>
                  <w:tcW w:w="1223" w:type="pct"/>
                  <w:tcBorders>
                    <w:top w:val="nil"/>
                    <w:left w:val="nil"/>
                    <w:bottom w:val="nil"/>
                    <w:right w:val="nil"/>
                  </w:tcBorders>
                </w:tcPr>
                <w:p w14:paraId="6D2E8B5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(2.470)</w:t>
                  </w:r>
                </w:p>
              </w:tc>
              <w:tc>
                <w:tcPr>
                  <w:tcW w:w="1223" w:type="pct"/>
                  <w:tcBorders>
                    <w:top w:val="nil"/>
                    <w:left w:val="nil"/>
                    <w:bottom w:val="nil"/>
                    <w:right w:val="nil"/>
                  </w:tcBorders>
                </w:tcPr>
                <w:p w14:paraId="2DA45E2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(2.354)</w:t>
                  </w:r>
                </w:p>
              </w:tc>
            </w:tr>
            <w:tr w:rsidR="00694090" w:rsidRPr="00EB468D" w14:paraId="57450263" w14:textId="77777777" w:rsidTr="00902176">
              <w:tc>
                <w:tcPr>
                  <w:tcW w:w="1331" w:type="pct"/>
                  <w:tcBorders>
                    <w:top w:val="nil"/>
                    <w:left w:val="nil"/>
                    <w:bottom w:val="nil"/>
                    <w:right w:val="nil"/>
                  </w:tcBorders>
                </w:tcPr>
                <w:p w14:paraId="27FA2E5B"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acq_dealexperience</w:t>
                  </w:r>
                </w:p>
              </w:tc>
              <w:tc>
                <w:tcPr>
                  <w:tcW w:w="1223" w:type="pct"/>
                  <w:tcBorders>
                    <w:top w:val="nil"/>
                    <w:left w:val="nil"/>
                    <w:bottom w:val="nil"/>
                    <w:right w:val="nil"/>
                  </w:tcBorders>
                </w:tcPr>
                <w:p w14:paraId="43D1300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-.002</w:t>
                  </w:r>
                </w:p>
              </w:tc>
              <w:tc>
                <w:tcPr>
                  <w:tcW w:w="1223" w:type="pct"/>
                  <w:tcBorders>
                    <w:top w:val="nil"/>
                    <w:left w:val="nil"/>
                    <w:bottom w:val="nil"/>
                    <w:right w:val="nil"/>
                  </w:tcBorders>
                </w:tcPr>
                <w:p w14:paraId="4B2D382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-.008</w:t>
                  </w:r>
                </w:p>
              </w:tc>
              <w:tc>
                <w:tcPr>
                  <w:tcW w:w="1223" w:type="pct"/>
                  <w:tcBorders>
                    <w:top w:val="nil"/>
                    <w:left w:val="nil"/>
                    <w:bottom w:val="nil"/>
                    <w:right w:val="nil"/>
                  </w:tcBorders>
                </w:tcPr>
                <w:p w14:paraId="20CF999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.004</w:t>
                  </w:r>
                </w:p>
              </w:tc>
            </w:tr>
            <w:tr w:rsidR="00694090" w:rsidRPr="00EB468D" w14:paraId="05B9BAC2" w14:textId="77777777" w:rsidTr="00902176">
              <w:tc>
                <w:tcPr>
                  <w:tcW w:w="1331" w:type="pct"/>
                  <w:tcBorders>
                    <w:top w:val="nil"/>
                    <w:left w:val="nil"/>
                    <w:bottom w:val="nil"/>
                    <w:right w:val="nil"/>
                  </w:tcBorders>
                </w:tcPr>
                <w:p w14:paraId="0D796E74"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tcPr>
                <w:p w14:paraId="068F0D7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(-.054)</w:t>
                  </w:r>
                </w:p>
              </w:tc>
              <w:tc>
                <w:tcPr>
                  <w:tcW w:w="1223" w:type="pct"/>
                  <w:tcBorders>
                    <w:top w:val="nil"/>
                    <w:left w:val="nil"/>
                    <w:bottom w:val="nil"/>
                    <w:right w:val="nil"/>
                  </w:tcBorders>
                </w:tcPr>
                <w:p w14:paraId="39055AD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(-.398)</w:t>
                  </w:r>
                </w:p>
              </w:tc>
              <w:tc>
                <w:tcPr>
                  <w:tcW w:w="1223" w:type="pct"/>
                  <w:tcBorders>
                    <w:top w:val="nil"/>
                    <w:left w:val="nil"/>
                    <w:bottom w:val="nil"/>
                    <w:right w:val="nil"/>
                  </w:tcBorders>
                </w:tcPr>
                <w:p w14:paraId="1D7AA93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(.561)</w:t>
                  </w:r>
                </w:p>
              </w:tc>
            </w:tr>
            <w:tr w:rsidR="00694090" w:rsidRPr="00EB468D" w14:paraId="4CCED3D0" w14:textId="77777777" w:rsidTr="00902176">
              <w:tc>
                <w:tcPr>
                  <w:tcW w:w="1331" w:type="pct"/>
                  <w:tcBorders>
                    <w:top w:val="nil"/>
                    <w:left w:val="nil"/>
                    <w:bottom w:val="nil"/>
                    <w:right w:val="nil"/>
                  </w:tcBorders>
                </w:tcPr>
                <w:p w14:paraId="413E64EA"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acq_rd_intensity</w:t>
                  </w:r>
                </w:p>
              </w:tc>
              <w:tc>
                <w:tcPr>
                  <w:tcW w:w="1223" w:type="pct"/>
                  <w:tcBorders>
                    <w:top w:val="nil"/>
                    <w:left w:val="nil"/>
                    <w:bottom w:val="nil"/>
                    <w:right w:val="nil"/>
                  </w:tcBorders>
                </w:tcPr>
                <w:p w14:paraId="11B246F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-.779**</w:t>
                  </w:r>
                </w:p>
              </w:tc>
              <w:tc>
                <w:tcPr>
                  <w:tcW w:w="1223" w:type="pct"/>
                  <w:tcBorders>
                    <w:top w:val="nil"/>
                    <w:left w:val="nil"/>
                    <w:bottom w:val="nil"/>
                    <w:right w:val="nil"/>
                  </w:tcBorders>
                </w:tcPr>
                <w:p w14:paraId="7F584E8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-.462***</w:t>
                  </w:r>
                </w:p>
              </w:tc>
              <w:tc>
                <w:tcPr>
                  <w:tcW w:w="1223" w:type="pct"/>
                  <w:tcBorders>
                    <w:top w:val="nil"/>
                    <w:left w:val="nil"/>
                    <w:bottom w:val="nil"/>
                    <w:right w:val="nil"/>
                  </w:tcBorders>
                </w:tcPr>
                <w:p w14:paraId="79C9C67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-.194***</w:t>
                  </w:r>
                </w:p>
              </w:tc>
            </w:tr>
            <w:tr w:rsidR="00694090" w:rsidRPr="00EB468D" w14:paraId="2AD74F36" w14:textId="77777777" w:rsidTr="00902176">
              <w:tc>
                <w:tcPr>
                  <w:tcW w:w="1331" w:type="pct"/>
                  <w:tcBorders>
                    <w:top w:val="nil"/>
                    <w:left w:val="nil"/>
                    <w:bottom w:val="nil"/>
                    <w:right w:val="nil"/>
                  </w:tcBorders>
                </w:tcPr>
                <w:p w14:paraId="35A0A8A8"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p>
              </w:tc>
              <w:tc>
                <w:tcPr>
                  <w:tcW w:w="1223" w:type="pct"/>
                  <w:tcBorders>
                    <w:top w:val="nil"/>
                    <w:left w:val="nil"/>
                    <w:bottom w:val="nil"/>
                    <w:right w:val="nil"/>
                  </w:tcBorders>
                </w:tcPr>
                <w:p w14:paraId="6F73038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(-2.370)</w:t>
                  </w:r>
                </w:p>
              </w:tc>
              <w:tc>
                <w:tcPr>
                  <w:tcW w:w="1223" w:type="pct"/>
                  <w:tcBorders>
                    <w:top w:val="nil"/>
                    <w:left w:val="nil"/>
                    <w:bottom w:val="nil"/>
                    <w:right w:val="nil"/>
                  </w:tcBorders>
                </w:tcPr>
                <w:p w14:paraId="2A5C463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(-2.959)</w:t>
                  </w:r>
                </w:p>
              </w:tc>
              <w:tc>
                <w:tcPr>
                  <w:tcW w:w="1223" w:type="pct"/>
                  <w:tcBorders>
                    <w:top w:val="nil"/>
                    <w:left w:val="nil"/>
                    <w:bottom w:val="nil"/>
                    <w:right w:val="nil"/>
                  </w:tcBorders>
                </w:tcPr>
                <w:p w14:paraId="30FE678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(-3.651)</w:t>
                  </w:r>
                </w:p>
              </w:tc>
            </w:tr>
            <w:tr w:rsidR="00694090" w:rsidRPr="00EB468D" w14:paraId="62C37B5A" w14:textId="77777777" w:rsidTr="00902176">
              <w:tc>
                <w:tcPr>
                  <w:tcW w:w="1331" w:type="pct"/>
                  <w:tcBorders>
                    <w:top w:val="nil"/>
                    <w:left w:val="nil"/>
                    <w:bottom w:val="nil"/>
                    <w:right w:val="nil"/>
                  </w:tcBorders>
                </w:tcPr>
                <w:p w14:paraId="21068CEE"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tar_age</w:t>
                  </w:r>
                </w:p>
              </w:tc>
              <w:tc>
                <w:tcPr>
                  <w:tcW w:w="1223" w:type="pct"/>
                  <w:tcBorders>
                    <w:top w:val="nil"/>
                    <w:left w:val="nil"/>
                    <w:bottom w:val="nil"/>
                    <w:right w:val="nil"/>
                  </w:tcBorders>
                </w:tcPr>
                <w:p w14:paraId="135956C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-.002***</w:t>
                  </w:r>
                </w:p>
              </w:tc>
              <w:tc>
                <w:tcPr>
                  <w:tcW w:w="1223" w:type="pct"/>
                  <w:tcBorders>
                    <w:top w:val="nil"/>
                    <w:left w:val="nil"/>
                    <w:bottom w:val="nil"/>
                    <w:right w:val="nil"/>
                  </w:tcBorders>
                </w:tcPr>
                <w:p w14:paraId="65632C1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-.001**</w:t>
                  </w:r>
                </w:p>
              </w:tc>
              <w:tc>
                <w:tcPr>
                  <w:tcW w:w="1223" w:type="pct"/>
                  <w:tcBorders>
                    <w:top w:val="nil"/>
                    <w:left w:val="nil"/>
                    <w:bottom w:val="nil"/>
                    <w:right w:val="nil"/>
                  </w:tcBorders>
                </w:tcPr>
                <w:p w14:paraId="289E7A3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-.0005**</w:t>
                  </w:r>
                </w:p>
              </w:tc>
            </w:tr>
            <w:tr w:rsidR="00694090" w:rsidRPr="00EB468D" w14:paraId="3C57B538" w14:textId="77777777" w:rsidTr="00902176">
              <w:tc>
                <w:tcPr>
                  <w:tcW w:w="1331" w:type="pct"/>
                  <w:tcBorders>
                    <w:top w:val="nil"/>
                    <w:left w:val="nil"/>
                    <w:bottom w:val="nil"/>
                    <w:right w:val="nil"/>
                  </w:tcBorders>
                </w:tcPr>
                <w:p w14:paraId="006010B4"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tcPr>
                <w:p w14:paraId="006D772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(-2.841)</w:t>
                  </w:r>
                </w:p>
              </w:tc>
              <w:tc>
                <w:tcPr>
                  <w:tcW w:w="1223" w:type="pct"/>
                  <w:tcBorders>
                    <w:top w:val="nil"/>
                    <w:left w:val="nil"/>
                    <w:bottom w:val="nil"/>
                    <w:right w:val="nil"/>
                  </w:tcBorders>
                </w:tcPr>
                <w:p w14:paraId="0281AC2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(-2.593)</w:t>
                  </w:r>
                </w:p>
              </w:tc>
              <w:tc>
                <w:tcPr>
                  <w:tcW w:w="1223" w:type="pct"/>
                  <w:tcBorders>
                    <w:top w:val="nil"/>
                    <w:left w:val="nil"/>
                    <w:bottom w:val="nil"/>
                    <w:right w:val="nil"/>
                  </w:tcBorders>
                </w:tcPr>
                <w:p w14:paraId="43B61BD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(-2.054)</w:t>
                  </w:r>
                </w:p>
              </w:tc>
            </w:tr>
            <w:tr w:rsidR="00694090" w:rsidRPr="00EB468D" w14:paraId="04049D47" w14:textId="77777777" w:rsidTr="00902176">
              <w:tc>
                <w:tcPr>
                  <w:tcW w:w="1331" w:type="pct"/>
                  <w:tcBorders>
                    <w:top w:val="nil"/>
                    <w:left w:val="nil"/>
                    <w:bottom w:val="nil"/>
                    <w:right w:val="nil"/>
                  </w:tcBorders>
                </w:tcPr>
                <w:p w14:paraId="0BCFFE36"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tar_assets_lastyear_ln</w:t>
                  </w:r>
                </w:p>
              </w:tc>
              <w:tc>
                <w:tcPr>
                  <w:tcW w:w="1223" w:type="pct"/>
                  <w:tcBorders>
                    <w:top w:val="nil"/>
                    <w:left w:val="nil"/>
                    <w:bottom w:val="nil"/>
                    <w:right w:val="nil"/>
                  </w:tcBorders>
                </w:tcPr>
                <w:p w14:paraId="4558216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-.207*</w:t>
                  </w:r>
                </w:p>
              </w:tc>
              <w:tc>
                <w:tcPr>
                  <w:tcW w:w="1223" w:type="pct"/>
                  <w:tcBorders>
                    <w:top w:val="nil"/>
                    <w:left w:val="nil"/>
                    <w:bottom w:val="nil"/>
                    <w:right w:val="nil"/>
                  </w:tcBorders>
                </w:tcPr>
                <w:p w14:paraId="61073B3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-.115*</w:t>
                  </w:r>
                </w:p>
              </w:tc>
              <w:tc>
                <w:tcPr>
                  <w:tcW w:w="1223" w:type="pct"/>
                  <w:tcBorders>
                    <w:top w:val="nil"/>
                    <w:left w:val="nil"/>
                    <w:bottom w:val="nil"/>
                    <w:right w:val="nil"/>
                  </w:tcBorders>
                </w:tcPr>
                <w:p w14:paraId="6D76DCE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-.054*</w:t>
                  </w:r>
                </w:p>
              </w:tc>
            </w:tr>
            <w:tr w:rsidR="00694090" w:rsidRPr="00EB468D" w14:paraId="7E8F232E" w14:textId="77777777" w:rsidTr="00902176">
              <w:tc>
                <w:tcPr>
                  <w:tcW w:w="1331" w:type="pct"/>
                  <w:tcBorders>
                    <w:top w:val="nil"/>
                    <w:left w:val="nil"/>
                    <w:bottom w:val="nil"/>
                    <w:right w:val="nil"/>
                  </w:tcBorders>
                </w:tcPr>
                <w:p w14:paraId="401251E2"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tcPr>
                <w:p w14:paraId="19DC2192"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(-1.729)</w:t>
                  </w:r>
                </w:p>
              </w:tc>
              <w:tc>
                <w:tcPr>
                  <w:tcW w:w="1223" w:type="pct"/>
                  <w:tcBorders>
                    <w:top w:val="nil"/>
                    <w:left w:val="nil"/>
                    <w:bottom w:val="nil"/>
                    <w:right w:val="nil"/>
                  </w:tcBorders>
                </w:tcPr>
                <w:p w14:paraId="2D00A90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(-1.732)</w:t>
                  </w:r>
                </w:p>
              </w:tc>
              <w:tc>
                <w:tcPr>
                  <w:tcW w:w="1223" w:type="pct"/>
                  <w:tcBorders>
                    <w:top w:val="nil"/>
                    <w:left w:val="nil"/>
                    <w:bottom w:val="nil"/>
                    <w:right w:val="nil"/>
                  </w:tcBorders>
                </w:tcPr>
                <w:p w14:paraId="0D61DE0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(-1.776)</w:t>
                  </w:r>
                </w:p>
              </w:tc>
            </w:tr>
            <w:tr w:rsidR="00694090" w:rsidRPr="00EB468D" w14:paraId="35B6937F" w14:textId="77777777" w:rsidTr="00902176">
              <w:tc>
                <w:tcPr>
                  <w:tcW w:w="1331" w:type="pct"/>
                  <w:tcBorders>
                    <w:top w:val="nil"/>
                    <w:left w:val="nil"/>
                    <w:bottom w:val="nil"/>
                    <w:right w:val="nil"/>
                  </w:tcBorders>
                </w:tcPr>
                <w:p w14:paraId="544592D9"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tar_roa_lastyear</w:t>
                  </w:r>
                </w:p>
              </w:tc>
              <w:tc>
                <w:tcPr>
                  <w:tcW w:w="1223" w:type="pct"/>
                  <w:tcBorders>
                    <w:top w:val="nil"/>
                    <w:left w:val="nil"/>
                    <w:bottom w:val="nil"/>
                    <w:right w:val="nil"/>
                  </w:tcBorders>
                </w:tcPr>
                <w:p w14:paraId="0C1F617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-.416</w:t>
                  </w:r>
                </w:p>
              </w:tc>
              <w:tc>
                <w:tcPr>
                  <w:tcW w:w="1223" w:type="pct"/>
                  <w:tcBorders>
                    <w:top w:val="nil"/>
                    <w:left w:val="nil"/>
                    <w:bottom w:val="nil"/>
                    <w:right w:val="nil"/>
                  </w:tcBorders>
                </w:tcPr>
                <w:p w14:paraId="2AEB6C9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-.274*</w:t>
                  </w:r>
                </w:p>
              </w:tc>
              <w:tc>
                <w:tcPr>
                  <w:tcW w:w="1223" w:type="pct"/>
                  <w:tcBorders>
                    <w:top w:val="nil"/>
                    <w:left w:val="nil"/>
                    <w:bottom w:val="nil"/>
                    <w:right w:val="nil"/>
                  </w:tcBorders>
                </w:tcPr>
                <w:p w14:paraId="24B1026B"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-.133**</w:t>
                  </w:r>
                </w:p>
              </w:tc>
            </w:tr>
            <w:tr w:rsidR="00694090" w:rsidRPr="00EB468D" w14:paraId="23128C02" w14:textId="77777777" w:rsidTr="00902176">
              <w:tc>
                <w:tcPr>
                  <w:tcW w:w="1331" w:type="pct"/>
                  <w:tcBorders>
                    <w:top w:val="nil"/>
                    <w:left w:val="nil"/>
                    <w:bottom w:val="nil"/>
                    <w:right w:val="nil"/>
                  </w:tcBorders>
                </w:tcPr>
                <w:p w14:paraId="384533B2"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tcPr>
                <w:p w14:paraId="51DD153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(-1.480)</w:t>
                  </w:r>
                </w:p>
              </w:tc>
              <w:tc>
                <w:tcPr>
                  <w:tcW w:w="1223" w:type="pct"/>
                  <w:tcBorders>
                    <w:top w:val="nil"/>
                    <w:left w:val="nil"/>
                    <w:bottom w:val="nil"/>
                    <w:right w:val="nil"/>
                  </w:tcBorders>
                </w:tcPr>
                <w:p w14:paraId="2983F23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(-1.772)</w:t>
                  </w:r>
                </w:p>
              </w:tc>
              <w:tc>
                <w:tcPr>
                  <w:tcW w:w="1223" w:type="pct"/>
                  <w:tcBorders>
                    <w:top w:val="nil"/>
                    <w:left w:val="nil"/>
                    <w:bottom w:val="nil"/>
                    <w:right w:val="nil"/>
                  </w:tcBorders>
                </w:tcPr>
                <w:p w14:paraId="45EFFEE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(-2.122)</w:t>
                  </w:r>
                </w:p>
              </w:tc>
            </w:tr>
            <w:tr w:rsidR="00694090" w:rsidRPr="00EB468D" w14:paraId="0BAE8FBC" w14:textId="77777777" w:rsidTr="00902176">
              <w:tc>
                <w:tcPr>
                  <w:tcW w:w="1331" w:type="pct"/>
                  <w:tcBorders>
                    <w:top w:val="nil"/>
                    <w:left w:val="nil"/>
                    <w:bottom w:val="nil"/>
                    <w:right w:val="nil"/>
                  </w:tcBorders>
                </w:tcPr>
                <w:p w14:paraId="1991E306"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tar_mbratio</w:t>
                  </w:r>
                </w:p>
              </w:tc>
              <w:tc>
                <w:tcPr>
                  <w:tcW w:w="1223" w:type="pct"/>
                  <w:tcBorders>
                    <w:top w:val="nil"/>
                    <w:left w:val="nil"/>
                    <w:bottom w:val="nil"/>
                    <w:right w:val="nil"/>
                  </w:tcBorders>
                </w:tcPr>
                <w:p w14:paraId="0CBF1CC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-.011</w:t>
                  </w:r>
                </w:p>
              </w:tc>
              <w:tc>
                <w:tcPr>
                  <w:tcW w:w="1223" w:type="pct"/>
                  <w:tcBorders>
                    <w:top w:val="nil"/>
                    <w:left w:val="nil"/>
                    <w:bottom w:val="nil"/>
                    <w:right w:val="nil"/>
                  </w:tcBorders>
                </w:tcPr>
                <w:p w14:paraId="1AC079C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-.006</w:t>
                  </w:r>
                </w:p>
              </w:tc>
              <w:tc>
                <w:tcPr>
                  <w:tcW w:w="1223" w:type="pct"/>
                  <w:tcBorders>
                    <w:top w:val="nil"/>
                    <w:left w:val="nil"/>
                    <w:bottom w:val="nil"/>
                    <w:right w:val="nil"/>
                  </w:tcBorders>
                </w:tcPr>
                <w:p w14:paraId="650BAB1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-.003</w:t>
                  </w:r>
                </w:p>
              </w:tc>
            </w:tr>
            <w:tr w:rsidR="00694090" w:rsidRPr="00EB468D" w14:paraId="35736954" w14:textId="77777777" w:rsidTr="00902176">
              <w:tc>
                <w:tcPr>
                  <w:tcW w:w="1331" w:type="pct"/>
                  <w:tcBorders>
                    <w:top w:val="nil"/>
                    <w:left w:val="nil"/>
                    <w:bottom w:val="nil"/>
                    <w:right w:val="nil"/>
                  </w:tcBorders>
                </w:tcPr>
                <w:p w14:paraId="42CCC9A2"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w:t>
                  </w:r>
                </w:p>
              </w:tc>
              <w:tc>
                <w:tcPr>
                  <w:tcW w:w="1223" w:type="pct"/>
                  <w:tcBorders>
                    <w:top w:val="nil"/>
                    <w:left w:val="nil"/>
                    <w:bottom w:val="nil"/>
                    <w:right w:val="nil"/>
                  </w:tcBorders>
                </w:tcPr>
                <w:p w14:paraId="45601761"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(-1.365)</w:t>
                  </w:r>
                </w:p>
              </w:tc>
              <w:tc>
                <w:tcPr>
                  <w:tcW w:w="1223" w:type="pct"/>
                  <w:tcBorders>
                    <w:top w:val="nil"/>
                    <w:left w:val="nil"/>
                    <w:bottom w:val="nil"/>
                    <w:right w:val="nil"/>
                  </w:tcBorders>
                </w:tcPr>
                <w:p w14:paraId="126DC1A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(-1.247)</w:t>
                  </w:r>
                </w:p>
              </w:tc>
              <w:tc>
                <w:tcPr>
                  <w:tcW w:w="1223" w:type="pct"/>
                  <w:tcBorders>
                    <w:top w:val="nil"/>
                    <w:left w:val="nil"/>
                    <w:bottom w:val="nil"/>
                    <w:right w:val="nil"/>
                  </w:tcBorders>
                </w:tcPr>
                <w:p w14:paraId="17ABD0B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(-1.171)</w:t>
                  </w:r>
                </w:p>
              </w:tc>
            </w:tr>
            <w:tr w:rsidR="00694090" w:rsidRPr="00EB468D" w14:paraId="0B895D5C" w14:textId="77777777" w:rsidTr="00902176">
              <w:tc>
                <w:tcPr>
                  <w:tcW w:w="1331" w:type="pct"/>
                  <w:tcBorders>
                    <w:top w:val="nil"/>
                    <w:left w:val="nil"/>
                    <w:bottom w:val="nil"/>
                    <w:right w:val="nil"/>
                  </w:tcBorders>
                </w:tcPr>
                <w:p w14:paraId="279C9BBA"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Observations</w:t>
                  </w:r>
                </w:p>
              </w:tc>
              <w:tc>
                <w:tcPr>
                  <w:tcW w:w="1223" w:type="pct"/>
                  <w:tcBorders>
                    <w:top w:val="nil"/>
                    <w:left w:val="nil"/>
                    <w:bottom w:val="nil"/>
                    <w:right w:val="nil"/>
                  </w:tcBorders>
                </w:tcPr>
                <w:p w14:paraId="3E0EEABD"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209</w:t>
                  </w:r>
                </w:p>
              </w:tc>
              <w:tc>
                <w:tcPr>
                  <w:tcW w:w="1223" w:type="pct"/>
                  <w:tcBorders>
                    <w:top w:val="nil"/>
                    <w:left w:val="nil"/>
                    <w:bottom w:val="nil"/>
                    <w:right w:val="nil"/>
                  </w:tcBorders>
                </w:tcPr>
                <w:p w14:paraId="5D50290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209</w:t>
                  </w:r>
                </w:p>
              </w:tc>
              <w:tc>
                <w:tcPr>
                  <w:tcW w:w="1223" w:type="pct"/>
                  <w:tcBorders>
                    <w:top w:val="nil"/>
                    <w:left w:val="nil"/>
                    <w:bottom w:val="nil"/>
                    <w:right w:val="nil"/>
                  </w:tcBorders>
                </w:tcPr>
                <w:p w14:paraId="6742DF9C"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209</w:t>
                  </w:r>
                </w:p>
              </w:tc>
            </w:tr>
            <w:tr w:rsidR="00694090" w:rsidRPr="00EB468D" w14:paraId="18652E86" w14:textId="77777777" w:rsidTr="00902176">
              <w:tc>
                <w:tcPr>
                  <w:tcW w:w="1331" w:type="pct"/>
                  <w:tcBorders>
                    <w:top w:val="nil"/>
                    <w:left w:val="nil"/>
                    <w:bottom w:val="nil"/>
                    <w:right w:val="nil"/>
                  </w:tcBorders>
                </w:tcPr>
                <w:p w14:paraId="2FCF454D"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Adj R2</w:t>
                  </w:r>
                </w:p>
              </w:tc>
              <w:tc>
                <w:tcPr>
                  <w:tcW w:w="1223" w:type="pct"/>
                  <w:tcBorders>
                    <w:top w:val="nil"/>
                    <w:left w:val="nil"/>
                    <w:bottom w:val="nil"/>
                    <w:right w:val="nil"/>
                  </w:tcBorders>
                </w:tcPr>
                <w:p w14:paraId="3DA25B43"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.196</w:t>
                  </w:r>
                </w:p>
              </w:tc>
              <w:tc>
                <w:tcPr>
                  <w:tcW w:w="1223" w:type="pct"/>
                  <w:tcBorders>
                    <w:top w:val="nil"/>
                    <w:left w:val="nil"/>
                    <w:bottom w:val="nil"/>
                    <w:right w:val="nil"/>
                  </w:tcBorders>
                </w:tcPr>
                <w:p w14:paraId="1893ED56"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.210</w:t>
                  </w:r>
                </w:p>
              </w:tc>
              <w:tc>
                <w:tcPr>
                  <w:tcW w:w="1223" w:type="pct"/>
                  <w:tcBorders>
                    <w:top w:val="nil"/>
                    <w:left w:val="nil"/>
                    <w:bottom w:val="nil"/>
                    <w:right w:val="nil"/>
                  </w:tcBorders>
                </w:tcPr>
                <w:p w14:paraId="7E04C77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.255</w:t>
                  </w:r>
                </w:p>
              </w:tc>
            </w:tr>
            <w:tr w:rsidR="00694090" w:rsidRPr="00EB468D" w14:paraId="7F882D32" w14:textId="77777777" w:rsidTr="00902176">
              <w:tc>
                <w:tcPr>
                  <w:tcW w:w="1331" w:type="pct"/>
                  <w:tcBorders>
                    <w:top w:val="nil"/>
                    <w:left w:val="nil"/>
                    <w:bottom w:val="nil"/>
                    <w:right w:val="nil"/>
                  </w:tcBorders>
                </w:tcPr>
                <w:p w14:paraId="7CB67BC1"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Industry FE</w:t>
                  </w:r>
                </w:p>
              </w:tc>
              <w:tc>
                <w:tcPr>
                  <w:tcW w:w="1223" w:type="pct"/>
                  <w:tcBorders>
                    <w:top w:val="nil"/>
                    <w:left w:val="nil"/>
                    <w:bottom w:val="nil"/>
                    <w:right w:val="nil"/>
                  </w:tcBorders>
                </w:tcPr>
                <w:p w14:paraId="7FB69A57"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c>
                <w:tcPr>
                  <w:tcW w:w="1223" w:type="pct"/>
                  <w:tcBorders>
                    <w:top w:val="nil"/>
                    <w:left w:val="nil"/>
                    <w:bottom w:val="nil"/>
                    <w:right w:val="nil"/>
                  </w:tcBorders>
                </w:tcPr>
                <w:p w14:paraId="1B4BE5EE"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c>
                <w:tcPr>
                  <w:tcW w:w="1223" w:type="pct"/>
                  <w:tcBorders>
                    <w:top w:val="nil"/>
                    <w:left w:val="nil"/>
                    <w:bottom w:val="nil"/>
                    <w:right w:val="nil"/>
                  </w:tcBorders>
                </w:tcPr>
                <w:p w14:paraId="49C0ABB5"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r>
            <w:tr w:rsidR="00694090" w:rsidRPr="00EB468D" w14:paraId="78E08932" w14:textId="77777777" w:rsidTr="00902176">
              <w:tc>
                <w:tcPr>
                  <w:tcW w:w="1331" w:type="pct"/>
                  <w:tcBorders>
                    <w:top w:val="nil"/>
                    <w:left w:val="nil"/>
                    <w:bottom w:val="nil"/>
                    <w:right w:val="nil"/>
                  </w:tcBorders>
                </w:tcPr>
                <w:p w14:paraId="263ACD54" w14:textId="77777777" w:rsidR="00694090" w:rsidRPr="00EB468D" w:rsidRDefault="00694090" w:rsidP="00AB066F">
                  <w:pPr>
                    <w:widowControl w:val="0"/>
                    <w:autoSpaceDE w:val="0"/>
                    <w:autoSpaceDN w:val="0"/>
                    <w:adjustRightInd w:val="0"/>
                    <w:spacing w:line="240" w:lineRule="auto"/>
                    <w:rPr>
                      <w:color w:val="000000" w:themeColor="text1"/>
                      <w:sz w:val="22"/>
                      <w:lang w:val="en-US"/>
                    </w:rPr>
                  </w:pPr>
                  <w:r w:rsidRPr="00EB468D">
                    <w:rPr>
                      <w:color w:val="000000" w:themeColor="text1"/>
                      <w:sz w:val="22"/>
                      <w:lang w:val="en-US"/>
                    </w:rPr>
                    <w:t xml:space="preserve"> Year FE</w:t>
                  </w:r>
                </w:p>
              </w:tc>
              <w:tc>
                <w:tcPr>
                  <w:tcW w:w="1223" w:type="pct"/>
                  <w:tcBorders>
                    <w:top w:val="nil"/>
                    <w:left w:val="nil"/>
                    <w:bottom w:val="nil"/>
                    <w:right w:val="nil"/>
                  </w:tcBorders>
                </w:tcPr>
                <w:p w14:paraId="38E3D43A"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Yes</w:t>
                  </w:r>
                </w:p>
              </w:tc>
              <w:tc>
                <w:tcPr>
                  <w:tcW w:w="1223" w:type="pct"/>
                  <w:tcBorders>
                    <w:top w:val="nil"/>
                    <w:left w:val="nil"/>
                    <w:bottom w:val="nil"/>
                    <w:right w:val="nil"/>
                  </w:tcBorders>
                </w:tcPr>
                <w:p w14:paraId="17517E34"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 xml:space="preserve"> Yes</w:t>
                  </w:r>
                </w:p>
              </w:tc>
              <w:tc>
                <w:tcPr>
                  <w:tcW w:w="1223" w:type="pct"/>
                  <w:tcBorders>
                    <w:top w:val="nil"/>
                    <w:left w:val="nil"/>
                    <w:bottom w:val="nil"/>
                    <w:right w:val="nil"/>
                  </w:tcBorders>
                </w:tcPr>
                <w:p w14:paraId="2C634F28" w14:textId="77777777" w:rsidR="00694090" w:rsidRPr="00EB468D" w:rsidRDefault="00694090" w:rsidP="00AB066F">
                  <w:pPr>
                    <w:widowControl w:val="0"/>
                    <w:autoSpaceDE w:val="0"/>
                    <w:autoSpaceDN w:val="0"/>
                    <w:adjustRightInd w:val="0"/>
                    <w:spacing w:line="240" w:lineRule="auto"/>
                    <w:jc w:val="center"/>
                    <w:rPr>
                      <w:color w:val="000000" w:themeColor="text1"/>
                      <w:sz w:val="22"/>
                      <w:lang w:val="en-US"/>
                    </w:rPr>
                  </w:pPr>
                  <w:r w:rsidRPr="00EB468D">
                    <w:rPr>
                      <w:color w:val="000000" w:themeColor="text1"/>
                      <w:sz w:val="22"/>
                      <w:lang w:val="en-US"/>
                    </w:rPr>
                    <w:t xml:space="preserve"> Yes</w:t>
                  </w:r>
                </w:p>
              </w:tc>
            </w:tr>
          </w:tbl>
          <w:p w14:paraId="58FC30EF" w14:textId="77777777" w:rsidR="00694090" w:rsidRPr="00EB468D" w:rsidRDefault="00694090" w:rsidP="00AB066F">
            <w:pPr>
              <w:jc w:val="left"/>
              <w:rPr>
                <w:color w:val="000000" w:themeColor="text1"/>
                <w:sz w:val="22"/>
                <w:lang w:val="en-US"/>
              </w:rPr>
            </w:pPr>
          </w:p>
        </w:tc>
      </w:tr>
      <w:tr w:rsidR="00694090" w:rsidRPr="00BE5632" w14:paraId="59275472" w14:textId="77777777" w:rsidTr="00107C6C">
        <w:trPr>
          <w:trHeight w:val="454"/>
        </w:trPr>
        <w:tc>
          <w:tcPr>
            <w:tcW w:w="8647" w:type="dxa"/>
            <w:tcBorders>
              <w:top w:val="single" w:sz="4" w:space="0" w:color="auto"/>
              <w:left w:val="nil"/>
              <w:right w:val="nil"/>
            </w:tcBorders>
            <w:shd w:val="clear" w:color="auto" w:fill="auto"/>
            <w:noWrap/>
          </w:tcPr>
          <w:p w14:paraId="131CF673" w14:textId="77777777" w:rsidR="00694090" w:rsidRPr="00EB468D" w:rsidRDefault="00694090" w:rsidP="00E74508">
            <w:pPr>
              <w:spacing w:before="120" w:line="240" w:lineRule="auto"/>
              <w:rPr>
                <w:color w:val="000000" w:themeColor="text1"/>
                <w:sz w:val="22"/>
                <w:lang w:val="en-US"/>
              </w:rPr>
            </w:pPr>
            <w:r w:rsidRPr="00EB468D">
              <w:rPr>
                <w:i/>
                <w:iCs/>
                <w:color w:val="000000" w:themeColor="text1"/>
                <w:sz w:val="22"/>
                <w:lang w:val="en-US"/>
              </w:rPr>
              <w:t>Note</w:t>
            </w:r>
            <w:r w:rsidRPr="00EB468D">
              <w:rPr>
                <w:color w:val="000000" w:themeColor="text1"/>
                <w:sz w:val="22"/>
                <w:lang w:val="en-US"/>
              </w:rPr>
              <w:t xml:space="preserve">. This table reports fixed effects linear OLS regression results predicting the effect of organizational cultural distance between acquirers and targets on deal announcement cumulative abnormal returns (CARs). The dependent variable for Models 1 and 2 is the acquirer’s cumulative abnormal return, with the day range being centered around announcement given in brackets. The dependent variable for Model 3 is the market value-weighted cumulative abnormal return of the acquirer and target. The main independent variable in Models 1-3 is </w:t>
            </w:r>
            <w:r w:rsidRPr="00EB468D">
              <w:rPr>
                <w:i/>
                <w:color w:val="000000" w:themeColor="text1"/>
                <w:sz w:val="22"/>
                <w:lang w:val="en-US"/>
              </w:rPr>
              <w:t xml:space="preserve">deal_culturaldistance </w:t>
            </w:r>
            <w:r w:rsidRPr="00EB468D">
              <w:rPr>
                <w:color w:val="000000" w:themeColor="text1"/>
                <w:sz w:val="22"/>
                <w:lang w:val="en-US"/>
              </w:rPr>
              <w:t xml:space="preserve">with higher </w:t>
            </w:r>
            <w:r w:rsidRPr="00EB468D">
              <w:rPr>
                <w:color w:val="000000" w:themeColor="text1"/>
                <w:sz w:val="22"/>
                <w:lang w:val="en-US"/>
              </w:rPr>
              <w:lastRenderedPageBreak/>
              <w:t>values indicating higher cultural dissimilarities between the acquirer and target. A detailed variable description can be found in Appendix B. Excluded from the analysis were international deals where the acquirer and the target are located in different countries. Constant terms are estimated but not reported. We include the acquirer’s industry and year fixed effects in all models. We cluster standard errors at the 2-digit SIC industry level. t-statistics are reported in parentheses below the coefficients. *, **, *** denote statistical significance at the .10, .05, and .01 levels (using two-tailed tests).</w:t>
            </w:r>
          </w:p>
        </w:tc>
      </w:tr>
    </w:tbl>
    <w:p w14:paraId="6F6FF5AF" w14:textId="77777777" w:rsidR="00EA286F" w:rsidRDefault="00EA286F">
      <w:pPr>
        <w:spacing w:after="160" w:line="259" w:lineRule="auto"/>
        <w:jc w:val="left"/>
        <w:rPr>
          <w:rStyle w:val="SchwacherVerweis"/>
          <w:rFonts w:eastAsiaTheme="majorEastAsia" w:cstheme="majorBidi"/>
          <w:b/>
          <w:caps/>
          <w:smallCaps w:val="0"/>
          <w:color w:val="auto"/>
          <w:szCs w:val="32"/>
          <w:lang w:val="en-US"/>
        </w:rPr>
      </w:pPr>
      <w:r w:rsidRPr="00A7042B">
        <w:rPr>
          <w:rStyle w:val="SchwacherVerweis"/>
          <w:smallCaps w:val="0"/>
          <w:color w:val="auto"/>
          <w:lang w:val="en-US"/>
        </w:rPr>
        <w:br w:type="page"/>
      </w:r>
    </w:p>
    <w:p w14:paraId="29759A93" w14:textId="673ECDF4" w:rsidR="00331B63" w:rsidRPr="00947673" w:rsidRDefault="00331B63" w:rsidP="00331B63">
      <w:pPr>
        <w:pStyle w:val="1fake"/>
        <w:rPr>
          <w:rStyle w:val="SchwacherVerweis"/>
          <w:smallCaps w:val="0"/>
          <w:color w:val="auto"/>
        </w:rPr>
      </w:pPr>
      <w:r w:rsidRPr="00947673">
        <w:rPr>
          <w:rStyle w:val="SchwacherVerweis"/>
          <w:smallCaps w:val="0"/>
          <w:color w:val="auto"/>
        </w:rPr>
        <w:lastRenderedPageBreak/>
        <w:t xml:space="preserve">Online Supplement </w:t>
      </w:r>
      <w:r>
        <w:rPr>
          <w:rStyle w:val="SchwacherVerweis"/>
          <w:smallCaps w:val="0"/>
          <w:color w:val="auto"/>
        </w:rPr>
        <w:t>10</w:t>
      </w:r>
    </w:p>
    <w:p w14:paraId="6DE45833" w14:textId="61A7AB76" w:rsidR="00011AF5" w:rsidRPr="004D7CC1" w:rsidRDefault="00011AF5" w:rsidP="00011AF5">
      <w:pPr>
        <w:pStyle w:val="Beschriftung"/>
      </w:pPr>
      <w:bookmarkStart w:id="629" w:name="_Toc180594856"/>
      <w:r>
        <w:t xml:space="preserve">T - III - </w:t>
      </w:r>
      <w:r>
        <w:fldChar w:fldCharType="begin"/>
      </w:r>
      <w:r>
        <w:instrText xml:space="preserve"> SEQ T_-_III_- \* ARABIC </w:instrText>
      </w:r>
      <w:r>
        <w:fldChar w:fldCharType="separate"/>
      </w:r>
      <w:r w:rsidR="00E91088">
        <w:rPr>
          <w:noProof/>
        </w:rPr>
        <w:t>20</w:t>
      </w:r>
      <w:r>
        <w:fldChar w:fldCharType="end"/>
      </w:r>
      <w:r>
        <w:t xml:space="preserve">: </w:t>
      </w:r>
      <w:r w:rsidRPr="00C2101E">
        <w:t>H1b: Long-term operating synergies - No international deals</w:t>
      </w:r>
      <w:bookmarkEnd w:id="629"/>
    </w:p>
    <w:tbl>
      <w:tblPr>
        <w:tblW w:w="9072" w:type="dxa"/>
        <w:tblLayout w:type="fixed"/>
        <w:tblLook w:val="04A0" w:firstRow="1" w:lastRow="0" w:firstColumn="1" w:lastColumn="0" w:noHBand="0" w:noVBand="1"/>
      </w:tblPr>
      <w:tblGrid>
        <w:gridCol w:w="9072"/>
      </w:tblGrid>
      <w:tr w:rsidR="00694090" w:rsidRPr="00F60760" w14:paraId="440252E2" w14:textId="77777777" w:rsidTr="00107C6C">
        <w:trPr>
          <w:trHeight w:val="909"/>
        </w:trPr>
        <w:tc>
          <w:tcPr>
            <w:tcW w:w="5000" w:type="pct"/>
            <w:tcBorders>
              <w:left w:val="nil"/>
              <w:bottom w:val="single" w:sz="4" w:space="0" w:color="auto"/>
              <w:right w:val="nil"/>
            </w:tcBorders>
            <w:shd w:val="clear" w:color="auto" w:fill="auto"/>
          </w:tcPr>
          <w:tbl>
            <w:tblPr>
              <w:tblW w:w="9072" w:type="dxa"/>
              <w:jc w:val="center"/>
              <w:tblLayout w:type="fixed"/>
              <w:tblLook w:val="0000" w:firstRow="0" w:lastRow="0" w:firstColumn="0" w:lastColumn="0" w:noHBand="0" w:noVBand="0"/>
            </w:tblPr>
            <w:tblGrid>
              <w:gridCol w:w="3024"/>
              <w:gridCol w:w="3024"/>
              <w:gridCol w:w="3024"/>
            </w:tblGrid>
            <w:tr w:rsidR="00694090" w:rsidRPr="00F60760" w14:paraId="286BBCF2" w14:textId="77777777" w:rsidTr="00107C6C">
              <w:trPr>
                <w:jc w:val="center"/>
              </w:trPr>
              <w:tc>
                <w:tcPr>
                  <w:tcW w:w="3231" w:type="dxa"/>
                  <w:tcBorders>
                    <w:top w:val="single" w:sz="4" w:space="0" w:color="auto"/>
                    <w:left w:val="nil"/>
                    <w:right w:val="nil"/>
                  </w:tcBorders>
                </w:tcPr>
                <w:p w14:paraId="65FB726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w:t>
                  </w:r>
                </w:p>
              </w:tc>
              <w:tc>
                <w:tcPr>
                  <w:tcW w:w="3231" w:type="dxa"/>
                  <w:tcBorders>
                    <w:top w:val="single" w:sz="4" w:space="0" w:color="auto"/>
                    <w:left w:val="nil"/>
                    <w:right w:val="nil"/>
                  </w:tcBorders>
                </w:tcPr>
                <w:p w14:paraId="7A616B6D"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(1)</w:t>
                  </w:r>
                </w:p>
              </w:tc>
              <w:tc>
                <w:tcPr>
                  <w:tcW w:w="3231" w:type="dxa"/>
                  <w:tcBorders>
                    <w:top w:val="single" w:sz="4" w:space="0" w:color="auto"/>
                    <w:left w:val="nil"/>
                    <w:right w:val="nil"/>
                  </w:tcBorders>
                </w:tcPr>
                <w:p w14:paraId="06633EC5"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(2)</w:t>
                  </w:r>
                </w:p>
              </w:tc>
            </w:tr>
            <w:tr w:rsidR="00694090" w:rsidRPr="00F60760" w14:paraId="2F712559" w14:textId="77777777" w:rsidTr="00107C6C">
              <w:trPr>
                <w:jc w:val="center"/>
              </w:trPr>
              <w:tc>
                <w:tcPr>
                  <w:tcW w:w="3231" w:type="dxa"/>
                  <w:tcBorders>
                    <w:top w:val="nil"/>
                    <w:left w:val="nil"/>
                    <w:bottom w:val="single" w:sz="4" w:space="0" w:color="auto"/>
                    <w:right w:val="nil"/>
                  </w:tcBorders>
                </w:tcPr>
                <w:p w14:paraId="483C5E4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single" w:sz="4" w:space="0" w:color="auto"/>
                    <w:right w:val="nil"/>
                  </w:tcBorders>
                </w:tcPr>
                <w:p w14:paraId="4EFA1692"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acq_sales_2yr_growth</w:t>
                  </w:r>
                </w:p>
              </w:tc>
              <w:tc>
                <w:tcPr>
                  <w:tcW w:w="3231" w:type="dxa"/>
                  <w:tcBorders>
                    <w:top w:val="nil"/>
                    <w:left w:val="nil"/>
                    <w:bottom w:val="single" w:sz="4" w:space="0" w:color="auto"/>
                    <w:right w:val="nil"/>
                  </w:tcBorders>
                </w:tcPr>
                <w:p w14:paraId="6B40C923"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acq_sales_4yr_growth</w:t>
                  </w:r>
                </w:p>
              </w:tc>
            </w:tr>
            <w:tr w:rsidR="00694090" w:rsidRPr="00F60760" w14:paraId="5BF56034" w14:textId="77777777" w:rsidTr="00107C6C">
              <w:trPr>
                <w:trHeight w:val="224"/>
                <w:jc w:val="center"/>
              </w:trPr>
              <w:tc>
                <w:tcPr>
                  <w:tcW w:w="3231" w:type="dxa"/>
                  <w:tcBorders>
                    <w:top w:val="single" w:sz="4" w:space="0" w:color="auto"/>
                    <w:left w:val="nil"/>
                    <w:bottom w:val="nil"/>
                    <w:right w:val="nil"/>
                  </w:tcBorders>
                </w:tcPr>
                <w:p w14:paraId="22B294E3"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deal_culturaldistance</w:t>
                  </w:r>
                </w:p>
              </w:tc>
              <w:tc>
                <w:tcPr>
                  <w:tcW w:w="3231" w:type="dxa"/>
                  <w:tcBorders>
                    <w:top w:val="single" w:sz="4" w:space="0" w:color="auto"/>
                    <w:left w:val="nil"/>
                    <w:bottom w:val="nil"/>
                    <w:right w:val="nil"/>
                  </w:tcBorders>
                  <w:vAlign w:val="center"/>
                </w:tcPr>
                <w:p w14:paraId="38067BD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-.006*</w:t>
                  </w:r>
                </w:p>
              </w:tc>
              <w:tc>
                <w:tcPr>
                  <w:tcW w:w="3231" w:type="dxa"/>
                  <w:tcBorders>
                    <w:top w:val="single" w:sz="4" w:space="0" w:color="auto"/>
                    <w:left w:val="nil"/>
                    <w:bottom w:val="nil"/>
                    <w:right w:val="nil"/>
                  </w:tcBorders>
                  <w:vAlign w:val="center"/>
                </w:tcPr>
                <w:p w14:paraId="6BCABE5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-.005</w:t>
                  </w:r>
                </w:p>
              </w:tc>
            </w:tr>
            <w:tr w:rsidR="00694090" w:rsidRPr="00F60760" w14:paraId="5E4EF25E" w14:textId="77777777" w:rsidTr="00107C6C">
              <w:trPr>
                <w:jc w:val="center"/>
              </w:trPr>
              <w:tc>
                <w:tcPr>
                  <w:tcW w:w="3231" w:type="dxa"/>
                  <w:tcBorders>
                    <w:top w:val="nil"/>
                    <w:left w:val="nil"/>
                    <w:bottom w:val="nil"/>
                    <w:right w:val="nil"/>
                  </w:tcBorders>
                </w:tcPr>
                <w:p w14:paraId="6F789F1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017C9E1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(-2.001)</w:t>
                  </w:r>
                </w:p>
              </w:tc>
              <w:tc>
                <w:tcPr>
                  <w:tcW w:w="3231" w:type="dxa"/>
                  <w:tcBorders>
                    <w:top w:val="nil"/>
                    <w:left w:val="nil"/>
                    <w:bottom w:val="nil"/>
                    <w:right w:val="nil"/>
                  </w:tcBorders>
                  <w:vAlign w:val="center"/>
                </w:tcPr>
                <w:p w14:paraId="24C96C5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(-1.267)</w:t>
                  </w:r>
                </w:p>
              </w:tc>
            </w:tr>
            <w:tr w:rsidR="00694090" w:rsidRPr="00F60760" w14:paraId="38085C90" w14:textId="77777777" w:rsidTr="00107C6C">
              <w:trPr>
                <w:jc w:val="center"/>
              </w:trPr>
              <w:tc>
                <w:tcPr>
                  <w:tcW w:w="3231" w:type="dxa"/>
                  <w:tcBorders>
                    <w:top w:val="nil"/>
                    <w:left w:val="nil"/>
                    <w:bottom w:val="nil"/>
                    <w:right w:val="nil"/>
                  </w:tcBorders>
                </w:tcPr>
                <w:p w14:paraId="15B4E98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deal_value_ln</w:t>
                  </w:r>
                </w:p>
              </w:tc>
              <w:tc>
                <w:tcPr>
                  <w:tcW w:w="3231" w:type="dxa"/>
                  <w:tcBorders>
                    <w:top w:val="nil"/>
                    <w:left w:val="nil"/>
                    <w:bottom w:val="nil"/>
                    <w:right w:val="nil"/>
                  </w:tcBorders>
                  <w:vAlign w:val="center"/>
                </w:tcPr>
                <w:p w14:paraId="587005C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-.051</w:t>
                  </w:r>
                </w:p>
              </w:tc>
              <w:tc>
                <w:tcPr>
                  <w:tcW w:w="3231" w:type="dxa"/>
                  <w:tcBorders>
                    <w:top w:val="nil"/>
                    <w:left w:val="nil"/>
                    <w:bottom w:val="nil"/>
                    <w:right w:val="nil"/>
                  </w:tcBorders>
                  <w:vAlign w:val="center"/>
                </w:tcPr>
                <w:p w14:paraId="5C9AC1C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-.016</w:t>
                  </w:r>
                </w:p>
              </w:tc>
            </w:tr>
            <w:tr w:rsidR="00694090" w:rsidRPr="00F60760" w14:paraId="494A2BC8" w14:textId="77777777" w:rsidTr="00107C6C">
              <w:trPr>
                <w:jc w:val="center"/>
              </w:trPr>
              <w:tc>
                <w:tcPr>
                  <w:tcW w:w="3231" w:type="dxa"/>
                  <w:tcBorders>
                    <w:top w:val="nil"/>
                    <w:left w:val="nil"/>
                    <w:bottom w:val="nil"/>
                    <w:right w:val="nil"/>
                  </w:tcBorders>
                </w:tcPr>
                <w:p w14:paraId="33D3CA6B"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5F0936F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(-1.399)</w:t>
                  </w:r>
                </w:p>
              </w:tc>
              <w:tc>
                <w:tcPr>
                  <w:tcW w:w="3231" w:type="dxa"/>
                  <w:tcBorders>
                    <w:top w:val="nil"/>
                    <w:left w:val="nil"/>
                    <w:bottom w:val="nil"/>
                    <w:right w:val="nil"/>
                  </w:tcBorders>
                  <w:vAlign w:val="center"/>
                </w:tcPr>
                <w:p w14:paraId="7F8FC37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(-.656)</w:t>
                  </w:r>
                </w:p>
              </w:tc>
            </w:tr>
            <w:tr w:rsidR="00694090" w:rsidRPr="00F60760" w14:paraId="40DFE229" w14:textId="77777777" w:rsidTr="00107C6C">
              <w:trPr>
                <w:jc w:val="center"/>
              </w:trPr>
              <w:tc>
                <w:tcPr>
                  <w:tcW w:w="3231" w:type="dxa"/>
                  <w:tcBorders>
                    <w:top w:val="nil"/>
                    <w:left w:val="nil"/>
                    <w:bottom w:val="nil"/>
                    <w:right w:val="nil"/>
                  </w:tcBorders>
                </w:tcPr>
                <w:p w14:paraId="3D7E6E33"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deal_hofstede_distance</w:t>
                  </w:r>
                </w:p>
              </w:tc>
              <w:tc>
                <w:tcPr>
                  <w:tcW w:w="3231" w:type="dxa"/>
                  <w:tcBorders>
                    <w:top w:val="nil"/>
                    <w:left w:val="nil"/>
                    <w:bottom w:val="nil"/>
                    <w:right w:val="nil"/>
                  </w:tcBorders>
                  <w:vAlign w:val="center"/>
                </w:tcPr>
                <w:p w14:paraId="36566C8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w:t>
                  </w:r>
                </w:p>
              </w:tc>
              <w:tc>
                <w:tcPr>
                  <w:tcW w:w="3231" w:type="dxa"/>
                  <w:tcBorders>
                    <w:top w:val="nil"/>
                    <w:left w:val="nil"/>
                    <w:bottom w:val="nil"/>
                    <w:right w:val="nil"/>
                  </w:tcBorders>
                  <w:vAlign w:val="center"/>
                </w:tcPr>
                <w:p w14:paraId="2C8D396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w:t>
                  </w:r>
                </w:p>
              </w:tc>
            </w:tr>
            <w:tr w:rsidR="00694090" w:rsidRPr="00F60760" w14:paraId="1A23F536" w14:textId="77777777" w:rsidTr="00107C6C">
              <w:trPr>
                <w:jc w:val="center"/>
              </w:trPr>
              <w:tc>
                <w:tcPr>
                  <w:tcW w:w="3231" w:type="dxa"/>
                  <w:tcBorders>
                    <w:top w:val="nil"/>
                    <w:left w:val="nil"/>
                    <w:bottom w:val="nil"/>
                    <w:right w:val="nil"/>
                  </w:tcBorders>
                </w:tcPr>
                <w:p w14:paraId="67F40C25"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1882CBB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w:t>
                  </w:r>
                </w:p>
              </w:tc>
              <w:tc>
                <w:tcPr>
                  <w:tcW w:w="3231" w:type="dxa"/>
                  <w:tcBorders>
                    <w:top w:val="nil"/>
                    <w:left w:val="nil"/>
                    <w:bottom w:val="nil"/>
                    <w:right w:val="nil"/>
                  </w:tcBorders>
                  <w:vAlign w:val="center"/>
                </w:tcPr>
                <w:p w14:paraId="6CCD46D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w:t>
                  </w:r>
                </w:p>
              </w:tc>
            </w:tr>
            <w:tr w:rsidR="00694090" w:rsidRPr="00F60760" w14:paraId="6C547D7C" w14:textId="77777777" w:rsidTr="00107C6C">
              <w:trPr>
                <w:jc w:val="center"/>
              </w:trPr>
              <w:tc>
                <w:tcPr>
                  <w:tcW w:w="3231" w:type="dxa"/>
                  <w:tcBorders>
                    <w:top w:val="nil"/>
                    <w:left w:val="nil"/>
                    <w:bottom w:val="nil"/>
                    <w:right w:val="nil"/>
                  </w:tcBorders>
                </w:tcPr>
                <w:p w14:paraId="7082CE30"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deal_all_cash_dummy</w:t>
                  </w:r>
                </w:p>
              </w:tc>
              <w:tc>
                <w:tcPr>
                  <w:tcW w:w="3231" w:type="dxa"/>
                  <w:tcBorders>
                    <w:top w:val="nil"/>
                    <w:left w:val="nil"/>
                    <w:bottom w:val="nil"/>
                    <w:right w:val="nil"/>
                  </w:tcBorders>
                  <w:vAlign w:val="center"/>
                </w:tcPr>
                <w:p w14:paraId="652D02C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-.162**</w:t>
                  </w:r>
                </w:p>
              </w:tc>
              <w:tc>
                <w:tcPr>
                  <w:tcW w:w="3231" w:type="dxa"/>
                  <w:tcBorders>
                    <w:top w:val="nil"/>
                    <w:left w:val="nil"/>
                    <w:bottom w:val="nil"/>
                    <w:right w:val="nil"/>
                  </w:tcBorders>
                  <w:vAlign w:val="center"/>
                </w:tcPr>
                <w:p w14:paraId="0AD018C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-.105***</w:t>
                  </w:r>
                </w:p>
              </w:tc>
            </w:tr>
            <w:tr w:rsidR="00694090" w:rsidRPr="00F60760" w14:paraId="0A703B51" w14:textId="77777777" w:rsidTr="00107C6C">
              <w:trPr>
                <w:jc w:val="center"/>
              </w:trPr>
              <w:tc>
                <w:tcPr>
                  <w:tcW w:w="3231" w:type="dxa"/>
                  <w:tcBorders>
                    <w:top w:val="nil"/>
                    <w:left w:val="nil"/>
                    <w:bottom w:val="nil"/>
                    <w:right w:val="nil"/>
                  </w:tcBorders>
                </w:tcPr>
                <w:p w14:paraId="005EF86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566C791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(-2.517)</w:t>
                  </w:r>
                </w:p>
              </w:tc>
              <w:tc>
                <w:tcPr>
                  <w:tcW w:w="3231" w:type="dxa"/>
                  <w:tcBorders>
                    <w:top w:val="nil"/>
                    <w:left w:val="nil"/>
                    <w:bottom w:val="nil"/>
                    <w:right w:val="nil"/>
                  </w:tcBorders>
                  <w:vAlign w:val="center"/>
                </w:tcPr>
                <w:p w14:paraId="1A6E098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(-3.302)</w:t>
                  </w:r>
                </w:p>
              </w:tc>
            </w:tr>
            <w:tr w:rsidR="00694090" w:rsidRPr="00F60760" w14:paraId="27205FA8" w14:textId="77777777" w:rsidTr="00107C6C">
              <w:trPr>
                <w:jc w:val="center"/>
              </w:trPr>
              <w:tc>
                <w:tcPr>
                  <w:tcW w:w="3231" w:type="dxa"/>
                  <w:tcBorders>
                    <w:top w:val="nil"/>
                    <w:left w:val="nil"/>
                    <w:bottom w:val="nil"/>
                    <w:right w:val="nil"/>
                  </w:tcBorders>
                </w:tcPr>
                <w:p w14:paraId="0EA0398B"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deal_all_stock_dummy</w:t>
                  </w:r>
                </w:p>
              </w:tc>
              <w:tc>
                <w:tcPr>
                  <w:tcW w:w="3231" w:type="dxa"/>
                  <w:tcBorders>
                    <w:top w:val="nil"/>
                    <w:left w:val="nil"/>
                    <w:bottom w:val="nil"/>
                    <w:right w:val="nil"/>
                  </w:tcBorders>
                  <w:vAlign w:val="center"/>
                </w:tcPr>
                <w:p w14:paraId="33CC35E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-.019</w:t>
                  </w:r>
                </w:p>
              </w:tc>
              <w:tc>
                <w:tcPr>
                  <w:tcW w:w="3231" w:type="dxa"/>
                  <w:tcBorders>
                    <w:top w:val="nil"/>
                    <w:left w:val="nil"/>
                    <w:bottom w:val="nil"/>
                    <w:right w:val="nil"/>
                  </w:tcBorders>
                  <w:vAlign w:val="center"/>
                </w:tcPr>
                <w:p w14:paraId="3C3DBA4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.018</w:t>
                  </w:r>
                </w:p>
              </w:tc>
            </w:tr>
            <w:tr w:rsidR="00694090" w:rsidRPr="00F60760" w14:paraId="140DBE0C" w14:textId="77777777" w:rsidTr="00107C6C">
              <w:trPr>
                <w:jc w:val="center"/>
              </w:trPr>
              <w:tc>
                <w:tcPr>
                  <w:tcW w:w="3231" w:type="dxa"/>
                  <w:tcBorders>
                    <w:top w:val="nil"/>
                    <w:left w:val="nil"/>
                    <w:bottom w:val="nil"/>
                    <w:right w:val="nil"/>
                  </w:tcBorders>
                </w:tcPr>
                <w:p w14:paraId="20028168"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1B2B304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(-.160)</w:t>
                  </w:r>
                </w:p>
              </w:tc>
              <w:tc>
                <w:tcPr>
                  <w:tcW w:w="3231" w:type="dxa"/>
                  <w:tcBorders>
                    <w:top w:val="nil"/>
                    <w:left w:val="nil"/>
                    <w:bottom w:val="nil"/>
                    <w:right w:val="nil"/>
                  </w:tcBorders>
                  <w:vAlign w:val="center"/>
                </w:tcPr>
                <w:p w14:paraId="62E8B25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(.244)</w:t>
                  </w:r>
                </w:p>
              </w:tc>
            </w:tr>
            <w:tr w:rsidR="00694090" w:rsidRPr="00F60760" w14:paraId="4748D942" w14:textId="77777777" w:rsidTr="00107C6C">
              <w:trPr>
                <w:jc w:val="center"/>
              </w:trPr>
              <w:tc>
                <w:tcPr>
                  <w:tcW w:w="3231" w:type="dxa"/>
                  <w:tcBorders>
                    <w:top w:val="nil"/>
                    <w:left w:val="nil"/>
                    <w:bottom w:val="nil"/>
                    <w:right w:val="nil"/>
                  </w:tcBorders>
                </w:tcPr>
                <w:p w14:paraId="6E40860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deal_tenderoffer_dummy</w:t>
                  </w:r>
                </w:p>
              </w:tc>
              <w:tc>
                <w:tcPr>
                  <w:tcW w:w="3231" w:type="dxa"/>
                  <w:tcBorders>
                    <w:top w:val="nil"/>
                    <w:left w:val="nil"/>
                    <w:bottom w:val="nil"/>
                    <w:right w:val="nil"/>
                  </w:tcBorders>
                  <w:vAlign w:val="center"/>
                </w:tcPr>
                <w:p w14:paraId="3C63D40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-.017</w:t>
                  </w:r>
                </w:p>
              </w:tc>
              <w:tc>
                <w:tcPr>
                  <w:tcW w:w="3231" w:type="dxa"/>
                  <w:tcBorders>
                    <w:top w:val="nil"/>
                    <w:left w:val="nil"/>
                    <w:bottom w:val="nil"/>
                    <w:right w:val="nil"/>
                  </w:tcBorders>
                  <w:vAlign w:val="center"/>
                </w:tcPr>
                <w:p w14:paraId="5CC9DDA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-.011</w:t>
                  </w:r>
                </w:p>
              </w:tc>
            </w:tr>
            <w:tr w:rsidR="00694090" w:rsidRPr="00F60760" w14:paraId="291D7BB7" w14:textId="77777777" w:rsidTr="00107C6C">
              <w:trPr>
                <w:jc w:val="center"/>
              </w:trPr>
              <w:tc>
                <w:tcPr>
                  <w:tcW w:w="3231" w:type="dxa"/>
                  <w:tcBorders>
                    <w:top w:val="nil"/>
                    <w:left w:val="nil"/>
                    <w:bottom w:val="nil"/>
                    <w:right w:val="nil"/>
                  </w:tcBorders>
                </w:tcPr>
                <w:p w14:paraId="50C39C68"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7B541D0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(-.316)</w:t>
                  </w:r>
                </w:p>
              </w:tc>
              <w:tc>
                <w:tcPr>
                  <w:tcW w:w="3231" w:type="dxa"/>
                  <w:tcBorders>
                    <w:top w:val="nil"/>
                    <w:left w:val="nil"/>
                    <w:bottom w:val="nil"/>
                    <w:right w:val="nil"/>
                  </w:tcBorders>
                  <w:vAlign w:val="center"/>
                </w:tcPr>
                <w:p w14:paraId="64EB11F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(-.218)</w:t>
                  </w:r>
                </w:p>
              </w:tc>
            </w:tr>
            <w:tr w:rsidR="00694090" w:rsidRPr="00F60760" w14:paraId="4443E4F3" w14:textId="77777777" w:rsidTr="00107C6C">
              <w:trPr>
                <w:jc w:val="center"/>
              </w:trPr>
              <w:tc>
                <w:tcPr>
                  <w:tcW w:w="3231" w:type="dxa"/>
                  <w:tcBorders>
                    <w:top w:val="nil"/>
                    <w:left w:val="nil"/>
                    <w:bottom w:val="nil"/>
                    <w:right w:val="nil"/>
                  </w:tcBorders>
                </w:tcPr>
                <w:p w14:paraId="6B1FD16D"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deal_friendly_dummy</w:t>
                  </w:r>
                </w:p>
              </w:tc>
              <w:tc>
                <w:tcPr>
                  <w:tcW w:w="3231" w:type="dxa"/>
                  <w:tcBorders>
                    <w:top w:val="nil"/>
                    <w:left w:val="nil"/>
                    <w:bottom w:val="nil"/>
                    <w:right w:val="nil"/>
                  </w:tcBorders>
                  <w:vAlign w:val="center"/>
                </w:tcPr>
                <w:p w14:paraId="3EB23A6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.067</w:t>
                  </w:r>
                </w:p>
              </w:tc>
              <w:tc>
                <w:tcPr>
                  <w:tcW w:w="3231" w:type="dxa"/>
                  <w:tcBorders>
                    <w:top w:val="nil"/>
                    <w:left w:val="nil"/>
                    <w:bottom w:val="nil"/>
                    <w:right w:val="nil"/>
                  </w:tcBorders>
                </w:tcPr>
                <w:p w14:paraId="567792B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w:t>
                  </w:r>
                </w:p>
              </w:tc>
            </w:tr>
            <w:tr w:rsidR="00694090" w:rsidRPr="00F60760" w14:paraId="21554FE0" w14:textId="77777777" w:rsidTr="00107C6C">
              <w:trPr>
                <w:jc w:val="center"/>
              </w:trPr>
              <w:tc>
                <w:tcPr>
                  <w:tcW w:w="3231" w:type="dxa"/>
                  <w:tcBorders>
                    <w:top w:val="nil"/>
                    <w:left w:val="nil"/>
                    <w:bottom w:val="nil"/>
                    <w:right w:val="nil"/>
                  </w:tcBorders>
                </w:tcPr>
                <w:p w14:paraId="7BB304C8"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1DCB69F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(.539)</w:t>
                  </w:r>
                </w:p>
              </w:tc>
              <w:tc>
                <w:tcPr>
                  <w:tcW w:w="3231" w:type="dxa"/>
                  <w:tcBorders>
                    <w:top w:val="nil"/>
                    <w:left w:val="nil"/>
                    <w:bottom w:val="nil"/>
                    <w:right w:val="nil"/>
                  </w:tcBorders>
                </w:tcPr>
                <w:p w14:paraId="1FABEAA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w:t>
                  </w:r>
                </w:p>
              </w:tc>
            </w:tr>
            <w:tr w:rsidR="00694090" w:rsidRPr="00F60760" w14:paraId="7B4623C7" w14:textId="77777777" w:rsidTr="00107C6C">
              <w:trPr>
                <w:jc w:val="center"/>
              </w:trPr>
              <w:tc>
                <w:tcPr>
                  <w:tcW w:w="3231" w:type="dxa"/>
                  <w:tcBorders>
                    <w:top w:val="nil"/>
                    <w:left w:val="nil"/>
                    <w:bottom w:val="nil"/>
                    <w:right w:val="nil"/>
                  </w:tcBorders>
                </w:tcPr>
                <w:p w14:paraId="60E603FD"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deal_relatedness_dummy</w:t>
                  </w:r>
                </w:p>
              </w:tc>
              <w:tc>
                <w:tcPr>
                  <w:tcW w:w="3231" w:type="dxa"/>
                  <w:tcBorders>
                    <w:top w:val="nil"/>
                    <w:left w:val="nil"/>
                    <w:bottom w:val="nil"/>
                    <w:right w:val="nil"/>
                  </w:tcBorders>
                  <w:vAlign w:val="center"/>
                </w:tcPr>
                <w:p w14:paraId="7333E2E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-.171**</w:t>
                  </w:r>
                </w:p>
              </w:tc>
              <w:tc>
                <w:tcPr>
                  <w:tcW w:w="3231" w:type="dxa"/>
                  <w:tcBorders>
                    <w:top w:val="nil"/>
                    <w:left w:val="nil"/>
                    <w:bottom w:val="nil"/>
                    <w:right w:val="nil"/>
                  </w:tcBorders>
                  <w:vAlign w:val="center"/>
                </w:tcPr>
                <w:p w14:paraId="28951B5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-.112**</w:t>
                  </w:r>
                </w:p>
              </w:tc>
            </w:tr>
            <w:tr w:rsidR="00694090" w:rsidRPr="00F60760" w14:paraId="7E62E0FA" w14:textId="77777777" w:rsidTr="00107C6C">
              <w:trPr>
                <w:jc w:val="center"/>
              </w:trPr>
              <w:tc>
                <w:tcPr>
                  <w:tcW w:w="3231" w:type="dxa"/>
                  <w:tcBorders>
                    <w:top w:val="nil"/>
                    <w:left w:val="nil"/>
                    <w:bottom w:val="nil"/>
                    <w:right w:val="nil"/>
                  </w:tcBorders>
                </w:tcPr>
                <w:p w14:paraId="4CD7875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036F42B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(-2.396)</w:t>
                  </w:r>
                </w:p>
              </w:tc>
              <w:tc>
                <w:tcPr>
                  <w:tcW w:w="3231" w:type="dxa"/>
                  <w:tcBorders>
                    <w:top w:val="nil"/>
                    <w:left w:val="nil"/>
                    <w:bottom w:val="nil"/>
                    <w:right w:val="nil"/>
                  </w:tcBorders>
                  <w:vAlign w:val="center"/>
                </w:tcPr>
                <w:p w14:paraId="5E5F058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(-2.429)</w:t>
                  </w:r>
                </w:p>
              </w:tc>
            </w:tr>
            <w:tr w:rsidR="00694090" w:rsidRPr="00F60760" w14:paraId="36EF8F5D" w14:textId="77777777" w:rsidTr="00107C6C">
              <w:trPr>
                <w:jc w:val="center"/>
              </w:trPr>
              <w:tc>
                <w:tcPr>
                  <w:tcW w:w="3231" w:type="dxa"/>
                  <w:tcBorders>
                    <w:top w:val="nil"/>
                    <w:left w:val="nil"/>
                    <w:bottom w:val="nil"/>
                    <w:right w:val="nil"/>
                  </w:tcBorders>
                </w:tcPr>
                <w:p w14:paraId="325DE31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acq_age</w:t>
                  </w:r>
                </w:p>
              </w:tc>
              <w:tc>
                <w:tcPr>
                  <w:tcW w:w="3231" w:type="dxa"/>
                  <w:tcBorders>
                    <w:top w:val="nil"/>
                    <w:left w:val="nil"/>
                    <w:bottom w:val="nil"/>
                    <w:right w:val="nil"/>
                  </w:tcBorders>
                  <w:vAlign w:val="center"/>
                </w:tcPr>
                <w:p w14:paraId="56DD9E0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c>
                <w:tcPr>
                  <w:tcW w:w="3231" w:type="dxa"/>
                  <w:tcBorders>
                    <w:top w:val="nil"/>
                    <w:left w:val="nil"/>
                    <w:bottom w:val="nil"/>
                    <w:right w:val="nil"/>
                  </w:tcBorders>
                  <w:vAlign w:val="center"/>
                </w:tcPr>
                <w:p w14:paraId="0F0466F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r>
            <w:tr w:rsidR="00694090" w:rsidRPr="00F60760" w14:paraId="1ED96B85" w14:textId="77777777" w:rsidTr="00107C6C">
              <w:trPr>
                <w:jc w:val="center"/>
              </w:trPr>
              <w:tc>
                <w:tcPr>
                  <w:tcW w:w="3231" w:type="dxa"/>
                  <w:tcBorders>
                    <w:top w:val="nil"/>
                    <w:left w:val="nil"/>
                    <w:bottom w:val="nil"/>
                    <w:right w:val="nil"/>
                  </w:tcBorders>
                </w:tcPr>
                <w:p w14:paraId="1F5BB70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1C88818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(-2.310)</w:t>
                  </w:r>
                </w:p>
              </w:tc>
              <w:tc>
                <w:tcPr>
                  <w:tcW w:w="3231" w:type="dxa"/>
                  <w:tcBorders>
                    <w:top w:val="nil"/>
                    <w:left w:val="nil"/>
                    <w:bottom w:val="nil"/>
                    <w:right w:val="nil"/>
                  </w:tcBorders>
                  <w:vAlign w:val="center"/>
                </w:tcPr>
                <w:p w14:paraId="3BDCC0B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(-2.077)</w:t>
                  </w:r>
                </w:p>
              </w:tc>
            </w:tr>
            <w:tr w:rsidR="00694090" w:rsidRPr="00F60760" w14:paraId="2E145D4D" w14:textId="77777777" w:rsidTr="00107C6C">
              <w:trPr>
                <w:jc w:val="center"/>
              </w:trPr>
              <w:tc>
                <w:tcPr>
                  <w:tcW w:w="3231" w:type="dxa"/>
                  <w:tcBorders>
                    <w:top w:val="nil"/>
                    <w:left w:val="nil"/>
                    <w:bottom w:val="nil"/>
                    <w:right w:val="nil"/>
                  </w:tcBorders>
                </w:tcPr>
                <w:p w14:paraId="15FE94A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acq_assets_lastyear_ln</w:t>
                  </w:r>
                </w:p>
              </w:tc>
              <w:tc>
                <w:tcPr>
                  <w:tcW w:w="3231" w:type="dxa"/>
                  <w:tcBorders>
                    <w:top w:val="nil"/>
                    <w:left w:val="nil"/>
                    <w:bottom w:val="nil"/>
                    <w:right w:val="nil"/>
                  </w:tcBorders>
                  <w:vAlign w:val="center"/>
                </w:tcPr>
                <w:p w14:paraId="62997B2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-.061**</w:t>
                  </w:r>
                </w:p>
              </w:tc>
              <w:tc>
                <w:tcPr>
                  <w:tcW w:w="3231" w:type="dxa"/>
                  <w:tcBorders>
                    <w:top w:val="nil"/>
                    <w:left w:val="nil"/>
                    <w:bottom w:val="nil"/>
                    <w:right w:val="nil"/>
                  </w:tcBorders>
                  <w:vAlign w:val="center"/>
                </w:tcPr>
                <w:p w14:paraId="3516284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-.038**</w:t>
                  </w:r>
                </w:p>
              </w:tc>
            </w:tr>
            <w:tr w:rsidR="00694090" w:rsidRPr="00F60760" w14:paraId="4D4963AE" w14:textId="77777777" w:rsidTr="00107C6C">
              <w:trPr>
                <w:jc w:val="center"/>
              </w:trPr>
              <w:tc>
                <w:tcPr>
                  <w:tcW w:w="3231" w:type="dxa"/>
                  <w:tcBorders>
                    <w:top w:val="nil"/>
                    <w:left w:val="nil"/>
                    <w:bottom w:val="nil"/>
                    <w:right w:val="nil"/>
                  </w:tcBorders>
                </w:tcPr>
                <w:p w14:paraId="5E4C123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2763872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(-2.404)</w:t>
                  </w:r>
                </w:p>
              </w:tc>
              <w:tc>
                <w:tcPr>
                  <w:tcW w:w="3231" w:type="dxa"/>
                  <w:tcBorders>
                    <w:top w:val="nil"/>
                    <w:left w:val="nil"/>
                    <w:bottom w:val="nil"/>
                    <w:right w:val="nil"/>
                  </w:tcBorders>
                  <w:vAlign w:val="center"/>
                </w:tcPr>
                <w:p w14:paraId="3044750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(-2.135)</w:t>
                  </w:r>
                </w:p>
              </w:tc>
            </w:tr>
            <w:tr w:rsidR="00694090" w:rsidRPr="00F60760" w14:paraId="39473EEB" w14:textId="77777777" w:rsidTr="00107C6C">
              <w:trPr>
                <w:jc w:val="center"/>
              </w:trPr>
              <w:tc>
                <w:tcPr>
                  <w:tcW w:w="3231" w:type="dxa"/>
                  <w:tcBorders>
                    <w:top w:val="nil"/>
                    <w:left w:val="nil"/>
                    <w:bottom w:val="nil"/>
                    <w:right w:val="nil"/>
                  </w:tcBorders>
                </w:tcPr>
                <w:p w14:paraId="1381EC85"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acq_roa_lastyear</w:t>
                  </w:r>
                </w:p>
              </w:tc>
              <w:tc>
                <w:tcPr>
                  <w:tcW w:w="3231" w:type="dxa"/>
                  <w:tcBorders>
                    <w:top w:val="nil"/>
                    <w:left w:val="nil"/>
                    <w:bottom w:val="nil"/>
                    <w:right w:val="nil"/>
                  </w:tcBorders>
                  <w:vAlign w:val="center"/>
                </w:tcPr>
                <w:p w14:paraId="7A5B69C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.108</w:t>
                  </w:r>
                </w:p>
              </w:tc>
              <w:tc>
                <w:tcPr>
                  <w:tcW w:w="3231" w:type="dxa"/>
                  <w:tcBorders>
                    <w:top w:val="nil"/>
                    <w:left w:val="nil"/>
                    <w:bottom w:val="nil"/>
                    <w:right w:val="nil"/>
                  </w:tcBorders>
                  <w:vAlign w:val="center"/>
                </w:tcPr>
                <w:p w14:paraId="1FF5F1B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r>
            <w:tr w:rsidR="00694090" w:rsidRPr="00F60760" w14:paraId="53A7C877" w14:textId="77777777" w:rsidTr="00107C6C">
              <w:trPr>
                <w:jc w:val="center"/>
              </w:trPr>
              <w:tc>
                <w:tcPr>
                  <w:tcW w:w="3231" w:type="dxa"/>
                  <w:tcBorders>
                    <w:top w:val="nil"/>
                    <w:left w:val="nil"/>
                    <w:bottom w:val="nil"/>
                    <w:right w:val="nil"/>
                  </w:tcBorders>
                </w:tcPr>
                <w:p w14:paraId="7D4588B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6F9BFD3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(1.537)</w:t>
                  </w:r>
                </w:p>
              </w:tc>
              <w:tc>
                <w:tcPr>
                  <w:tcW w:w="3231" w:type="dxa"/>
                  <w:tcBorders>
                    <w:top w:val="nil"/>
                    <w:left w:val="nil"/>
                    <w:bottom w:val="nil"/>
                    <w:right w:val="nil"/>
                  </w:tcBorders>
                  <w:vAlign w:val="center"/>
                </w:tcPr>
                <w:p w14:paraId="4E4F4F7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(-.027)</w:t>
                  </w:r>
                </w:p>
              </w:tc>
            </w:tr>
            <w:tr w:rsidR="00694090" w:rsidRPr="00F60760" w14:paraId="1384FAF4" w14:textId="77777777" w:rsidTr="00107C6C">
              <w:trPr>
                <w:jc w:val="center"/>
              </w:trPr>
              <w:tc>
                <w:tcPr>
                  <w:tcW w:w="3231" w:type="dxa"/>
                  <w:tcBorders>
                    <w:top w:val="nil"/>
                    <w:left w:val="nil"/>
                    <w:bottom w:val="nil"/>
                    <w:right w:val="nil"/>
                  </w:tcBorders>
                </w:tcPr>
                <w:p w14:paraId="66C26754"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acq_industrygrowth</w:t>
                  </w:r>
                </w:p>
              </w:tc>
              <w:tc>
                <w:tcPr>
                  <w:tcW w:w="3231" w:type="dxa"/>
                  <w:tcBorders>
                    <w:top w:val="nil"/>
                    <w:left w:val="nil"/>
                    <w:bottom w:val="nil"/>
                    <w:right w:val="nil"/>
                  </w:tcBorders>
                  <w:vAlign w:val="center"/>
                </w:tcPr>
                <w:p w14:paraId="4B02E32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.813*</w:t>
                  </w:r>
                </w:p>
              </w:tc>
              <w:tc>
                <w:tcPr>
                  <w:tcW w:w="3231" w:type="dxa"/>
                  <w:tcBorders>
                    <w:top w:val="nil"/>
                    <w:left w:val="nil"/>
                    <w:bottom w:val="nil"/>
                    <w:right w:val="nil"/>
                  </w:tcBorders>
                  <w:vAlign w:val="center"/>
                </w:tcPr>
                <w:p w14:paraId="48D0F64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.446*</w:t>
                  </w:r>
                </w:p>
              </w:tc>
            </w:tr>
            <w:tr w:rsidR="00694090" w:rsidRPr="00F60760" w14:paraId="4C0C5411" w14:textId="77777777" w:rsidTr="00107C6C">
              <w:trPr>
                <w:jc w:val="center"/>
              </w:trPr>
              <w:tc>
                <w:tcPr>
                  <w:tcW w:w="3231" w:type="dxa"/>
                  <w:tcBorders>
                    <w:top w:val="nil"/>
                    <w:left w:val="nil"/>
                    <w:bottom w:val="nil"/>
                    <w:right w:val="nil"/>
                  </w:tcBorders>
                </w:tcPr>
                <w:p w14:paraId="6F9C317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56227F5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(1.848)</w:t>
                  </w:r>
                </w:p>
              </w:tc>
              <w:tc>
                <w:tcPr>
                  <w:tcW w:w="3231" w:type="dxa"/>
                  <w:tcBorders>
                    <w:top w:val="nil"/>
                    <w:left w:val="nil"/>
                    <w:bottom w:val="nil"/>
                    <w:right w:val="nil"/>
                  </w:tcBorders>
                  <w:vAlign w:val="center"/>
                </w:tcPr>
                <w:p w14:paraId="047D0A9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(1.733)</w:t>
                  </w:r>
                </w:p>
              </w:tc>
            </w:tr>
            <w:tr w:rsidR="00694090" w:rsidRPr="00F60760" w14:paraId="57510FB4" w14:textId="77777777" w:rsidTr="00107C6C">
              <w:trPr>
                <w:jc w:val="center"/>
              </w:trPr>
              <w:tc>
                <w:tcPr>
                  <w:tcW w:w="3231" w:type="dxa"/>
                  <w:tcBorders>
                    <w:top w:val="nil"/>
                    <w:left w:val="nil"/>
                    <w:bottom w:val="nil"/>
                    <w:right w:val="nil"/>
                  </w:tcBorders>
                </w:tcPr>
                <w:p w14:paraId="1001EAC4"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acq_dealexperience</w:t>
                  </w:r>
                </w:p>
              </w:tc>
              <w:tc>
                <w:tcPr>
                  <w:tcW w:w="3231" w:type="dxa"/>
                  <w:tcBorders>
                    <w:top w:val="nil"/>
                    <w:left w:val="nil"/>
                    <w:bottom w:val="nil"/>
                    <w:right w:val="nil"/>
                  </w:tcBorders>
                  <w:vAlign w:val="center"/>
                </w:tcPr>
                <w:p w14:paraId="34982BD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-.004</w:t>
                  </w:r>
                </w:p>
              </w:tc>
              <w:tc>
                <w:tcPr>
                  <w:tcW w:w="3231" w:type="dxa"/>
                  <w:tcBorders>
                    <w:top w:val="nil"/>
                    <w:left w:val="nil"/>
                    <w:bottom w:val="nil"/>
                    <w:right w:val="nil"/>
                  </w:tcBorders>
                  <w:vAlign w:val="center"/>
                </w:tcPr>
                <w:p w14:paraId="4CD660E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-.007</w:t>
                  </w:r>
                </w:p>
              </w:tc>
            </w:tr>
            <w:tr w:rsidR="00694090" w:rsidRPr="00F60760" w14:paraId="55EC5D0A" w14:textId="77777777" w:rsidTr="00107C6C">
              <w:trPr>
                <w:jc w:val="center"/>
              </w:trPr>
              <w:tc>
                <w:tcPr>
                  <w:tcW w:w="3231" w:type="dxa"/>
                  <w:tcBorders>
                    <w:top w:val="nil"/>
                    <w:left w:val="nil"/>
                    <w:bottom w:val="nil"/>
                    <w:right w:val="nil"/>
                  </w:tcBorders>
                </w:tcPr>
                <w:p w14:paraId="5BD461A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7DB327C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(-.166)</w:t>
                  </w:r>
                </w:p>
              </w:tc>
              <w:tc>
                <w:tcPr>
                  <w:tcW w:w="3231" w:type="dxa"/>
                  <w:tcBorders>
                    <w:top w:val="nil"/>
                    <w:left w:val="nil"/>
                    <w:bottom w:val="nil"/>
                    <w:right w:val="nil"/>
                  </w:tcBorders>
                  <w:vAlign w:val="center"/>
                </w:tcPr>
                <w:p w14:paraId="5D09A42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(-.378)</w:t>
                  </w:r>
                </w:p>
              </w:tc>
            </w:tr>
            <w:tr w:rsidR="00694090" w:rsidRPr="00F60760" w14:paraId="4B903678" w14:textId="77777777" w:rsidTr="00107C6C">
              <w:trPr>
                <w:jc w:val="center"/>
              </w:trPr>
              <w:tc>
                <w:tcPr>
                  <w:tcW w:w="3231" w:type="dxa"/>
                  <w:tcBorders>
                    <w:top w:val="nil"/>
                    <w:left w:val="nil"/>
                    <w:bottom w:val="nil"/>
                    <w:right w:val="nil"/>
                  </w:tcBorders>
                  <w:vAlign w:val="center"/>
                </w:tcPr>
                <w:p w14:paraId="67BA2AC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acq_rd_intensity</w:t>
                  </w:r>
                </w:p>
              </w:tc>
              <w:tc>
                <w:tcPr>
                  <w:tcW w:w="3231" w:type="dxa"/>
                  <w:tcBorders>
                    <w:top w:val="nil"/>
                    <w:left w:val="nil"/>
                    <w:bottom w:val="nil"/>
                    <w:right w:val="nil"/>
                  </w:tcBorders>
                  <w:vAlign w:val="center"/>
                </w:tcPr>
                <w:p w14:paraId="6C085F4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.172</w:t>
                  </w:r>
                </w:p>
              </w:tc>
              <w:tc>
                <w:tcPr>
                  <w:tcW w:w="3231" w:type="dxa"/>
                  <w:tcBorders>
                    <w:top w:val="nil"/>
                    <w:left w:val="nil"/>
                    <w:bottom w:val="nil"/>
                    <w:right w:val="nil"/>
                  </w:tcBorders>
                  <w:vAlign w:val="center"/>
                </w:tcPr>
                <w:p w14:paraId="183BDCB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.111</w:t>
                  </w:r>
                </w:p>
              </w:tc>
            </w:tr>
            <w:tr w:rsidR="00694090" w:rsidRPr="00F60760" w14:paraId="762732AA" w14:textId="77777777" w:rsidTr="00107C6C">
              <w:trPr>
                <w:jc w:val="center"/>
              </w:trPr>
              <w:tc>
                <w:tcPr>
                  <w:tcW w:w="3231" w:type="dxa"/>
                  <w:tcBorders>
                    <w:top w:val="nil"/>
                    <w:left w:val="nil"/>
                    <w:bottom w:val="nil"/>
                    <w:right w:val="nil"/>
                  </w:tcBorders>
                  <w:vAlign w:val="center"/>
                </w:tcPr>
                <w:p w14:paraId="76868470"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p>
              </w:tc>
              <w:tc>
                <w:tcPr>
                  <w:tcW w:w="3231" w:type="dxa"/>
                  <w:tcBorders>
                    <w:top w:val="nil"/>
                    <w:left w:val="nil"/>
                    <w:bottom w:val="nil"/>
                    <w:right w:val="nil"/>
                  </w:tcBorders>
                  <w:vAlign w:val="center"/>
                </w:tcPr>
                <w:p w14:paraId="2193BDA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(.533)</w:t>
                  </w:r>
                </w:p>
              </w:tc>
              <w:tc>
                <w:tcPr>
                  <w:tcW w:w="3231" w:type="dxa"/>
                  <w:tcBorders>
                    <w:top w:val="nil"/>
                    <w:left w:val="nil"/>
                    <w:bottom w:val="nil"/>
                    <w:right w:val="nil"/>
                  </w:tcBorders>
                  <w:vAlign w:val="center"/>
                </w:tcPr>
                <w:p w14:paraId="3BDF074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(.410)</w:t>
                  </w:r>
                </w:p>
              </w:tc>
            </w:tr>
            <w:tr w:rsidR="00694090" w:rsidRPr="00F60760" w14:paraId="54A9E8DA" w14:textId="77777777" w:rsidTr="00107C6C">
              <w:trPr>
                <w:jc w:val="center"/>
              </w:trPr>
              <w:tc>
                <w:tcPr>
                  <w:tcW w:w="3231" w:type="dxa"/>
                  <w:tcBorders>
                    <w:top w:val="nil"/>
                    <w:left w:val="nil"/>
                    <w:bottom w:val="nil"/>
                    <w:right w:val="nil"/>
                  </w:tcBorders>
                </w:tcPr>
                <w:p w14:paraId="58CF97F8"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tar_age</w:t>
                  </w:r>
                </w:p>
              </w:tc>
              <w:tc>
                <w:tcPr>
                  <w:tcW w:w="3231" w:type="dxa"/>
                  <w:tcBorders>
                    <w:top w:val="nil"/>
                    <w:left w:val="nil"/>
                    <w:bottom w:val="nil"/>
                    <w:right w:val="nil"/>
                  </w:tcBorders>
                  <w:vAlign w:val="center"/>
                </w:tcPr>
                <w:p w14:paraId="2F05FAC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-.0001</w:t>
                  </w:r>
                </w:p>
              </w:tc>
              <w:tc>
                <w:tcPr>
                  <w:tcW w:w="3231" w:type="dxa"/>
                  <w:tcBorders>
                    <w:top w:val="nil"/>
                    <w:left w:val="nil"/>
                    <w:bottom w:val="nil"/>
                    <w:right w:val="nil"/>
                  </w:tcBorders>
                  <w:vAlign w:val="center"/>
                </w:tcPr>
                <w:p w14:paraId="1373986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.0003</w:t>
                  </w:r>
                </w:p>
              </w:tc>
            </w:tr>
            <w:tr w:rsidR="00694090" w:rsidRPr="00F60760" w14:paraId="28DA370C" w14:textId="77777777" w:rsidTr="00107C6C">
              <w:trPr>
                <w:jc w:val="center"/>
              </w:trPr>
              <w:tc>
                <w:tcPr>
                  <w:tcW w:w="3231" w:type="dxa"/>
                  <w:tcBorders>
                    <w:top w:val="nil"/>
                    <w:left w:val="nil"/>
                    <w:bottom w:val="nil"/>
                    <w:right w:val="nil"/>
                  </w:tcBorders>
                </w:tcPr>
                <w:p w14:paraId="1556D9B3"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3FEA6E1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(-.103)</w:t>
                  </w:r>
                </w:p>
              </w:tc>
              <w:tc>
                <w:tcPr>
                  <w:tcW w:w="3231" w:type="dxa"/>
                  <w:tcBorders>
                    <w:top w:val="nil"/>
                    <w:left w:val="nil"/>
                    <w:bottom w:val="nil"/>
                    <w:right w:val="nil"/>
                  </w:tcBorders>
                  <w:vAlign w:val="center"/>
                </w:tcPr>
                <w:p w14:paraId="1F8E157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(.536)</w:t>
                  </w:r>
                </w:p>
              </w:tc>
            </w:tr>
            <w:tr w:rsidR="00694090" w:rsidRPr="00F60760" w14:paraId="662DEE26" w14:textId="77777777" w:rsidTr="00107C6C">
              <w:trPr>
                <w:jc w:val="center"/>
              </w:trPr>
              <w:tc>
                <w:tcPr>
                  <w:tcW w:w="3231" w:type="dxa"/>
                  <w:tcBorders>
                    <w:top w:val="nil"/>
                    <w:left w:val="nil"/>
                    <w:bottom w:val="nil"/>
                    <w:right w:val="nil"/>
                  </w:tcBorders>
                </w:tcPr>
                <w:p w14:paraId="567E7F68"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tar_assets_lastyear_ln</w:t>
                  </w:r>
                </w:p>
              </w:tc>
              <w:tc>
                <w:tcPr>
                  <w:tcW w:w="3231" w:type="dxa"/>
                  <w:tcBorders>
                    <w:top w:val="nil"/>
                    <w:left w:val="nil"/>
                    <w:bottom w:val="nil"/>
                    <w:right w:val="nil"/>
                  </w:tcBorders>
                  <w:vAlign w:val="center"/>
                </w:tcPr>
                <w:p w14:paraId="4DEA8D8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.088**</w:t>
                  </w:r>
                </w:p>
              </w:tc>
              <w:tc>
                <w:tcPr>
                  <w:tcW w:w="3231" w:type="dxa"/>
                  <w:tcBorders>
                    <w:top w:val="nil"/>
                    <w:left w:val="nil"/>
                    <w:bottom w:val="nil"/>
                    <w:right w:val="nil"/>
                  </w:tcBorders>
                  <w:vAlign w:val="center"/>
                </w:tcPr>
                <w:p w14:paraId="3A44383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.036</w:t>
                  </w:r>
                </w:p>
              </w:tc>
            </w:tr>
            <w:tr w:rsidR="00694090" w:rsidRPr="00F60760" w14:paraId="0DF47F46" w14:textId="77777777" w:rsidTr="00107C6C">
              <w:trPr>
                <w:jc w:val="center"/>
              </w:trPr>
              <w:tc>
                <w:tcPr>
                  <w:tcW w:w="3231" w:type="dxa"/>
                  <w:tcBorders>
                    <w:top w:val="nil"/>
                    <w:left w:val="nil"/>
                    <w:bottom w:val="nil"/>
                    <w:right w:val="nil"/>
                  </w:tcBorders>
                </w:tcPr>
                <w:p w14:paraId="0B1602E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667AC66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(2.447)</w:t>
                  </w:r>
                </w:p>
              </w:tc>
              <w:tc>
                <w:tcPr>
                  <w:tcW w:w="3231" w:type="dxa"/>
                  <w:tcBorders>
                    <w:top w:val="nil"/>
                    <w:left w:val="nil"/>
                    <w:bottom w:val="nil"/>
                    <w:right w:val="nil"/>
                  </w:tcBorders>
                  <w:vAlign w:val="center"/>
                </w:tcPr>
                <w:p w14:paraId="0F1AB09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(1.303)</w:t>
                  </w:r>
                </w:p>
              </w:tc>
            </w:tr>
            <w:tr w:rsidR="00694090" w:rsidRPr="00F60760" w14:paraId="48CD9681" w14:textId="77777777" w:rsidTr="00107C6C">
              <w:trPr>
                <w:jc w:val="center"/>
              </w:trPr>
              <w:tc>
                <w:tcPr>
                  <w:tcW w:w="3231" w:type="dxa"/>
                  <w:tcBorders>
                    <w:top w:val="nil"/>
                    <w:left w:val="nil"/>
                    <w:bottom w:val="nil"/>
                    <w:right w:val="nil"/>
                  </w:tcBorders>
                </w:tcPr>
                <w:p w14:paraId="77C356AD"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tar_roa_lastyear</w:t>
                  </w:r>
                </w:p>
              </w:tc>
              <w:tc>
                <w:tcPr>
                  <w:tcW w:w="3231" w:type="dxa"/>
                  <w:tcBorders>
                    <w:top w:val="nil"/>
                    <w:left w:val="nil"/>
                    <w:bottom w:val="nil"/>
                    <w:right w:val="nil"/>
                  </w:tcBorders>
                  <w:vAlign w:val="center"/>
                </w:tcPr>
                <w:p w14:paraId="1BE1182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-.118**</w:t>
                  </w:r>
                </w:p>
              </w:tc>
              <w:tc>
                <w:tcPr>
                  <w:tcW w:w="3231" w:type="dxa"/>
                  <w:tcBorders>
                    <w:top w:val="nil"/>
                    <w:left w:val="nil"/>
                    <w:bottom w:val="nil"/>
                    <w:right w:val="nil"/>
                  </w:tcBorders>
                  <w:vAlign w:val="center"/>
                </w:tcPr>
                <w:p w14:paraId="2569041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-.081*</w:t>
                  </w:r>
                </w:p>
              </w:tc>
            </w:tr>
            <w:tr w:rsidR="00694090" w:rsidRPr="00F60760" w14:paraId="3184E880" w14:textId="77777777" w:rsidTr="00107C6C">
              <w:trPr>
                <w:jc w:val="center"/>
              </w:trPr>
              <w:tc>
                <w:tcPr>
                  <w:tcW w:w="3231" w:type="dxa"/>
                  <w:tcBorders>
                    <w:top w:val="nil"/>
                    <w:left w:val="nil"/>
                    <w:bottom w:val="nil"/>
                    <w:right w:val="nil"/>
                  </w:tcBorders>
                </w:tcPr>
                <w:p w14:paraId="1213B1A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1892FE8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(-2.127)</w:t>
                  </w:r>
                </w:p>
              </w:tc>
              <w:tc>
                <w:tcPr>
                  <w:tcW w:w="3231" w:type="dxa"/>
                  <w:tcBorders>
                    <w:top w:val="nil"/>
                    <w:left w:val="nil"/>
                    <w:bottom w:val="nil"/>
                    <w:right w:val="nil"/>
                  </w:tcBorders>
                  <w:vAlign w:val="center"/>
                </w:tcPr>
                <w:p w14:paraId="5A3B56F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(-1.876)</w:t>
                  </w:r>
                </w:p>
              </w:tc>
            </w:tr>
            <w:tr w:rsidR="00694090" w:rsidRPr="00F60760" w14:paraId="6FE37918" w14:textId="77777777" w:rsidTr="00107C6C">
              <w:trPr>
                <w:jc w:val="center"/>
              </w:trPr>
              <w:tc>
                <w:tcPr>
                  <w:tcW w:w="3231" w:type="dxa"/>
                  <w:tcBorders>
                    <w:top w:val="nil"/>
                    <w:left w:val="nil"/>
                    <w:bottom w:val="nil"/>
                    <w:right w:val="nil"/>
                  </w:tcBorders>
                </w:tcPr>
                <w:p w14:paraId="52D84001"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tar_mbratio</w:t>
                  </w:r>
                </w:p>
              </w:tc>
              <w:tc>
                <w:tcPr>
                  <w:tcW w:w="3231" w:type="dxa"/>
                  <w:tcBorders>
                    <w:top w:val="nil"/>
                    <w:left w:val="nil"/>
                    <w:bottom w:val="nil"/>
                    <w:right w:val="nil"/>
                  </w:tcBorders>
                  <w:vAlign w:val="center"/>
                </w:tcPr>
                <w:p w14:paraId="4D1C477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.005</w:t>
                  </w:r>
                </w:p>
              </w:tc>
              <w:tc>
                <w:tcPr>
                  <w:tcW w:w="3231" w:type="dxa"/>
                  <w:tcBorders>
                    <w:top w:val="nil"/>
                    <w:left w:val="nil"/>
                    <w:bottom w:val="nil"/>
                    <w:right w:val="nil"/>
                  </w:tcBorders>
                  <w:vAlign w:val="center"/>
                </w:tcPr>
                <w:p w14:paraId="50EEB00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.002*</w:t>
                  </w:r>
                </w:p>
              </w:tc>
            </w:tr>
            <w:tr w:rsidR="00694090" w:rsidRPr="00F60760" w14:paraId="03E6C633" w14:textId="77777777" w:rsidTr="00107C6C">
              <w:trPr>
                <w:jc w:val="center"/>
              </w:trPr>
              <w:tc>
                <w:tcPr>
                  <w:tcW w:w="3231" w:type="dxa"/>
                  <w:tcBorders>
                    <w:top w:val="nil"/>
                    <w:left w:val="nil"/>
                    <w:bottom w:val="nil"/>
                    <w:right w:val="nil"/>
                  </w:tcBorders>
                </w:tcPr>
                <w:p w14:paraId="04A9804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75AB400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(1.527)</w:t>
                  </w:r>
                </w:p>
              </w:tc>
              <w:tc>
                <w:tcPr>
                  <w:tcW w:w="3231" w:type="dxa"/>
                  <w:tcBorders>
                    <w:top w:val="nil"/>
                    <w:left w:val="nil"/>
                    <w:bottom w:val="nil"/>
                    <w:right w:val="nil"/>
                  </w:tcBorders>
                  <w:vAlign w:val="center"/>
                </w:tcPr>
                <w:p w14:paraId="45C3CEF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(2.009)</w:t>
                  </w:r>
                </w:p>
              </w:tc>
            </w:tr>
            <w:tr w:rsidR="00694090" w:rsidRPr="00F60760" w14:paraId="6E9475EA" w14:textId="77777777" w:rsidTr="00107C6C">
              <w:trPr>
                <w:jc w:val="center"/>
              </w:trPr>
              <w:tc>
                <w:tcPr>
                  <w:tcW w:w="3231" w:type="dxa"/>
                  <w:tcBorders>
                    <w:top w:val="nil"/>
                    <w:left w:val="nil"/>
                    <w:bottom w:val="nil"/>
                    <w:right w:val="nil"/>
                  </w:tcBorders>
                </w:tcPr>
                <w:p w14:paraId="474E536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Observations</w:t>
                  </w:r>
                </w:p>
              </w:tc>
              <w:tc>
                <w:tcPr>
                  <w:tcW w:w="3231" w:type="dxa"/>
                  <w:tcBorders>
                    <w:top w:val="nil"/>
                    <w:left w:val="nil"/>
                    <w:bottom w:val="nil"/>
                    <w:right w:val="nil"/>
                  </w:tcBorders>
                  <w:vAlign w:val="center"/>
                </w:tcPr>
                <w:p w14:paraId="22E2EEE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162</w:t>
                  </w:r>
                </w:p>
              </w:tc>
              <w:tc>
                <w:tcPr>
                  <w:tcW w:w="3231" w:type="dxa"/>
                  <w:tcBorders>
                    <w:top w:val="nil"/>
                    <w:left w:val="nil"/>
                    <w:bottom w:val="nil"/>
                    <w:right w:val="nil"/>
                  </w:tcBorders>
                  <w:vAlign w:val="center"/>
                </w:tcPr>
                <w:p w14:paraId="76F34B1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118</w:t>
                  </w:r>
                </w:p>
              </w:tc>
            </w:tr>
            <w:tr w:rsidR="00694090" w:rsidRPr="00F60760" w14:paraId="71FEDDD0" w14:textId="77777777" w:rsidTr="00107C6C">
              <w:trPr>
                <w:jc w:val="center"/>
              </w:trPr>
              <w:tc>
                <w:tcPr>
                  <w:tcW w:w="3231" w:type="dxa"/>
                  <w:tcBorders>
                    <w:top w:val="nil"/>
                    <w:left w:val="nil"/>
                    <w:bottom w:val="nil"/>
                    <w:right w:val="nil"/>
                  </w:tcBorders>
                </w:tcPr>
                <w:p w14:paraId="507C73A4"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Adj R2</w:t>
                  </w:r>
                </w:p>
              </w:tc>
              <w:tc>
                <w:tcPr>
                  <w:tcW w:w="3231" w:type="dxa"/>
                  <w:tcBorders>
                    <w:top w:val="nil"/>
                    <w:left w:val="nil"/>
                    <w:bottom w:val="nil"/>
                    <w:right w:val="nil"/>
                  </w:tcBorders>
                  <w:vAlign w:val="center"/>
                </w:tcPr>
                <w:p w14:paraId="516D282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.419</w:t>
                  </w:r>
                </w:p>
              </w:tc>
              <w:tc>
                <w:tcPr>
                  <w:tcW w:w="3231" w:type="dxa"/>
                  <w:tcBorders>
                    <w:top w:val="nil"/>
                    <w:left w:val="nil"/>
                    <w:bottom w:val="nil"/>
                    <w:right w:val="nil"/>
                  </w:tcBorders>
                  <w:vAlign w:val="center"/>
                </w:tcPr>
                <w:p w14:paraId="63A953C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.291</w:t>
                  </w:r>
                </w:p>
              </w:tc>
            </w:tr>
            <w:tr w:rsidR="00694090" w:rsidRPr="00F60760" w14:paraId="005FFD5E" w14:textId="77777777" w:rsidTr="00107C6C">
              <w:trPr>
                <w:jc w:val="center"/>
              </w:trPr>
              <w:tc>
                <w:tcPr>
                  <w:tcW w:w="3231" w:type="dxa"/>
                  <w:tcBorders>
                    <w:top w:val="nil"/>
                    <w:left w:val="nil"/>
                    <w:bottom w:val="nil"/>
                    <w:right w:val="nil"/>
                  </w:tcBorders>
                </w:tcPr>
                <w:p w14:paraId="5990786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Industry FE</w:t>
                  </w:r>
                </w:p>
              </w:tc>
              <w:tc>
                <w:tcPr>
                  <w:tcW w:w="3231" w:type="dxa"/>
                  <w:tcBorders>
                    <w:top w:val="nil"/>
                    <w:left w:val="nil"/>
                    <w:bottom w:val="nil"/>
                    <w:right w:val="nil"/>
                  </w:tcBorders>
                </w:tcPr>
                <w:p w14:paraId="16692E8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3231" w:type="dxa"/>
                  <w:tcBorders>
                    <w:top w:val="nil"/>
                    <w:left w:val="nil"/>
                    <w:bottom w:val="nil"/>
                    <w:right w:val="nil"/>
                  </w:tcBorders>
                </w:tcPr>
                <w:p w14:paraId="5C2B336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r>
            <w:tr w:rsidR="00694090" w:rsidRPr="00F60760" w14:paraId="6CFD1DC1" w14:textId="77777777" w:rsidTr="00107C6C">
              <w:trPr>
                <w:jc w:val="center"/>
              </w:trPr>
              <w:tc>
                <w:tcPr>
                  <w:tcW w:w="3231" w:type="dxa"/>
                  <w:tcBorders>
                    <w:top w:val="nil"/>
                    <w:left w:val="nil"/>
                    <w:bottom w:val="nil"/>
                    <w:right w:val="nil"/>
                  </w:tcBorders>
                </w:tcPr>
                <w:p w14:paraId="7D87B7C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Year FE</w:t>
                  </w:r>
                </w:p>
              </w:tc>
              <w:tc>
                <w:tcPr>
                  <w:tcW w:w="3231" w:type="dxa"/>
                  <w:tcBorders>
                    <w:top w:val="nil"/>
                    <w:left w:val="nil"/>
                    <w:bottom w:val="nil"/>
                    <w:right w:val="nil"/>
                  </w:tcBorders>
                </w:tcPr>
                <w:p w14:paraId="5AA2CCE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3231" w:type="dxa"/>
                  <w:tcBorders>
                    <w:top w:val="nil"/>
                    <w:left w:val="nil"/>
                    <w:bottom w:val="nil"/>
                    <w:right w:val="nil"/>
                  </w:tcBorders>
                </w:tcPr>
                <w:p w14:paraId="329A856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r>
          </w:tbl>
          <w:p w14:paraId="456B64AE" w14:textId="77777777" w:rsidR="00694090" w:rsidRPr="00F60760" w:rsidRDefault="00694090" w:rsidP="00AB066F">
            <w:pPr>
              <w:jc w:val="left"/>
              <w:rPr>
                <w:color w:val="000000" w:themeColor="text1"/>
                <w:sz w:val="22"/>
                <w:lang w:val="en-US"/>
              </w:rPr>
            </w:pPr>
          </w:p>
        </w:tc>
      </w:tr>
      <w:tr w:rsidR="00694090" w:rsidRPr="00BE5632" w14:paraId="34C9AB0F" w14:textId="77777777" w:rsidTr="00107C6C">
        <w:trPr>
          <w:trHeight w:val="170"/>
        </w:trPr>
        <w:tc>
          <w:tcPr>
            <w:tcW w:w="5000" w:type="pct"/>
            <w:tcBorders>
              <w:top w:val="single" w:sz="4" w:space="0" w:color="auto"/>
              <w:left w:val="nil"/>
              <w:right w:val="nil"/>
            </w:tcBorders>
            <w:shd w:val="clear" w:color="auto" w:fill="auto"/>
            <w:noWrap/>
          </w:tcPr>
          <w:p w14:paraId="2832829E" w14:textId="77777777" w:rsidR="00694090" w:rsidRPr="00F60760" w:rsidRDefault="00694090" w:rsidP="00E74508">
            <w:pPr>
              <w:spacing w:before="120" w:line="240" w:lineRule="auto"/>
              <w:rPr>
                <w:color w:val="000000" w:themeColor="text1"/>
                <w:sz w:val="22"/>
                <w:lang w:val="en-US"/>
              </w:rPr>
            </w:pPr>
            <w:r w:rsidRPr="00F60760">
              <w:rPr>
                <w:i/>
                <w:iCs/>
                <w:color w:val="000000" w:themeColor="text1"/>
                <w:sz w:val="22"/>
                <w:lang w:val="en-US"/>
              </w:rPr>
              <w:t>Note</w:t>
            </w:r>
            <w:r w:rsidRPr="00F60760">
              <w:rPr>
                <w:color w:val="000000" w:themeColor="text1"/>
                <w:sz w:val="22"/>
                <w:lang w:val="en-US"/>
              </w:rPr>
              <w:t xml:space="preserve">. This table reports fixed effects linear OLS regression results predicting the effect of organizational cultural distance between acquirers and targets on long-term synergy gains. The dependent variable for Model 1 is the acquirer’s growth in return on sales two years after deal completion. The dependent variable for Model 2 is the acquirer’s growth in return on sales four years after deal completion. The main independent variable in Model 1 and 2 is </w:t>
            </w:r>
            <w:r w:rsidRPr="00F60760">
              <w:rPr>
                <w:i/>
                <w:color w:val="000000" w:themeColor="text1"/>
                <w:sz w:val="22"/>
                <w:lang w:val="en-US"/>
              </w:rPr>
              <w:t>deal_culturaldistance</w:t>
            </w:r>
            <w:r w:rsidRPr="00F60760">
              <w:rPr>
                <w:color w:val="000000" w:themeColor="text1"/>
                <w:sz w:val="22"/>
                <w:lang w:val="en-US"/>
              </w:rPr>
              <w:t xml:space="preserve">, with higher values indicating higher cultural dissimilarities between the acquirer and target. A detailed variable description can be found in Appendix B. Excluded from the analysis were international deals where the acquirer and the target are located in different countries. Constant terms are estimated but not reported. We include the acquirer’s industry and year fixed effects in all models. We cluster </w:t>
            </w:r>
            <w:r w:rsidRPr="00F60760">
              <w:rPr>
                <w:color w:val="000000" w:themeColor="text1"/>
                <w:sz w:val="22"/>
                <w:lang w:val="en-US"/>
              </w:rPr>
              <w:lastRenderedPageBreak/>
              <w:t>standard errors at the 2-digit SIC industry level. t-statistics are reported in parentheses below the coefficients. *, **, *** denote statistical significance at the .10, .05, and .01 levels (using two-tailed tests).</w:t>
            </w:r>
          </w:p>
        </w:tc>
      </w:tr>
    </w:tbl>
    <w:p w14:paraId="56FD1215" w14:textId="77777777" w:rsidR="00107C6C" w:rsidRDefault="00107C6C">
      <w:pPr>
        <w:spacing w:after="160" w:line="259" w:lineRule="auto"/>
        <w:jc w:val="left"/>
        <w:rPr>
          <w:rStyle w:val="SchwacherVerweis"/>
          <w:rFonts w:eastAsiaTheme="majorEastAsia" w:cstheme="majorBidi"/>
          <w:b/>
          <w:caps/>
          <w:smallCaps w:val="0"/>
          <w:color w:val="auto"/>
          <w:szCs w:val="32"/>
          <w:lang w:val="en-US"/>
        </w:rPr>
      </w:pPr>
      <w:r w:rsidRPr="00BE5632">
        <w:rPr>
          <w:rStyle w:val="SchwacherVerweis"/>
          <w:smallCaps w:val="0"/>
          <w:color w:val="auto"/>
          <w:lang w:val="en-US"/>
        </w:rPr>
        <w:br w:type="page"/>
      </w:r>
    </w:p>
    <w:p w14:paraId="73F50AE4" w14:textId="6B8B3855" w:rsidR="00331B63" w:rsidRPr="00947673" w:rsidRDefault="00331B63" w:rsidP="00331B63">
      <w:pPr>
        <w:pStyle w:val="1fake"/>
        <w:rPr>
          <w:rStyle w:val="SchwacherVerweis"/>
          <w:smallCaps w:val="0"/>
          <w:color w:val="auto"/>
        </w:rPr>
      </w:pPr>
      <w:r w:rsidRPr="00947673">
        <w:rPr>
          <w:rStyle w:val="SchwacherVerweis"/>
          <w:smallCaps w:val="0"/>
          <w:color w:val="auto"/>
        </w:rPr>
        <w:lastRenderedPageBreak/>
        <w:t xml:space="preserve">Online Supplement </w:t>
      </w:r>
      <w:r>
        <w:rPr>
          <w:rStyle w:val="SchwacherVerweis"/>
          <w:smallCaps w:val="0"/>
          <w:color w:val="auto"/>
        </w:rPr>
        <w:t>11</w:t>
      </w:r>
    </w:p>
    <w:p w14:paraId="3687BE11" w14:textId="0EB75749" w:rsidR="00011AF5" w:rsidRPr="004D7CC1" w:rsidRDefault="00011AF5" w:rsidP="00011AF5">
      <w:pPr>
        <w:pStyle w:val="Beschriftung"/>
      </w:pPr>
      <w:bookmarkStart w:id="630" w:name="_Toc180594857"/>
      <w:r>
        <w:t xml:space="preserve">T - III - </w:t>
      </w:r>
      <w:r>
        <w:fldChar w:fldCharType="begin"/>
      </w:r>
      <w:r>
        <w:instrText xml:space="preserve"> SEQ T_-_III_- \* ARABIC </w:instrText>
      </w:r>
      <w:r>
        <w:fldChar w:fldCharType="separate"/>
      </w:r>
      <w:r w:rsidR="00E91088">
        <w:rPr>
          <w:noProof/>
        </w:rPr>
        <w:t>21</w:t>
      </w:r>
      <w:r>
        <w:fldChar w:fldCharType="end"/>
      </w:r>
      <w:r>
        <w:t xml:space="preserve">: </w:t>
      </w:r>
      <w:r w:rsidRPr="00C27E82">
        <w:t>H2: Acquisition premiums - No international deals</w:t>
      </w:r>
      <w:bookmarkEnd w:id="630"/>
    </w:p>
    <w:tbl>
      <w:tblPr>
        <w:tblW w:w="9072" w:type="dxa"/>
        <w:tblLayout w:type="fixed"/>
        <w:tblLook w:val="04A0" w:firstRow="1" w:lastRow="0" w:firstColumn="1" w:lastColumn="0" w:noHBand="0" w:noVBand="1"/>
      </w:tblPr>
      <w:tblGrid>
        <w:gridCol w:w="9072"/>
      </w:tblGrid>
      <w:tr w:rsidR="00694090" w:rsidRPr="00F60760" w14:paraId="1231FC61" w14:textId="77777777" w:rsidTr="00107C6C">
        <w:trPr>
          <w:trHeight w:val="470"/>
        </w:trPr>
        <w:tc>
          <w:tcPr>
            <w:tcW w:w="5000" w:type="pct"/>
            <w:tcBorders>
              <w:left w:val="nil"/>
              <w:bottom w:val="single" w:sz="4" w:space="0" w:color="auto"/>
              <w:right w:val="nil"/>
            </w:tcBorders>
            <w:shd w:val="clear" w:color="auto" w:fill="auto"/>
          </w:tcPr>
          <w:tbl>
            <w:tblPr>
              <w:tblW w:w="8903" w:type="dxa"/>
              <w:tblLayout w:type="fixed"/>
              <w:tblLook w:val="0000" w:firstRow="0" w:lastRow="0" w:firstColumn="0" w:lastColumn="0" w:noHBand="0" w:noVBand="0"/>
            </w:tblPr>
            <w:tblGrid>
              <w:gridCol w:w="2381"/>
              <w:gridCol w:w="2047"/>
              <w:gridCol w:w="2174"/>
              <w:gridCol w:w="2301"/>
            </w:tblGrid>
            <w:tr w:rsidR="00694090" w:rsidRPr="00F60760" w14:paraId="09A98A0B" w14:textId="77777777" w:rsidTr="00E150C1">
              <w:tc>
                <w:tcPr>
                  <w:tcW w:w="2381" w:type="dxa"/>
                  <w:tcBorders>
                    <w:top w:val="single" w:sz="4" w:space="0" w:color="auto"/>
                    <w:left w:val="nil"/>
                    <w:bottom w:val="nil"/>
                    <w:right w:val="nil"/>
                  </w:tcBorders>
                </w:tcPr>
                <w:p w14:paraId="713B497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w:t>
                  </w:r>
                </w:p>
              </w:tc>
              <w:tc>
                <w:tcPr>
                  <w:tcW w:w="2047" w:type="dxa"/>
                  <w:tcBorders>
                    <w:top w:val="single" w:sz="4" w:space="0" w:color="auto"/>
                    <w:left w:val="nil"/>
                    <w:bottom w:val="nil"/>
                    <w:right w:val="nil"/>
                  </w:tcBorders>
                </w:tcPr>
                <w:p w14:paraId="0A7EE92D"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(1)</w:t>
                  </w:r>
                </w:p>
              </w:tc>
              <w:tc>
                <w:tcPr>
                  <w:tcW w:w="2174" w:type="dxa"/>
                  <w:tcBorders>
                    <w:top w:val="single" w:sz="4" w:space="0" w:color="auto"/>
                    <w:left w:val="nil"/>
                    <w:bottom w:val="nil"/>
                    <w:right w:val="nil"/>
                  </w:tcBorders>
                </w:tcPr>
                <w:p w14:paraId="41C40FA1"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(2)</w:t>
                  </w:r>
                </w:p>
              </w:tc>
              <w:tc>
                <w:tcPr>
                  <w:tcW w:w="2301" w:type="dxa"/>
                  <w:tcBorders>
                    <w:top w:val="single" w:sz="4" w:space="0" w:color="auto"/>
                    <w:left w:val="nil"/>
                    <w:bottom w:val="nil"/>
                    <w:right w:val="nil"/>
                  </w:tcBorders>
                </w:tcPr>
                <w:p w14:paraId="19987ABE" w14:textId="083FEECB" w:rsidR="00694090" w:rsidRPr="00107C6C" w:rsidRDefault="00694090" w:rsidP="00AB066F">
                  <w:pPr>
                    <w:widowControl w:val="0"/>
                    <w:autoSpaceDE w:val="0"/>
                    <w:autoSpaceDN w:val="0"/>
                    <w:adjustRightInd w:val="0"/>
                    <w:spacing w:line="240" w:lineRule="auto"/>
                    <w:jc w:val="center"/>
                    <w:rPr>
                      <w:b/>
                      <w:bCs/>
                      <w:color w:val="000000" w:themeColor="text1"/>
                      <w:sz w:val="22"/>
                      <w:lang w:val="en-US"/>
                    </w:rPr>
                  </w:pPr>
                  <w:r w:rsidRPr="00107C6C">
                    <w:rPr>
                      <w:b/>
                      <w:bCs/>
                      <w:color w:val="000000" w:themeColor="text1"/>
                      <w:sz w:val="22"/>
                      <w:lang w:val="en-US"/>
                    </w:rPr>
                    <w:t>(3)</w:t>
                  </w:r>
                </w:p>
              </w:tc>
            </w:tr>
            <w:tr w:rsidR="00694090" w:rsidRPr="00F60760" w14:paraId="50B05119" w14:textId="77777777" w:rsidTr="00E150C1">
              <w:tc>
                <w:tcPr>
                  <w:tcW w:w="2381" w:type="dxa"/>
                  <w:tcBorders>
                    <w:top w:val="nil"/>
                    <w:left w:val="nil"/>
                    <w:bottom w:val="single" w:sz="4" w:space="0" w:color="auto"/>
                    <w:right w:val="nil"/>
                  </w:tcBorders>
                </w:tcPr>
                <w:p w14:paraId="4821724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w:t>
                  </w:r>
                </w:p>
              </w:tc>
              <w:tc>
                <w:tcPr>
                  <w:tcW w:w="2047" w:type="dxa"/>
                  <w:tcBorders>
                    <w:top w:val="nil"/>
                    <w:left w:val="nil"/>
                    <w:bottom w:val="single" w:sz="4" w:space="0" w:color="auto"/>
                    <w:right w:val="nil"/>
                  </w:tcBorders>
                </w:tcPr>
                <w:p w14:paraId="46291289" w14:textId="34703D31"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deal_premium</w:t>
                  </w:r>
                  <w:r w:rsidR="00165286">
                    <w:rPr>
                      <w:b/>
                      <w:bCs/>
                      <w:color w:val="000000" w:themeColor="text1"/>
                      <w:sz w:val="22"/>
                      <w:lang w:val="en-US"/>
                    </w:rPr>
                    <w:br/>
                  </w:r>
                  <w:r w:rsidRPr="00F60760">
                    <w:rPr>
                      <w:b/>
                      <w:bCs/>
                      <w:color w:val="000000" w:themeColor="text1"/>
                      <w:sz w:val="22"/>
                      <w:lang w:val="en-US"/>
                    </w:rPr>
                    <w:t>_1day</w:t>
                  </w:r>
                </w:p>
              </w:tc>
              <w:tc>
                <w:tcPr>
                  <w:tcW w:w="2174" w:type="dxa"/>
                  <w:tcBorders>
                    <w:top w:val="nil"/>
                    <w:left w:val="nil"/>
                    <w:bottom w:val="single" w:sz="4" w:space="0" w:color="auto"/>
                    <w:right w:val="nil"/>
                  </w:tcBorders>
                </w:tcPr>
                <w:p w14:paraId="30B8F354" w14:textId="50E8413D"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deal_premium</w:t>
                  </w:r>
                  <w:r w:rsidR="00165286">
                    <w:rPr>
                      <w:b/>
                      <w:bCs/>
                      <w:color w:val="000000" w:themeColor="text1"/>
                      <w:sz w:val="22"/>
                      <w:lang w:val="en-US"/>
                    </w:rPr>
                    <w:br/>
                  </w:r>
                  <w:r w:rsidRPr="00F60760">
                    <w:rPr>
                      <w:b/>
                      <w:bCs/>
                      <w:color w:val="000000" w:themeColor="text1"/>
                      <w:sz w:val="22"/>
                      <w:lang w:val="en-US"/>
                    </w:rPr>
                    <w:t>_1week</w:t>
                  </w:r>
                </w:p>
              </w:tc>
              <w:tc>
                <w:tcPr>
                  <w:tcW w:w="2301" w:type="dxa"/>
                  <w:tcBorders>
                    <w:top w:val="nil"/>
                    <w:left w:val="nil"/>
                    <w:bottom w:val="single" w:sz="4" w:space="0" w:color="auto"/>
                    <w:right w:val="nil"/>
                  </w:tcBorders>
                </w:tcPr>
                <w:p w14:paraId="425BA406" w14:textId="791BAE97" w:rsidR="00694090" w:rsidRPr="00107C6C" w:rsidRDefault="00694090" w:rsidP="00AB066F">
                  <w:pPr>
                    <w:widowControl w:val="0"/>
                    <w:autoSpaceDE w:val="0"/>
                    <w:autoSpaceDN w:val="0"/>
                    <w:adjustRightInd w:val="0"/>
                    <w:spacing w:line="240" w:lineRule="auto"/>
                    <w:jc w:val="center"/>
                    <w:rPr>
                      <w:b/>
                      <w:bCs/>
                      <w:color w:val="000000" w:themeColor="text1"/>
                      <w:sz w:val="22"/>
                      <w:lang w:val="en-US"/>
                    </w:rPr>
                  </w:pPr>
                  <w:r w:rsidRPr="00107C6C">
                    <w:rPr>
                      <w:b/>
                      <w:bCs/>
                      <w:color w:val="000000" w:themeColor="text1"/>
                      <w:sz w:val="22"/>
                      <w:lang w:val="en-US"/>
                    </w:rPr>
                    <w:t>deal_premium</w:t>
                  </w:r>
                  <w:r w:rsidR="00165286">
                    <w:rPr>
                      <w:b/>
                      <w:bCs/>
                      <w:color w:val="000000" w:themeColor="text1"/>
                      <w:sz w:val="22"/>
                      <w:lang w:val="en-US"/>
                    </w:rPr>
                    <w:br/>
                  </w:r>
                  <w:r w:rsidRPr="00107C6C">
                    <w:rPr>
                      <w:b/>
                      <w:bCs/>
                      <w:color w:val="000000" w:themeColor="text1"/>
                      <w:sz w:val="22"/>
                      <w:lang w:val="en-US"/>
                    </w:rPr>
                    <w:t>_1month</w:t>
                  </w:r>
                </w:p>
              </w:tc>
            </w:tr>
            <w:tr w:rsidR="00694090" w:rsidRPr="00F60760" w14:paraId="671F3848" w14:textId="77777777" w:rsidTr="00E150C1">
              <w:tc>
                <w:tcPr>
                  <w:tcW w:w="2381" w:type="dxa"/>
                  <w:tcBorders>
                    <w:top w:val="single" w:sz="4" w:space="0" w:color="auto"/>
                    <w:left w:val="nil"/>
                    <w:bottom w:val="nil"/>
                    <w:right w:val="nil"/>
                  </w:tcBorders>
                </w:tcPr>
                <w:p w14:paraId="1723FA8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deal_culturaldistance</w:t>
                  </w:r>
                </w:p>
              </w:tc>
              <w:tc>
                <w:tcPr>
                  <w:tcW w:w="2047" w:type="dxa"/>
                  <w:tcBorders>
                    <w:top w:val="single" w:sz="4" w:space="0" w:color="auto"/>
                    <w:left w:val="nil"/>
                    <w:bottom w:val="nil"/>
                    <w:right w:val="nil"/>
                  </w:tcBorders>
                  <w:vAlign w:val="center"/>
                </w:tcPr>
                <w:p w14:paraId="5A4F141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.017***</w:t>
                  </w:r>
                </w:p>
              </w:tc>
              <w:tc>
                <w:tcPr>
                  <w:tcW w:w="2174" w:type="dxa"/>
                  <w:tcBorders>
                    <w:top w:val="single" w:sz="4" w:space="0" w:color="auto"/>
                    <w:left w:val="nil"/>
                    <w:bottom w:val="nil"/>
                    <w:right w:val="nil"/>
                  </w:tcBorders>
                  <w:vAlign w:val="center"/>
                </w:tcPr>
                <w:p w14:paraId="26C18FC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.017***</w:t>
                  </w:r>
                </w:p>
              </w:tc>
              <w:tc>
                <w:tcPr>
                  <w:tcW w:w="2301" w:type="dxa"/>
                  <w:tcBorders>
                    <w:top w:val="single" w:sz="4" w:space="0" w:color="auto"/>
                    <w:left w:val="nil"/>
                    <w:bottom w:val="nil"/>
                    <w:right w:val="nil"/>
                  </w:tcBorders>
                  <w:vAlign w:val="center"/>
                </w:tcPr>
                <w:p w14:paraId="6AB61A6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.503*</w:t>
                  </w:r>
                </w:p>
              </w:tc>
            </w:tr>
            <w:tr w:rsidR="00694090" w:rsidRPr="00F60760" w14:paraId="51DBF0A6" w14:textId="77777777" w:rsidTr="00E150C1">
              <w:tc>
                <w:tcPr>
                  <w:tcW w:w="2381" w:type="dxa"/>
                  <w:tcBorders>
                    <w:top w:val="nil"/>
                    <w:left w:val="nil"/>
                    <w:bottom w:val="nil"/>
                    <w:right w:val="nil"/>
                  </w:tcBorders>
                </w:tcPr>
                <w:p w14:paraId="33BF06B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2047" w:type="dxa"/>
                  <w:tcBorders>
                    <w:top w:val="nil"/>
                    <w:left w:val="nil"/>
                    <w:bottom w:val="nil"/>
                    <w:right w:val="nil"/>
                  </w:tcBorders>
                  <w:vAlign w:val="center"/>
                </w:tcPr>
                <w:p w14:paraId="427144D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(3.123)</w:t>
                  </w:r>
                </w:p>
              </w:tc>
              <w:tc>
                <w:tcPr>
                  <w:tcW w:w="2174" w:type="dxa"/>
                  <w:tcBorders>
                    <w:top w:val="nil"/>
                    <w:left w:val="nil"/>
                    <w:bottom w:val="nil"/>
                    <w:right w:val="nil"/>
                  </w:tcBorders>
                  <w:vAlign w:val="center"/>
                </w:tcPr>
                <w:p w14:paraId="0E69D17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(2.951)</w:t>
                  </w:r>
                </w:p>
              </w:tc>
              <w:tc>
                <w:tcPr>
                  <w:tcW w:w="2301" w:type="dxa"/>
                  <w:tcBorders>
                    <w:top w:val="nil"/>
                    <w:left w:val="nil"/>
                    <w:bottom w:val="nil"/>
                    <w:right w:val="nil"/>
                  </w:tcBorders>
                  <w:vAlign w:val="center"/>
                </w:tcPr>
                <w:p w14:paraId="0C952C9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(1.983)</w:t>
                  </w:r>
                </w:p>
              </w:tc>
            </w:tr>
            <w:tr w:rsidR="00694090" w:rsidRPr="00F60760" w14:paraId="79FB002B" w14:textId="77777777" w:rsidTr="00E150C1">
              <w:tc>
                <w:tcPr>
                  <w:tcW w:w="2381" w:type="dxa"/>
                  <w:tcBorders>
                    <w:top w:val="nil"/>
                    <w:left w:val="nil"/>
                    <w:bottom w:val="nil"/>
                    <w:right w:val="nil"/>
                  </w:tcBorders>
                </w:tcPr>
                <w:p w14:paraId="7DABE3B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deal_value_ln</w:t>
                  </w:r>
                </w:p>
              </w:tc>
              <w:tc>
                <w:tcPr>
                  <w:tcW w:w="2047" w:type="dxa"/>
                  <w:tcBorders>
                    <w:top w:val="nil"/>
                    <w:left w:val="nil"/>
                    <w:bottom w:val="nil"/>
                    <w:right w:val="nil"/>
                  </w:tcBorders>
                  <w:vAlign w:val="center"/>
                </w:tcPr>
                <w:p w14:paraId="464B2A3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-.008</w:t>
                  </w:r>
                </w:p>
              </w:tc>
              <w:tc>
                <w:tcPr>
                  <w:tcW w:w="2174" w:type="dxa"/>
                  <w:tcBorders>
                    <w:top w:val="nil"/>
                    <w:left w:val="nil"/>
                    <w:bottom w:val="nil"/>
                    <w:right w:val="nil"/>
                  </w:tcBorders>
                  <w:vAlign w:val="center"/>
                </w:tcPr>
                <w:p w14:paraId="4CA0225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-.022</w:t>
                  </w:r>
                </w:p>
              </w:tc>
              <w:tc>
                <w:tcPr>
                  <w:tcW w:w="2301" w:type="dxa"/>
                  <w:tcBorders>
                    <w:top w:val="nil"/>
                    <w:left w:val="nil"/>
                    <w:bottom w:val="nil"/>
                    <w:right w:val="nil"/>
                  </w:tcBorders>
                  <w:vAlign w:val="center"/>
                </w:tcPr>
                <w:p w14:paraId="3651C4E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-.010</w:t>
                  </w:r>
                </w:p>
              </w:tc>
            </w:tr>
            <w:tr w:rsidR="00694090" w:rsidRPr="00F60760" w14:paraId="7A95EFEE" w14:textId="77777777" w:rsidTr="00E150C1">
              <w:tc>
                <w:tcPr>
                  <w:tcW w:w="2381" w:type="dxa"/>
                  <w:tcBorders>
                    <w:top w:val="nil"/>
                    <w:left w:val="nil"/>
                    <w:bottom w:val="nil"/>
                    <w:right w:val="nil"/>
                  </w:tcBorders>
                </w:tcPr>
                <w:p w14:paraId="2D426B4E"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2047" w:type="dxa"/>
                  <w:tcBorders>
                    <w:top w:val="nil"/>
                    <w:left w:val="nil"/>
                    <w:bottom w:val="nil"/>
                    <w:right w:val="nil"/>
                  </w:tcBorders>
                  <w:vAlign w:val="center"/>
                </w:tcPr>
                <w:p w14:paraId="681B689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(-.292)</w:t>
                  </w:r>
                </w:p>
              </w:tc>
              <w:tc>
                <w:tcPr>
                  <w:tcW w:w="2174" w:type="dxa"/>
                  <w:tcBorders>
                    <w:top w:val="nil"/>
                    <w:left w:val="nil"/>
                    <w:bottom w:val="nil"/>
                    <w:right w:val="nil"/>
                  </w:tcBorders>
                  <w:vAlign w:val="center"/>
                </w:tcPr>
                <w:p w14:paraId="7E87B60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(-.662)</w:t>
                  </w:r>
                </w:p>
              </w:tc>
              <w:tc>
                <w:tcPr>
                  <w:tcW w:w="2301" w:type="dxa"/>
                  <w:tcBorders>
                    <w:top w:val="nil"/>
                    <w:left w:val="nil"/>
                    <w:bottom w:val="nil"/>
                    <w:right w:val="nil"/>
                  </w:tcBorders>
                  <w:vAlign w:val="center"/>
                </w:tcPr>
                <w:p w14:paraId="37600B1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(-.479)</w:t>
                  </w:r>
                </w:p>
              </w:tc>
            </w:tr>
            <w:tr w:rsidR="00694090" w:rsidRPr="00F60760" w14:paraId="112FB5FE" w14:textId="77777777" w:rsidTr="00E150C1">
              <w:tc>
                <w:tcPr>
                  <w:tcW w:w="2381" w:type="dxa"/>
                  <w:tcBorders>
                    <w:top w:val="nil"/>
                    <w:left w:val="nil"/>
                    <w:bottom w:val="nil"/>
                    <w:right w:val="nil"/>
                  </w:tcBorders>
                </w:tcPr>
                <w:p w14:paraId="65226C5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deal_hofstede_distance</w:t>
                  </w:r>
                </w:p>
              </w:tc>
              <w:tc>
                <w:tcPr>
                  <w:tcW w:w="2047" w:type="dxa"/>
                  <w:tcBorders>
                    <w:top w:val="nil"/>
                    <w:left w:val="nil"/>
                    <w:bottom w:val="nil"/>
                    <w:right w:val="nil"/>
                  </w:tcBorders>
                  <w:vAlign w:val="center"/>
                </w:tcPr>
                <w:p w14:paraId="74A3B24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w:t>
                  </w:r>
                </w:p>
              </w:tc>
              <w:tc>
                <w:tcPr>
                  <w:tcW w:w="2174" w:type="dxa"/>
                  <w:tcBorders>
                    <w:top w:val="nil"/>
                    <w:left w:val="nil"/>
                    <w:bottom w:val="nil"/>
                    <w:right w:val="nil"/>
                  </w:tcBorders>
                  <w:vAlign w:val="center"/>
                </w:tcPr>
                <w:p w14:paraId="46FC2C9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w:t>
                  </w:r>
                </w:p>
              </w:tc>
              <w:tc>
                <w:tcPr>
                  <w:tcW w:w="2301" w:type="dxa"/>
                  <w:tcBorders>
                    <w:top w:val="nil"/>
                    <w:left w:val="nil"/>
                    <w:bottom w:val="nil"/>
                    <w:right w:val="nil"/>
                  </w:tcBorders>
                  <w:vAlign w:val="center"/>
                </w:tcPr>
                <w:p w14:paraId="5348213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.071</w:t>
                  </w:r>
                </w:p>
              </w:tc>
            </w:tr>
            <w:tr w:rsidR="00694090" w:rsidRPr="00F60760" w14:paraId="25349F2D" w14:textId="77777777" w:rsidTr="00E150C1">
              <w:tc>
                <w:tcPr>
                  <w:tcW w:w="2381" w:type="dxa"/>
                  <w:tcBorders>
                    <w:top w:val="nil"/>
                    <w:left w:val="nil"/>
                    <w:bottom w:val="nil"/>
                    <w:right w:val="nil"/>
                  </w:tcBorders>
                </w:tcPr>
                <w:p w14:paraId="6E6597C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2047" w:type="dxa"/>
                  <w:tcBorders>
                    <w:top w:val="nil"/>
                    <w:left w:val="nil"/>
                    <w:bottom w:val="nil"/>
                    <w:right w:val="nil"/>
                  </w:tcBorders>
                  <w:vAlign w:val="center"/>
                </w:tcPr>
                <w:p w14:paraId="4A7CAA9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w:t>
                  </w:r>
                </w:p>
              </w:tc>
              <w:tc>
                <w:tcPr>
                  <w:tcW w:w="2174" w:type="dxa"/>
                  <w:tcBorders>
                    <w:top w:val="nil"/>
                    <w:left w:val="nil"/>
                    <w:bottom w:val="nil"/>
                    <w:right w:val="nil"/>
                  </w:tcBorders>
                  <w:vAlign w:val="center"/>
                </w:tcPr>
                <w:p w14:paraId="2BA897D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w:t>
                  </w:r>
                </w:p>
              </w:tc>
              <w:tc>
                <w:tcPr>
                  <w:tcW w:w="2301" w:type="dxa"/>
                  <w:tcBorders>
                    <w:top w:val="nil"/>
                    <w:left w:val="nil"/>
                    <w:bottom w:val="nil"/>
                    <w:right w:val="nil"/>
                  </w:tcBorders>
                  <w:vAlign w:val="center"/>
                </w:tcPr>
                <w:p w14:paraId="7DD666D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(.286)</w:t>
                  </w:r>
                </w:p>
              </w:tc>
            </w:tr>
            <w:tr w:rsidR="00694090" w:rsidRPr="00F60760" w14:paraId="7B77DE8C" w14:textId="77777777" w:rsidTr="00E150C1">
              <w:tc>
                <w:tcPr>
                  <w:tcW w:w="2381" w:type="dxa"/>
                  <w:tcBorders>
                    <w:top w:val="nil"/>
                    <w:left w:val="nil"/>
                    <w:bottom w:val="nil"/>
                    <w:right w:val="nil"/>
                  </w:tcBorders>
                </w:tcPr>
                <w:p w14:paraId="6ECB3D10"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deal_all_cash_dummy</w:t>
                  </w:r>
                </w:p>
              </w:tc>
              <w:tc>
                <w:tcPr>
                  <w:tcW w:w="2047" w:type="dxa"/>
                  <w:tcBorders>
                    <w:top w:val="nil"/>
                    <w:left w:val="nil"/>
                    <w:bottom w:val="nil"/>
                    <w:right w:val="nil"/>
                  </w:tcBorders>
                  <w:vAlign w:val="center"/>
                </w:tcPr>
                <w:p w14:paraId="05F2861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.092</w:t>
                  </w:r>
                </w:p>
              </w:tc>
              <w:tc>
                <w:tcPr>
                  <w:tcW w:w="2174" w:type="dxa"/>
                  <w:tcBorders>
                    <w:top w:val="nil"/>
                    <w:left w:val="nil"/>
                    <w:bottom w:val="nil"/>
                    <w:right w:val="nil"/>
                  </w:tcBorders>
                  <w:vAlign w:val="center"/>
                </w:tcPr>
                <w:p w14:paraId="440F4D8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.107</w:t>
                  </w:r>
                </w:p>
              </w:tc>
              <w:tc>
                <w:tcPr>
                  <w:tcW w:w="2301" w:type="dxa"/>
                  <w:tcBorders>
                    <w:top w:val="nil"/>
                    <w:left w:val="nil"/>
                    <w:bottom w:val="nil"/>
                    <w:right w:val="nil"/>
                  </w:tcBorders>
                  <w:vAlign w:val="center"/>
                </w:tcPr>
                <w:p w14:paraId="1A1D920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.088</w:t>
                  </w:r>
                </w:p>
              </w:tc>
            </w:tr>
            <w:tr w:rsidR="00694090" w:rsidRPr="00F60760" w14:paraId="35774400" w14:textId="77777777" w:rsidTr="00E150C1">
              <w:tc>
                <w:tcPr>
                  <w:tcW w:w="2381" w:type="dxa"/>
                  <w:tcBorders>
                    <w:top w:val="nil"/>
                    <w:left w:val="nil"/>
                    <w:bottom w:val="nil"/>
                    <w:right w:val="nil"/>
                  </w:tcBorders>
                </w:tcPr>
                <w:p w14:paraId="40A1900E"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2047" w:type="dxa"/>
                  <w:tcBorders>
                    <w:top w:val="nil"/>
                    <w:left w:val="nil"/>
                    <w:bottom w:val="nil"/>
                    <w:right w:val="nil"/>
                  </w:tcBorders>
                  <w:vAlign w:val="center"/>
                </w:tcPr>
                <w:p w14:paraId="112031D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(1.049)</w:t>
                  </w:r>
                </w:p>
              </w:tc>
              <w:tc>
                <w:tcPr>
                  <w:tcW w:w="2174" w:type="dxa"/>
                  <w:tcBorders>
                    <w:top w:val="nil"/>
                    <w:left w:val="nil"/>
                    <w:bottom w:val="nil"/>
                    <w:right w:val="nil"/>
                  </w:tcBorders>
                  <w:vAlign w:val="center"/>
                </w:tcPr>
                <w:p w14:paraId="1B24ED4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(1.193)</w:t>
                  </w:r>
                </w:p>
              </w:tc>
              <w:tc>
                <w:tcPr>
                  <w:tcW w:w="2301" w:type="dxa"/>
                  <w:tcBorders>
                    <w:top w:val="nil"/>
                    <w:left w:val="nil"/>
                    <w:bottom w:val="nil"/>
                    <w:right w:val="nil"/>
                  </w:tcBorders>
                  <w:vAlign w:val="center"/>
                </w:tcPr>
                <w:p w14:paraId="72AEC2E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(1.527)</w:t>
                  </w:r>
                </w:p>
              </w:tc>
            </w:tr>
            <w:tr w:rsidR="00694090" w:rsidRPr="00F60760" w14:paraId="30752992" w14:textId="77777777" w:rsidTr="00E150C1">
              <w:tc>
                <w:tcPr>
                  <w:tcW w:w="2381" w:type="dxa"/>
                  <w:tcBorders>
                    <w:top w:val="nil"/>
                    <w:left w:val="nil"/>
                    <w:bottom w:val="nil"/>
                    <w:right w:val="nil"/>
                  </w:tcBorders>
                </w:tcPr>
                <w:p w14:paraId="3B787D0E"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deal_all_stock_dummy</w:t>
                  </w:r>
                </w:p>
              </w:tc>
              <w:tc>
                <w:tcPr>
                  <w:tcW w:w="2047" w:type="dxa"/>
                  <w:tcBorders>
                    <w:top w:val="nil"/>
                    <w:left w:val="nil"/>
                    <w:bottom w:val="nil"/>
                    <w:right w:val="nil"/>
                  </w:tcBorders>
                  <w:vAlign w:val="center"/>
                </w:tcPr>
                <w:p w14:paraId="18625FC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-.138</w:t>
                  </w:r>
                </w:p>
              </w:tc>
              <w:tc>
                <w:tcPr>
                  <w:tcW w:w="2174" w:type="dxa"/>
                  <w:tcBorders>
                    <w:top w:val="nil"/>
                    <w:left w:val="nil"/>
                    <w:bottom w:val="nil"/>
                    <w:right w:val="nil"/>
                  </w:tcBorders>
                  <w:vAlign w:val="center"/>
                </w:tcPr>
                <w:p w14:paraId="10FFFE2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-.133</w:t>
                  </w:r>
                </w:p>
              </w:tc>
              <w:tc>
                <w:tcPr>
                  <w:tcW w:w="2301" w:type="dxa"/>
                  <w:tcBorders>
                    <w:top w:val="nil"/>
                    <w:left w:val="nil"/>
                    <w:bottom w:val="nil"/>
                    <w:right w:val="nil"/>
                  </w:tcBorders>
                  <w:vAlign w:val="center"/>
                </w:tcPr>
                <w:p w14:paraId="47C6CB6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-.109</w:t>
                  </w:r>
                </w:p>
              </w:tc>
            </w:tr>
            <w:tr w:rsidR="00694090" w:rsidRPr="00F60760" w14:paraId="445D542A" w14:textId="77777777" w:rsidTr="00E150C1">
              <w:tc>
                <w:tcPr>
                  <w:tcW w:w="2381" w:type="dxa"/>
                  <w:tcBorders>
                    <w:top w:val="nil"/>
                    <w:left w:val="nil"/>
                    <w:bottom w:val="nil"/>
                    <w:right w:val="nil"/>
                  </w:tcBorders>
                </w:tcPr>
                <w:p w14:paraId="19C89E0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2047" w:type="dxa"/>
                  <w:tcBorders>
                    <w:top w:val="nil"/>
                    <w:left w:val="nil"/>
                    <w:bottom w:val="nil"/>
                    <w:right w:val="nil"/>
                  </w:tcBorders>
                  <w:vAlign w:val="center"/>
                </w:tcPr>
                <w:p w14:paraId="40626FA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(-1.565)</w:t>
                  </w:r>
                </w:p>
              </w:tc>
              <w:tc>
                <w:tcPr>
                  <w:tcW w:w="2174" w:type="dxa"/>
                  <w:tcBorders>
                    <w:top w:val="nil"/>
                    <w:left w:val="nil"/>
                    <w:bottom w:val="nil"/>
                    <w:right w:val="nil"/>
                  </w:tcBorders>
                  <w:vAlign w:val="center"/>
                </w:tcPr>
                <w:p w14:paraId="1B61DA4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(-1.554)</w:t>
                  </w:r>
                </w:p>
              </w:tc>
              <w:tc>
                <w:tcPr>
                  <w:tcW w:w="2301" w:type="dxa"/>
                  <w:tcBorders>
                    <w:top w:val="nil"/>
                    <w:left w:val="nil"/>
                    <w:bottom w:val="nil"/>
                    <w:right w:val="nil"/>
                  </w:tcBorders>
                  <w:vAlign w:val="center"/>
                </w:tcPr>
                <w:p w14:paraId="13FF4DE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(-1.551)</w:t>
                  </w:r>
                </w:p>
              </w:tc>
            </w:tr>
            <w:tr w:rsidR="00694090" w:rsidRPr="00F60760" w14:paraId="43F605A7" w14:textId="77777777" w:rsidTr="00E150C1">
              <w:tc>
                <w:tcPr>
                  <w:tcW w:w="2381" w:type="dxa"/>
                  <w:tcBorders>
                    <w:top w:val="nil"/>
                    <w:left w:val="nil"/>
                    <w:bottom w:val="nil"/>
                    <w:right w:val="nil"/>
                  </w:tcBorders>
                </w:tcPr>
                <w:p w14:paraId="4B72ABA5"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deal_tenderoffer_dummy</w:t>
                  </w:r>
                </w:p>
              </w:tc>
              <w:tc>
                <w:tcPr>
                  <w:tcW w:w="2047" w:type="dxa"/>
                  <w:tcBorders>
                    <w:top w:val="nil"/>
                    <w:left w:val="nil"/>
                    <w:bottom w:val="nil"/>
                    <w:right w:val="nil"/>
                  </w:tcBorders>
                  <w:vAlign w:val="center"/>
                </w:tcPr>
                <w:p w14:paraId="092FB15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-.083</w:t>
                  </w:r>
                </w:p>
              </w:tc>
              <w:tc>
                <w:tcPr>
                  <w:tcW w:w="2174" w:type="dxa"/>
                  <w:tcBorders>
                    <w:top w:val="nil"/>
                    <w:left w:val="nil"/>
                    <w:bottom w:val="nil"/>
                    <w:right w:val="nil"/>
                  </w:tcBorders>
                  <w:vAlign w:val="center"/>
                </w:tcPr>
                <w:p w14:paraId="05B3D6C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-.103</w:t>
                  </w:r>
                </w:p>
              </w:tc>
              <w:tc>
                <w:tcPr>
                  <w:tcW w:w="2301" w:type="dxa"/>
                  <w:tcBorders>
                    <w:top w:val="nil"/>
                    <w:left w:val="nil"/>
                    <w:bottom w:val="nil"/>
                    <w:right w:val="nil"/>
                  </w:tcBorders>
                  <w:vAlign w:val="center"/>
                </w:tcPr>
                <w:p w14:paraId="5F43B7F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-.084</w:t>
                  </w:r>
                </w:p>
              </w:tc>
            </w:tr>
            <w:tr w:rsidR="00694090" w:rsidRPr="00F60760" w14:paraId="0485E620" w14:textId="77777777" w:rsidTr="00E150C1">
              <w:tc>
                <w:tcPr>
                  <w:tcW w:w="2381" w:type="dxa"/>
                  <w:tcBorders>
                    <w:top w:val="nil"/>
                    <w:left w:val="nil"/>
                    <w:bottom w:val="nil"/>
                    <w:right w:val="nil"/>
                  </w:tcBorders>
                </w:tcPr>
                <w:p w14:paraId="5043BFF8"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2047" w:type="dxa"/>
                  <w:tcBorders>
                    <w:top w:val="nil"/>
                    <w:left w:val="nil"/>
                    <w:bottom w:val="nil"/>
                    <w:right w:val="nil"/>
                  </w:tcBorders>
                  <w:vAlign w:val="center"/>
                </w:tcPr>
                <w:p w14:paraId="522860F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(-1.063)</w:t>
                  </w:r>
                </w:p>
              </w:tc>
              <w:tc>
                <w:tcPr>
                  <w:tcW w:w="2174" w:type="dxa"/>
                  <w:tcBorders>
                    <w:top w:val="nil"/>
                    <w:left w:val="nil"/>
                    <w:bottom w:val="nil"/>
                    <w:right w:val="nil"/>
                  </w:tcBorders>
                  <w:vAlign w:val="center"/>
                </w:tcPr>
                <w:p w14:paraId="721BBAD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(-1.269)</w:t>
                  </w:r>
                </w:p>
              </w:tc>
              <w:tc>
                <w:tcPr>
                  <w:tcW w:w="2301" w:type="dxa"/>
                  <w:tcBorders>
                    <w:top w:val="nil"/>
                    <w:left w:val="nil"/>
                    <w:bottom w:val="nil"/>
                    <w:right w:val="nil"/>
                  </w:tcBorders>
                  <w:vAlign w:val="center"/>
                </w:tcPr>
                <w:p w14:paraId="2CDBBA4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(-1.212)</w:t>
                  </w:r>
                </w:p>
              </w:tc>
            </w:tr>
            <w:tr w:rsidR="00694090" w:rsidRPr="00F60760" w14:paraId="15C29BD1" w14:textId="77777777" w:rsidTr="00E150C1">
              <w:tc>
                <w:tcPr>
                  <w:tcW w:w="2381" w:type="dxa"/>
                  <w:tcBorders>
                    <w:top w:val="nil"/>
                    <w:left w:val="nil"/>
                    <w:bottom w:val="nil"/>
                    <w:right w:val="nil"/>
                  </w:tcBorders>
                </w:tcPr>
                <w:p w14:paraId="1FDA132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deal_friendly_dummy</w:t>
                  </w:r>
                </w:p>
              </w:tc>
              <w:tc>
                <w:tcPr>
                  <w:tcW w:w="2047" w:type="dxa"/>
                  <w:tcBorders>
                    <w:top w:val="nil"/>
                    <w:left w:val="nil"/>
                    <w:bottom w:val="nil"/>
                    <w:right w:val="nil"/>
                  </w:tcBorders>
                  <w:vAlign w:val="center"/>
                </w:tcPr>
                <w:p w14:paraId="0C1E45A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.463***</w:t>
                  </w:r>
                </w:p>
              </w:tc>
              <w:tc>
                <w:tcPr>
                  <w:tcW w:w="2174" w:type="dxa"/>
                  <w:tcBorders>
                    <w:top w:val="nil"/>
                    <w:left w:val="nil"/>
                    <w:bottom w:val="nil"/>
                    <w:right w:val="nil"/>
                  </w:tcBorders>
                  <w:vAlign w:val="center"/>
                </w:tcPr>
                <w:p w14:paraId="0062897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.403**</w:t>
                  </w:r>
                </w:p>
              </w:tc>
              <w:tc>
                <w:tcPr>
                  <w:tcW w:w="2301" w:type="dxa"/>
                  <w:tcBorders>
                    <w:top w:val="nil"/>
                    <w:left w:val="nil"/>
                    <w:bottom w:val="nil"/>
                    <w:right w:val="nil"/>
                  </w:tcBorders>
                  <w:vAlign w:val="center"/>
                </w:tcPr>
                <w:p w14:paraId="5F3F2D8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.352***</w:t>
                  </w:r>
                </w:p>
              </w:tc>
            </w:tr>
            <w:tr w:rsidR="00694090" w:rsidRPr="00F60760" w14:paraId="322C43AC" w14:textId="77777777" w:rsidTr="00E150C1">
              <w:tc>
                <w:tcPr>
                  <w:tcW w:w="2381" w:type="dxa"/>
                  <w:tcBorders>
                    <w:top w:val="nil"/>
                    <w:left w:val="nil"/>
                    <w:bottom w:val="nil"/>
                    <w:right w:val="nil"/>
                  </w:tcBorders>
                </w:tcPr>
                <w:p w14:paraId="65E067E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2047" w:type="dxa"/>
                  <w:tcBorders>
                    <w:top w:val="nil"/>
                    <w:left w:val="nil"/>
                    <w:bottom w:val="nil"/>
                    <w:right w:val="nil"/>
                  </w:tcBorders>
                  <w:vAlign w:val="center"/>
                </w:tcPr>
                <w:p w14:paraId="6CFE237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(3.175)</w:t>
                  </w:r>
                </w:p>
              </w:tc>
              <w:tc>
                <w:tcPr>
                  <w:tcW w:w="2174" w:type="dxa"/>
                  <w:tcBorders>
                    <w:top w:val="nil"/>
                    <w:left w:val="nil"/>
                    <w:bottom w:val="nil"/>
                    <w:right w:val="nil"/>
                  </w:tcBorders>
                  <w:vAlign w:val="center"/>
                </w:tcPr>
                <w:p w14:paraId="6CA3685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(2.463)</w:t>
                  </w:r>
                </w:p>
              </w:tc>
              <w:tc>
                <w:tcPr>
                  <w:tcW w:w="2301" w:type="dxa"/>
                  <w:tcBorders>
                    <w:top w:val="nil"/>
                    <w:left w:val="nil"/>
                    <w:bottom w:val="nil"/>
                    <w:right w:val="nil"/>
                  </w:tcBorders>
                  <w:vAlign w:val="center"/>
                </w:tcPr>
                <w:p w14:paraId="53E5CE6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(2.888)</w:t>
                  </w:r>
                </w:p>
              </w:tc>
            </w:tr>
            <w:tr w:rsidR="00694090" w:rsidRPr="00F60760" w14:paraId="2A2861A3" w14:textId="77777777" w:rsidTr="00E150C1">
              <w:tc>
                <w:tcPr>
                  <w:tcW w:w="2381" w:type="dxa"/>
                  <w:tcBorders>
                    <w:top w:val="nil"/>
                    <w:left w:val="nil"/>
                    <w:bottom w:val="nil"/>
                    <w:right w:val="nil"/>
                  </w:tcBorders>
                </w:tcPr>
                <w:p w14:paraId="672CF9CB"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deal_relatedness_dummy</w:t>
                  </w:r>
                </w:p>
              </w:tc>
              <w:tc>
                <w:tcPr>
                  <w:tcW w:w="2047" w:type="dxa"/>
                  <w:tcBorders>
                    <w:top w:val="nil"/>
                    <w:left w:val="nil"/>
                    <w:bottom w:val="nil"/>
                    <w:right w:val="nil"/>
                  </w:tcBorders>
                  <w:vAlign w:val="center"/>
                </w:tcPr>
                <w:p w14:paraId="4377D88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.040</w:t>
                  </w:r>
                </w:p>
              </w:tc>
              <w:tc>
                <w:tcPr>
                  <w:tcW w:w="2174" w:type="dxa"/>
                  <w:tcBorders>
                    <w:top w:val="nil"/>
                    <w:left w:val="nil"/>
                    <w:bottom w:val="nil"/>
                    <w:right w:val="nil"/>
                  </w:tcBorders>
                  <w:vAlign w:val="center"/>
                </w:tcPr>
                <w:p w14:paraId="67BBAA6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.052</w:t>
                  </w:r>
                </w:p>
              </w:tc>
              <w:tc>
                <w:tcPr>
                  <w:tcW w:w="2301" w:type="dxa"/>
                  <w:tcBorders>
                    <w:top w:val="nil"/>
                    <w:left w:val="nil"/>
                    <w:bottom w:val="nil"/>
                    <w:right w:val="nil"/>
                  </w:tcBorders>
                  <w:vAlign w:val="center"/>
                </w:tcPr>
                <w:p w14:paraId="25863EE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.120**</w:t>
                  </w:r>
                </w:p>
              </w:tc>
            </w:tr>
            <w:tr w:rsidR="00694090" w:rsidRPr="00F60760" w14:paraId="7B12BBE3" w14:textId="77777777" w:rsidTr="00E150C1">
              <w:tc>
                <w:tcPr>
                  <w:tcW w:w="2381" w:type="dxa"/>
                  <w:tcBorders>
                    <w:top w:val="nil"/>
                    <w:left w:val="nil"/>
                    <w:bottom w:val="nil"/>
                    <w:right w:val="nil"/>
                  </w:tcBorders>
                </w:tcPr>
                <w:p w14:paraId="6A3680C1"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2047" w:type="dxa"/>
                  <w:tcBorders>
                    <w:top w:val="nil"/>
                    <w:left w:val="nil"/>
                    <w:bottom w:val="nil"/>
                    <w:right w:val="nil"/>
                  </w:tcBorders>
                  <w:vAlign w:val="center"/>
                </w:tcPr>
                <w:p w14:paraId="47F6647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(.556)</w:t>
                  </w:r>
                </w:p>
              </w:tc>
              <w:tc>
                <w:tcPr>
                  <w:tcW w:w="2174" w:type="dxa"/>
                  <w:tcBorders>
                    <w:top w:val="nil"/>
                    <w:left w:val="nil"/>
                    <w:bottom w:val="nil"/>
                    <w:right w:val="nil"/>
                  </w:tcBorders>
                  <w:vAlign w:val="center"/>
                </w:tcPr>
                <w:p w14:paraId="52785EA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(.772)</w:t>
                  </w:r>
                </w:p>
              </w:tc>
              <w:tc>
                <w:tcPr>
                  <w:tcW w:w="2301" w:type="dxa"/>
                  <w:tcBorders>
                    <w:top w:val="nil"/>
                    <w:left w:val="nil"/>
                    <w:bottom w:val="nil"/>
                    <w:right w:val="nil"/>
                  </w:tcBorders>
                  <w:vAlign w:val="center"/>
                </w:tcPr>
                <w:p w14:paraId="6ED4F6F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(2.145)</w:t>
                  </w:r>
                </w:p>
              </w:tc>
            </w:tr>
            <w:tr w:rsidR="00694090" w:rsidRPr="00F60760" w14:paraId="1E6AE1E9" w14:textId="77777777" w:rsidTr="00E150C1">
              <w:tc>
                <w:tcPr>
                  <w:tcW w:w="2381" w:type="dxa"/>
                  <w:tcBorders>
                    <w:top w:val="nil"/>
                    <w:left w:val="nil"/>
                    <w:bottom w:val="nil"/>
                    <w:right w:val="nil"/>
                  </w:tcBorders>
                </w:tcPr>
                <w:p w14:paraId="18BEFE2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acq_age</w:t>
                  </w:r>
                </w:p>
              </w:tc>
              <w:tc>
                <w:tcPr>
                  <w:tcW w:w="2047" w:type="dxa"/>
                  <w:tcBorders>
                    <w:top w:val="nil"/>
                    <w:left w:val="nil"/>
                    <w:bottom w:val="nil"/>
                    <w:right w:val="nil"/>
                  </w:tcBorders>
                  <w:vAlign w:val="center"/>
                </w:tcPr>
                <w:p w14:paraId="722926C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0.00000</w:t>
                  </w:r>
                </w:p>
              </w:tc>
              <w:tc>
                <w:tcPr>
                  <w:tcW w:w="2174" w:type="dxa"/>
                  <w:tcBorders>
                    <w:top w:val="nil"/>
                    <w:left w:val="nil"/>
                    <w:bottom w:val="nil"/>
                    <w:right w:val="nil"/>
                  </w:tcBorders>
                  <w:vAlign w:val="center"/>
                </w:tcPr>
                <w:p w14:paraId="2FC0E5B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-.0002</w:t>
                  </w:r>
                </w:p>
              </w:tc>
              <w:tc>
                <w:tcPr>
                  <w:tcW w:w="2301" w:type="dxa"/>
                  <w:tcBorders>
                    <w:top w:val="nil"/>
                    <w:left w:val="nil"/>
                    <w:bottom w:val="nil"/>
                    <w:right w:val="nil"/>
                  </w:tcBorders>
                  <w:vAlign w:val="center"/>
                </w:tcPr>
                <w:p w14:paraId="1638DC5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-.0003</w:t>
                  </w:r>
                </w:p>
              </w:tc>
            </w:tr>
            <w:tr w:rsidR="00694090" w:rsidRPr="00F60760" w14:paraId="1A5C0FD7" w14:textId="77777777" w:rsidTr="00E150C1">
              <w:tc>
                <w:tcPr>
                  <w:tcW w:w="2381" w:type="dxa"/>
                  <w:tcBorders>
                    <w:top w:val="nil"/>
                    <w:left w:val="nil"/>
                    <w:bottom w:val="nil"/>
                    <w:right w:val="nil"/>
                  </w:tcBorders>
                </w:tcPr>
                <w:p w14:paraId="0569605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2047" w:type="dxa"/>
                  <w:tcBorders>
                    <w:top w:val="nil"/>
                    <w:left w:val="nil"/>
                    <w:bottom w:val="nil"/>
                    <w:right w:val="nil"/>
                  </w:tcBorders>
                  <w:vAlign w:val="center"/>
                </w:tcPr>
                <w:p w14:paraId="36A2BCE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(.0003)</w:t>
                  </w:r>
                </w:p>
              </w:tc>
              <w:tc>
                <w:tcPr>
                  <w:tcW w:w="2174" w:type="dxa"/>
                  <w:tcBorders>
                    <w:top w:val="nil"/>
                    <w:left w:val="nil"/>
                    <w:bottom w:val="nil"/>
                    <w:right w:val="nil"/>
                  </w:tcBorders>
                  <w:vAlign w:val="center"/>
                </w:tcPr>
                <w:p w14:paraId="1C34EF9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(-.334)</w:t>
                  </w:r>
                </w:p>
              </w:tc>
              <w:tc>
                <w:tcPr>
                  <w:tcW w:w="2301" w:type="dxa"/>
                  <w:tcBorders>
                    <w:top w:val="nil"/>
                    <w:left w:val="nil"/>
                    <w:bottom w:val="nil"/>
                    <w:right w:val="nil"/>
                  </w:tcBorders>
                  <w:vAlign w:val="center"/>
                </w:tcPr>
                <w:p w14:paraId="35D7296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(-.707)</w:t>
                  </w:r>
                </w:p>
              </w:tc>
            </w:tr>
            <w:tr w:rsidR="00694090" w:rsidRPr="00F60760" w14:paraId="575EE3D5" w14:textId="77777777" w:rsidTr="00E150C1">
              <w:tc>
                <w:tcPr>
                  <w:tcW w:w="2381" w:type="dxa"/>
                  <w:tcBorders>
                    <w:top w:val="nil"/>
                    <w:left w:val="nil"/>
                    <w:bottom w:val="nil"/>
                    <w:right w:val="nil"/>
                  </w:tcBorders>
                </w:tcPr>
                <w:p w14:paraId="58D8602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acq_assets_lastyear_ln</w:t>
                  </w:r>
                </w:p>
              </w:tc>
              <w:tc>
                <w:tcPr>
                  <w:tcW w:w="2047" w:type="dxa"/>
                  <w:tcBorders>
                    <w:top w:val="nil"/>
                    <w:left w:val="nil"/>
                    <w:bottom w:val="nil"/>
                    <w:right w:val="nil"/>
                  </w:tcBorders>
                  <w:vAlign w:val="center"/>
                </w:tcPr>
                <w:p w14:paraId="7FEDA91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.004</w:t>
                  </w:r>
                </w:p>
              </w:tc>
              <w:tc>
                <w:tcPr>
                  <w:tcW w:w="2174" w:type="dxa"/>
                  <w:tcBorders>
                    <w:top w:val="nil"/>
                    <w:left w:val="nil"/>
                    <w:bottom w:val="nil"/>
                    <w:right w:val="nil"/>
                  </w:tcBorders>
                  <w:vAlign w:val="center"/>
                </w:tcPr>
                <w:p w14:paraId="5B7C809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.017</w:t>
                  </w:r>
                </w:p>
              </w:tc>
              <w:tc>
                <w:tcPr>
                  <w:tcW w:w="2301" w:type="dxa"/>
                  <w:tcBorders>
                    <w:top w:val="nil"/>
                    <w:left w:val="nil"/>
                    <w:bottom w:val="nil"/>
                    <w:right w:val="nil"/>
                  </w:tcBorders>
                  <w:vAlign w:val="center"/>
                </w:tcPr>
                <w:p w14:paraId="525D10E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.045</w:t>
                  </w:r>
                </w:p>
              </w:tc>
            </w:tr>
            <w:tr w:rsidR="00694090" w:rsidRPr="00F60760" w14:paraId="1C4541BA" w14:textId="77777777" w:rsidTr="00E150C1">
              <w:tc>
                <w:tcPr>
                  <w:tcW w:w="2381" w:type="dxa"/>
                  <w:tcBorders>
                    <w:top w:val="nil"/>
                    <w:left w:val="nil"/>
                    <w:bottom w:val="nil"/>
                    <w:right w:val="nil"/>
                  </w:tcBorders>
                </w:tcPr>
                <w:p w14:paraId="6E5741C3"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2047" w:type="dxa"/>
                  <w:tcBorders>
                    <w:top w:val="nil"/>
                    <w:left w:val="nil"/>
                    <w:bottom w:val="nil"/>
                    <w:right w:val="nil"/>
                  </w:tcBorders>
                  <w:vAlign w:val="center"/>
                </w:tcPr>
                <w:p w14:paraId="2482B87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(.093)</w:t>
                  </w:r>
                </w:p>
              </w:tc>
              <w:tc>
                <w:tcPr>
                  <w:tcW w:w="2174" w:type="dxa"/>
                  <w:tcBorders>
                    <w:top w:val="nil"/>
                    <w:left w:val="nil"/>
                    <w:bottom w:val="nil"/>
                    <w:right w:val="nil"/>
                  </w:tcBorders>
                  <w:vAlign w:val="center"/>
                </w:tcPr>
                <w:p w14:paraId="45EAC8C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(.414)</w:t>
                  </w:r>
                </w:p>
              </w:tc>
              <w:tc>
                <w:tcPr>
                  <w:tcW w:w="2301" w:type="dxa"/>
                  <w:tcBorders>
                    <w:top w:val="nil"/>
                    <w:left w:val="nil"/>
                    <w:bottom w:val="nil"/>
                    <w:right w:val="nil"/>
                  </w:tcBorders>
                  <w:vAlign w:val="center"/>
                </w:tcPr>
                <w:p w14:paraId="5B2457B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(1.203)</w:t>
                  </w:r>
                </w:p>
              </w:tc>
            </w:tr>
            <w:tr w:rsidR="00694090" w:rsidRPr="00F60760" w14:paraId="70691733" w14:textId="77777777" w:rsidTr="00E150C1">
              <w:tc>
                <w:tcPr>
                  <w:tcW w:w="2381" w:type="dxa"/>
                  <w:tcBorders>
                    <w:top w:val="nil"/>
                    <w:left w:val="nil"/>
                    <w:bottom w:val="nil"/>
                    <w:right w:val="nil"/>
                  </w:tcBorders>
                </w:tcPr>
                <w:p w14:paraId="27F72BED"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acq_roa_lastyear</w:t>
                  </w:r>
                </w:p>
              </w:tc>
              <w:tc>
                <w:tcPr>
                  <w:tcW w:w="2047" w:type="dxa"/>
                  <w:tcBorders>
                    <w:top w:val="nil"/>
                    <w:left w:val="nil"/>
                    <w:bottom w:val="nil"/>
                    <w:right w:val="nil"/>
                  </w:tcBorders>
                  <w:vAlign w:val="center"/>
                </w:tcPr>
                <w:p w14:paraId="505CF52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c>
                <w:tcPr>
                  <w:tcW w:w="2174" w:type="dxa"/>
                  <w:tcBorders>
                    <w:top w:val="nil"/>
                    <w:left w:val="nil"/>
                    <w:bottom w:val="nil"/>
                    <w:right w:val="nil"/>
                  </w:tcBorders>
                  <w:vAlign w:val="center"/>
                </w:tcPr>
                <w:p w14:paraId="1935625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.018</w:t>
                  </w:r>
                </w:p>
              </w:tc>
              <w:tc>
                <w:tcPr>
                  <w:tcW w:w="2301" w:type="dxa"/>
                  <w:tcBorders>
                    <w:top w:val="nil"/>
                    <w:left w:val="nil"/>
                    <w:bottom w:val="nil"/>
                    <w:right w:val="nil"/>
                  </w:tcBorders>
                  <w:vAlign w:val="center"/>
                </w:tcPr>
                <w:p w14:paraId="300950A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.030*</w:t>
                  </w:r>
                </w:p>
              </w:tc>
            </w:tr>
            <w:tr w:rsidR="00694090" w:rsidRPr="00F60760" w14:paraId="0AF50C56" w14:textId="77777777" w:rsidTr="00E150C1">
              <w:tc>
                <w:tcPr>
                  <w:tcW w:w="2381" w:type="dxa"/>
                  <w:tcBorders>
                    <w:top w:val="nil"/>
                    <w:left w:val="nil"/>
                    <w:bottom w:val="nil"/>
                    <w:right w:val="nil"/>
                  </w:tcBorders>
                </w:tcPr>
                <w:p w14:paraId="0AABE043"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2047" w:type="dxa"/>
                  <w:tcBorders>
                    <w:top w:val="nil"/>
                    <w:left w:val="nil"/>
                    <w:bottom w:val="nil"/>
                    <w:right w:val="nil"/>
                  </w:tcBorders>
                  <w:vAlign w:val="center"/>
                </w:tcPr>
                <w:p w14:paraId="7EC730F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(.037)</w:t>
                  </w:r>
                </w:p>
              </w:tc>
              <w:tc>
                <w:tcPr>
                  <w:tcW w:w="2174" w:type="dxa"/>
                  <w:tcBorders>
                    <w:top w:val="nil"/>
                    <w:left w:val="nil"/>
                    <w:bottom w:val="nil"/>
                    <w:right w:val="nil"/>
                  </w:tcBorders>
                  <w:vAlign w:val="center"/>
                </w:tcPr>
                <w:p w14:paraId="3AAF8B7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(1.033)</w:t>
                  </w:r>
                </w:p>
              </w:tc>
              <w:tc>
                <w:tcPr>
                  <w:tcW w:w="2301" w:type="dxa"/>
                  <w:tcBorders>
                    <w:top w:val="nil"/>
                    <w:left w:val="nil"/>
                    <w:bottom w:val="nil"/>
                    <w:right w:val="nil"/>
                  </w:tcBorders>
                  <w:vAlign w:val="center"/>
                </w:tcPr>
                <w:p w14:paraId="7B87272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(1.919)</w:t>
                  </w:r>
                </w:p>
              </w:tc>
            </w:tr>
            <w:tr w:rsidR="00694090" w:rsidRPr="00F60760" w14:paraId="13F3ABF1" w14:textId="77777777" w:rsidTr="00E150C1">
              <w:tc>
                <w:tcPr>
                  <w:tcW w:w="2381" w:type="dxa"/>
                  <w:tcBorders>
                    <w:top w:val="nil"/>
                    <w:left w:val="nil"/>
                    <w:bottom w:val="nil"/>
                    <w:right w:val="nil"/>
                  </w:tcBorders>
                </w:tcPr>
                <w:p w14:paraId="75E6EFB8"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acq_industrygrowth</w:t>
                  </w:r>
                </w:p>
              </w:tc>
              <w:tc>
                <w:tcPr>
                  <w:tcW w:w="2047" w:type="dxa"/>
                  <w:tcBorders>
                    <w:top w:val="nil"/>
                    <w:left w:val="nil"/>
                    <w:bottom w:val="nil"/>
                    <w:right w:val="nil"/>
                  </w:tcBorders>
                  <w:vAlign w:val="center"/>
                </w:tcPr>
                <w:p w14:paraId="378753B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-1.916***</w:t>
                  </w:r>
                </w:p>
              </w:tc>
              <w:tc>
                <w:tcPr>
                  <w:tcW w:w="2174" w:type="dxa"/>
                  <w:tcBorders>
                    <w:top w:val="nil"/>
                    <w:left w:val="nil"/>
                    <w:bottom w:val="nil"/>
                    <w:right w:val="nil"/>
                  </w:tcBorders>
                  <w:vAlign w:val="center"/>
                </w:tcPr>
                <w:p w14:paraId="5DA26BD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-1.927***</w:t>
                  </w:r>
                </w:p>
              </w:tc>
              <w:tc>
                <w:tcPr>
                  <w:tcW w:w="2301" w:type="dxa"/>
                  <w:tcBorders>
                    <w:top w:val="nil"/>
                    <w:left w:val="nil"/>
                    <w:bottom w:val="nil"/>
                    <w:right w:val="nil"/>
                  </w:tcBorders>
                  <w:vAlign w:val="center"/>
                </w:tcPr>
                <w:p w14:paraId="3B10F0D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-1.912***</w:t>
                  </w:r>
                </w:p>
              </w:tc>
            </w:tr>
            <w:tr w:rsidR="00694090" w:rsidRPr="00F60760" w14:paraId="4BAF7F6D" w14:textId="77777777" w:rsidTr="00E150C1">
              <w:tc>
                <w:tcPr>
                  <w:tcW w:w="2381" w:type="dxa"/>
                  <w:tcBorders>
                    <w:top w:val="nil"/>
                    <w:left w:val="nil"/>
                    <w:bottom w:val="nil"/>
                    <w:right w:val="nil"/>
                  </w:tcBorders>
                </w:tcPr>
                <w:p w14:paraId="0617F580"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2047" w:type="dxa"/>
                  <w:tcBorders>
                    <w:top w:val="nil"/>
                    <w:left w:val="nil"/>
                    <w:bottom w:val="nil"/>
                    <w:right w:val="nil"/>
                  </w:tcBorders>
                  <w:vAlign w:val="center"/>
                </w:tcPr>
                <w:p w14:paraId="6031E4C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(-3.195)</w:t>
                  </w:r>
                </w:p>
              </w:tc>
              <w:tc>
                <w:tcPr>
                  <w:tcW w:w="2174" w:type="dxa"/>
                  <w:tcBorders>
                    <w:top w:val="nil"/>
                    <w:left w:val="nil"/>
                    <w:bottom w:val="nil"/>
                    <w:right w:val="nil"/>
                  </w:tcBorders>
                  <w:vAlign w:val="center"/>
                </w:tcPr>
                <w:p w14:paraId="75225F6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(-3.196)</w:t>
                  </w:r>
                </w:p>
              </w:tc>
              <w:tc>
                <w:tcPr>
                  <w:tcW w:w="2301" w:type="dxa"/>
                  <w:tcBorders>
                    <w:top w:val="nil"/>
                    <w:left w:val="nil"/>
                    <w:bottom w:val="nil"/>
                    <w:right w:val="nil"/>
                  </w:tcBorders>
                  <w:vAlign w:val="center"/>
                </w:tcPr>
                <w:p w14:paraId="42B2428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(-2.770)</w:t>
                  </w:r>
                </w:p>
              </w:tc>
            </w:tr>
            <w:tr w:rsidR="00694090" w:rsidRPr="00F60760" w14:paraId="44F341B5" w14:textId="77777777" w:rsidTr="00E150C1">
              <w:tc>
                <w:tcPr>
                  <w:tcW w:w="2381" w:type="dxa"/>
                  <w:tcBorders>
                    <w:top w:val="nil"/>
                    <w:left w:val="nil"/>
                    <w:bottom w:val="nil"/>
                    <w:right w:val="nil"/>
                  </w:tcBorders>
                </w:tcPr>
                <w:p w14:paraId="26B8438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acq_dealexperience</w:t>
                  </w:r>
                </w:p>
              </w:tc>
              <w:tc>
                <w:tcPr>
                  <w:tcW w:w="2047" w:type="dxa"/>
                  <w:tcBorders>
                    <w:top w:val="nil"/>
                    <w:left w:val="nil"/>
                    <w:bottom w:val="nil"/>
                    <w:right w:val="nil"/>
                  </w:tcBorders>
                  <w:vAlign w:val="center"/>
                </w:tcPr>
                <w:p w14:paraId="06035E1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-.039</w:t>
                  </w:r>
                </w:p>
              </w:tc>
              <w:tc>
                <w:tcPr>
                  <w:tcW w:w="2174" w:type="dxa"/>
                  <w:tcBorders>
                    <w:top w:val="nil"/>
                    <w:left w:val="nil"/>
                    <w:bottom w:val="nil"/>
                    <w:right w:val="nil"/>
                  </w:tcBorders>
                  <w:vAlign w:val="center"/>
                </w:tcPr>
                <w:p w14:paraId="4A3DA69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-.045</w:t>
                  </w:r>
                </w:p>
              </w:tc>
              <w:tc>
                <w:tcPr>
                  <w:tcW w:w="2301" w:type="dxa"/>
                  <w:tcBorders>
                    <w:top w:val="nil"/>
                    <w:left w:val="nil"/>
                    <w:bottom w:val="nil"/>
                    <w:right w:val="nil"/>
                  </w:tcBorders>
                  <w:vAlign w:val="center"/>
                </w:tcPr>
                <w:p w14:paraId="3A2BFF7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-.037</w:t>
                  </w:r>
                </w:p>
              </w:tc>
            </w:tr>
            <w:tr w:rsidR="00694090" w:rsidRPr="00F60760" w14:paraId="760522C1" w14:textId="77777777" w:rsidTr="00E150C1">
              <w:tc>
                <w:tcPr>
                  <w:tcW w:w="2381" w:type="dxa"/>
                  <w:tcBorders>
                    <w:top w:val="nil"/>
                    <w:left w:val="nil"/>
                    <w:bottom w:val="nil"/>
                    <w:right w:val="nil"/>
                  </w:tcBorders>
                </w:tcPr>
                <w:p w14:paraId="432C8450"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2047" w:type="dxa"/>
                  <w:tcBorders>
                    <w:top w:val="nil"/>
                    <w:left w:val="nil"/>
                    <w:bottom w:val="nil"/>
                    <w:right w:val="nil"/>
                  </w:tcBorders>
                  <w:vAlign w:val="center"/>
                </w:tcPr>
                <w:p w14:paraId="1DDCB67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(-.674)</w:t>
                  </w:r>
                </w:p>
              </w:tc>
              <w:tc>
                <w:tcPr>
                  <w:tcW w:w="2174" w:type="dxa"/>
                  <w:tcBorders>
                    <w:top w:val="nil"/>
                    <w:left w:val="nil"/>
                    <w:bottom w:val="nil"/>
                    <w:right w:val="nil"/>
                  </w:tcBorders>
                  <w:vAlign w:val="center"/>
                </w:tcPr>
                <w:p w14:paraId="375014E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(-.873)</w:t>
                  </w:r>
                </w:p>
              </w:tc>
              <w:tc>
                <w:tcPr>
                  <w:tcW w:w="2301" w:type="dxa"/>
                  <w:tcBorders>
                    <w:top w:val="nil"/>
                    <w:left w:val="nil"/>
                    <w:bottom w:val="nil"/>
                    <w:right w:val="nil"/>
                  </w:tcBorders>
                  <w:vAlign w:val="center"/>
                </w:tcPr>
                <w:p w14:paraId="163E7B1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(-.987)</w:t>
                  </w:r>
                </w:p>
              </w:tc>
            </w:tr>
            <w:tr w:rsidR="00694090" w:rsidRPr="00F60760" w14:paraId="0FEFF04E" w14:textId="77777777" w:rsidTr="00E150C1">
              <w:tc>
                <w:tcPr>
                  <w:tcW w:w="2381" w:type="dxa"/>
                  <w:tcBorders>
                    <w:top w:val="nil"/>
                    <w:left w:val="nil"/>
                    <w:bottom w:val="nil"/>
                    <w:right w:val="nil"/>
                  </w:tcBorders>
                  <w:vAlign w:val="center"/>
                </w:tcPr>
                <w:p w14:paraId="3E133A8D"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acq_rd_intensity</w:t>
                  </w:r>
                </w:p>
              </w:tc>
              <w:tc>
                <w:tcPr>
                  <w:tcW w:w="2047" w:type="dxa"/>
                  <w:tcBorders>
                    <w:top w:val="nil"/>
                    <w:left w:val="nil"/>
                    <w:bottom w:val="nil"/>
                    <w:right w:val="nil"/>
                  </w:tcBorders>
                  <w:vAlign w:val="center"/>
                </w:tcPr>
                <w:p w14:paraId="02BA178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-.567***</w:t>
                  </w:r>
                </w:p>
              </w:tc>
              <w:tc>
                <w:tcPr>
                  <w:tcW w:w="2174" w:type="dxa"/>
                  <w:tcBorders>
                    <w:top w:val="nil"/>
                    <w:left w:val="nil"/>
                    <w:bottom w:val="nil"/>
                    <w:right w:val="nil"/>
                  </w:tcBorders>
                  <w:vAlign w:val="center"/>
                </w:tcPr>
                <w:p w14:paraId="38265E6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-.456***</w:t>
                  </w:r>
                </w:p>
              </w:tc>
              <w:tc>
                <w:tcPr>
                  <w:tcW w:w="2301" w:type="dxa"/>
                  <w:tcBorders>
                    <w:top w:val="nil"/>
                    <w:left w:val="nil"/>
                    <w:bottom w:val="nil"/>
                    <w:right w:val="nil"/>
                  </w:tcBorders>
                  <w:vAlign w:val="center"/>
                </w:tcPr>
                <w:p w14:paraId="32FF872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-.365</w:t>
                  </w:r>
                </w:p>
              </w:tc>
            </w:tr>
            <w:tr w:rsidR="00694090" w:rsidRPr="00F60760" w14:paraId="4384DBC2" w14:textId="77777777" w:rsidTr="00E150C1">
              <w:tc>
                <w:tcPr>
                  <w:tcW w:w="2381" w:type="dxa"/>
                  <w:tcBorders>
                    <w:top w:val="nil"/>
                    <w:left w:val="nil"/>
                    <w:bottom w:val="nil"/>
                    <w:right w:val="nil"/>
                  </w:tcBorders>
                  <w:vAlign w:val="center"/>
                </w:tcPr>
                <w:p w14:paraId="02E2A8B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p>
              </w:tc>
              <w:tc>
                <w:tcPr>
                  <w:tcW w:w="2047" w:type="dxa"/>
                  <w:tcBorders>
                    <w:top w:val="nil"/>
                    <w:left w:val="nil"/>
                    <w:bottom w:val="nil"/>
                    <w:right w:val="nil"/>
                  </w:tcBorders>
                  <w:vAlign w:val="center"/>
                </w:tcPr>
                <w:p w14:paraId="4C6F602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(-4.666)</w:t>
                  </w:r>
                </w:p>
              </w:tc>
              <w:tc>
                <w:tcPr>
                  <w:tcW w:w="2174" w:type="dxa"/>
                  <w:tcBorders>
                    <w:top w:val="nil"/>
                    <w:left w:val="nil"/>
                    <w:bottom w:val="nil"/>
                    <w:right w:val="nil"/>
                  </w:tcBorders>
                  <w:vAlign w:val="center"/>
                </w:tcPr>
                <w:p w14:paraId="67C892A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(-3.203)</w:t>
                  </w:r>
                </w:p>
              </w:tc>
              <w:tc>
                <w:tcPr>
                  <w:tcW w:w="2301" w:type="dxa"/>
                  <w:tcBorders>
                    <w:top w:val="nil"/>
                    <w:left w:val="nil"/>
                    <w:bottom w:val="nil"/>
                    <w:right w:val="nil"/>
                  </w:tcBorders>
                  <w:vAlign w:val="center"/>
                </w:tcPr>
                <w:p w14:paraId="14B01E3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(-1.155)</w:t>
                  </w:r>
                </w:p>
              </w:tc>
            </w:tr>
            <w:tr w:rsidR="00694090" w:rsidRPr="00F60760" w14:paraId="52E2495F" w14:textId="77777777" w:rsidTr="00E150C1">
              <w:tc>
                <w:tcPr>
                  <w:tcW w:w="2381" w:type="dxa"/>
                  <w:tcBorders>
                    <w:top w:val="nil"/>
                    <w:left w:val="nil"/>
                    <w:bottom w:val="nil"/>
                    <w:right w:val="nil"/>
                  </w:tcBorders>
                </w:tcPr>
                <w:p w14:paraId="5AEF73E5"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tar_age</w:t>
                  </w:r>
                </w:p>
              </w:tc>
              <w:tc>
                <w:tcPr>
                  <w:tcW w:w="2047" w:type="dxa"/>
                  <w:tcBorders>
                    <w:top w:val="nil"/>
                    <w:left w:val="nil"/>
                    <w:bottom w:val="nil"/>
                    <w:right w:val="nil"/>
                  </w:tcBorders>
                  <w:vAlign w:val="center"/>
                </w:tcPr>
                <w:p w14:paraId="2F3E10E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-.0004</w:t>
                  </w:r>
                </w:p>
              </w:tc>
              <w:tc>
                <w:tcPr>
                  <w:tcW w:w="2174" w:type="dxa"/>
                  <w:tcBorders>
                    <w:top w:val="nil"/>
                    <w:left w:val="nil"/>
                    <w:bottom w:val="nil"/>
                    <w:right w:val="nil"/>
                  </w:tcBorders>
                  <w:vAlign w:val="center"/>
                </w:tcPr>
                <w:p w14:paraId="7B1B394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-.0003</w:t>
                  </w:r>
                </w:p>
              </w:tc>
              <w:tc>
                <w:tcPr>
                  <w:tcW w:w="2301" w:type="dxa"/>
                  <w:tcBorders>
                    <w:top w:val="nil"/>
                    <w:left w:val="nil"/>
                    <w:bottom w:val="nil"/>
                    <w:right w:val="nil"/>
                  </w:tcBorders>
                  <w:vAlign w:val="center"/>
                </w:tcPr>
                <w:p w14:paraId="5E71E81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.0002</w:t>
                  </w:r>
                </w:p>
              </w:tc>
            </w:tr>
            <w:tr w:rsidR="00694090" w:rsidRPr="00F60760" w14:paraId="02E6D312" w14:textId="77777777" w:rsidTr="00E150C1">
              <w:tc>
                <w:tcPr>
                  <w:tcW w:w="2381" w:type="dxa"/>
                  <w:tcBorders>
                    <w:top w:val="nil"/>
                    <w:left w:val="nil"/>
                    <w:bottom w:val="nil"/>
                    <w:right w:val="nil"/>
                  </w:tcBorders>
                </w:tcPr>
                <w:p w14:paraId="4E259B20"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2047" w:type="dxa"/>
                  <w:tcBorders>
                    <w:top w:val="nil"/>
                    <w:left w:val="nil"/>
                    <w:bottom w:val="nil"/>
                    <w:right w:val="nil"/>
                  </w:tcBorders>
                  <w:vAlign w:val="center"/>
                </w:tcPr>
                <w:p w14:paraId="13BCFDC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(-.431)</w:t>
                  </w:r>
                </w:p>
              </w:tc>
              <w:tc>
                <w:tcPr>
                  <w:tcW w:w="2174" w:type="dxa"/>
                  <w:tcBorders>
                    <w:top w:val="nil"/>
                    <w:left w:val="nil"/>
                    <w:bottom w:val="nil"/>
                    <w:right w:val="nil"/>
                  </w:tcBorders>
                  <w:vAlign w:val="center"/>
                </w:tcPr>
                <w:p w14:paraId="545FBAD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(-.342)</w:t>
                  </w:r>
                </w:p>
              </w:tc>
              <w:tc>
                <w:tcPr>
                  <w:tcW w:w="2301" w:type="dxa"/>
                  <w:tcBorders>
                    <w:top w:val="nil"/>
                    <w:left w:val="nil"/>
                    <w:bottom w:val="nil"/>
                    <w:right w:val="nil"/>
                  </w:tcBorders>
                  <w:vAlign w:val="center"/>
                </w:tcPr>
                <w:p w14:paraId="7790A3B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(.343)</w:t>
                  </w:r>
                </w:p>
              </w:tc>
            </w:tr>
            <w:tr w:rsidR="00694090" w:rsidRPr="00F60760" w14:paraId="263AA085" w14:textId="77777777" w:rsidTr="00E150C1">
              <w:tc>
                <w:tcPr>
                  <w:tcW w:w="2381" w:type="dxa"/>
                  <w:tcBorders>
                    <w:top w:val="nil"/>
                    <w:left w:val="nil"/>
                    <w:bottom w:val="nil"/>
                    <w:right w:val="nil"/>
                  </w:tcBorders>
                </w:tcPr>
                <w:p w14:paraId="6C3C169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tar_assets_lastyear_ln</w:t>
                  </w:r>
                </w:p>
              </w:tc>
              <w:tc>
                <w:tcPr>
                  <w:tcW w:w="2047" w:type="dxa"/>
                  <w:tcBorders>
                    <w:top w:val="nil"/>
                    <w:left w:val="nil"/>
                    <w:bottom w:val="nil"/>
                    <w:right w:val="nil"/>
                  </w:tcBorders>
                  <w:vAlign w:val="center"/>
                </w:tcPr>
                <w:p w14:paraId="583C139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.042</w:t>
                  </w:r>
                </w:p>
              </w:tc>
              <w:tc>
                <w:tcPr>
                  <w:tcW w:w="2174" w:type="dxa"/>
                  <w:tcBorders>
                    <w:top w:val="nil"/>
                    <w:left w:val="nil"/>
                    <w:bottom w:val="nil"/>
                    <w:right w:val="nil"/>
                  </w:tcBorders>
                  <w:vAlign w:val="center"/>
                </w:tcPr>
                <w:p w14:paraId="13C7C21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.047</w:t>
                  </w:r>
                </w:p>
              </w:tc>
              <w:tc>
                <w:tcPr>
                  <w:tcW w:w="2301" w:type="dxa"/>
                  <w:tcBorders>
                    <w:top w:val="nil"/>
                    <w:left w:val="nil"/>
                    <w:bottom w:val="nil"/>
                    <w:right w:val="nil"/>
                  </w:tcBorders>
                  <w:vAlign w:val="center"/>
                </w:tcPr>
                <w:p w14:paraId="716E0EC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-.015</w:t>
                  </w:r>
                </w:p>
              </w:tc>
            </w:tr>
            <w:tr w:rsidR="00694090" w:rsidRPr="00F60760" w14:paraId="28BD101D" w14:textId="77777777" w:rsidTr="00E150C1">
              <w:tc>
                <w:tcPr>
                  <w:tcW w:w="2381" w:type="dxa"/>
                  <w:tcBorders>
                    <w:top w:val="nil"/>
                    <w:left w:val="nil"/>
                    <w:bottom w:val="nil"/>
                    <w:right w:val="nil"/>
                  </w:tcBorders>
                </w:tcPr>
                <w:p w14:paraId="322CE443"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2047" w:type="dxa"/>
                  <w:tcBorders>
                    <w:top w:val="nil"/>
                    <w:left w:val="nil"/>
                    <w:bottom w:val="nil"/>
                    <w:right w:val="nil"/>
                  </w:tcBorders>
                  <w:vAlign w:val="center"/>
                </w:tcPr>
                <w:p w14:paraId="7F3D9EE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(.898)</w:t>
                  </w:r>
                </w:p>
              </w:tc>
              <w:tc>
                <w:tcPr>
                  <w:tcW w:w="2174" w:type="dxa"/>
                  <w:tcBorders>
                    <w:top w:val="nil"/>
                    <w:left w:val="nil"/>
                    <w:bottom w:val="nil"/>
                    <w:right w:val="nil"/>
                  </w:tcBorders>
                  <w:vAlign w:val="center"/>
                </w:tcPr>
                <w:p w14:paraId="7A06D9F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(1.030)</w:t>
                  </w:r>
                </w:p>
              </w:tc>
              <w:tc>
                <w:tcPr>
                  <w:tcW w:w="2301" w:type="dxa"/>
                  <w:tcBorders>
                    <w:top w:val="nil"/>
                    <w:left w:val="nil"/>
                    <w:bottom w:val="nil"/>
                    <w:right w:val="nil"/>
                  </w:tcBorders>
                  <w:vAlign w:val="center"/>
                </w:tcPr>
                <w:p w14:paraId="73E4B9E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(-.476)</w:t>
                  </w:r>
                </w:p>
              </w:tc>
            </w:tr>
            <w:tr w:rsidR="00694090" w:rsidRPr="00F60760" w14:paraId="5914A1C9" w14:textId="77777777" w:rsidTr="00E150C1">
              <w:tc>
                <w:tcPr>
                  <w:tcW w:w="2381" w:type="dxa"/>
                  <w:tcBorders>
                    <w:top w:val="nil"/>
                    <w:left w:val="nil"/>
                    <w:bottom w:val="nil"/>
                    <w:right w:val="nil"/>
                  </w:tcBorders>
                </w:tcPr>
                <w:p w14:paraId="781FF4B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tar_roa_lastyear</w:t>
                  </w:r>
                </w:p>
              </w:tc>
              <w:tc>
                <w:tcPr>
                  <w:tcW w:w="2047" w:type="dxa"/>
                  <w:tcBorders>
                    <w:top w:val="nil"/>
                    <w:left w:val="nil"/>
                    <w:bottom w:val="nil"/>
                    <w:right w:val="nil"/>
                  </w:tcBorders>
                  <w:vAlign w:val="center"/>
                </w:tcPr>
                <w:p w14:paraId="7CFCC61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-.524**</w:t>
                  </w:r>
                </w:p>
              </w:tc>
              <w:tc>
                <w:tcPr>
                  <w:tcW w:w="2174" w:type="dxa"/>
                  <w:tcBorders>
                    <w:top w:val="nil"/>
                    <w:left w:val="nil"/>
                    <w:bottom w:val="nil"/>
                    <w:right w:val="nil"/>
                  </w:tcBorders>
                  <w:vAlign w:val="center"/>
                </w:tcPr>
                <w:p w14:paraId="0848022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-.385*</w:t>
                  </w:r>
                </w:p>
              </w:tc>
              <w:tc>
                <w:tcPr>
                  <w:tcW w:w="2301" w:type="dxa"/>
                  <w:tcBorders>
                    <w:top w:val="nil"/>
                    <w:left w:val="nil"/>
                    <w:bottom w:val="nil"/>
                    <w:right w:val="nil"/>
                  </w:tcBorders>
                  <w:vAlign w:val="center"/>
                </w:tcPr>
                <w:p w14:paraId="4D8742A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-.245</w:t>
                  </w:r>
                </w:p>
              </w:tc>
            </w:tr>
            <w:tr w:rsidR="00694090" w:rsidRPr="00F60760" w14:paraId="1619DF2F" w14:textId="77777777" w:rsidTr="00E150C1">
              <w:tc>
                <w:tcPr>
                  <w:tcW w:w="2381" w:type="dxa"/>
                  <w:tcBorders>
                    <w:top w:val="nil"/>
                    <w:left w:val="nil"/>
                    <w:bottom w:val="nil"/>
                    <w:right w:val="nil"/>
                  </w:tcBorders>
                </w:tcPr>
                <w:p w14:paraId="078F80CD"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2047" w:type="dxa"/>
                  <w:tcBorders>
                    <w:top w:val="nil"/>
                    <w:left w:val="nil"/>
                    <w:bottom w:val="nil"/>
                    <w:right w:val="nil"/>
                  </w:tcBorders>
                  <w:vAlign w:val="center"/>
                </w:tcPr>
                <w:p w14:paraId="274CF7B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(-2.453)</w:t>
                  </w:r>
                </w:p>
              </w:tc>
              <w:tc>
                <w:tcPr>
                  <w:tcW w:w="2174" w:type="dxa"/>
                  <w:tcBorders>
                    <w:top w:val="nil"/>
                    <w:left w:val="nil"/>
                    <w:bottom w:val="nil"/>
                    <w:right w:val="nil"/>
                  </w:tcBorders>
                  <w:vAlign w:val="center"/>
                </w:tcPr>
                <w:p w14:paraId="4EC7E6A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(-1.745)</w:t>
                  </w:r>
                </w:p>
              </w:tc>
              <w:tc>
                <w:tcPr>
                  <w:tcW w:w="2301" w:type="dxa"/>
                  <w:tcBorders>
                    <w:top w:val="nil"/>
                    <w:left w:val="nil"/>
                    <w:bottom w:val="nil"/>
                    <w:right w:val="nil"/>
                  </w:tcBorders>
                  <w:vAlign w:val="center"/>
                </w:tcPr>
                <w:p w14:paraId="65E8268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(-1.016)</w:t>
                  </w:r>
                </w:p>
              </w:tc>
            </w:tr>
            <w:tr w:rsidR="00694090" w:rsidRPr="00F60760" w14:paraId="603A8866" w14:textId="77777777" w:rsidTr="00E150C1">
              <w:tc>
                <w:tcPr>
                  <w:tcW w:w="2381" w:type="dxa"/>
                  <w:tcBorders>
                    <w:top w:val="nil"/>
                    <w:left w:val="nil"/>
                    <w:bottom w:val="nil"/>
                    <w:right w:val="nil"/>
                  </w:tcBorders>
                </w:tcPr>
                <w:p w14:paraId="7993CA03"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tar_mbratio</w:t>
                  </w:r>
                </w:p>
              </w:tc>
              <w:tc>
                <w:tcPr>
                  <w:tcW w:w="2047" w:type="dxa"/>
                  <w:tcBorders>
                    <w:top w:val="nil"/>
                    <w:left w:val="nil"/>
                    <w:bottom w:val="nil"/>
                    <w:right w:val="nil"/>
                  </w:tcBorders>
                  <w:vAlign w:val="center"/>
                </w:tcPr>
                <w:p w14:paraId="35B9E14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-.006***</w:t>
                  </w:r>
                </w:p>
              </w:tc>
              <w:tc>
                <w:tcPr>
                  <w:tcW w:w="2174" w:type="dxa"/>
                  <w:tcBorders>
                    <w:top w:val="nil"/>
                    <w:left w:val="nil"/>
                    <w:bottom w:val="nil"/>
                    <w:right w:val="nil"/>
                  </w:tcBorders>
                  <w:vAlign w:val="center"/>
                </w:tcPr>
                <w:p w14:paraId="37045B4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-.004***</w:t>
                  </w:r>
                </w:p>
              </w:tc>
              <w:tc>
                <w:tcPr>
                  <w:tcW w:w="2301" w:type="dxa"/>
                  <w:tcBorders>
                    <w:top w:val="nil"/>
                    <w:left w:val="nil"/>
                    <w:bottom w:val="nil"/>
                    <w:right w:val="nil"/>
                  </w:tcBorders>
                  <w:vAlign w:val="center"/>
                </w:tcPr>
                <w:p w14:paraId="3D2F722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-.006***</w:t>
                  </w:r>
                </w:p>
              </w:tc>
            </w:tr>
            <w:tr w:rsidR="00694090" w:rsidRPr="00F60760" w14:paraId="45137D2B" w14:textId="77777777" w:rsidTr="00E150C1">
              <w:tc>
                <w:tcPr>
                  <w:tcW w:w="2381" w:type="dxa"/>
                  <w:tcBorders>
                    <w:top w:val="nil"/>
                    <w:left w:val="nil"/>
                    <w:bottom w:val="nil"/>
                    <w:right w:val="nil"/>
                  </w:tcBorders>
                </w:tcPr>
                <w:p w14:paraId="408F892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2047" w:type="dxa"/>
                  <w:tcBorders>
                    <w:top w:val="nil"/>
                    <w:left w:val="nil"/>
                    <w:bottom w:val="nil"/>
                    <w:right w:val="nil"/>
                  </w:tcBorders>
                  <w:vAlign w:val="center"/>
                </w:tcPr>
                <w:p w14:paraId="5D8E27D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(-5.159)</w:t>
                  </w:r>
                </w:p>
              </w:tc>
              <w:tc>
                <w:tcPr>
                  <w:tcW w:w="2174" w:type="dxa"/>
                  <w:tcBorders>
                    <w:top w:val="nil"/>
                    <w:left w:val="nil"/>
                    <w:bottom w:val="nil"/>
                    <w:right w:val="nil"/>
                  </w:tcBorders>
                  <w:vAlign w:val="center"/>
                </w:tcPr>
                <w:p w14:paraId="319B283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(-3.419)</w:t>
                  </w:r>
                </w:p>
              </w:tc>
              <w:tc>
                <w:tcPr>
                  <w:tcW w:w="2301" w:type="dxa"/>
                  <w:tcBorders>
                    <w:top w:val="nil"/>
                    <w:left w:val="nil"/>
                    <w:bottom w:val="nil"/>
                    <w:right w:val="nil"/>
                  </w:tcBorders>
                  <w:vAlign w:val="center"/>
                </w:tcPr>
                <w:p w14:paraId="2861A56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(-3.431)</w:t>
                  </w:r>
                </w:p>
              </w:tc>
            </w:tr>
            <w:tr w:rsidR="00694090" w:rsidRPr="00F60760" w14:paraId="5684BF8F" w14:textId="77777777" w:rsidTr="00E150C1">
              <w:tc>
                <w:tcPr>
                  <w:tcW w:w="2381" w:type="dxa"/>
                  <w:tcBorders>
                    <w:top w:val="nil"/>
                    <w:left w:val="nil"/>
                    <w:bottom w:val="nil"/>
                    <w:right w:val="nil"/>
                  </w:tcBorders>
                </w:tcPr>
                <w:p w14:paraId="17B5B42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Observations</w:t>
                  </w:r>
                </w:p>
              </w:tc>
              <w:tc>
                <w:tcPr>
                  <w:tcW w:w="2047" w:type="dxa"/>
                  <w:tcBorders>
                    <w:top w:val="nil"/>
                    <w:left w:val="nil"/>
                    <w:bottom w:val="nil"/>
                    <w:right w:val="nil"/>
                  </w:tcBorders>
                  <w:vAlign w:val="center"/>
                </w:tcPr>
                <w:p w14:paraId="30CD650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194</w:t>
                  </w:r>
                </w:p>
              </w:tc>
              <w:tc>
                <w:tcPr>
                  <w:tcW w:w="2174" w:type="dxa"/>
                  <w:tcBorders>
                    <w:top w:val="nil"/>
                    <w:left w:val="nil"/>
                    <w:bottom w:val="nil"/>
                    <w:right w:val="nil"/>
                  </w:tcBorders>
                  <w:vAlign w:val="center"/>
                </w:tcPr>
                <w:p w14:paraId="52AAB3F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194</w:t>
                  </w:r>
                </w:p>
              </w:tc>
              <w:tc>
                <w:tcPr>
                  <w:tcW w:w="2301" w:type="dxa"/>
                  <w:tcBorders>
                    <w:top w:val="nil"/>
                    <w:left w:val="nil"/>
                    <w:bottom w:val="nil"/>
                    <w:right w:val="nil"/>
                  </w:tcBorders>
                </w:tcPr>
                <w:p w14:paraId="79C6B11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226</w:t>
                  </w:r>
                </w:p>
              </w:tc>
            </w:tr>
            <w:tr w:rsidR="00694090" w:rsidRPr="00F60760" w14:paraId="7BC407A1" w14:textId="77777777" w:rsidTr="00E150C1">
              <w:tc>
                <w:tcPr>
                  <w:tcW w:w="2381" w:type="dxa"/>
                  <w:tcBorders>
                    <w:top w:val="nil"/>
                    <w:left w:val="nil"/>
                    <w:bottom w:val="nil"/>
                    <w:right w:val="nil"/>
                  </w:tcBorders>
                </w:tcPr>
                <w:p w14:paraId="3DB5A2B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Adj R2</w:t>
                  </w:r>
                </w:p>
              </w:tc>
              <w:tc>
                <w:tcPr>
                  <w:tcW w:w="2047" w:type="dxa"/>
                  <w:tcBorders>
                    <w:top w:val="nil"/>
                    <w:left w:val="nil"/>
                    <w:bottom w:val="nil"/>
                    <w:right w:val="nil"/>
                  </w:tcBorders>
                  <w:vAlign w:val="center"/>
                </w:tcPr>
                <w:p w14:paraId="7C2F670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.080</w:t>
                  </w:r>
                </w:p>
              </w:tc>
              <w:tc>
                <w:tcPr>
                  <w:tcW w:w="2174" w:type="dxa"/>
                  <w:tcBorders>
                    <w:top w:val="nil"/>
                    <w:left w:val="nil"/>
                    <w:bottom w:val="nil"/>
                    <w:right w:val="nil"/>
                  </w:tcBorders>
                  <w:vAlign w:val="center"/>
                </w:tcPr>
                <w:p w14:paraId="41901B4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.085</w:t>
                  </w:r>
                </w:p>
              </w:tc>
              <w:tc>
                <w:tcPr>
                  <w:tcW w:w="2301" w:type="dxa"/>
                  <w:tcBorders>
                    <w:top w:val="nil"/>
                    <w:left w:val="nil"/>
                    <w:bottom w:val="nil"/>
                    <w:right w:val="nil"/>
                  </w:tcBorders>
                  <w:vAlign w:val="center"/>
                </w:tcPr>
                <w:p w14:paraId="50738BB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.066</w:t>
                  </w:r>
                </w:p>
              </w:tc>
            </w:tr>
            <w:tr w:rsidR="00694090" w:rsidRPr="00F60760" w14:paraId="730F7652" w14:textId="77777777" w:rsidTr="00E150C1">
              <w:tc>
                <w:tcPr>
                  <w:tcW w:w="2381" w:type="dxa"/>
                  <w:tcBorders>
                    <w:top w:val="nil"/>
                    <w:left w:val="nil"/>
                    <w:bottom w:val="nil"/>
                    <w:right w:val="nil"/>
                  </w:tcBorders>
                </w:tcPr>
                <w:p w14:paraId="2A659A0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Industry FE</w:t>
                  </w:r>
                </w:p>
              </w:tc>
              <w:tc>
                <w:tcPr>
                  <w:tcW w:w="2047" w:type="dxa"/>
                  <w:tcBorders>
                    <w:top w:val="nil"/>
                    <w:left w:val="nil"/>
                    <w:bottom w:val="nil"/>
                    <w:right w:val="nil"/>
                  </w:tcBorders>
                </w:tcPr>
                <w:p w14:paraId="16D2159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2174" w:type="dxa"/>
                  <w:tcBorders>
                    <w:top w:val="nil"/>
                    <w:left w:val="nil"/>
                    <w:bottom w:val="nil"/>
                    <w:right w:val="nil"/>
                  </w:tcBorders>
                </w:tcPr>
                <w:p w14:paraId="1492498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2301" w:type="dxa"/>
                  <w:tcBorders>
                    <w:top w:val="nil"/>
                    <w:left w:val="nil"/>
                    <w:bottom w:val="nil"/>
                    <w:right w:val="nil"/>
                  </w:tcBorders>
                </w:tcPr>
                <w:p w14:paraId="4B1B581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r>
            <w:tr w:rsidR="00694090" w:rsidRPr="00F60760" w14:paraId="5B1DB7A5" w14:textId="77777777" w:rsidTr="00E150C1">
              <w:tc>
                <w:tcPr>
                  <w:tcW w:w="2381" w:type="dxa"/>
                  <w:tcBorders>
                    <w:top w:val="nil"/>
                    <w:left w:val="nil"/>
                    <w:bottom w:val="nil"/>
                    <w:right w:val="nil"/>
                  </w:tcBorders>
                </w:tcPr>
                <w:p w14:paraId="333B0D51"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Year FE</w:t>
                  </w:r>
                </w:p>
              </w:tc>
              <w:tc>
                <w:tcPr>
                  <w:tcW w:w="2047" w:type="dxa"/>
                  <w:tcBorders>
                    <w:top w:val="nil"/>
                    <w:left w:val="nil"/>
                    <w:bottom w:val="nil"/>
                    <w:right w:val="nil"/>
                  </w:tcBorders>
                </w:tcPr>
                <w:p w14:paraId="7B7ABB0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2174" w:type="dxa"/>
                  <w:tcBorders>
                    <w:top w:val="nil"/>
                    <w:left w:val="nil"/>
                    <w:bottom w:val="nil"/>
                    <w:right w:val="nil"/>
                  </w:tcBorders>
                </w:tcPr>
                <w:p w14:paraId="2E67181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Yes</w:t>
                  </w:r>
                </w:p>
              </w:tc>
              <w:tc>
                <w:tcPr>
                  <w:tcW w:w="2301" w:type="dxa"/>
                  <w:tcBorders>
                    <w:top w:val="nil"/>
                    <w:left w:val="nil"/>
                    <w:bottom w:val="nil"/>
                    <w:right w:val="nil"/>
                  </w:tcBorders>
                </w:tcPr>
                <w:p w14:paraId="4414556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Yes</w:t>
                  </w:r>
                </w:p>
              </w:tc>
            </w:tr>
          </w:tbl>
          <w:p w14:paraId="1E1B239D" w14:textId="77777777" w:rsidR="00694090" w:rsidRPr="00F60760" w:rsidRDefault="00694090" w:rsidP="00AB066F">
            <w:pPr>
              <w:jc w:val="left"/>
              <w:rPr>
                <w:color w:val="000000" w:themeColor="text1"/>
                <w:sz w:val="22"/>
                <w:lang w:val="en-US"/>
              </w:rPr>
            </w:pPr>
          </w:p>
        </w:tc>
      </w:tr>
      <w:tr w:rsidR="00694090" w:rsidRPr="00BE5632" w14:paraId="33F7DDE0" w14:textId="77777777" w:rsidTr="00107C6C">
        <w:trPr>
          <w:trHeight w:val="978"/>
        </w:trPr>
        <w:tc>
          <w:tcPr>
            <w:tcW w:w="5000" w:type="pct"/>
            <w:tcBorders>
              <w:top w:val="single" w:sz="4" w:space="0" w:color="auto"/>
              <w:left w:val="nil"/>
              <w:right w:val="nil"/>
            </w:tcBorders>
            <w:shd w:val="clear" w:color="auto" w:fill="auto"/>
            <w:noWrap/>
          </w:tcPr>
          <w:p w14:paraId="22ABCD83" w14:textId="77777777" w:rsidR="00694090" w:rsidRPr="00F60760" w:rsidRDefault="00694090" w:rsidP="00E74508">
            <w:pPr>
              <w:spacing w:before="120" w:line="240" w:lineRule="auto"/>
              <w:rPr>
                <w:color w:val="000000" w:themeColor="text1"/>
                <w:sz w:val="22"/>
                <w:lang w:val="en-US"/>
              </w:rPr>
            </w:pPr>
            <w:r w:rsidRPr="00F60760">
              <w:rPr>
                <w:i/>
                <w:iCs/>
                <w:color w:val="000000" w:themeColor="text1"/>
                <w:sz w:val="22"/>
                <w:lang w:val="en-US"/>
              </w:rPr>
              <w:t>Note</w:t>
            </w:r>
            <w:r w:rsidRPr="00F60760">
              <w:rPr>
                <w:color w:val="000000" w:themeColor="text1"/>
                <w:sz w:val="22"/>
                <w:lang w:val="en-US"/>
              </w:rPr>
              <w:t xml:space="preserve">. This table reports fixed effects linear OLS regression results predicting the effect of organizational cultural distance between acquirers and targets on acquisition premiums. The dependent variable for all Models is the acquisition premium paid in relation to the target’s market value, which is measured 1 day and 1 week prior deal announcement. The main independent variable </w:t>
            </w:r>
            <w:r w:rsidRPr="00F60760">
              <w:rPr>
                <w:color w:val="000000" w:themeColor="text1"/>
                <w:sz w:val="22"/>
                <w:lang w:val="en-US"/>
              </w:rPr>
              <w:lastRenderedPageBreak/>
              <w:t xml:space="preserve">in Models 1 and 2 is </w:t>
            </w:r>
            <w:r w:rsidRPr="00F60760">
              <w:rPr>
                <w:i/>
                <w:color w:val="000000" w:themeColor="text1"/>
                <w:sz w:val="22"/>
                <w:lang w:val="en-US"/>
              </w:rPr>
              <w:t>deal_culturaldistance</w:t>
            </w:r>
            <w:r w:rsidRPr="00F60760">
              <w:rPr>
                <w:color w:val="000000" w:themeColor="text1"/>
                <w:sz w:val="22"/>
                <w:lang w:val="en-US"/>
              </w:rPr>
              <w:t>, with higher values indicating higher cultural dissimilarities between the acquirer and target. A detailed variable description can be found in Appendix B. Excluded from the analysis were international deals where the acquirer and the target are located in different countries. Constant terms are estimated but not reported. We include the acquirer’s industry and year fixed effects in all models. We cluster standard errors at the 2-digit SIC industry level. t-statistics are reported in parentheses below the coefficients. *, **, *** denote statistical significance at the .10, .05, and .01 levels (using two-tailed tests).</w:t>
            </w:r>
          </w:p>
        </w:tc>
      </w:tr>
    </w:tbl>
    <w:p w14:paraId="4767FED3" w14:textId="77777777" w:rsidR="00E150C1" w:rsidRDefault="00E150C1" w:rsidP="00331B63">
      <w:pPr>
        <w:pStyle w:val="1fake"/>
        <w:rPr>
          <w:rStyle w:val="SchwacherVerweis"/>
          <w:smallCaps w:val="0"/>
          <w:color w:val="auto"/>
        </w:rPr>
      </w:pPr>
    </w:p>
    <w:p w14:paraId="6D355A17" w14:textId="77777777" w:rsidR="00E150C1" w:rsidRDefault="00E150C1">
      <w:pPr>
        <w:spacing w:after="160" w:line="259" w:lineRule="auto"/>
        <w:jc w:val="left"/>
        <w:rPr>
          <w:rStyle w:val="SchwacherVerweis"/>
          <w:rFonts w:eastAsiaTheme="majorEastAsia" w:cstheme="majorBidi"/>
          <w:b/>
          <w:caps/>
          <w:smallCaps w:val="0"/>
          <w:color w:val="auto"/>
          <w:szCs w:val="32"/>
          <w:lang w:val="en-US"/>
        </w:rPr>
      </w:pPr>
      <w:r w:rsidRPr="00BE5632">
        <w:rPr>
          <w:rStyle w:val="SchwacherVerweis"/>
          <w:smallCaps w:val="0"/>
          <w:color w:val="auto"/>
          <w:lang w:val="en-US"/>
        </w:rPr>
        <w:br w:type="page"/>
      </w:r>
    </w:p>
    <w:p w14:paraId="45811B5E" w14:textId="7BA7BE1D" w:rsidR="00331B63" w:rsidRPr="00947673" w:rsidRDefault="00331B63" w:rsidP="00331B63">
      <w:pPr>
        <w:pStyle w:val="1fake"/>
        <w:rPr>
          <w:rStyle w:val="SchwacherVerweis"/>
          <w:smallCaps w:val="0"/>
          <w:color w:val="auto"/>
        </w:rPr>
      </w:pPr>
      <w:r w:rsidRPr="00947673">
        <w:rPr>
          <w:rStyle w:val="SchwacherVerweis"/>
          <w:smallCaps w:val="0"/>
          <w:color w:val="auto"/>
        </w:rPr>
        <w:lastRenderedPageBreak/>
        <w:t xml:space="preserve">Online Supplement </w:t>
      </w:r>
      <w:r>
        <w:rPr>
          <w:rStyle w:val="SchwacherVerweis"/>
          <w:smallCaps w:val="0"/>
          <w:color w:val="auto"/>
        </w:rPr>
        <w:t>12</w:t>
      </w:r>
    </w:p>
    <w:p w14:paraId="541B32A5" w14:textId="52F541FE" w:rsidR="00011AF5" w:rsidRPr="004D7CC1" w:rsidRDefault="00011AF5" w:rsidP="00011AF5">
      <w:pPr>
        <w:pStyle w:val="Beschriftung"/>
      </w:pPr>
      <w:bookmarkStart w:id="631" w:name="_Toc180594858"/>
      <w:r>
        <w:t xml:space="preserve">T - III - </w:t>
      </w:r>
      <w:r>
        <w:fldChar w:fldCharType="begin"/>
      </w:r>
      <w:r>
        <w:instrText xml:space="preserve"> SEQ T_-_III_- \* ARABIC </w:instrText>
      </w:r>
      <w:r>
        <w:fldChar w:fldCharType="separate"/>
      </w:r>
      <w:r w:rsidR="00E91088">
        <w:rPr>
          <w:noProof/>
        </w:rPr>
        <w:t>22</w:t>
      </w:r>
      <w:r>
        <w:fldChar w:fldCharType="end"/>
      </w:r>
      <w:r>
        <w:t xml:space="preserve">: </w:t>
      </w:r>
      <w:r w:rsidRPr="0021412B">
        <w:t>H3: Innovation - No international deals</w:t>
      </w:r>
      <w:bookmarkEnd w:id="631"/>
    </w:p>
    <w:tbl>
      <w:tblPr>
        <w:tblW w:w="9072" w:type="dxa"/>
        <w:tblLayout w:type="fixed"/>
        <w:tblLook w:val="04A0" w:firstRow="1" w:lastRow="0" w:firstColumn="1" w:lastColumn="0" w:noHBand="0" w:noVBand="1"/>
      </w:tblPr>
      <w:tblGrid>
        <w:gridCol w:w="9072"/>
      </w:tblGrid>
      <w:tr w:rsidR="00694090" w:rsidRPr="00F60760" w14:paraId="69E52424" w14:textId="77777777" w:rsidTr="00E150C1">
        <w:trPr>
          <w:trHeight w:val="470"/>
        </w:trPr>
        <w:tc>
          <w:tcPr>
            <w:tcW w:w="5000" w:type="pct"/>
            <w:tcBorders>
              <w:left w:val="nil"/>
              <w:bottom w:val="single" w:sz="4" w:space="0" w:color="auto"/>
              <w:right w:val="nil"/>
            </w:tcBorders>
            <w:shd w:val="clear" w:color="auto" w:fill="auto"/>
          </w:tcPr>
          <w:tbl>
            <w:tblPr>
              <w:tblW w:w="9072" w:type="dxa"/>
              <w:jc w:val="center"/>
              <w:tblLayout w:type="fixed"/>
              <w:tblLook w:val="0000" w:firstRow="0" w:lastRow="0" w:firstColumn="0" w:lastColumn="0" w:noHBand="0" w:noVBand="0"/>
            </w:tblPr>
            <w:tblGrid>
              <w:gridCol w:w="3156"/>
              <w:gridCol w:w="3104"/>
              <w:gridCol w:w="2812"/>
            </w:tblGrid>
            <w:tr w:rsidR="00694090" w:rsidRPr="00F60760" w14:paraId="728F0B95" w14:textId="77777777" w:rsidTr="00E150C1">
              <w:trPr>
                <w:jc w:val="center"/>
              </w:trPr>
              <w:tc>
                <w:tcPr>
                  <w:tcW w:w="3156" w:type="dxa"/>
                  <w:tcBorders>
                    <w:top w:val="single" w:sz="4" w:space="0" w:color="auto"/>
                    <w:left w:val="nil"/>
                    <w:right w:val="nil"/>
                  </w:tcBorders>
                </w:tcPr>
                <w:p w14:paraId="2363588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w:t>
                  </w:r>
                </w:p>
              </w:tc>
              <w:tc>
                <w:tcPr>
                  <w:tcW w:w="3104" w:type="dxa"/>
                  <w:tcBorders>
                    <w:top w:val="single" w:sz="4" w:space="0" w:color="auto"/>
                    <w:left w:val="nil"/>
                    <w:right w:val="nil"/>
                  </w:tcBorders>
                </w:tcPr>
                <w:p w14:paraId="3546DA94"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(1)</w:t>
                  </w:r>
                </w:p>
              </w:tc>
              <w:tc>
                <w:tcPr>
                  <w:tcW w:w="2812" w:type="dxa"/>
                  <w:tcBorders>
                    <w:top w:val="single" w:sz="4" w:space="0" w:color="auto"/>
                    <w:left w:val="nil"/>
                    <w:right w:val="nil"/>
                  </w:tcBorders>
                </w:tcPr>
                <w:p w14:paraId="7A3C3375"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(2)</w:t>
                  </w:r>
                </w:p>
              </w:tc>
            </w:tr>
            <w:tr w:rsidR="00694090" w:rsidRPr="00F60760" w14:paraId="014CF903" w14:textId="77777777" w:rsidTr="00E150C1">
              <w:trPr>
                <w:jc w:val="center"/>
              </w:trPr>
              <w:tc>
                <w:tcPr>
                  <w:tcW w:w="3156" w:type="dxa"/>
                  <w:tcBorders>
                    <w:top w:val="nil"/>
                    <w:left w:val="nil"/>
                    <w:bottom w:val="single" w:sz="4" w:space="0" w:color="auto"/>
                    <w:right w:val="nil"/>
                  </w:tcBorders>
                </w:tcPr>
                <w:p w14:paraId="74BC4B8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104" w:type="dxa"/>
                  <w:tcBorders>
                    <w:top w:val="nil"/>
                    <w:left w:val="nil"/>
                    <w:bottom w:val="single" w:sz="4" w:space="0" w:color="auto"/>
                    <w:right w:val="nil"/>
                  </w:tcBorders>
                </w:tcPr>
                <w:p w14:paraId="76AAC313"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acq_2yr_patent_growth</w:t>
                  </w:r>
                </w:p>
              </w:tc>
              <w:tc>
                <w:tcPr>
                  <w:tcW w:w="2812" w:type="dxa"/>
                  <w:tcBorders>
                    <w:top w:val="nil"/>
                    <w:left w:val="nil"/>
                    <w:bottom w:val="single" w:sz="4" w:space="0" w:color="auto"/>
                    <w:right w:val="nil"/>
                  </w:tcBorders>
                </w:tcPr>
                <w:p w14:paraId="100A96EF"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acq_2yr_npd_growth</w:t>
                  </w:r>
                </w:p>
              </w:tc>
            </w:tr>
            <w:tr w:rsidR="00694090" w:rsidRPr="00F60760" w14:paraId="2010FDF6" w14:textId="77777777" w:rsidTr="00E150C1">
              <w:trPr>
                <w:jc w:val="center"/>
              </w:trPr>
              <w:tc>
                <w:tcPr>
                  <w:tcW w:w="3156" w:type="dxa"/>
                  <w:tcBorders>
                    <w:top w:val="single" w:sz="4" w:space="0" w:color="auto"/>
                    <w:left w:val="nil"/>
                    <w:bottom w:val="nil"/>
                    <w:right w:val="nil"/>
                  </w:tcBorders>
                </w:tcPr>
                <w:p w14:paraId="00F9A5A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deal_culturaldistance</w:t>
                  </w:r>
                </w:p>
              </w:tc>
              <w:tc>
                <w:tcPr>
                  <w:tcW w:w="3104" w:type="dxa"/>
                  <w:tcBorders>
                    <w:top w:val="single" w:sz="4" w:space="0" w:color="auto"/>
                    <w:left w:val="nil"/>
                    <w:bottom w:val="nil"/>
                    <w:right w:val="nil"/>
                  </w:tcBorders>
                </w:tcPr>
                <w:p w14:paraId="0455E9E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-.052**</w:t>
                  </w:r>
                </w:p>
              </w:tc>
              <w:tc>
                <w:tcPr>
                  <w:tcW w:w="2812" w:type="dxa"/>
                  <w:tcBorders>
                    <w:top w:val="single" w:sz="4" w:space="0" w:color="auto"/>
                    <w:left w:val="nil"/>
                    <w:bottom w:val="nil"/>
                    <w:right w:val="nil"/>
                  </w:tcBorders>
                </w:tcPr>
                <w:p w14:paraId="6EFAA17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-.028*</w:t>
                  </w:r>
                </w:p>
              </w:tc>
            </w:tr>
            <w:tr w:rsidR="00694090" w:rsidRPr="00F60760" w14:paraId="165598E1" w14:textId="77777777" w:rsidTr="00E150C1">
              <w:trPr>
                <w:jc w:val="center"/>
              </w:trPr>
              <w:tc>
                <w:tcPr>
                  <w:tcW w:w="3156" w:type="dxa"/>
                  <w:tcBorders>
                    <w:top w:val="nil"/>
                    <w:left w:val="nil"/>
                    <w:bottom w:val="nil"/>
                    <w:right w:val="nil"/>
                  </w:tcBorders>
                </w:tcPr>
                <w:p w14:paraId="46EB9BD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104" w:type="dxa"/>
                  <w:tcBorders>
                    <w:top w:val="nil"/>
                    <w:left w:val="nil"/>
                    <w:bottom w:val="nil"/>
                    <w:right w:val="nil"/>
                  </w:tcBorders>
                </w:tcPr>
                <w:p w14:paraId="57C72A6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(-2.012)</w:t>
                  </w:r>
                </w:p>
              </w:tc>
              <w:tc>
                <w:tcPr>
                  <w:tcW w:w="2812" w:type="dxa"/>
                  <w:tcBorders>
                    <w:top w:val="nil"/>
                    <w:left w:val="nil"/>
                    <w:bottom w:val="nil"/>
                    <w:right w:val="nil"/>
                  </w:tcBorders>
                </w:tcPr>
                <w:p w14:paraId="0EB379D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(-1.919)</w:t>
                  </w:r>
                </w:p>
              </w:tc>
            </w:tr>
            <w:tr w:rsidR="00694090" w:rsidRPr="00F60760" w14:paraId="77A77F36" w14:textId="77777777" w:rsidTr="00E150C1">
              <w:trPr>
                <w:jc w:val="center"/>
              </w:trPr>
              <w:tc>
                <w:tcPr>
                  <w:tcW w:w="3156" w:type="dxa"/>
                  <w:tcBorders>
                    <w:top w:val="nil"/>
                    <w:left w:val="nil"/>
                    <w:bottom w:val="nil"/>
                    <w:right w:val="nil"/>
                  </w:tcBorders>
                </w:tcPr>
                <w:p w14:paraId="6CD6A190"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deal_value_ln</w:t>
                  </w:r>
                </w:p>
              </w:tc>
              <w:tc>
                <w:tcPr>
                  <w:tcW w:w="3104" w:type="dxa"/>
                  <w:tcBorders>
                    <w:top w:val="nil"/>
                    <w:left w:val="nil"/>
                    <w:bottom w:val="nil"/>
                    <w:right w:val="nil"/>
                  </w:tcBorders>
                </w:tcPr>
                <w:p w14:paraId="0101098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-.038</w:t>
                  </w:r>
                </w:p>
              </w:tc>
              <w:tc>
                <w:tcPr>
                  <w:tcW w:w="2812" w:type="dxa"/>
                  <w:tcBorders>
                    <w:top w:val="nil"/>
                    <w:left w:val="nil"/>
                    <w:bottom w:val="nil"/>
                    <w:right w:val="nil"/>
                  </w:tcBorders>
                </w:tcPr>
                <w:p w14:paraId="1FD6347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.018</w:t>
                  </w:r>
                </w:p>
              </w:tc>
            </w:tr>
            <w:tr w:rsidR="00694090" w:rsidRPr="00F60760" w14:paraId="5ABF4384" w14:textId="77777777" w:rsidTr="00E150C1">
              <w:trPr>
                <w:jc w:val="center"/>
              </w:trPr>
              <w:tc>
                <w:tcPr>
                  <w:tcW w:w="3156" w:type="dxa"/>
                  <w:tcBorders>
                    <w:top w:val="nil"/>
                    <w:left w:val="nil"/>
                    <w:bottom w:val="nil"/>
                    <w:right w:val="nil"/>
                  </w:tcBorders>
                </w:tcPr>
                <w:p w14:paraId="6FC838FB"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104" w:type="dxa"/>
                  <w:tcBorders>
                    <w:top w:val="nil"/>
                    <w:left w:val="nil"/>
                    <w:bottom w:val="nil"/>
                    <w:right w:val="nil"/>
                  </w:tcBorders>
                </w:tcPr>
                <w:p w14:paraId="6F3EEF3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(-.341)</w:t>
                  </w:r>
                </w:p>
              </w:tc>
              <w:tc>
                <w:tcPr>
                  <w:tcW w:w="2812" w:type="dxa"/>
                  <w:tcBorders>
                    <w:top w:val="nil"/>
                    <w:left w:val="nil"/>
                    <w:bottom w:val="nil"/>
                    <w:right w:val="nil"/>
                  </w:tcBorders>
                </w:tcPr>
                <w:p w14:paraId="5C6CF35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(.115)</w:t>
                  </w:r>
                </w:p>
              </w:tc>
            </w:tr>
            <w:tr w:rsidR="00694090" w:rsidRPr="00F60760" w14:paraId="732CDC64" w14:textId="77777777" w:rsidTr="00E150C1">
              <w:trPr>
                <w:jc w:val="center"/>
              </w:trPr>
              <w:tc>
                <w:tcPr>
                  <w:tcW w:w="3156" w:type="dxa"/>
                  <w:tcBorders>
                    <w:top w:val="nil"/>
                    <w:left w:val="nil"/>
                    <w:bottom w:val="nil"/>
                    <w:right w:val="nil"/>
                  </w:tcBorders>
                </w:tcPr>
                <w:p w14:paraId="768DF7A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deal_hofstede_distance</w:t>
                  </w:r>
                </w:p>
              </w:tc>
              <w:tc>
                <w:tcPr>
                  <w:tcW w:w="3104" w:type="dxa"/>
                  <w:tcBorders>
                    <w:top w:val="nil"/>
                    <w:left w:val="nil"/>
                    <w:bottom w:val="nil"/>
                    <w:right w:val="nil"/>
                  </w:tcBorders>
                </w:tcPr>
                <w:p w14:paraId="3F63375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.354</w:t>
                  </w:r>
                </w:p>
              </w:tc>
              <w:tc>
                <w:tcPr>
                  <w:tcW w:w="2812" w:type="dxa"/>
                  <w:tcBorders>
                    <w:top w:val="nil"/>
                    <w:left w:val="nil"/>
                    <w:bottom w:val="nil"/>
                    <w:right w:val="nil"/>
                  </w:tcBorders>
                </w:tcPr>
                <w:p w14:paraId="5C4F8EF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-.246</w:t>
                  </w:r>
                </w:p>
              </w:tc>
            </w:tr>
            <w:tr w:rsidR="00694090" w:rsidRPr="00F60760" w14:paraId="1C9DC603" w14:textId="77777777" w:rsidTr="00E150C1">
              <w:trPr>
                <w:jc w:val="center"/>
              </w:trPr>
              <w:tc>
                <w:tcPr>
                  <w:tcW w:w="3156" w:type="dxa"/>
                  <w:tcBorders>
                    <w:top w:val="nil"/>
                    <w:left w:val="nil"/>
                    <w:bottom w:val="nil"/>
                    <w:right w:val="nil"/>
                  </w:tcBorders>
                </w:tcPr>
                <w:p w14:paraId="1B0FE4C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104" w:type="dxa"/>
                  <w:tcBorders>
                    <w:top w:val="nil"/>
                    <w:left w:val="nil"/>
                    <w:bottom w:val="nil"/>
                    <w:right w:val="nil"/>
                  </w:tcBorders>
                </w:tcPr>
                <w:p w14:paraId="4BC8C19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(1.072)</w:t>
                  </w:r>
                </w:p>
              </w:tc>
              <w:tc>
                <w:tcPr>
                  <w:tcW w:w="2812" w:type="dxa"/>
                  <w:tcBorders>
                    <w:top w:val="nil"/>
                    <w:left w:val="nil"/>
                    <w:bottom w:val="nil"/>
                    <w:right w:val="nil"/>
                  </w:tcBorders>
                </w:tcPr>
                <w:p w14:paraId="6FB8B8F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(-1.300)</w:t>
                  </w:r>
                </w:p>
              </w:tc>
            </w:tr>
            <w:tr w:rsidR="00694090" w:rsidRPr="00F60760" w14:paraId="5C574281" w14:textId="77777777" w:rsidTr="00E150C1">
              <w:trPr>
                <w:jc w:val="center"/>
              </w:trPr>
              <w:tc>
                <w:tcPr>
                  <w:tcW w:w="3156" w:type="dxa"/>
                  <w:tcBorders>
                    <w:top w:val="nil"/>
                    <w:left w:val="nil"/>
                    <w:bottom w:val="nil"/>
                    <w:right w:val="nil"/>
                  </w:tcBorders>
                </w:tcPr>
                <w:p w14:paraId="6BC21D8E"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deal_all_cash_dummy</w:t>
                  </w:r>
                </w:p>
              </w:tc>
              <w:tc>
                <w:tcPr>
                  <w:tcW w:w="3104" w:type="dxa"/>
                  <w:tcBorders>
                    <w:top w:val="nil"/>
                    <w:left w:val="nil"/>
                    <w:bottom w:val="nil"/>
                    <w:right w:val="nil"/>
                  </w:tcBorders>
                </w:tcPr>
                <w:p w14:paraId="10F4C0D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-.320</w:t>
                  </w:r>
                </w:p>
              </w:tc>
              <w:tc>
                <w:tcPr>
                  <w:tcW w:w="2812" w:type="dxa"/>
                  <w:tcBorders>
                    <w:top w:val="nil"/>
                    <w:left w:val="nil"/>
                    <w:bottom w:val="nil"/>
                    <w:right w:val="nil"/>
                  </w:tcBorders>
                </w:tcPr>
                <w:p w14:paraId="189662C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-.081</w:t>
                  </w:r>
                </w:p>
              </w:tc>
            </w:tr>
            <w:tr w:rsidR="00694090" w:rsidRPr="00F60760" w14:paraId="56DA30E2" w14:textId="77777777" w:rsidTr="00E150C1">
              <w:trPr>
                <w:jc w:val="center"/>
              </w:trPr>
              <w:tc>
                <w:tcPr>
                  <w:tcW w:w="3156" w:type="dxa"/>
                  <w:tcBorders>
                    <w:top w:val="nil"/>
                    <w:left w:val="nil"/>
                    <w:bottom w:val="nil"/>
                    <w:right w:val="nil"/>
                  </w:tcBorders>
                </w:tcPr>
                <w:p w14:paraId="1A9F3824"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104" w:type="dxa"/>
                  <w:tcBorders>
                    <w:top w:val="nil"/>
                    <w:left w:val="nil"/>
                    <w:bottom w:val="nil"/>
                    <w:right w:val="nil"/>
                  </w:tcBorders>
                </w:tcPr>
                <w:p w14:paraId="6939786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(-.762)</w:t>
                  </w:r>
                </w:p>
              </w:tc>
              <w:tc>
                <w:tcPr>
                  <w:tcW w:w="2812" w:type="dxa"/>
                  <w:tcBorders>
                    <w:top w:val="nil"/>
                    <w:left w:val="nil"/>
                    <w:bottom w:val="nil"/>
                    <w:right w:val="nil"/>
                  </w:tcBorders>
                </w:tcPr>
                <w:p w14:paraId="5CCD9BA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(-.315)</w:t>
                  </w:r>
                </w:p>
              </w:tc>
            </w:tr>
            <w:tr w:rsidR="00694090" w:rsidRPr="00F60760" w14:paraId="3B2B3655" w14:textId="77777777" w:rsidTr="00E150C1">
              <w:trPr>
                <w:jc w:val="center"/>
              </w:trPr>
              <w:tc>
                <w:tcPr>
                  <w:tcW w:w="3156" w:type="dxa"/>
                  <w:tcBorders>
                    <w:top w:val="nil"/>
                    <w:left w:val="nil"/>
                    <w:bottom w:val="nil"/>
                    <w:right w:val="nil"/>
                  </w:tcBorders>
                </w:tcPr>
                <w:p w14:paraId="0B9243AB"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deal_all_stock_dummy</w:t>
                  </w:r>
                </w:p>
              </w:tc>
              <w:tc>
                <w:tcPr>
                  <w:tcW w:w="3104" w:type="dxa"/>
                  <w:tcBorders>
                    <w:top w:val="nil"/>
                    <w:left w:val="nil"/>
                    <w:bottom w:val="nil"/>
                    <w:right w:val="nil"/>
                  </w:tcBorders>
                </w:tcPr>
                <w:p w14:paraId="053AAA6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-.445</w:t>
                  </w:r>
                </w:p>
              </w:tc>
              <w:tc>
                <w:tcPr>
                  <w:tcW w:w="2812" w:type="dxa"/>
                  <w:tcBorders>
                    <w:top w:val="nil"/>
                    <w:left w:val="nil"/>
                    <w:bottom w:val="nil"/>
                    <w:right w:val="nil"/>
                  </w:tcBorders>
                </w:tcPr>
                <w:p w14:paraId="36A6E1A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.423**</w:t>
                  </w:r>
                </w:p>
              </w:tc>
            </w:tr>
            <w:tr w:rsidR="00694090" w:rsidRPr="00F60760" w14:paraId="7568C0B8" w14:textId="77777777" w:rsidTr="00E150C1">
              <w:trPr>
                <w:jc w:val="center"/>
              </w:trPr>
              <w:tc>
                <w:tcPr>
                  <w:tcW w:w="3156" w:type="dxa"/>
                  <w:tcBorders>
                    <w:top w:val="nil"/>
                    <w:left w:val="nil"/>
                    <w:bottom w:val="nil"/>
                    <w:right w:val="nil"/>
                  </w:tcBorders>
                </w:tcPr>
                <w:p w14:paraId="03D027F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104" w:type="dxa"/>
                  <w:tcBorders>
                    <w:top w:val="nil"/>
                    <w:left w:val="nil"/>
                    <w:bottom w:val="nil"/>
                    <w:right w:val="nil"/>
                  </w:tcBorders>
                </w:tcPr>
                <w:p w14:paraId="639A9E8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(-1.621)</w:t>
                  </w:r>
                </w:p>
              </w:tc>
              <w:tc>
                <w:tcPr>
                  <w:tcW w:w="2812" w:type="dxa"/>
                  <w:tcBorders>
                    <w:top w:val="nil"/>
                    <w:left w:val="nil"/>
                    <w:bottom w:val="nil"/>
                    <w:right w:val="nil"/>
                  </w:tcBorders>
                </w:tcPr>
                <w:p w14:paraId="3DBF77E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(2.187)</w:t>
                  </w:r>
                </w:p>
              </w:tc>
            </w:tr>
            <w:tr w:rsidR="00694090" w:rsidRPr="00F60760" w14:paraId="5426DD76" w14:textId="77777777" w:rsidTr="00E150C1">
              <w:trPr>
                <w:jc w:val="center"/>
              </w:trPr>
              <w:tc>
                <w:tcPr>
                  <w:tcW w:w="3156" w:type="dxa"/>
                  <w:tcBorders>
                    <w:top w:val="nil"/>
                    <w:left w:val="nil"/>
                    <w:bottom w:val="nil"/>
                    <w:right w:val="nil"/>
                  </w:tcBorders>
                </w:tcPr>
                <w:p w14:paraId="4EB65C30"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deal_tenderoffer_dummy</w:t>
                  </w:r>
                </w:p>
              </w:tc>
              <w:tc>
                <w:tcPr>
                  <w:tcW w:w="3104" w:type="dxa"/>
                  <w:tcBorders>
                    <w:top w:val="nil"/>
                    <w:left w:val="nil"/>
                    <w:bottom w:val="nil"/>
                    <w:right w:val="nil"/>
                  </w:tcBorders>
                </w:tcPr>
                <w:p w14:paraId="44FB755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-3.674***</w:t>
                  </w:r>
                </w:p>
              </w:tc>
              <w:tc>
                <w:tcPr>
                  <w:tcW w:w="2812" w:type="dxa"/>
                  <w:tcBorders>
                    <w:top w:val="nil"/>
                    <w:left w:val="nil"/>
                    <w:bottom w:val="nil"/>
                    <w:right w:val="nil"/>
                  </w:tcBorders>
                </w:tcPr>
                <w:p w14:paraId="7DD0F3D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w:t>
                  </w:r>
                </w:p>
              </w:tc>
            </w:tr>
            <w:tr w:rsidR="00694090" w:rsidRPr="00F60760" w14:paraId="4864EA1B" w14:textId="77777777" w:rsidTr="00E150C1">
              <w:trPr>
                <w:jc w:val="center"/>
              </w:trPr>
              <w:tc>
                <w:tcPr>
                  <w:tcW w:w="3156" w:type="dxa"/>
                  <w:tcBorders>
                    <w:top w:val="nil"/>
                    <w:left w:val="nil"/>
                    <w:bottom w:val="nil"/>
                    <w:right w:val="nil"/>
                  </w:tcBorders>
                </w:tcPr>
                <w:p w14:paraId="720AE2C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104" w:type="dxa"/>
                  <w:tcBorders>
                    <w:top w:val="nil"/>
                    <w:left w:val="nil"/>
                    <w:bottom w:val="nil"/>
                    <w:right w:val="nil"/>
                  </w:tcBorders>
                </w:tcPr>
                <w:p w14:paraId="26AB40F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(-6.102)</w:t>
                  </w:r>
                </w:p>
              </w:tc>
              <w:tc>
                <w:tcPr>
                  <w:tcW w:w="2812" w:type="dxa"/>
                  <w:tcBorders>
                    <w:top w:val="nil"/>
                    <w:left w:val="nil"/>
                    <w:bottom w:val="nil"/>
                    <w:right w:val="nil"/>
                  </w:tcBorders>
                </w:tcPr>
                <w:p w14:paraId="12E7243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w:t>
                  </w:r>
                </w:p>
              </w:tc>
            </w:tr>
            <w:tr w:rsidR="00694090" w:rsidRPr="00F60760" w14:paraId="4DCCC489" w14:textId="77777777" w:rsidTr="00E150C1">
              <w:trPr>
                <w:jc w:val="center"/>
              </w:trPr>
              <w:tc>
                <w:tcPr>
                  <w:tcW w:w="3156" w:type="dxa"/>
                  <w:tcBorders>
                    <w:top w:val="nil"/>
                    <w:left w:val="nil"/>
                    <w:bottom w:val="nil"/>
                    <w:right w:val="nil"/>
                  </w:tcBorders>
                </w:tcPr>
                <w:p w14:paraId="6275FA61"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deal_friendly_dummy</w:t>
                  </w:r>
                </w:p>
              </w:tc>
              <w:tc>
                <w:tcPr>
                  <w:tcW w:w="3104" w:type="dxa"/>
                  <w:tcBorders>
                    <w:top w:val="nil"/>
                    <w:left w:val="nil"/>
                    <w:bottom w:val="nil"/>
                    <w:right w:val="nil"/>
                  </w:tcBorders>
                </w:tcPr>
                <w:p w14:paraId="63133CA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-.168</w:t>
                  </w:r>
                </w:p>
              </w:tc>
              <w:tc>
                <w:tcPr>
                  <w:tcW w:w="2812" w:type="dxa"/>
                  <w:tcBorders>
                    <w:top w:val="nil"/>
                    <w:left w:val="nil"/>
                    <w:bottom w:val="nil"/>
                    <w:right w:val="nil"/>
                  </w:tcBorders>
                </w:tcPr>
                <w:p w14:paraId="740A64D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-.083</w:t>
                  </w:r>
                </w:p>
              </w:tc>
            </w:tr>
            <w:tr w:rsidR="00694090" w:rsidRPr="00F60760" w14:paraId="0CFFE735" w14:textId="77777777" w:rsidTr="00E150C1">
              <w:trPr>
                <w:jc w:val="center"/>
              </w:trPr>
              <w:tc>
                <w:tcPr>
                  <w:tcW w:w="3156" w:type="dxa"/>
                  <w:tcBorders>
                    <w:top w:val="nil"/>
                    <w:left w:val="nil"/>
                    <w:bottom w:val="nil"/>
                    <w:right w:val="nil"/>
                  </w:tcBorders>
                </w:tcPr>
                <w:p w14:paraId="439C899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104" w:type="dxa"/>
                  <w:tcBorders>
                    <w:top w:val="nil"/>
                    <w:left w:val="nil"/>
                    <w:bottom w:val="nil"/>
                    <w:right w:val="nil"/>
                  </w:tcBorders>
                </w:tcPr>
                <w:p w14:paraId="6758680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(-.773)</w:t>
                  </w:r>
                </w:p>
              </w:tc>
              <w:tc>
                <w:tcPr>
                  <w:tcW w:w="2812" w:type="dxa"/>
                  <w:tcBorders>
                    <w:top w:val="nil"/>
                    <w:left w:val="nil"/>
                    <w:bottom w:val="nil"/>
                    <w:right w:val="nil"/>
                  </w:tcBorders>
                </w:tcPr>
                <w:p w14:paraId="459C01D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(-.479)</w:t>
                  </w:r>
                </w:p>
              </w:tc>
            </w:tr>
            <w:tr w:rsidR="00694090" w:rsidRPr="00F60760" w14:paraId="18278395" w14:textId="77777777" w:rsidTr="00E150C1">
              <w:trPr>
                <w:jc w:val="center"/>
              </w:trPr>
              <w:tc>
                <w:tcPr>
                  <w:tcW w:w="3156" w:type="dxa"/>
                  <w:tcBorders>
                    <w:top w:val="nil"/>
                    <w:left w:val="nil"/>
                    <w:bottom w:val="nil"/>
                    <w:right w:val="nil"/>
                  </w:tcBorders>
                </w:tcPr>
                <w:p w14:paraId="50559C04"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deal_relatedness_dummy</w:t>
                  </w:r>
                </w:p>
              </w:tc>
              <w:tc>
                <w:tcPr>
                  <w:tcW w:w="3104" w:type="dxa"/>
                  <w:tcBorders>
                    <w:top w:val="nil"/>
                    <w:left w:val="nil"/>
                    <w:bottom w:val="nil"/>
                    <w:right w:val="nil"/>
                  </w:tcBorders>
                </w:tcPr>
                <w:p w14:paraId="7F4F356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w:t>
                  </w:r>
                </w:p>
              </w:tc>
              <w:tc>
                <w:tcPr>
                  <w:tcW w:w="2812" w:type="dxa"/>
                  <w:tcBorders>
                    <w:top w:val="nil"/>
                    <w:left w:val="nil"/>
                    <w:bottom w:val="nil"/>
                    <w:right w:val="nil"/>
                  </w:tcBorders>
                </w:tcPr>
                <w:p w14:paraId="1CC04BC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w:t>
                  </w:r>
                </w:p>
              </w:tc>
            </w:tr>
            <w:tr w:rsidR="00694090" w:rsidRPr="00F60760" w14:paraId="457B4B81" w14:textId="77777777" w:rsidTr="00E150C1">
              <w:trPr>
                <w:jc w:val="center"/>
              </w:trPr>
              <w:tc>
                <w:tcPr>
                  <w:tcW w:w="3156" w:type="dxa"/>
                  <w:tcBorders>
                    <w:top w:val="nil"/>
                    <w:left w:val="nil"/>
                    <w:bottom w:val="nil"/>
                    <w:right w:val="nil"/>
                  </w:tcBorders>
                </w:tcPr>
                <w:p w14:paraId="3EEFBBC1"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104" w:type="dxa"/>
                  <w:tcBorders>
                    <w:top w:val="nil"/>
                    <w:left w:val="nil"/>
                    <w:bottom w:val="nil"/>
                    <w:right w:val="nil"/>
                  </w:tcBorders>
                </w:tcPr>
                <w:p w14:paraId="0E029FA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(-.018)</w:t>
                  </w:r>
                </w:p>
              </w:tc>
              <w:tc>
                <w:tcPr>
                  <w:tcW w:w="2812" w:type="dxa"/>
                  <w:tcBorders>
                    <w:top w:val="nil"/>
                    <w:left w:val="nil"/>
                    <w:bottom w:val="nil"/>
                    <w:right w:val="nil"/>
                  </w:tcBorders>
                </w:tcPr>
                <w:p w14:paraId="15B46B0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(.144)</w:t>
                  </w:r>
                </w:p>
              </w:tc>
            </w:tr>
            <w:tr w:rsidR="00694090" w:rsidRPr="00F60760" w14:paraId="24DBC836" w14:textId="77777777" w:rsidTr="00E150C1">
              <w:trPr>
                <w:jc w:val="center"/>
              </w:trPr>
              <w:tc>
                <w:tcPr>
                  <w:tcW w:w="3156" w:type="dxa"/>
                  <w:tcBorders>
                    <w:top w:val="nil"/>
                    <w:left w:val="nil"/>
                    <w:bottom w:val="nil"/>
                    <w:right w:val="nil"/>
                  </w:tcBorders>
                </w:tcPr>
                <w:p w14:paraId="260C6AC8"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acq_age</w:t>
                  </w:r>
                </w:p>
              </w:tc>
              <w:tc>
                <w:tcPr>
                  <w:tcW w:w="3104" w:type="dxa"/>
                  <w:tcBorders>
                    <w:top w:val="nil"/>
                    <w:left w:val="nil"/>
                    <w:bottom w:val="nil"/>
                    <w:right w:val="nil"/>
                  </w:tcBorders>
                </w:tcPr>
                <w:p w14:paraId="4569491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.204*</w:t>
                  </w:r>
                </w:p>
              </w:tc>
              <w:tc>
                <w:tcPr>
                  <w:tcW w:w="2812" w:type="dxa"/>
                  <w:tcBorders>
                    <w:top w:val="nil"/>
                    <w:left w:val="nil"/>
                    <w:bottom w:val="nil"/>
                    <w:right w:val="nil"/>
                  </w:tcBorders>
                </w:tcPr>
                <w:p w14:paraId="7326717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-.035</w:t>
                  </w:r>
                </w:p>
              </w:tc>
            </w:tr>
            <w:tr w:rsidR="00694090" w:rsidRPr="00F60760" w14:paraId="10B8B174" w14:textId="77777777" w:rsidTr="00E150C1">
              <w:trPr>
                <w:jc w:val="center"/>
              </w:trPr>
              <w:tc>
                <w:tcPr>
                  <w:tcW w:w="3156" w:type="dxa"/>
                  <w:tcBorders>
                    <w:top w:val="nil"/>
                    <w:left w:val="nil"/>
                    <w:bottom w:val="nil"/>
                    <w:right w:val="nil"/>
                  </w:tcBorders>
                </w:tcPr>
                <w:p w14:paraId="1E9C7B5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104" w:type="dxa"/>
                  <w:tcBorders>
                    <w:top w:val="nil"/>
                    <w:left w:val="nil"/>
                    <w:bottom w:val="nil"/>
                    <w:right w:val="nil"/>
                  </w:tcBorders>
                </w:tcPr>
                <w:p w14:paraId="7434632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(1.703)</w:t>
                  </w:r>
                </w:p>
              </w:tc>
              <w:tc>
                <w:tcPr>
                  <w:tcW w:w="2812" w:type="dxa"/>
                  <w:tcBorders>
                    <w:top w:val="nil"/>
                    <w:left w:val="nil"/>
                    <w:bottom w:val="nil"/>
                    <w:right w:val="nil"/>
                  </w:tcBorders>
                </w:tcPr>
                <w:p w14:paraId="18CD22B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(-.532)</w:t>
                  </w:r>
                </w:p>
              </w:tc>
            </w:tr>
            <w:tr w:rsidR="00694090" w:rsidRPr="00F60760" w14:paraId="4FA72B49" w14:textId="77777777" w:rsidTr="00E150C1">
              <w:trPr>
                <w:jc w:val="center"/>
              </w:trPr>
              <w:tc>
                <w:tcPr>
                  <w:tcW w:w="3156" w:type="dxa"/>
                  <w:tcBorders>
                    <w:top w:val="nil"/>
                    <w:left w:val="nil"/>
                    <w:bottom w:val="nil"/>
                    <w:right w:val="nil"/>
                  </w:tcBorders>
                </w:tcPr>
                <w:p w14:paraId="187C57C1"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acq_assets_lastyear_ln</w:t>
                  </w:r>
                </w:p>
              </w:tc>
              <w:tc>
                <w:tcPr>
                  <w:tcW w:w="3104" w:type="dxa"/>
                  <w:tcBorders>
                    <w:top w:val="nil"/>
                    <w:left w:val="nil"/>
                    <w:bottom w:val="nil"/>
                    <w:right w:val="nil"/>
                  </w:tcBorders>
                </w:tcPr>
                <w:p w14:paraId="753F4BD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.330***</w:t>
                  </w:r>
                </w:p>
              </w:tc>
              <w:tc>
                <w:tcPr>
                  <w:tcW w:w="2812" w:type="dxa"/>
                  <w:tcBorders>
                    <w:top w:val="nil"/>
                    <w:left w:val="nil"/>
                    <w:bottom w:val="nil"/>
                    <w:right w:val="nil"/>
                  </w:tcBorders>
                </w:tcPr>
                <w:p w14:paraId="184CA6C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.012</w:t>
                  </w:r>
                </w:p>
              </w:tc>
            </w:tr>
            <w:tr w:rsidR="00694090" w:rsidRPr="00F60760" w14:paraId="57B21484" w14:textId="77777777" w:rsidTr="00E150C1">
              <w:trPr>
                <w:jc w:val="center"/>
              </w:trPr>
              <w:tc>
                <w:tcPr>
                  <w:tcW w:w="3156" w:type="dxa"/>
                  <w:tcBorders>
                    <w:top w:val="nil"/>
                    <w:left w:val="nil"/>
                    <w:bottom w:val="nil"/>
                    <w:right w:val="nil"/>
                  </w:tcBorders>
                </w:tcPr>
                <w:p w14:paraId="5B34672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104" w:type="dxa"/>
                  <w:tcBorders>
                    <w:top w:val="nil"/>
                    <w:left w:val="nil"/>
                    <w:bottom w:val="nil"/>
                    <w:right w:val="nil"/>
                  </w:tcBorders>
                </w:tcPr>
                <w:p w14:paraId="046763D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(4.470)</w:t>
                  </w:r>
                </w:p>
              </w:tc>
              <w:tc>
                <w:tcPr>
                  <w:tcW w:w="2812" w:type="dxa"/>
                  <w:tcBorders>
                    <w:top w:val="nil"/>
                    <w:left w:val="nil"/>
                    <w:bottom w:val="nil"/>
                    <w:right w:val="nil"/>
                  </w:tcBorders>
                </w:tcPr>
                <w:p w14:paraId="0D6E334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(.210)</w:t>
                  </w:r>
                </w:p>
              </w:tc>
            </w:tr>
            <w:tr w:rsidR="00694090" w:rsidRPr="00F60760" w14:paraId="6AF99F2E" w14:textId="77777777" w:rsidTr="00E150C1">
              <w:trPr>
                <w:jc w:val="center"/>
              </w:trPr>
              <w:tc>
                <w:tcPr>
                  <w:tcW w:w="3156" w:type="dxa"/>
                  <w:tcBorders>
                    <w:top w:val="nil"/>
                    <w:left w:val="nil"/>
                    <w:bottom w:val="nil"/>
                    <w:right w:val="nil"/>
                  </w:tcBorders>
                </w:tcPr>
                <w:p w14:paraId="65C9F11B"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acq_roa_lastyear</w:t>
                  </w:r>
                </w:p>
              </w:tc>
              <w:tc>
                <w:tcPr>
                  <w:tcW w:w="3104" w:type="dxa"/>
                  <w:tcBorders>
                    <w:top w:val="nil"/>
                    <w:left w:val="nil"/>
                    <w:bottom w:val="nil"/>
                    <w:right w:val="nil"/>
                  </w:tcBorders>
                </w:tcPr>
                <w:p w14:paraId="0F337AE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-26.875**</w:t>
                  </w:r>
                </w:p>
              </w:tc>
              <w:tc>
                <w:tcPr>
                  <w:tcW w:w="2812" w:type="dxa"/>
                  <w:tcBorders>
                    <w:top w:val="nil"/>
                    <w:left w:val="nil"/>
                    <w:bottom w:val="nil"/>
                    <w:right w:val="nil"/>
                  </w:tcBorders>
                </w:tcPr>
                <w:p w14:paraId="44FE4DC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11.130</w:t>
                  </w:r>
                </w:p>
              </w:tc>
            </w:tr>
            <w:tr w:rsidR="00694090" w:rsidRPr="00F60760" w14:paraId="0CB57F3B" w14:textId="77777777" w:rsidTr="00E150C1">
              <w:trPr>
                <w:jc w:val="center"/>
              </w:trPr>
              <w:tc>
                <w:tcPr>
                  <w:tcW w:w="3156" w:type="dxa"/>
                  <w:tcBorders>
                    <w:top w:val="nil"/>
                    <w:left w:val="nil"/>
                    <w:bottom w:val="nil"/>
                    <w:right w:val="nil"/>
                  </w:tcBorders>
                </w:tcPr>
                <w:p w14:paraId="055C9F2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104" w:type="dxa"/>
                  <w:tcBorders>
                    <w:top w:val="nil"/>
                    <w:left w:val="nil"/>
                    <w:bottom w:val="nil"/>
                    <w:right w:val="nil"/>
                  </w:tcBorders>
                </w:tcPr>
                <w:p w14:paraId="4D523CF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(-2.253)</w:t>
                  </w:r>
                </w:p>
              </w:tc>
              <w:tc>
                <w:tcPr>
                  <w:tcW w:w="2812" w:type="dxa"/>
                  <w:tcBorders>
                    <w:top w:val="nil"/>
                    <w:left w:val="nil"/>
                    <w:bottom w:val="nil"/>
                    <w:right w:val="nil"/>
                  </w:tcBorders>
                </w:tcPr>
                <w:p w14:paraId="66F9802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(1.335)</w:t>
                  </w:r>
                </w:p>
              </w:tc>
            </w:tr>
            <w:tr w:rsidR="00694090" w:rsidRPr="00F60760" w14:paraId="795AA1E7" w14:textId="77777777" w:rsidTr="00E150C1">
              <w:trPr>
                <w:jc w:val="center"/>
              </w:trPr>
              <w:tc>
                <w:tcPr>
                  <w:tcW w:w="3156" w:type="dxa"/>
                  <w:tcBorders>
                    <w:top w:val="nil"/>
                    <w:left w:val="nil"/>
                    <w:bottom w:val="nil"/>
                    <w:right w:val="nil"/>
                  </w:tcBorders>
                </w:tcPr>
                <w:p w14:paraId="29DEBCF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acq_industrygrowth</w:t>
                  </w:r>
                </w:p>
              </w:tc>
              <w:tc>
                <w:tcPr>
                  <w:tcW w:w="3104" w:type="dxa"/>
                  <w:tcBorders>
                    <w:top w:val="nil"/>
                    <w:left w:val="nil"/>
                    <w:bottom w:val="nil"/>
                    <w:right w:val="nil"/>
                  </w:tcBorders>
                </w:tcPr>
                <w:p w14:paraId="61045B5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-.300**</w:t>
                  </w:r>
                </w:p>
              </w:tc>
              <w:tc>
                <w:tcPr>
                  <w:tcW w:w="2812" w:type="dxa"/>
                  <w:tcBorders>
                    <w:top w:val="nil"/>
                    <w:left w:val="nil"/>
                    <w:bottom w:val="nil"/>
                    <w:right w:val="nil"/>
                  </w:tcBorders>
                </w:tcPr>
                <w:p w14:paraId="7F3041D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.069</w:t>
                  </w:r>
                </w:p>
              </w:tc>
            </w:tr>
            <w:tr w:rsidR="00694090" w:rsidRPr="00F60760" w14:paraId="2740D828" w14:textId="77777777" w:rsidTr="00E150C1">
              <w:trPr>
                <w:jc w:val="center"/>
              </w:trPr>
              <w:tc>
                <w:tcPr>
                  <w:tcW w:w="3156" w:type="dxa"/>
                  <w:tcBorders>
                    <w:top w:val="nil"/>
                    <w:left w:val="nil"/>
                    <w:bottom w:val="nil"/>
                    <w:right w:val="nil"/>
                  </w:tcBorders>
                </w:tcPr>
                <w:p w14:paraId="2502222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104" w:type="dxa"/>
                  <w:tcBorders>
                    <w:top w:val="nil"/>
                    <w:left w:val="nil"/>
                    <w:bottom w:val="nil"/>
                    <w:right w:val="nil"/>
                  </w:tcBorders>
                </w:tcPr>
                <w:p w14:paraId="5DE579D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(-2.123)</w:t>
                  </w:r>
                </w:p>
              </w:tc>
              <w:tc>
                <w:tcPr>
                  <w:tcW w:w="2812" w:type="dxa"/>
                  <w:tcBorders>
                    <w:top w:val="nil"/>
                    <w:left w:val="nil"/>
                    <w:bottom w:val="nil"/>
                    <w:right w:val="nil"/>
                  </w:tcBorders>
                </w:tcPr>
                <w:p w14:paraId="47807CC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(1.609)</w:t>
                  </w:r>
                </w:p>
              </w:tc>
            </w:tr>
            <w:tr w:rsidR="00694090" w:rsidRPr="00F60760" w14:paraId="1AD416C0" w14:textId="77777777" w:rsidTr="00E150C1">
              <w:trPr>
                <w:jc w:val="center"/>
              </w:trPr>
              <w:tc>
                <w:tcPr>
                  <w:tcW w:w="3156" w:type="dxa"/>
                  <w:tcBorders>
                    <w:top w:val="nil"/>
                    <w:left w:val="nil"/>
                    <w:bottom w:val="nil"/>
                    <w:right w:val="nil"/>
                  </w:tcBorders>
                </w:tcPr>
                <w:p w14:paraId="7DB150E4"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acq_dealexperience</w:t>
                  </w:r>
                </w:p>
              </w:tc>
              <w:tc>
                <w:tcPr>
                  <w:tcW w:w="3104" w:type="dxa"/>
                  <w:tcBorders>
                    <w:top w:val="nil"/>
                    <w:left w:val="nil"/>
                    <w:bottom w:val="nil"/>
                    <w:right w:val="nil"/>
                  </w:tcBorders>
                </w:tcPr>
                <w:p w14:paraId="16793D4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1.558</w:t>
                  </w:r>
                </w:p>
              </w:tc>
              <w:tc>
                <w:tcPr>
                  <w:tcW w:w="2812" w:type="dxa"/>
                  <w:tcBorders>
                    <w:top w:val="nil"/>
                    <w:left w:val="nil"/>
                    <w:bottom w:val="nil"/>
                    <w:right w:val="nil"/>
                  </w:tcBorders>
                </w:tcPr>
                <w:p w14:paraId="4430AFC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-1.095</w:t>
                  </w:r>
                </w:p>
              </w:tc>
            </w:tr>
            <w:tr w:rsidR="00694090" w:rsidRPr="00F60760" w14:paraId="1D9D1392" w14:textId="77777777" w:rsidTr="00E150C1">
              <w:trPr>
                <w:jc w:val="center"/>
              </w:trPr>
              <w:tc>
                <w:tcPr>
                  <w:tcW w:w="3156" w:type="dxa"/>
                  <w:tcBorders>
                    <w:top w:val="nil"/>
                    <w:left w:val="nil"/>
                    <w:bottom w:val="nil"/>
                    <w:right w:val="nil"/>
                  </w:tcBorders>
                </w:tcPr>
                <w:p w14:paraId="557972BB"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104" w:type="dxa"/>
                  <w:tcBorders>
                    <w:top w:val="nil"/>
                    <w:left w:val="nil"/>
                    <w:bottom w:val="nil"/>
                    <w:right w:val="nil"/>
                  </w:tcBorders>
                </w:tcPr>
                <w:p w14:paraId="2F33458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(1.632)</w:t>
                  </w:r>
                </w:p>
              </w:tc>
              <w:tc>
                <w:tcPr>
                  <w:tcW w:w="2812" w:type="dxa"/>
                  <w:tcBorders>
                    <w:top w:val="nil"/>
                    <w:left w:val="nil"/>
                    <w:bottom w:val="nil"/>
                    <w:right w:val="nil"/>
                  </w:tcBorders>
                </w:tcPr>
                <w:p w14:paraId="5CFE29F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(-1.031)</w:t>
                  </w:r>
                </w:p>
              </w:tc>
            </w:tr>
            <w:tr w:rsidR="00694090" w:rsidRPr="00F60760" w14:paraId="280553DB" w14:textId="77777777" w:rsidTr="00E150C1">
              <w:trPr>
                <w:jc w:val="center"/>
              </w:trPr>
              <w:tc>
                <w:tcPr>
                  <w:tcW w:w="3156" w:type="dxa"/>
                  <w:tcBorders>
                    <w:top w:val="nil"/>
                    <w:left w:val="nil"/>
                    <w:bottom w:val="nil"/>
                    <w:right w:val="nil"/>
                  </w:tcBorders>
                </w:tcPr>
                <w:p w14:paraId="2E0480E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acq_rd_intensity</w:t>
                  </w:r>
                </w:p>
              </w:tc>
              <w:tc>
                <w:tcPr>
                  <w:tcW w:w="3104" w:type="dxa"/>
                  <w:tcBorders>
                    <w:top w:val="nil"/>
                    <w:left w:val="nil"/>
                    <w:bottom w:val="nil"/>
                    <w:right w:val="nil"/>
                  </w:tcBorders>
                </w:tcPr>
                <w:p w14:paraId="7DD23F4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c>
                <w:tcPr>
                  <w:tcW w:w="2812" w:type="dxa"/>
                  <w:tcBorders>
                    <w:top w:val="nil"/>
                    <w:left w:val="nil"/>
                    <w:bottom w:val="nil"/>
                    <w:right w:val="nil"/>
                  </w:tcBorders>
                </w:tcPr>
                <w:p w14:paraId="05D3C3A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-.002</w:t>
                  </w:r>
                </w:p>
              </w:tc>
            </w:tr>
            <w:tr w:rsidR="00694090" w:rsidRPr="00F60760" w14:paraId="0B7864F1" w14:textId="77777777" w:rsidTr="00E150C1">
              <w:trPr>
                <w:jc w:val="center"/>
              </w:trPr>
              <w:tc>
                <w:tcPr>
                  <w:tcW w:w="3156" w:type="dxa"/>
                  <w:tcBorders>
                    <w:top w:val="nil"/>
                    <w:left w:val="nil"/>
                    <w:bottom w:val="nil"/>
                    <w:right w:val="nil"/>
                  </w:tcBorders>
                </w:tcPr>
                <w:p w14:paraId="6F6EB3E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p>
              </w:tc>
              <w:tc>
                <w:tcPr>
                  <w:tcW w:w="3104" w:type="dxa"/>
                  <w:tcBorders>
                    <w:top w:val="nil"/>
                    <w:left w:val="nil"/>
                    <w:bottom w:val="nil"/>
                    <w:right w:val="nil"/>
                  </w:tcBorders>
                </w:tcPr>
                <w:p w14:paraId="04F8795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(-.447)</w:t>
                  </w:r>
                </w:p>
              </w:tc>
              <w:tc>
                <w:tcPr>
                  <w:tcW w:w="2812" w:type="dxa"/>
                  <w:tcBorders>
                    <w:top w:val="nil"/>
                    <w:left w:val="nil"/>
                    <w:bottom w:val="nil"/>
                    <w:right w:val="nil"/>
                  </w:tcBorders>
                </w:tcPr>
                <w:p w14:paraId="4B54B38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(-1.245)</w:t>
                  </w:r>
                </w:p>
              </w:tc>
            </w:tr>
            <w:tr w:rsidR="00694090" w:rsidRPr="00F60760" w14:paraId="2C6F40FA" w14:textId="77777777" w:rsidTr="00E150C1">
              <w:trPr>
                <w:jc w:val="center"/>
              </w:trPr>
              <w:tc>
                <w:tcPr>
                  <w:tcW w:w="3156" w:type="dxa"/>
                  <w:tcBorders>
                    <w:top w:val="nil"/>
                    <w:left w:val="nil"/>
                    <w:bottom w:val="nil"/>
                    <w:right w:val="nil"/>
                  </w:tcBorders>
                </w:tcPr>
                <w:p w14:paraId="24C520A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tar_age</w:t>
                  </w:r>
                </w:p>
              </w:tc>
              <w:tc>
                <w:tcPr>
                  <w:tcW w:w="3104" w:type="dxa"/>
                  <w:tcBorders>
                    <w:top w:val="nil"/>
                    <w:left w:val="nil"/>
                    <w:bottom w:val="nil"/>
                    <w:right w:val="nil"/>
                  </w:tcBorders>
                </w:tcPr>
                <w:p w14:paraId="398396B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.052</w:t>
                  </w:r>
                </w:p>
              </w:tc>
              <w:tc>
                <w:tcPr>
                  <w:tcW w:w="2812" w:type="dxa"/>
                  <w:tcBorders>
                    <w:top w:val="nil"/>
                    <w:left w:val="nil"/>
                    <w:bottom w:val="nil"/>
                    <w:right w:val="nil"/>
                  </w:tcBorders>
                </w:tcPr>
                <w:p w14:paraId="0839CCB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.007</w:t>
                  </w:r>
                </w:p>
              </w:tc>
            </w:tr>
            <w:tr w:rsidR="00694090" w:rsidRPr="00F60760" w14:paraId="557C3270" w14:textId="77777777" w:rsidTr="00E150C1">
              <w:trPr>
                <w:jc w:val="center"/>
              </w:trPr>
              <w:tc>
                <w:tcPr>
                  <w:tcW w:w="3156" w:type="dxa"/>
                  <w:tcBorders>
                    <w:top w:val="nil"/>
                    <w:left w:val="nil"/>
                    <w:bottom w:val="nil"/>
                    <w:right w:val="nil"/>
                  </w:tcBorders>
                </w:tcPr>
                <w:p w14:paraId="431C8F03"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104" w:type="dxa"/>
                  <w:tcBorders>
                    <w:top w:val="nil"/>
                    <w:left w:val="nil"/>
                    <w:bottom w:val="nil"/>
                    <w:right w:val="nil"/>
                  </w:tcBorders>
                </w:tcPr>
                <w:p w14:paraId="39A737E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(.406)</w:t>
                  </w:r>
                </w:p>
              </w:tc>
              <w:tc>
                <w:tcPr>
                  <w:tcW w:w="2812" w:type="dxa"/>
                  <w:tcBorders>
                    <w:top w:val="nil"/>
                    <w:left w:val="nil"/>
                    <w:bottom w:val="nil"/>
                    <w:right w:val="nil"/>
                  </w:tcBorders>
                </w:tcPr>
                <w:p w14:paraId="5F18CCF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(.062)</w:t>
                  </w:r>
                </w:p>
              </w:tc>
            </w:tr>
            <w:tr w:rsidR="00694090" w:rsidRPr="00F60760" w14:paraId="1E13560A" w14:textId="77777777" w:rsidTr="00E150C1">
              <w:trPr>
                <w:jc w:val="center"/>
              </w:trPr>
              <w:tc>
                <w:tcPr>
                  <w:tcW w:w="3156" w:type="dxa"/>
                  <w:tcBorders>
                    <w:top w:val="nil"/>
                    <w:left w:val="nil"/>
                    <w:bottom w:val="nil"/>
                    <w:right w:val="nil"/>
                  </w:tcBorders>
                </w:tcPr>
                <w:p w14:paraId="18A7E58E"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tar_assets_lastyear_ln</w:t>
                  </w:r>
                </w:p>
              </w:tc>
              <w:tc>
                <w:tcPr>
                  <w:tcW w:w="3104" w:type="dxa"/>
                  <w:tcBorders>
                    <w:top w:val="nil"/>
                    <w:left w:val="nil"/>
                    <w:bottom w:val="nil"/>
                    <w:right w:val="nil"/>
                  </w:tcBorders>
                </w:tcPr>
                <w:p w14:paraId="7C1E3D8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-.021</w:t>
                  </w:r>
                </w:p>
              </w:tc>
              <w:tc>
                <w:tcPr>
                  <w:tcW w:w="2812" w:type="dxa"/>
                  <w:tcBorders>
                    <w:top w:val="nil"/>
                    <w:left w:val="nil"/>
                    <w:bottom w:val="nil"/>
                    <w:right w:val="nil"/>
                  </w:tcBorders>
                </w:tcPr>
                <w:p w14:paraId="2F2AF55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.094</w:t>
                  </w:r>
                </w:p>
              </w:tc>
            </w:tr>
            <w:tr w:rsidR="00694090" w:rsidRPr="00F60760" w14:paraId="7F661129" w14:textId="77777777" w:rsidTr="00E150C1">
              <w:trPr>
                <w:jc w:val="center"/>
              </w:trPr>
              <w:tc>
                <w:tcPr>
                  <w:tcW w:w="3156" w:type="dxa"/>
                  <w:tcBorders>
                    <w:top w:val="nil"/>
                    <w:left w:val="nil"/>
                    <w:bottom w:val="nil"/>
                    <w:right w:val="nil"/>
                  </w:tcBorders>
                </w:tcPr>
                <w:p w14:paraId="66D8770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104" w:type="dxa"/>
                  <w:tcBorders>
                    <w:top w:val="nil"/>
                    <w:left w:val="nil"/>
                    <w:bottom w:val="nil"/>
                    <w:right w:val="nil"/>
                  </w:tcBorders>
                </w:tcPr>
                <w:p w14:paraId="195B26A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(-.070)</w:t>
                  </w:r>
                </w:p>
              </w:tc>
              <w:tc>
                <w:tcPr>
                  <w:tcW w:w="2812" w:type="dxa"/>
                  <w:tcBorders>
                    <w:top w:val="nil"/>
                    <w:left w:val="nil"/>
                    <w:bottom w:val="nil"/>
                    <w:right w:val="nil"/>
                  </w:tcBorders>
                </w:tcPr>
                <w:p w14:paraId="58E5B53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(.326)</w:t>
                  </w:r>
                </w:p>
              </w:tc>
            </w:tr>
            <w:tr w:rsidR="00694090" w:rsidRPr="00F60760" w14:paraId="24FC4969" w14:textId="77777777" w:rsidTr="00E150C1">
              <w:trPr>
                <w:jc w:val="center"/>
              </w:trPr>
              <w:tc>
                <w:tcPr>
                  <w:tcW w:w="3156" w:type="dxa"/>
                  <w:tcBorders>
                    <w:top w:val="nil"/>
                    <w:left w:val="nil"/>
                    <w:bottom w:val="nil"/>
                    <w:right w:val="nil"/>
                  </w:tcBorders>
                </w:tcPr>
                <w:p w14:paraId="09AD60B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tar_roa_lastyear</w:t>
                  </w:r>
                </w:p>
              </w:tc>
              <w:tc>
                <w:tcPr>
                  <w:tcW w:w="3104" w:type="dxa"/>
                  <w:tcBorders>
                    <w:top w:val="nil"/>
                    <w:left w:val="nil"/>
                    <w:bottom w:val="nil"/>
                    <w:right w:val="nil"/>
                  </w:tcBorders>
                </w:tcPr>
                <w:p w14:paraId="5B63E1A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.014**</w:t>
                  </w:r>
                </w:p>
              </w:tc>
              <w:tc>
                <w:tcPr>
                  <w:tcW w:w="2812" w:type="dxa"/>
                  <w:tcBorders>
                    <w:top w:val="nil"/>
                    <w:left w:val="nil"/>
                    <w:bottom w:val="nil"/>
                    <w:right w:val="nil"/>
                  </w:tcBorders>
                </w:tcPr>
                <w:p w14:paraId="21D5DFE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-.009</w:t>
                  </w:r>
                </w:p>
              </w:tc>
            </w:tr>
            <w:tr w:rsidR="00694090" w:rsidRPr="00F60760" w14:paraId="521AB8B7" w14:textId="77777777" w:rsidTr="00E150C1">
              <w:trPr>
                <w:jc w:val="center"/>
              </w:trPr>
              <w:tc>
                <w:tcPr>
                  <w:tcW w:w="3156" w:type="dxa"/>
                  <w:tcBorders>
                    <w:top w:val="nil"/>
                    <w:left w:val="nil"/>
                    <w:bottom w:val="nil"/>
                    <w:right w:val="nil"/>
                  </w:tcBorders>
                </w:tcPr>
                <w:p w14:paraId="7D99117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104" w:type="dxa"/>
                  <w:tcBorders>
                    <w:top w:val="nil"/>
                    <w:left w:val="nil"/>
                    <w:bottom w:val="nil"/>
                    <w:right w:val="nil"/>
                  </w:tcBorders>
                </w:tcPr>
                <w:p w14:paraId="743FF7A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(2.009)</w:t>
                  </w:r>
                </w:p>
              </w:tc>
              <w:tc>
                <w:tcPr>
                  <w:tcW w:w="2812" w:type="dxa"/>
                  <w:tcBorders>
                    <w:top w:val="nil"/>
                    <w:left w:val="nil"/>
                    <w:bottom w:val="nil"/>
                    <w:right w:val="nil"/>
                  </w:tcBorders>
                </w:tcPr>
                <w:p w14:paraId="550C40B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(-1.619)</w:t>
                  </w:r>
                </w:p>
              </w:tc>
            </w:tr>
            <w:tr w:rsidR="00694090" w:rsidRPr="00F60760" w14:paraId="5313791E" w14:textId="77777777" w:rsidTr="00E150C1">
              <w:trPr>
                <w:jc w:val="center"/>
              </w:trPr>
              <w:tc>
                <w:tcPr>
                  <w:tcW w:w="3156" w:type="dxa"/>
                  <w:tcBorders>
                    <w:top w:val="nil"/>
                    <w:left w:val="nil"/>
                    <w:bottom w:val="nil"/>
                    <w:right w:val="nil"/>
                  </w:tcBorders>
                </w:tcPr>
                <w:p w14:paraId="662D2C54"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tar_mbratio</w:t>
                  </w:r>
                </w:p>
              </w:tc>
              <w:tc>
                <w:tcPr>
                  <w:tcW w:w="3104" w:type="dxa"/>
                  <w:tcBorders>
                    <w:top w:val="nil"/>
                    <w:left w:val="nil"/>
                    <w:bottom w:val="nil"/>
                    <w:right w:val="nil"/>
                  </w:tcBorders>
                </w:tcPr>
                <w:p w14:paraId="6E0A894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-.052**</w:t>
                  </w:r>
                </w:p>
              </w:tc>
              <w:tc>
                <w:tcPr>
                  <w:tcW w:w="2812" w:type="dxa"/>
                  <w:tcBorders>
                    <w:top w:val="nil"/>
                    <w:left w:val="nil"/>
                    <w:bottom w:val="nil"/>
                    <w:right w:val="nil"/>
                  </w:tcBorders>
                </w:tcPr>
                <w:p w14:paraId="25413ED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-.028*</w:t>
                  </w:r>
                </w:p>
              </w:tc>
            </w:tr>
            <w:tr w:rsidR="00694090" w:rsidRPr="00F60760" w14:paraId="477248C1" w14:textId="77777777" w:rsidTr="00E150C1">
              <w:trPr>
                <w:jc w:val="center"/>
              </w:trPr>
              <w:tc>
                <w:tcPr>
                  <w:tcW w:w="3156" w:type="dxa"/>
                  <w:tcBorders>
                    <w:top w:val="nil"/>
                    <w:left w:val="nil"/>
                    <w:bottom w:val="nil"/>
                    <w:right w:val="nil"/>
                  </w:tcBorders>
                </w:tcPr>
                <w:p w14:paraId="2D1A5FA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104" w:type="dxa"/>
                  <w:tcBorders>
                    <w:top w:val="nil"/>
                    <w:left w:val="nil"/>
                    <w:bottom w:val="nil"/>
                    <w:right w:val="nil"/>
                  </w:tcBorders>
                </w:tcPr>
                <w:p w14:paraId="67D41E6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(-2.012)</w:t>
                  </w:r>
                </w:p>
              </w:tc>
              <w:tc>
                <w:tcPr>
                  <w:tcW w:w="2812" w:type="dxa"/>
                  <w:tcBorders>
                    <w:top w:val="nil"/>
                    <w:left w:val="nil"/>
                    <w:bottom w:val="nil"/>
                    <w:right w:val="nil"/>
                  </w:tcBorders>
                </w:tcPr>
                <w:p w14:paraId="4F9FFB2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(-1.919)</w:t>
                  </w:r>
                </w:p>
              </w:tc>
            </w:tr>
            <w:tr w:rsidR="00694090" w:rsidRPr="00F60760" w14:paraId="62385188" w14:textId="77777777" w:rsidTr="00E150C1">
              <w:trPr>
                <w:jc w:val="center"/>
              </w:trPr>
              <w:tc>
                <w:tcPr>
                  <w:tcW w:w="3156" w:type="dxa"/>
                  <w:tcBorders>
                    <w:top w:val="nil"/>
                    <w:left w:val="nil"/>
                    <w:bottom w:val="nil"/>
                    <w:right w:val="nil"/>
                  </w:tcBorders>
                </w:tcPr>
                <w:p w14:paraId="065DE231"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Observations</w:t>
                  </w:r>
                </w:p>
              </w:tc>
              <w:tc>
                <w:tcPr>
                  <w:tcW w:w="3104" w:type="dxa"/>
                  <w:tcBorders>
                    <w:top w:val="nil"/>
                    <w:left w:val="nil"/>
                    <w:bottom w:val="nil"/>
                    <w:right w:val="nil"/>
                  </w:tcBorders>
                </w:tcPr>
                <w:p w14:paraId="5ABB2F9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164</w:t>
                  </w:r>
                </w:p>
              </w:tc>
              <w:tc>
                <w:tcPr>
                  <w:tcW w:w="2812" w:type="dxa"/>
                  <w:tcBorders>
                    <w:top w:val="nil"/>
                    <w:left w:val="nil"/>
                    <w:bottom w:val="nil"/>
                    <w:right w:val="nil"/>
                  </w:tcBorders>
                </w:tcPr>
                <w:p w14:paraId="5A1E949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131</w:t>
                  </w:r>
                </w:p>
              </w:tc>
            </w:tr>
            <w:tr w:rsidR="00694090" w:rsidRPr="00F60760" w14:paraId="6175F17E" w14:textId="77777777" w:rsidTr="00E150C1">
              <w:trPr>
                <w:jc w:val="center"/>
              </w:trPr>
              <w:tc>
                <w:tcPr>
                  <w:tcW w:w="3156" w:type="dxa"/>
                  <w:tcBorders>
                    <w:top w:val="nil"/>
                    <w:left w:val="nil"/>
                    <w:bottom w:val="nil"/>
                    <w:right w:val="nil"/>
                  </w:tcBorders>
                </w:tcPr>
                <w:p w14:paraId="259CA9F8"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Adj R2</w:t>
                  </w:r>
                </w:p>
              </w:tc>
              <w:tc>
                <w:tcPr>
                  <w:tcW w:w="3104" w:type="dxa"/>
                  <w:tcBorders>
                    <w:top w:val="nil"/>
                    <w:left w:val="nil"/>
                    <w:bottom w:val="nil"/>
                    <w:right w:val="nil"/>
                  </w:tcBorders>
                </w:tcPr>
                <w:p w14:paraId="0631679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.194</w:t>
                  </w:r>
                </w:p>
              </w:tc>
              <w:tc>
                <w:tcPr>
                  <w:tcW w:w="2812" w:type="dxa"/>
                  <w:tcBorders>
                    <w:top w:val="nil"/>
                    <w:left w:val="nil"/>
                    <w:bottom w:val="nil"/>
                    <w:right w:val="nil"/>
                  </w:tcBorders>
                </w:tcPr>
                <w:p w14:paraId="305FACD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.064</w:t>
                  </w:r>
                </w:p>
              </w:tc>
            </w:tr>
            <w:tr w:rsidR="00694090" w:rsidRPr="00F60760" w14:paraId="3C9DF4CE" w14:textId="77777777" w:rsidTr="00E150C1">
              <w:trPr>
                <w:jc w:val="center"/>
              </w:trPr>
              <w:tc>
                <w:tcPr>
                  <w:tcW w:w="3156" w:type="dxa"/>
                  <w:tcBorders>
                    <w:top w:val="nil"/>
                    <w:left w:val="nil"/>
                    <w:bottom w:val="nil"/>
                    <w:right w:val="nil"/>
                  </w:tcBorders>
                </w:tcPr>
                <w:p w14:paraId="04BE5C9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Industry FE</w:t>
                  </w:r>
                </w:p>
              </w:tc>
              <w:tc>
                <w:tcPr>
                  <w:tcW w:w="3104" w:type="dxa"/>
                  <w:tcBorders>
                    <w:top w:val="nil"/>
                    <w:left w:val="nil"/>
                    <w:bottom w:val="nil"/>
                    <w:right w:val="nil"/>
                  </w:tcBorders>
                </w:tcPr>
                <w:p w14:paraId="15F3FE2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2812" w:type="dxa"/>
                  <w:tcBorders>
                    <w:top w:val="nil"/>
                    <w:left w:val="nil"/>
                    <w:bottom w:val="nil"/>
                    <w:right w:val="nil"/>
                  </w:tcBorders>
                </w:tcPr>
                <w:p w14:paraId="4C6AE9F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r>
            <w:tr w:rsidR="00694090" w:rsidRPr="00F60760" w14:paraId="32CDEFC1" w14:textId="77777777" w:rsidTr="00E150C1">
              <w:trPr>
                <w:jc w:val="center"/>
              </w:trPr>
              <w:tc>
                <w:tcPr>
                  <w:tcW w:w="3156" w:type="dxa"/>
                  <w:tcBorders>
                    <w:top w:val="nil"/>
                    <w:left w:val="nil"/>
                    <w:bottom w:val="nil"/>
                    <w:right w:val="nil"/>
                  </w:tcBorders>
                </w:tcPr>
                <w:p w14:paraId="12C5616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Year FE</w:t>
                  </w:r>
                </w:p>
              </w:tc>
              <w:tc>
                <w:tcPr>
                  <w:tcW w:w="3104" w:type="dxa"/>
                  <w:tcBorders>
                    <w:top w:val="nil"/>
                    <w:left w:val="nil"/>
                    <w:bottom w:val="nil"/>
                    <w:right w:val="nil"/>
                  </w:tcBorders>
                </w:tcPr>
                <w:p w14:paraId="3936425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2812" w:type="dxa"/>
                  <w:tcBorders>
                    <w:top w:val="nil"/>
                    <w:left w:val="nil"/>
                    <w:bottom w:val="nil"/>
                    <w:right w:val="nil"/>
                  </w:tcBorders>
                </w:tcPr>
                <w:p w14:paraId="719D18D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Yes</w:t>
                  </w:r>
                </w:p>
              </w:tc>
            </w:tr>
          </w:tbl>
          <w:p w14:paraId="21739343" w14:textId="77777777" w:rsidR="00694090" w:rsidRPr="00F60760" w:rsidRDefault="00694090" w:rsidP="00AB066F">
            <w:pPr>
              <w:tabs>
                <w:tab w:val="left" w:pos="2710"/>
              </w:tabs>
              <w:rPr>
                <w:color w:val="000000" w:themeColor="text1"/>
                <w:sz w:val="22"/>
                <w:lang w:val="en-US"/>
              </w:rPr>
            </w:pPr>
          </w:p>
        </w:tc>
      </w:tr>
      <w:tr w:rsidR="00694090" w:rsidRPr="00BE5632" w14:paraId="536208F4" w14:textId="77777777" w:rsidTr="00E150C1">
        <w:trPr>
          <w:trHeight w:val="227"/>
        </w:trPr>
        <w:tc>
          <w:tcPr>
            <w:tcW w:w="5000" w:type="pct"/>
            <w:tcBorders>
              <w:top w:val="single" w:sz="4" w:space="0" w:color="auto"/>
              <w:left w:val="nil"/>
              <w:right w:val="nil"/>
            </w:tcBorders>
            <w:shd w:val="clear" w:color="auto" w:fill="auto"/>
            <w:noWrap/>
          </w:tcPr>
          <w:p w14:paraId="16A858C4" w14:textId="77777777" w:rsidR="00694090" w:rsidRPr="00F60760" w:rsidRDefault="00694090" w:rsidP="00E74508">
            <w:pPr>
              <w:spacing w:before="120" w:line="240" w:lineRule="auto"/>
              <w:rPr>
                <w:color w:val="000000" w:themeColor="text1"/>
                <w:sz w:val="22"/>
                <w:lang w:val="en-US"/>
              </w:rPr>
            </w:pPr>
            <w:r w:rsidRPr="00F60760">
              <w:rPr>
                <w:i/>
                <w:iCs/>
                <w:color w:val="000000" w:themeColor="text1"/>
                <w:sz w:val="22"/>
                <w:lang w:val="en-US"/>
              </w:rPr>
              <w:t>Note</w:t>
            </w:r>
            <w:r w:rsidRPr="00F60760">
              <w:rPr>
                <w:color w:val="000000" w:themeColor="text1"/>
                <w:sz w:val="22"/>
                <w:lang w:val="en-US"/>
              </w:rPr>
              <w:t xml:space="preserve">. This table reports fixed effects negative binomial regression results predicting the effect of organizational cultural distance between acquirers and targets on innovation. The dependent variable for Model 1 is the acquirer’s patent growth two years after deal completion compared to one year prior the deal. The dependent variable for Model 2 is the acquirer’s new product development growth two years after deal completion compared to one year prior the deal. The main independent variable in Models 1 and 2 is </w:t>
            </w:r>
            <w:r w:rsidRPr="00F60760">
              <w:rPr>
                <w:i/>
                <w:color w:val="000000" w:themeColor="text1"/>
                <w:sz w:val="22"/>
                <w:lang w:val="en-US"/>
              </w:rPr>
              <w:t>deal_culturaldistance</w:t>
            </w:r>
            <w:r w:rsidRPr="00F60760">
              <w:rPr>
                <w:color w:val="000000" w:themeColor="text1"/>
                <w:sz w:val="22"/>
                <w:lang w:val="en-US"/>
              </w:rPr>
              <w:t xml:space="preserve">, with higher values indicating higher cultural dissimilarities between the acquirer and target. A detailed variable description can be found in Appendix B Excluded from the analysis were international deals where the acquirer and the target are located in different countries. Constant terms are estimated but not reported. We include the acquirer’s </w:t>
            </w:r>
            <w:r w:rsidRPr="00F60760">
              <w:rPr>
                <w:color w:val="000000" w:themeColor="text1"/>
                <w:sz w:val="22"/>
                <w:lang w:val="en-US"/>
              </w:rPr>
              <w:lastRenderedPageBreak/>
              <w:t>industry and year fixed effects in all models. We cluster standard errors at the 2-digit SIC industry level. t-statistics are reported in parentheses below the coefficients. *, **, *** denote statistical significance at the .10, .05, and .01 levels (using two-tailed tests).</w:t>
            </w:r>
          </w:p>
        </w:tc>
      </w:tr>
    </w:tbl>
    <w:p w14:paraId="4141C450" w14:textId="77777777" w:rsidR="00895F66" w:rsidRDefault="00895F66">
      <w:pPr>
        <w:spacing w:after="160" w:line="259" w:lineRule="auto"/>
        <w:jc w:val="left"/>
        <w:rPr>
          <w:rStyle w:val="SchwacherVerweis"/>
          <w:rFonts w:eastAsiaTheme="majorEastAsia" w:cstheme="majorBidi"/>
          <w:b/>
          <w:caps/>
          <w:smallCaps w:val="0"/>
          <w:color w:val="auto"/>
          <w:szCs w:val="32"/>
          <w:lang w:val="en-US"/>
        </w:rPr>
      </w:pPr>
      <w:r w:rsidRPr="00932F58">
        <w:rPr>
          <w:rStyle w:val="SchwacherVerweis"/>
          <w:smallCaps w:val="0"/>
          <w:color w:val="auto"/>
          <w:lang w:val="en-US"/>
        </w:rPr>
        <w:br w:type="page"/>
      </w:r>
    </w:p>
    <w:p w14:paraId="1AC57E11" w14:textId="0714BA75" w:rsidR="00331B63" w:rsidRPr="00947673" w:rsidRDefault="00331B63" w:rsidP="00331B63">
      <w:pPr>
        <w:pStyle w:val="1fake"/>
        <w:rPr>
          <w:rStyle w:val="SchwacherVerweis"/>
          <w:smallCaps w:val="0"/>
          <w:color w:val="auto"/>
        </w:rPr>
      </w:pPr>
      <w:r w:rsidRPr="00947673">
        <w:rPr>
          <w:rStyle w:val="SchwacherVerweis"/>
          <w:smallCaps w:val="0"/>
          <w:color w:val="auto"/>
        </w:rPr>
        <w:lastRenderedPageBreak/>
        <w:t xml:space="preserve">Online Supplement </w:t>
      </w:r>
      <w:r>
        <w:rPr>
          <w:rStyle w:val="SchwacherVerweis"/>
          <w:smallCaps w:val="0"/>
          <w:color w:val="auto"/>
        </w:rPr>
        <w:t>13</w:t>
      </w:r>
    </w:p>
    <w:p w14:paraId="5D803E98" w14:textId="5BF44DA0" w:rsidR="00011AF5" w:rsidRPr="004D7CC1" w:rsidRDefault="00011AF5" w:rsidP="00011AF5">
      <w:pPr>
        <w:pStyle w:val="Beschriftung"/>
      </w:pPr>
      <w:bookmarkStart w:id="632" w:name="_Toc180594859"/>
      <w:r>
        <w:t xml:space="preserve">T - III - </w:t>
      </w:r>
      <w:r>
        <w:fldChar w:fldCharType="begin"/>
      </w:r>
      <w:r>
        <w:instrText xml:space="preserve"> SEQ T_-_III_- \* ARABIC </w:instrText>
      </w:r>
      <w:r>
        <w:fldChar w:fldCharType="separate"/>
      </w:r>
      <w:r w:rsidR="00E91088">
        <w:rPr>
          <w:noProof/>
        </w:rPr>
        <w:t>23</w:t>
      </w:r>
      <w:r>
        <w:fldChar w:fldCharType="end"/>
      </w:r>
      <w:r>
        <w:t xml:space="preserve">: </w:t>
      </w:r>
      <w:r w:rsidRPr="00720698">
        <w:t>H1a: Capital market reactions (CARs) – Nonlinear relationship</w:t>
      </w:r>
      <w:bookmarkEnd w:id="632"/>
    </w:p>
    <w:tbl>
      <w:tblPr>
        <w:tblW w:w="8931" w:type="dxa"/>
        <w:tblLook w:val="04A0" w:firstRow="1" w:lastRow="0" w:firstColumn="1" w:lastColumn="0" w:noHBand="0" w:noVBand="1"/>
      </w:tblPr>
      <w:tblGrid>
        <w:gridCol w:w="9072"/>
      </w:tblGrid>
      <w:tr w:rsidR="00694090" w:rsidRPr="00F60760" w14:paraId="32EFAD22" w14:textId="77777777" w:rsidTr="00E150C1">
        <w:trPr>
          <w:trHeight w:val="1887"/>
        </w:trPr>
        <w:tc>
          <w:tcPr>
            <w:tcW w:w="8931" w:type="dxa"/>
            <w:tcBorders>
              <w:left w:val="nil"/>
              <w:bottom w:val="single" w:sz="4" w:space="0" w:color="auto"/>
              <w:right w:val="nil"/>
            </w:tcBorders>
            <w:shd w:val="clear" w:color="auto" w:fill="auto"/>
          </w:tcPr>
          <w:tbl>
            <w:tblPr>
              <w:tblW w:w="9072" w:type="dxa"/>
              <w:tblLook w:val="0000" w:firstRow="0" w:lastRow="0" w:firstColumn="0" w:lastColumn="0" w:noHBand="0" w:noVBand="0"/>
            </w:tblPr>
            <w:tblGrid>
              <w:gridCol w:w="2697"/>
              <w:gridCol w:w="2125"/>
              <w:gridCol w:w="2125"/>
              <w:gridCol w:w="2125"/>
            </w:tblGrid>
            <w:tr w:rsidR="00694090" w:rsidRPr="00F60760" w14:paraId="69D4F0A6" w14:textId="77777777" w:rsidTr="00E150C1">
              <w:tc>
                <w:tcPr>
                  <w:tcW w:w="0" w:type="auto"/>
                  <w:tcBorders>
                    <w:top w:val="single" w:sz="4" w:space="0" w:color="auto"/>
                    <w:left w:val="nil"/>
                    <w:right w:val="nil"/>
                  </w:tcBorders>
                </w:tcPr>
                <w:p w14:paraId="2534D01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w:t>
                  </w:r>
                </w:p>
              </w:tc>
              <w:tc>
                <w:tcPr>
                  <w:tcW w:w="1223" w:type="pct"/>
                  <w:tcBorders>
                    <w:top w:val="single" w:sz="4" w:space="0" w:color="auto"/>
                    <w:left w:val="nil"/>
                    <w:right w:val="nil"/>
                  </w:tcBorders>
                </w:tcPr>
                <w:p w14:paraId="761FE52F"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(1)</w:t>
                  </w:r>
                </w:p>
              </w:tc>
              <w:tc>
                <w:tcPr>
                  <w:tcW w:w="1223" w:type="pct"/>
                  <w:tcBorders>
                    <w:top w:val="single" w:sz="4" w:space="0" w:color="auto"/>
                    <w:left w:val="nil"/>
                    <w:right w:val="nil"/>
                  </w:tcBorders>
                </w:tcPr>
                <w:p w14:paraId="40A82C51"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(2)</w:t>
                  </w:r>
                </w:p>
              </w:tc>
              <w:tc>
                <w:tcPr>
                  <w:tcW w:w="1223" w:type="pct"/>
                  <w:tcBorders>
                    <w:top w:val="single" w:sz="4" w:space="0" w:color="auto"/>
                    <w:left w:val="nil"/>
                    <w:right w:val="nil"/>
                  </w:tcBorders>
                </w:tcPr>
                <w:p w14:paraId="0EB8FD2A"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(3)</w:t>
                  </w:r>
                </w:p>
              </w:tc>
            </w:tr>
            <w:tr w:rsidR="00694090" w:rsidRPr="00F60760" w14:paraId="16F887CB" w14:textId="77777777" w:rsidTr="00E150C1">
              <w:tc>
                <w:tcPr>
                  <w:tcW w:w="1331" w:type="pct"/>
                  <w:tcBorders>
                    <w:top w:val="nil"/>
                    <w:left w:val="nil"/>
                    <w:bottom w:val="single" w:sz="4" w:space="0" w:color="auto"/>
                    <w:right w:val="nil"/>
                  </w:tcBorders>
                </w:tcPr>
                <w:p w14:paraId="2920F99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w:t>
                  </w:r>
                </w:p>
              </w:tc>
              <w:tc>
                <w:tcPr>
                  <w:tcW w:w="1223" w:type="pct"/>
                  <w:tcBorders>
                    <w:top w:val="nil"/>
                    <w:left w:val="nil"/>
                    <w:bottom w:val="single" w:sz="4" w:space="0" w:color="auto"/>
                    <w:right w:val="nil"/>
                  </w:tcBorders>
                </w:tcPr>
                <w:p w14:paraId="71138478"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acq_car</w:t>
                  </w:r>
                  <w:r w:rsidRPr="00F60760">
                    <w:rPr>
                      <w:b/>
                      <w:bCs/>
                      <w:color w:val="000000" w:themeColor="text1"/>
                      <w:sz w:val="22"/>
                      <w:lang w:val="en-US"/>
                    </w:rPr>
                    <w:br/>
                    <w:t>[-10,10]</w:t>
                  </w:r>
                </w:p>
              </w:tc>
              <w:tc>
                <w:tcPr>
                  <w:tcW w:w="1223" w:type="pct"/>
                  <w:tcBorders>
                    <w:top w:val="nil"/>
                    <w:left w:val="nil"/>
                    <w:bottom w:val="single" w:sz="4" w:space="0" w:color="auto"/>
                    <w:right w:val="nil"/>
                  </w:tcBorders>
                </w:tcPr>
                <w:p w14:paraId="14CDEA67"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acq_car</w:t>
                  </w:r>
                  <w:r w:rsidRPr="00F60760">
                    <w:rPr>
                      <w:b/>
                      <w:bCs/>
                      <w:color w:val="000000" w:themeColor="text1"/>
                      <w:sz w:val="22"/>
                      <w:lang w:val="en-US"/>
                    </w:rPr>
                    <w:br/>
                    <w:t>[-5,5]</w:t>
                  </w:r>
                </w:p>
              </w:tc>
              <w:tc>
                <w:tcPr>
                  <w:tcW w:w="1223" w:type="pct"/>
                  <w:tcBorders>
                    <w:top w:val="nil"/>
                    <w:left w:val="nil"/>
                    <w:bottom w:val="single" w:sz="4" w:space="0" w:color="auto"/>
                    <w:right w:val="nil"/>
                  </w:tcBorders>
                </w:tcPr>
                <w:p w14:paraId="3AA6402B"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deal_car_weighted</w:t>
                  </w:r>
                  <w:r w:rsidRPr="00F60760">
                    <w:rPr>
                      <w:b/>
                      <w:bCs/>
                      <w:color w:val="000000" w:themeColor="text1"/>
                      <w:sz w:val="22"/>
                      <w:lang w:val="en-US"/>
                    </w:rPr>
                    <w:br/>
                    <w:t>[-5,5]</w:t>
                  </w:r>
                </w:p>
              </w:tc>
            </w:tr>
            <w:tr w:rsidR="00694090" w:rsidRPr="00F60760" w14:paraId="0C80EAD6" w14:textId="77777777" w:rsidTr="00E150C1">
              <w:tc>
                <w:tcPr>
                  <w:tcW w:w="1331" w:type="pct"/>
                  <w:tcBorders>
                    <w:top w:val="single" w:sz="4" w:space="0" w:color="auto"/>
                    <w:left w:val="nil"/>
                    <w:bottom w:val="nil"/>
                    <w:right w:val="nil"/>
                  </w:tcBorders>
                </w:tcPr>
                <w:p w14:paraId="577E25E0"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deal_culturaldistance</w:t>
                  </w:r>
                </w:p>
              </w:tc>
              <w:tc>
                <w:tcPr>
                  <w:tcW w:w="1223" w:type="pct"/>
                  <w:tcBorders>
                    <w:top w:val="single" w:sz="4" w:space="0" w:color="auto"/>
                    <w:left w:val="nil"/>
                    <w:bottom w:val="nil"/>
                    <w:right w:val="nil"/>
                  </w:tcBorders>
                  <w:vAlign w:val="center"/>
                </w:tcPr>
                <w:p w14:paraId="1D7FE5E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-.023</w:t>
                  </w:r>
                </w:p>
              </w:tc>
              <w:tc>
                <w:tcPr>
                  <w:tcW w:w="1223" w:type="pct"/>
                  <w:tcBorders>
                    <w:top w:val="single" w:sz="4" w:space="0" w:color="auto"/>
                    <w:left w:val="nil"/>
                    <w:bottom w:val="nil"/>
                    <w:right w:val="nil"/>
                  </w:tcBorders>
                  <w:vAlign w:val="center"/>
                </w:tcPr>
                <w:p w14:paraId="4EA2CAF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-.011</w:t>
                  </w:r>
                </w:p>
              </w:tc>
              <w:tc>
                <w:tcPr>
                  <w:tcW w:w="1223" w:type="pct"/>
                  <w:tcBorders>
                    <w:top w:val="single" w:sz="4" w:space="0" w:color="auto"/>
                    <w:left w:val="nil"/>
                    <w:bottom w:val="nil"/>
                    <w:right w:val="nil"/>
                  </w:tcBorders>
                  <w:vAlign w:val="center"/>
                </w:tcPr>
                <w:p w14:paraId="56516AF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-.002</w:t>
                  </w:r>
                </w:p>
              </w:tc>
            </w:tr>
            <w:tr w:rsidR="00694090" w:rsidRPr="00F60760" w14:paraId="5C3176EF" w14:textId="77777777" w:rsidTr="00E150C1">
              <w:tc>
                <w:tcPr>
                  <w:tcW w:w="1331" w:type="pct"/>
                  <w:tcBorders>
                    <w:top w:val="nil"/>
                    <w:left w:val="nil"/>
                    <w:bottom w:val="nil"/>
                    <w:right w:val="nil"/>
                  </w:tcBorders>
                </w:tcPr>
                <w:p w14:paraId="48BDBF33"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223" w:type="pct"/>
                  <w:tcBorders>
                    <w:top w:val="nil"/>
                    <w:left w:val="nil"/>
                    <w:bottom w:val="nil"/>
                    <w:right w:val="nil"/>
                  </w:tcBorders>
                  <w:vAlign w:val="center"/>
                </w:tcPr>
                <w:p w14:paraId="325CEED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(-1.311)</w:t>
                  </w:r>
                </w:p>
              </w:tc>
              <w:tc>
                <w:tcPr>
                  <w:tcW w:w="1223" w:type="pct"/>
                  <w:tcBorders>
                    <w:top w:val="nil"/>
                    <w:left w:val="nil"/>
                    <w:bottom w:val="nil"/>
                    <w:right w:val="nil"/>
                  </w:tcBorders>
                  <w:vAlign w:val="center"/>
                </w:tcPr>
                <w:p w14:paraId="32440D8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(-1.019)</w:t>
                  </w:r>
                </w:p>
              </w:tc>
              <w:tc>
                <w:tcPr>
                  <w:tcW w:w="1223" w:type="pct"/>
                  <w:tcBorders>
                    <w:top w:val="nil"/>
                    <w:left w:val="nil"/>
                    <w:bottom w:val="nil"/>
                    <w:right w:val="nil"/>
                  </w:tcBorders>
                  <w:vAlign w:val="center"/>
                </w:tcPr>
                <w:p w14:paraId="77C859F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(-.510)</w:t>
                  </w:r>
                </w:p>
              </w:tc>
            </w:tr>
            <w:tr w:rsidR="00694090" w:rsidRPr="00F60760" w14:paraId="322837EF" w14:textId="77777777" w:rsidTr="00E150C1">
              <w:tc>
                <w:tcPr>
                  <w:tcW w:w="1331" w:type="pct"/>
                  <w:tcBorders>
                    <w:top w:val="nil"/>
                    <w:left w:val="nil"/>
                    <w:bottom w:val="nil"/>
                    <w:right w:val="nil"/>
                  </w:tcBorders>
                </w:tcPr>
                <w:p w14:paraId="70AC8CDB"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deal_culturaldistance_quadr</w:t>
                  </w:r>
                </w:p>
              </w:tc>
              <w:tc>
                <w:tcPr>
                  <w:tcW w:w="1223" w:type="pct"/>
                  <w:tcBorders>
                    <w:top w:val="nil"/>
                    <w:left w:val="nil"/>
                    <w:bottom w:val="nil"/>
                    <w:right w:val="nil"/>
                  </w:tcBorders>
                  <w:vAlign w:val="center"/>
                </w:tcPr>
                <w:p w14:paraId="26A4AC3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.0001</w:t>
                  </w:r>
                </w:p>
              </w:tc>
              <w:tc>
                <w:tcPr>
                  <w:tcW w:w="1223" w:type="pct"/>
                  <w:tcBorders>
                    <w:top w:val="nil"/>
                    <w:left w:val="nil"/>
                    <w:bottom w:val="nil"/>
                    <w:right w:val="nil"/>
                  </w:tcBorders>
                  <w:vAlign w:val="center"/>
                </w:tcPr>
                <w:p w14:paraId="166E866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.00001</w:t>
                  </w:r>
                </w:p>
              </w:tc>
              <w:tc>
                <w:tcPr>
                  <w:tcW w:w="1223" w:type="pct"/>
                  <w:tcBorders>
                    <w:top w:val="nil"/>
                    <w:left w:val="nil"/>
                    <w:bottom w:val="nil"/>
                    <w:right w:val="nil"/>
                  </w:tcBorders>
                  <w:vAlign w:val="center"/>
                </w:tcPr>
                <w:p w14:paraId="2926020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-.00005</w:t>
                  </w:r>
                </w:p>
              </w:tc>
            </w:tr>
            <w:tr w:rsidR="00694090" w:rsidRPr="00F60760" w14:paraId="4A841427" w14:textId="77777777" w:rsidTr="00E150C1">
              <w:tc>
                <w:tcPr>
                  <w:tcW w:w="1331" w:type="pct"/>
                  <w:tcBorders>
                    <w:top w:val="nil"/>
                    <w:left w:val="nil"/>
                    <w:bottom w:val="nil"/>
                    <w:right w:val="nil"/>
                  </w:tcBorders>
                </w:tcPr>
                <w:p w14:paraId="4BF6958E"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223" w:type="pct"/>
                  <w:tcBorders>
                    <w:top w:val="nil"/>
                    <w:left w:val="nil"/>
                    <w:bottom w:val="nil"/>
                    <w:right w:val="nil"/>
                  </w:tcBorders>
                  <w:vAlign w:val="center"/>
                </w:tcPr>
                <w:p w14:paraId="4DD4383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(.098)</w:t>
                  </w:r>
                </w:p>
              </w:tc>
              <w:tc>
                <w:tcPr>
                  <w:tcW w:w="1223" w:type="pct"/>
                  <w:tcBorders>
                    <w:top w:val="nil"/>
                    <w:left w:val="nil"/>
                    <w:bottom w:val="nil"/>
                    <w:right w:val="nil"/>
                  </w:tcBorders>
                  <w:vAlign w:val="center"/>
                </w:tcPr>
                <w:p w14:paraId="617E32D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(.029)</w:t>
                  </w:r>
                </w:p>
              </w:tc>
              <w:tc>
                <w:tcPr>
                  <w:tcW w:w="1223" w:type="pct"/>
                  <w:tcBorders>
                    <w:top w:val="nil"/>
                    <w:left w:val="nil"/>
                    <w:bottom w:val="nil"/>
                    <w:right w:val="nil"/>
                  </w:tcBorders>
                  <w:vAlign w:val="center"/>
                </w:tcPr>
                <w:p w14:paraId="4171EC5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(-.206)</w:t>
                  </w:r>
                </w:p>
              </w:tc>
            </w:tr>
            <w:tr w:rsidR="00694090" w:rsidRPr="00F60760" w14:paraId="521F6E78" w14:textId="77777777" w:rsidTr="00E150C1">
              <w:tc>
                <w:tcPr>
                  <w:tcW w:w="1331" w:type="pct"/>
                  <w:tcBorders>
                    <w:top w:val="nil"/>
                    <w:left w:val="nil"/>
                    <w:bottom w:val="nil"/>
                    <w:right w:val="nil"/>
                  </w:tcBorders>
                </w:tcPr>
                <w:p w14:paraId="4805FA81"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deal_value_ln</w:t>
                  </w:r>
                </w:p>
              </w:tc>
              <w:tc>
                <w:tcPr>
                  <w:tcW w:w="1223" w:type="pct"/>
                  <w:tcBorders>
                    <w:top w:val="nil"/>
                    <w:left w:val="nil"/>
                    <w:bottom w:val="nil"/>
                    <w:right w:val="nil"/>
                  </w:tcBorders>
                  <w:vAlign w:val="center"/>
                </w:tcPr>
                <w:p w14:paraId="2867F4A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.144**</w:t>
                  </w:r>
                </w:p>
              </w:tc>
              <w:tc>
                <w:tcPr>
                  <w:tcW w:w="1223" w:type="pct"/>
                  <w:tcBorders>
                    <w:top w:val="nil"/>
                    <w:left w:val="nil"/>
                    <w:bottom w:val="nil"/>
                    <w:right w:val="nil"/>
                  </w:tcBorders>
                  <w:vAlign w:val="center"/>
                </w:tcPr>
                <w:p w14:paraId="3720FFE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.081**</w:t>
                  </w:r>
                </w:p>
              </w:tc>
              <w:tc>
                <w:tcPr>
                  <w:tcW w:w="1223" w:type="pct"/>
                  <w:tcBorders>
                    <w:top w:val="nil"/>
                    <w:left w:val="nil"/>
                    <w:bottom w:val="nil"/>
                    <w:right w:val="nil"/>
                  </w:tcBorders>
                  <w:vAlign w:val="center"/>
                </w:tcPr>
                <w:p w14:paraId="080565C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.035**</w:t>
                  </w:r>
                </w:p>
              </w:tc>
            </w:tr>
            <w:tr w:rsidR="00694090" w:rsidRPr="00F60760" w14:paraId="5032902D" w14:textId="77777777" w:rsidTr="00E150C1">
              <w:tc>
                <w:tcPr>
                  <w:tcW w:w="1331" w:type="pct"/>
                  <w:tcBorders>
                    <w:top w:val="nil"/>
                    <w:left w:val="nil"/>
                    <w:bottom w:val="nil"/>
                    <w:right w:val="nil"/>
                  </w:tcBorders>
                </w:tcPr>
                <w:p w14:paraId="1ADDDB3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223" w:type="pct"/>
                  <w:tcBorders>
                    <w:top w:val="nil"/>
                    <w:left w:val="nil"/>
                    <w:bottom w:val="nil"/>
                    <w:right w:val="nil"/>
                  </w:tcBorders>
                  <w:vAlign w:val="center"/>
                </w:tcPr>
                <w:p w14:paraId="4C30B7B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(2.320)</w:t>
                  </w:r>
                </w:p>
              </w:tc>
              <w:tc>
                <w:tcPr>
                  <w:tcW w:w="1223" w:type="pct"/>
                  <w:tcBorders>
                    <w:top w:val="nil"/>
                    <w:left w:val="nil"/>
                    <w:bottom w:val="nil"/>
                    <w:right w:val="nil"/>
                  </w:tcBorders>
                  <w:vAlign w:val="center"/>
                </w:tcPr>
                <w:p w14:paraId="040480F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(2.293)</w:t>
                  </w:r>
                </w:p>
              </w:tc>
              <w:tc>
                <w:tcPr>
                  <w:tcW w:w="1223" w:type="pct"/>
                  <w:tcBorders>
                    <w:top w:val="nil"/>
                    <w:left w:val="nil"/>
                    <w:bottom w:val="nil"/>
                    <w:right w:val="nil"/>
                  </w:tcBorders>
                  <w:vAlign w:val="center"/>
                </w:tcPr>
                <w:p w14:paraId="3BD4078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(2.017)</w:t>
                  </w:r>
                </w:p>
              </w:tc>
            </w:tr>
            <w:tr w:rsidR="00694090" w:rsidRPr="00F60760" w14:paraId="13631A31" w14:textId="77777777" w:rsidTr="00E150C1">
              <w:tc>
                <w:tcPr>
                  <w:tcW w:w="1331" w:type="pct"/>
                  <w:tcBorders>
                    <w:top w:val="nil"/>
                    <w:left w:val="nil"/>
                    <w:bottom w:val="nil"/>
                    <w:right w:val="nil"/>
                  </w:tcBorders>
                </w:tcPr>
                <w:p w14:paraId="3ED1F40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deal_hofstede_distance</w:t>
                  </w:r>
                </w:p>
              </w:tc>
              <w:tc>
                <w:tcPr>
                  <w:tcW w:w="1223" w:type="pct"/>
                  <w:tcBorders>
                    <w:top w:val="nil"/>
                    <w:left w:val="nil"/>
                    <w:bottom w:val="nil"/>
                    <w:right w:val="nil"/>
                  </w:tcBorders>
                  <w:vAlign w:val="center"/>
                </w:tcPr>
                <w:p w14:paraId="178B76A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.147</w:t>
                  </w:r>
                </w:p>
              </w:tc>
              <w:tc>
                <w:tcPr>
                  <w:tcW w:w="1223" w:type="pct"/>
                  <w:tcBorders>
                    <w:top w:val="nil"/>
                    <w:left w:val="nil"/>
                    <w:bottom w:val="nil"/>
                    <w:right w:val="nil"/>
                  </w:tcBorders>
                  <w:vAlign w:val="center"/>
                </w:tcPr>
                <w:p w14:paraId="5C54A54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.013</w:t>
                  </w:r>
                </w:p>
              </w:tc>
              <w:tc>
                <w:tcPr>
                  <w:tcW w:w="1223" w:type="pct"/>
                  <w:tcBorders>
                    <w:top w:val="nil"/>
                    <w:left w:val="nil"/>
                    <w:bottom w:val="nil"/>
                    <w:right w:val="nil"/>
                  </w:tcBorders>
                  <w:vAlign w:val="center"/>
                </w:tcPr>
                <w:p w14:paraId="3655C49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-.057</w:t>
                  </w:r>
                </w:p>
              </w:tc>
            </w:tr>
            <w:tr w:rsidR="00694090" w:rsidRPr="00F60760" w14:paraId="6C31673A" w14:textId="77777777" w:rsidTr="00E150C1">
              <w:tc>
                <w:tcPr>
                  <w:tcW w:w="1331" w:type="pct"/>
                  <w:tcBorders>
                    <w:top w:val="nil"/>
                    <w:left w:val="nil"/>
                    <w:bottom w:val="nil"/>
                    <w:right w:val="nil"/>
                  </w:tcBorders>
                </w:tcPr>
                <w:p w14:paraId="5BF074A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223" w:type="pct"/>
                  <w:tcBorders>
                    <w:top w:val="nil"/>
                    <w:left w:val="nil"/>
                    <w:bottom w:val="nil"/>
                    <w:right w:val="nil"/>
                  </w:tcBorders>
                  <w:vAlign w:val="center"/>
                </w:tcPr>
                <w:p w14:paraId="32B84D5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(.378)</w:t>
                  </w:r>
                </w:p>
              </w:tc>
              <w:tc>
                <w:tcPr>
                  <w:tcW w:w="1223" w:type="pct"/>
                  <w:tcBorders>
                    <w:top w:val="nil"/>
                    <w:left w:val="nil"/>
                    <w:bottom w:val="nil"/>
                    <w:right w:val="nil"/>
                  </w:tcBorders>
                  <w:vAlign w:val="center"/>
                </w:tcPr>
                <w:p w14:paraId="637BC33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(.068)</w:t>
                  </w:r>
                </w:p>
              </w:tc>
              <w:tc>
                <w:tcPr>
                  <w:tcW w:w="1223" w:type="pct"/>
                  <w:tcBorders>
                    <w:top w:val="nil"/>
                    <w:left w:val="nil"/>
                    <w:bottom w:val="nil"/>
                    <w:right w:val="nil"/>
                  </w:tcBorders>
                  <w:vAlign w:val="center"/>
                </w:tcPr>
                <w:p w14:paraId="1DFC1EA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(-.586)</w:t>
                  </w:r>
                </w:p>
              </w:tc>
            </w:tr>
            <w:tr w:rsidR="00694090" w:rsidRPr="00F60760" w14:paraId="6ACFDD9D" w14:textId="77777777" w:rsidTr="00E150C1">
              <w:tc>
                <w:tcPr>
                  <w:tcW w:w="1331" w:type="pct"/>
                  <w:tcBorders>
                    <w:top w:val="nil"/>
                    <w:left w:val="nil"/>
                    <w:bottom w:val="nil"/>
                    <w:right w:val="nil"/>
                  </w:tcBorders>
                </w:tcPr>
                <w:p w14:paraId="3E52057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deal_all_cash_dummy</w:t>
                  </w:r>
                </w:p>
              </w:tc>
              <w:tc>
                <w:tcPr>
                  <w:tcW w:w="1223" w:type="pct"/>
                  <w:tcBorders>
                    <w:top w:val="nil"/>
                    <w:left w:val="nil"/>
                    <w:bottom w:val="nil"/>
                    <w:right w:val="nil"/>
                  </w:tcBorders>
                  <w:vAlign w:val="center"/>
                </w:tcPr>
                <w:p w14:paraId="6BA9A27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.029</w:t>
                  </w:r>
                </w:p>
              </w:tc>
              <w:tc>
                <w:tcPr>
                  <w:tcW w:w="1223" w:type="pct"/>
                  <w:tcBorders>
                    <w:top w:val="nil"/>
                    <w:left w:val="nil"/>
                    <w:bottom w:val="nil"/>
                    <w:right w:val="nil"/>
                  </w:tcBorders>
                  <w:vAlign w:val="center"/>
                </w:tcPr>
                <w:p w14:paraId="65CB8EF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.028</w:t>
                  </w:r>
                </w:p>
              </w:tc>
              <w:tc>
                <w:tcPr>
                  <w:tcW w:w="1223" w:type="pct"/>
                  <w:tcBorders>
                    <w:top w:val="nil"/>
                    <w:left w:val="nil"/>
                    <w:bottom w:val="nil"/>
                    <w:right w:val="nil"/>
                  </w:tcBorders>
                  <w:vAlign w:val="center"/>
                </w:tcPr>
                <w:p w14:paraId="4D37A55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.007</w:t>
                  </w:r>
                </w:p>
              </w:tc>
            </w:tr>
            <w:tr w:rsidR="00694090" w:rsidRPr="00F60760" w14:paraId="5B5198A4" w14:textId="77777777" w:rsidTr="00E150C1">
              <w:tc>
                <w:tcPr>
                  <w:tcW w:w="1331" w:type="pct"/>
                  <w:tcBorders>
                    <w:top w:val="nil"/>
                    <w:left w:val="nil"/>
                    <w:bottom w:val="nil"/>
                    <w:right w:val="nil"/>
                  </w:tcBorders>
                </w:tcPr>
                <w:p w14:paraId="4375C16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223" w:type="pct"/>
                  <w:tcBorders>
                    <w:top w:val="nil"/>
                    <w:left w:val="nil"/>
                    <w:bottom w:val="nil"/>
                    <w:right w:val="nil"/>
                  </w:tcBorders>
                  <w:vAlign w:val="center"/>
                </w:tcPr>
                <w:p w14:paraId="17895F8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(.315)</w:t>
                  </w:r>
                </w:p>
              </w:tc>
              <w:tc>
                <w:tcPr>
                  <w:tcW w:w="1223" w:type="pct"/>
                  <w:tcBorders>
                    <w:top w:val="nil"/>
                    <w:left w:val="nil"/>
                    <w:bottom w:val="nil"/>
                    <w:right w:val="nil"/>
                  </w:tcBorders>
                  <w:vAlign w:val="center"/>
                </w:tcPr>
                <w:p w14:paraId="0C220F4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(.523)</w:t>
                  </w:r>
                </w:p>
              </w:tc>
              <w:tc>
                <w:tcPr>
                  <w:tcW w:w="1223" w:type="pct"/>
                  <w:tcBorders>
                    <w:top w:val="nil"/>
                    <w:left w:val="nil"/>
                    <w:bottom w:val="nil"/>
                    <w:right w:val="nil"/>
                  </w:tcBorders>
                  <w:vAlign w:val="center"/>
                </w:tcPr>
                <w:p w14:paraId="11B1568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(.293)</w:t>
                  </w:r>
                </w:p>
              </w:tc>
            </w:tr>
            <w:tr w:rsidR="00694090" w:rsidRPr="00F60760" w14:paraId="2404FA21" w14:textId="77777777" w:rsidTr="00E150C1">
              <w:tc>
                <w:tcPr>
                  <w:tcW w:w="1331" w:type="pct"/>
                  <w:tcBorders>
                    <w:top w:val="nil"/>
                    <w:left w:val="nil"/>
                    <w:bottom w:val="nil"/>
                    <w:right w:val="nil"/>
                  </w:tcBorders>
                </w:tcPr>
                <w:p w14:paraId="6459A15E"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deal_all_stock_dummy</w:t>
                  </w:r>
                </w:p>
              </w:tc>
              <w:tc>
                <w:tcPr>
                  <w:tcW w:w="1223" w:type="pct"/>
                  <w:tcBorders>
                    <w:top w:val="nil"/>
                    <w:left w:val="nil"/>
                    <w:bottom w:val="nil"/>
                    <w:right w:val="nil"/>
                  </w:tcBorders>
                  <w:vAlign w:val="center"/>
                </w:tcPr>
                <w:p w14:paraId="5D90928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-.128</w:t>
                  </w:r>
                </w:p>
              </w:tc>
              <w:tc>
                <w:tcPr>
                  <w:tcW w:w="1223" w:type="pct"/>
                  <w:tcBorders>
                    <w:top w:val="nil"/>
                    <w:left w:val="nil"/>
                    <w:bottom w:val="nil"/>
                    <w:right w:val="nil"/>
                  </w:tcBorders>
                  <w:vAlign w:val="center"/>
                </w:tcPr>
                <w:p w14:paraId="0E5216C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-.071</w:t>
                  </w:r>
                </w:p>
              </w:tc>
              <w:tc>
                <w:tcPr>
                  <w:tcW w:w="1223" w:type="pct"/>
                  <w:tcBorders>
                    <w:top w:val="nil"/>
                    <w:left w:val="nil"/>
                    <w:bottom w:val="nil"/>
                    <w:right w:val="nil"/>
                  </w:tcBorders>
                  <w:vAlign w:val="center"/>
                </w:tcPr>
                <w:p w14:paraId="7E4123B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-.029</w:t>
                  </w:r>
                </w:p>
              </w:tc>
            </w:tr>
            <w:tr w:rsidR="00694090" w:rsidRPr="00F60760" w14:paraId="5D38579E" w14:textId="77777777" w:rsidTr="00E150C1">
              <w:tc>
                <w:tcPr>
                  <w:tcW w:w="1331" w:type="pct"/>
                  <w:tcBorders>
                    <w:top w:val="nil"/>
                    <w:left w:val="nil"/>
                    <w:bottom w:val="nil"/>
                    <w:right w:val="nil"/>
                  </w:tcBorders>
                </w:tcPr>
                <w:p w14:paraId="6DFC9030"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223" w:type="pct"/>
                  <w:tcBorders>
                    <w:top w:val="nil"/>
                    <w:left w:val="nil"/>
                    <w:bottom w:val="nil"/>
                    <w:right w:val="nil"/>
                  </w:tcBorders>
                  <w:vAlign w:val="center"/>
                </w:tcPr>
                <w:p w14:paraId="0D34773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(-1.036)</w:t>
                  </w:r>
                </w:p>
              </w:tc>
              <w:tc>
                <w:tcPr>
                  <w:tcW w:w="1223" w:type="pct"/>
                  <w:tcBorders>
                    <w:top w:val="nil"/>
                    <w:left w:val="nil"/>
                    <w:bottom w:val="nil"/>
                    <w:right w:val="nil"/>
                  </w:tcBorders>
                  <w:vAlign w:val="center"/>
                </w:tcPr>
                <w:p w14:paraId="30CEB43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(-1.140)</w:t>
                  </w:r>
                </w:p>
              </w:tc>
              <w:tc>
                <w:tcPr>
                  <w:tcW w:w="1223" w:type="pct"/>
                  <w:tcBorders>
                    <w:top w:val="nil"/>
                    <w:left w:val="nil"/>
                    <w:bottom w:val="nil"/>
                    <w:right w:val="nil"/>
                  </w:tcBorders>
                  <w:vAlign w:val="center"/>
                </w:tcPr>
                <w:p w14:paraId="04E4EBD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(-1.133)</w:t>
                  </w:r>
                </w:p>
              </w:tc>
            </w:tr>
            <w:tr w:rsidR="00694090" w:rsidRPr="00F60760" w14:paraId="3D05E6AB" w14:textId="77777777" w:rsidTr="00E150C1">
              <w:tc>
                <w:tcPr>
                  <w:tcW w:w="1331" w:type="pct"/>
                  <w:tcBorders>
                    <w:top w:val="nil"/>
                    <w:left w:val="nil"/>
                    <w:bottom w:val="nil"/>
                    <w:right w:val="nil"/>
                  </w:tcBorders>
                </w:tcPr>
                <w:p w14:paraId="5586314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deal_tenderoffer_dummy</w:t>
                  </w:r>
                </w:p>
              </w:tc>
              <w:tc>
                <w:tcPr>
                  <w:tcW w:w="1223" w:type="pct"/>
                  <w:tcBorders>
                    <w:top w:val="nil"/>
                    <w:left w:val="nil"/>
                    <w:bottom w:val="nil"/>
                    <w:right w:val="nil"/>
                  </w:tcBorders>
                  <w:vAlign w:val="center"/>
                </w:tcPr>
                <w:p w14:paraId="181E15D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-.071</w:t>
                  </w:r>
                </w:p>
              </w:tc>
              <w:tc>
                <w:tcPr>
                  <w:tcW w:w="1223" w:type="pct"/>
                  <w:tcBorders>
                    <w:top w:val="nil"/>
                    <w:left w:val="nil"/>
                    <w:bottom w:val="nil"/>
                    <w:right w:val="nil"/>
                  </w:tcBorders>
                  <w:vAlign w:val="center"/>
                </w:tcPr>
                <w:p w14:paraId="55389BC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-.033</w:t>
                  </w:r>
                </w:p>
              </w:tc>
              <w:tc>
                <w:tcPr>
                  <w:tcW w:w="1223" w:type="pct"/>
                  <w:tcBorders>
                    <w:top w:val="nil"/>
                    <w:left w:val="nil"/>
                    <w:bottom w:val="nil"/>
                    <w:right w:val="nil"/>
                  </w:tcBorders>
                  <w:vAlign w:val="center"/>
                </w:tcPr>
                <w:p w14:paraId="77BD878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-.018</w:t>
                  </w:r>
                </w:p>
              </w:tc>
            </w:tr>
            <w:tr w:rsidR="00694090" w:rsidRPr="00F60760" w14:paraId="77E3D004" w14:textId="77777777" w:rsidTr="00E150C1">
              <w:tc>
                <w:tcPr>
                  <w:tcW w:w="1331" w:type="pct"/>
                  <w:tcBorders>
                    <w:top w:val="nil"/>
                    <w:left w:val="nil"/>
                    <w:bottom w:val="nil"/>
                    <w:right w:val="nil"/>
                  </w:tcBorders>
                </w:tcPr>
                <w:p w14:paraId="266EFBA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223" w:type="pct"/>
                  <w:tcBorders>
                    <w:top w:val="nil"/>
                    <w:left w:val="nil"/>
                    <w:bottom w:val="nil"/>
                    <w:right w:val="nil"/>
                  </w:tcBorders>
                  <w:vAlign w:val="center"/>
                </w:tcPr>
                <w:p w14:paraId="0AB9CF4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(-.869)</w:t>
                  </w:r>
                </w:p>
              </w:tc>
              <w:tc>
                <w:tcPr>
                  <w:tcW w:w="1223" w:type="pct"/>
                  <w:tcBorders>
                    <w:top w:val="nil"/>
                    <w:left w:val="nil"/>
                    <w:bottom w:val="nil"/>
                    <w:right w:val="nil"/>
                  </w:tcBorders>
                  <w:vAlign w:val="center"/>
                </w:tcPr>
                <w:p w14:paraId="155094F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(-.674)</w:t>
                  </w:r>
                </w:p>
              </w:tc>
              <w:tc>
                <w:tcPr>
                  <w:tcW w:w="1223" w:type="pct"/>
                  <w:tcBorders>
                    <w:top w:val="nil"/>
                    <w:left w:val="nil"/>
                    <w:bottom w:val="nil"/>
                    <w:right w:val="nil"/>
                  </w:tcBorders>
                  <w:vAlign w:val="center"/>
                </w:tcPr>
                <w:p w14:paraId="4F6F322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(-.798)</w:t>
                  </w:r>
                </w:p>
              </w:tc>
            </w:tr>
            <w:tr w:rsidR="00694090" w:rsidRPr="00F60760" w14:paraId="713433FD" w14:textId="77777777" w:rsidTr="00E150C1">
              <w:tc>
                <w:tcPr>
                  <w:tcW w:w="1331" w:type="pct"/>
                  <w:tcBorders>
                    <w:top w:val="nil"/>
                    <w:left w:val="nil"/>
                    <w:bottom w:val="nil"/>
                    <w:right w:val="nil"/>
                  </w:tcBorders>
                </w:tcPr>
                <w:p w14:paraId="79B01F1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deal_friendly_dummy</w:t>
                  </w:r>
                </w:p>
              </w:tc>
              <w:tc>
                <w:tcPr>
                  <w:tcW w:w="1223" w:type="pct"/>
                  <w:tcBorders>
                    <w:top w:val="nil"/>
                    <w:left w:val="nil"/>
                    <w:bottom w:val="nil"/>
                    <w:right w:val="nil"/>
                  </w:tcBorders>
                  <w:vAlign w:val="center"/>
                </w:tcPr>
                <w:p w14:paraId="74A5961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-.177</w:t>
                  </w:r>
                </w:p>
              </w:tc>
              <w:tc>
                <w:tcPr>
                  <w:tcW w:w="1223" w:type="pct"/>
                  <w:tcBorders>
                    <w:top w:val="nil"/>
                    <w:left w:val="nil"/>
                    <w:bottom w:val="nil"/>
                    <w:right w:val="nil"/>
                  </w:tcBorders>
                  <w:vAlign w:val="center"/>
                </w:tcPr>
                <w:p w14:paraId="0F7BB70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-.076</w:t>
                  </w:r>
                </w:p>
              </w:tc>
              <w:tc>
                <w:tcPr>
                  <w:tcW w:w="1223" w:type="pct"/>
                  <w:tcBorders>
                    <w:top w:val="nil"/>
                    <w:left w:val="nil"/>
                    <w:bottom w:val="nil"/>
                    <w:right w:val="nil"/>
                  </w:tcBorders>
                  <w:vAlign w:val="center"/>
                </w:tcPr>
                <w:p w14:paraId="1828D30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-.023</w:t>
                  </w:r>
                </w:p>
              </w:tc>
            </w:tr>
            <w:tr w:rsidR="00694090" w:rsidRPr="00F60760" w14:paraId="4A77BF71" w14:textId="77777777" w:rsidTr="00E150C1">
              <w:tc>
                <w:tcPr>
                  <w:tcW w:w="1331" w:type="pct"/>
                  <w:tcBorders>
                    <w:top w:val="nil"/>
                    <w:left w:val="nil"/>
                    <w:bottom w:val="nil"/>
                    <w:right w:val="nil"/>
                  </w:tcBorders>
                </w:tcPr>
                <w:p w14:paraId="7ABB748E"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223" w:type="pct"/>
                  <w:tcBorders>
                    <w:top w:val="nil"/>
                    <w:left w:val="nil"/>
                    <w:bottom w:val="nil"/>
                    <w:right w:val="nil"/>
                  </w:tcBorders>
                  <w:vAlign w:val="center"/>
                </w:tcPr>
                <w:p w14:paraId="0473715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(-.878)</w:t>
                  </w:r>
                </w:p>
              </w:tc>
              <w:tc>
                <w:tcPr>
                  <w:tcW w:w="1223" w:type="pct"/>
                  <w:tcBorders>
                    <w:top w:val="nil"/>
                    <w:left w:val="nil"/>
                    <w:bottom w:val="nil"/>
                    <w:right w:val="nil"/>
                  </w:tcBorders>
                  <w:vAlign w:val="center"/>
                </w:tcPr>
                <w:p w14:paraId="5BCFAC8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(-.626)</w:t>
                  </w:r>
                </w:p>
              </w:tc>
              <w:tc>
                <w:tcPr>
                  <w:tcW w:w="1223" w:type="pct"/>
                  <w:tcBorders>
                    <w:top w:val="nil"/>
                    <w:left w:val="nil"/>
                    <w:bottom w:val="nil"/>
                    <w:right w:val="nil"/>
                  </w:tcBorders>
                  <w:vAlign w:val="center"/>
                </w:tcPr>
                <w:p w14:paraId="491BCC4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(-.492)</w:t>
                  </w:r>
                </w:p>
              </w:tc>
            </w:tr>
            <w:tr w:rsidR="00694090" w:rsidRPr="00F60760" w14:paraId="50FE8251" w14:textId="77777777" w:rsidTr="00E150C1">
              <w:tc>
                <w:tcPr>
                  <w:tcW w:w="1331" w:type="pct"/>
                  <w:tcBorders>
                    <w:top w:val="nil"/>
                    <w:left w:val="nil"/>
                    <w:bottom w:val="nil"/>
                    <w:right w:val="nil"/>
                  </w:tcBorders>
                </w:tcPr>
                <w:p w14:paraId="6EF8261E"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deal_relatedness_dummy</w:t>
                  </w:r>
                </w:p>
              </w:tc>
              <w:tc>
                <w:tcPr>
                  <w:tcW w:w="1223" w:type="pct"/>
                  <w:tcBorders>
                    <w:top w:val="nil"/>
                    <w:left w:val="nil"/>
                    <w:bottom w:val="nil"/>
                    <w:right w:val="nil"/>
                  </w:tcBorders>
                  <w:vAlign w:val="center"/>
                </w:tcPr>
                <w:p w14:paraId="40DB457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.025</w:t>
                  </w:r>
                </w:p>
              </w:tc>
              <w:tc>
                <w:tcPr>
                  <w:tcW w:w="1223" w:type="pct"/>
                  <w:tcBorders>
                    <w:top w:val="nil"/>
                    <w:left w:val="nil"/>
                    <w:bottom w:val="nil"/>
                    <w:right w:val="nil"/>
                  </w:tcBorders>
                  <w:vAlign w:val="center"/>
                </w:tcPr>
                <w:p w14:paraId="37047D6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.004</w:t>
                  </w:r>
                </w:p>
              </w:tc>
              <w:tc>
                <w:tcPr>
                  <w:tcW w:w="1223" w:type="pct"/>
                  <w:tcBorders>
                    <w:top w:val="nil"/>
                    <w:left w:val="nil"/>
                    <w:bottom w:val="nil"/>
                    <w:right w:val="nil"/>
                  </w:tcBorders>
                  <w:vAlign w:val="center"/>
                </w:tcPr>
                <w:p w14:paraId="424AF75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-.002</w:t>
                  </w:r>
                </w:p>
              </w:tc>
            </w:tr>
            <w:tr w:rsidR="00694090" w:rsidRPr="00F60760" w14:paraId="4B1A4F52" w14:textId="77777777" w:rsidTr="00E150C1">
              <w:tc>
                <w:tcPr>
                  <w:tcW w:w="1331" w:type="pct"/>
                  <w:tcBorders>
                    <w:top w:val="nil"/>
                    <w:left w:val="nil"/>
                    <w:bottom w:val="nil"/>
                    <w:right w:val="nil"/>
                  </w:tcBorders>
                </w:tcPr>
                <w:p w14:paraId="4EDA377D"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223" w:type="pct"/>
                  <w:tcBorders>
                    <w:top w:val="nil"/>
                    <w:left w:val="nil"/>
                    <w:bottom w:val="nil"/>
                    <w:right w:val="nil"/>
                  </w:tcBorders>
                  <w:vAlign w:val="center"/>
                </w:tcPr>
                <w:p w14:paraId="248F9CF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(.306)</w:t>
                  </w:r>
                </w:p>
              </w:tc>
              <w:tc>
                <w:tcPr>
                  <w:tcW w:w="1223" w:type="pct"/>
                  <w:tcBorders>
                    <w:top w:val="nil"/>
                    <w:left w:val="nil"/>
                    <w:bottom w:val="nil"/>
                    <w:right w:val="nil"/>
                  </w:tcBorders>
                  <w:vAlign w:val="center"/>
                </w:tcPr>
                <w:p w14:paraId="348662F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(.080)</w:t>
                  </w:r>
                </w:p>
              </w:tc>
              <w:tc>
                <w:tcPr>
                  <w:tcW w:w="1223" w:type="pct"/>
                  <w:tcBorders>
                    <w:top w:val="nil"/>
                    <w:left w:val="nil"/>
                    <w:bottom w:val="nil"/>
                    <w:right w:val="nil"/>
                  </w:tcBorders>
                  <w:vAlign w:val="center"/>
                </w:tcPr>
                <w:p w14:paraId="228E608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(-.113)</w:t>
                  </w:r>
                </w:p>
              </w:tc>
            </w:tr>
            <w:tr w:rsidR="00694090" w:rsidRPr="00F60760" w14:paraId="21FB164F" w14:textId="77777777" w:rsidTr="00E150C1">
              <w:tc>
                <w:tcPr>
                  <w:tcW w:w="1331" w:type="pct"/>
                  <w:tcBorders>
                    <w:top w:val="nil"/>
                    <w:left w:val="nil"/>
                    <w:bottom w:val="nil"/>
                    <w:right w:val="nil"/>
                  </w:tcBorders>
                </w:tcPr>
                <w:p w14:paraId="4B61D7AD"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acq_age</w:t>
                  </w:r>
                </w:p>
              </w:tc>
              <w:tc>
                <w:tcPr>
                  <w:tcW w:w="1223" w:type="pct"/>
                  <w:tcBorders>
                    <w:top w:val="nil"/>
                    <w:left w:val="nil"/>
                    <w:bottom w:val="nil"/>
                    <w:right w:val="nil"/>
                  </w:tcBorders>
                  <w:vAlign w:val="center"/>
                </w:tcPr>
                <w:p w14:paraId="039BEE5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c>
                <w:tcPr>
                  <w:tcW w:w="1223" w:type="pct"/>
                  <w:tcBorders>
                    <w:top w:val="nil"/>
                    <w:left w:val="nil"/>
                    <w:bottom w:val="nil"/>
                    <w:right w:val="nil"/>
                  </w:tcBorders>
                  <w:vAlign w:val="center"/>
                </w:tcPr>
                <w:p w14:paraId="1013B8C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c>
                <w:tcPr>
                  <w:tcW w:w="1223" w:type="pct"/>
                  <w:tcBorders>
                    <w:top w:val="nil"/>
                    <w:left w:val="nil"/>
                    <w:bottom w:val="nil"/>
                    <w:right w:val="nil"/>
                  </w:tcBorders>
                  <w:vAlign w:val="center"/>
                </w:tcPr>
                <w:p w14:paraId="5FA3979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.0003</w:t>
                  </w:r>
                </w:p>
              </w:tc>
            </w:tr>
            <w:tr w:rsidR="00694090" w:rsidRPr="00F60760" w14:paraId="1503E806" w14:textId="77777777" w:rsidTr="00E150C1">
              <w:tc>
                <w:tcPr>
                  <w:tcW w:w="1331" w:type="pct"/>
                  <w:tcBorders>
                    <w:top w:val="nil"/>
                    <w:left w:val="nil"/>
                    <w:bottom w:val="nil"/>
                    <w:right w:val="nil"/>
                  </w:tcBorders>
                </w:tcPr>
                <w:p w14:paraId="38938CB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223" w:type="pct"/>
                  <w:tcBorders>
                    <w:top w:val="nil"/>
                    <w:left w:val="nil"/>
                    <w:bottom w:val="nil"/>
                    <w:right w:val="nil"/>
                  </w:tcBorders>
                  <w:vAlign w:val="center"/>
                </w:tcPr>
                <w:p w14:paraId="0F8B502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(1.301)</w:t>
                  </w:r>
                </w:p>
              </w:tc>
              <w:tc>
                <w:tcPr>
                  <w:tcW w:w="1223" w:type="pct"/>
                  <w:tcBorders>
                    <w:top w:val="nil"/>
                    <w:left w:val="nil"/>
                    <w:bottom w:val="nil"/>
                    <w:right w:val="nil"/>
                  </w:tcBorders>
                  <w:vAlign w:val="center"/>
                </w:tcPr>
                <w:p w14:paraId="6E8DEC8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(1.365)</w:t>
                  </w:r>
                </w:p>
              </w:tc>
              <w:tc>
                <w:tcPr>
                  <w:tcW w:w="1223" w:type="pct"/>
                  <w:tcBorders>
                    <w:top w:val="nil"/>
                    <w:left w:val="nil"/>
                    <w:bottom w:val="nil"/>
                    <w:right w:val="nil"/>
                  </w:tcBorders>
                  <w:vAlign w:val="center"/>
                </w:tcPr>
                <w:p w14:paraId="55B828D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(1.457)</w:t>
                  </w:r>
                </w:p>
              </w:tc>
            </w:tr>
            <w:tr w:rsidR="00694090" w:rsidRPr="00F60760" w14:paraId="3B7D464C" w14:textId="77777777" w:rsidTr="00E150C1">
              <w:tc>
                <w:tcPr>
                  <w:tcW w:w="1331" w:type="pct"/>
                  <w:tcBorders>
                    <w:top w:val="nil"/>
                    <w:left w:val="nil"/>
                    <w:bottom w:val="nil"/>
                    <w:right w:val="nil"/>
                  </w:tcBorders>
                </w:tcPr>
                <w:p w14:paraId="51E8E3D4"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acq_assets_lastyear_ln</w:t>
                  </w:r>
                </w:p>
              </w:tc>
              <w:tc>
                <w:tcPr>
                  <w:tcW w:w="1223" w:type="pct"/>
                  <w:tcBorders>
                    <w:top w:val="nil"/>
                    <w:left w:val="nil"/>
                    <w:bottom w:val="nil"/>
                    <w:right w:val="nil"/>
                  </w:tcBorders>
                  <w:vAlign w:val="center"/>
                </w:tcPr>
                <w:p w14:paraId="6E7917F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-.004</w:t>
                  </w:r>
                </w:p>
              </w:tc>
              <w:tc>
                <w:tcPr>
                  <w:tcW w:w="1223" w:type="pct"/>
                  <w:tcBorders>
                    <w:top w:val="nil"/>
                    <w:left w:val="nil"/>
                    <w:bottom w:val="nil"/>
                    <w:right w:val="nil"/>
                  </w:tcBorders>
                  <w:vAlign w:val="center"/>
                </w:tcPr>
                <w:p w14:paraId="3698C09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-.002</w:t>
                  </w:r>
                </w:p>
              </w:tc>
              <w:tc>
                <w:tcPr>
                  <w:tcW w:w="1223" w:type="pct"/>
                  <w:tcBorders>
                    <w:top w:val="nil"/>
                    <w:left w:val="nil"/>
                    <w:bottom w:val="nil"/>
                    <w:right w:val="nil"/>
                  </w:tcBorders>
                  <w:vAlign w:val="center"/>
                </w:tcPr>
                <w:p w14:paraId="1D21F9E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-.006</w:t>
                  </w:r>
                </w:p>
              </w:tc>
            </w:tr>
            <w:tr w:rsidR="00694090" w:rsidRPr="00F60760" w14:paraId="511ACDAC" w14:textId="77777777" w:rsidTr="00E150C1">
              <w:tc>
                <w:tcPr>
                  <w:tcW w:w="1331" w:type="pct"/>
                  <w:tcBorders>
                    <w:top w:val="nil"/>
                    <w:left w:val="nil"/>
                    <w:bottom w:val="nil"/>
                    <w:right w:val="nil"/>
                  </w:tcBorders>
                </w:tcPr>
                <w:p w14:paraId="4FFEA59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223" w:type="pct"/>
                  <w:tcBorders>
                    <w:top w:val="nil"/>
                    <w:left w:val="nil"/>
                    <w:bottom w:val="nil"/>
                    <w:right w:val="nil"/>
                  </w:tcBorders>
                  <w:vAlign w:val="center"/>
                </w:tcPr>
                <w:p w14:paraId="7723F68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(-.143)</w:t>
                  </w:r>
                </w:p>
              </w:tc>
              <w:tc>
                <w:tcPr>
                  <w:tcW w:w="1223" w:type="pct"/>
                  <w:tcBorders>
                    <w:top w:val="nil"/>
                    <w:left w:val="nil"/>
                    <w:bottom w:val="nil"/>
                    <w:right w:val="nil"/>
                  </w:tcBorders>
                  <w:vAlign w:val="center"/>
                </w:tcPr>
                <w:p w14:paraId="39B5CDB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(-.148)</w:t>
                  </w:r>
                </w:p>
              </w:tc>
              <w:tc>
                <w:tcPr>
                  <w:tcW w:w="1223" w:type="pct"/>
                  <w:tcBorders>
                    <w:top w:val="nil"/>
                    <w:left w:val="nil"/>
                    <w:bottom w:val="nil"/>
                    <w:right w:val="nil"/>
                  </w:tcBorders>
                  <w:vAlign w:val="center"/>
                </w:tcPr>
                <w:p w14:paraId="0EA0FD1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(-.801)</w:t>
                  </w:r>
                </w:p>
              </w:tc>
            </w:tr>
            <w:tr w:rsidR="00694090" w:rsidRPr="00F60760" w14:paraId="1091C6E7" w14:textId="77777777" w:rsidTr="00E150C1">
              <w:tc>
                <w:tcPr>
                  <w:tcW w:w="1331" w:type="pct"/>
                  <w:tcBorders>
                    <w:top w:val="nil"/>
                    <w:left w:val="nil"/>
                    <w:bottom w:val="nil"/>
                    <w:right w:val="nil"/>
                  </w:tcBorders>
                </w:tcPr>
                <w:p w14:paraId="0C5129A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acq_roa_lastyear</w:t>
                  </w:r>
                </w:p>
              </w:tc>
              <w:tc>
                <w:tcPr>
                  <w:tcW w:w="1223" w:type="pct"/>
                  <w:tcBorders>
                    <w:top w:val="nil"/>
                    <w:left w:val="nil"/>
                    <w:bottom w:val="nil"/>
                    <w:right w:val="nil"/>
                  </w:tcBorders>
                  <w:vAlign w:val="center"/>
                </w:tcPr>
                <w:p w14:paraId="20B7FAA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-.078</w:t>
                  </w:r>
                </w:p>
              </w:tc>
              <w:tc>
                <w:tcPr>
                  <w:tcW w:w="1223" w:type="pct"/>
                  <w:tcBorders>
                    <w:top w:val="nil"/>
                    <w:left w:val="nil"/>
                    <w:bottom w:val="nil"/>
                    <w:right w:val="nil"/>
                  </w:tcBorders>
                  <w:vAlign w:val="center"/>
                </w:tcPr>
                <w:p w14:paraId="4D16E23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-.043</w:t>
                  </w:r>
                </w:p>
              </w:tc>
              <w:tc>
                <w:tcPr>
                  <w:tcW w:w="1223" w:type="pct"/>
                  <w:tcBorders>
                    <w:top w:val="nil"/>
                    <w:left w:val="nil"/>
                    <w:bottom w:val="nil"/>
                    <w:right w:val="nil"/>
                  </w:tcBorders>
                  <w:vAlign w:val="center"/>
                </w:tcPr>
                <w:p w14:paraId="01F0DE6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-.020</w:t>
                  </w:r>
                </w:p>
              </w:tc>
            </w:tr>
            <w:tr w:rsidR="00694090" w:rsidRPr="00F60760" w14:paraId="66424817" w14:textId="77777777" w:rsidTr="00E150C1">
              <w:tc>
                <w:tcPr>
                  <w:tcW w:w="1331" w:type="pct"/>
                  <w:tcBorders>
                    <w:top w:val="nil"/>
                    <w:left w:val="nil"/>
                    <w:bottom w:val="nil"/>
                    <w:right w:val="nil"/>
                  </w:tcBorders>
                </w:tcPr>
                <w:p w14:paraId="43885473"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223" w:type="pct"/>
                  <w:tcBorders>
                    <w:top w:val="nil"/>
                    <w:left w:val="nil"/>
                    <w:bottom w:val="nil"/>
                    <w:right w:val="nil"/>
                  </w:tcBorders>
                  <w:vAlign w:val="center"/>
                </w:tcPr>
                <w:p w14:paraId="601CAA0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(-1.344)</w:t>
                  </w:r>
                </w:p>
              </w:tc>
              <w:tc>
                <w:tcPr>
                  <w:tcW w:w="1223" w:type="pct"/>
                  <w:tcBorders>
                    <w:top w:val="nil"/>
                    <w:left w:val="nil"/>
                    <w:bottom w:val="nil"/>
                    <w:right w:val="nil"/>
                  </w:tcBorders>
                  <w:vAlign w:val="center"/>
                </w:tcPr>
                <w:p w14:paraId="46B397B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(-1.283)</w:t>
                  </w:r>
                </w:p>
              </w:tc>
              <w:tc>
                <w:tcPr>
                  <w:tcW w:w="1223" w:type="pct"/>
                  <w:tcBorders>
                    <w:top w:val="nil"/>
                    <w:left w:val="nil"/>
                    <w:bottom w:val="nil"/>
                    <w:right w:val="nil"/>
                  </w:tcBorders>
                  <w:vAlign w:val="center"/>
                </w:tcPr>
                <w:p w14:paraId="72D165F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(-1.335)</w:t>
                  </w:r>
                </w:p>
              </w:tc>
            </w:tr>
            <w:tr w:rsidR="00694090" w:rsidRPr="00F60760" w14:paraId="69AC1DE2" w14:textId="77777777" w:rsidTr="00E150C1">
              <w:tc>
                <w:tcPr>
                  <w:tcW w:w="1331" w:type="pct"/>
                  <w:tcBorders>
                    <w:top w:val="nil"/>
                    <w:left w:val="nil"/>
                    <w:bottom w:val="nil"/>
                    <w:right w:val="nil"/>
                  </w:tcBorders>
                </w:tcPr>
                <w:p w14:paraId="17D48894"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acq_industrygrowth</w:t>
                  </w:r>
                </w:p>
              </w:tc>
              <w:tc>
                <w:tcPr>
                  <w:tcW w:w="1223" w:type="pct"/>
                  <w:tcBorders>
                    <w:top w:val="nil"/>
                    <w:left w:val="nil"/>
                    <w:bottom w:val="nil"/>
                    <w:right w:val="nil"/>
                  </w:tcBorders>
                  <w:vAlign w:val="center"/>
                </w:tcPr>
                <w:p w14:paraId="4F8850A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2.867**</w:t>
                  </w:r>
                </w:p>
              </w:tc>
              <w:tc>
                <w:tcPr>
                  <w:tcW w:w="1223" w:type="pct"/>
                  <w:tcBorders>
                    <w:top w:val="nil"/>
                    <w:left w:val="nil"/>
                    <w:bottom w:val="nil"/>
                    <w:right w:val="nil"/>
                  </w:tcBorders>
                  <w:vAlign w:val="center"/>
                </w:tcPr>
                <w:p w14:paraId="3B8B346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1.701**</w:t>
                  </w:r>
                </w:p>
              </w:tc>
              <w:tc>
                <w:tcPr>
                  <w:tcW w:w="1223" w:type="pct"/>
                  <w:tcBorders>
                    <w:top w:val="nil"/>
                    <w:left w:val="nil"/>
                    <w:bottom w:val="nil"/>
                    <w:right w:val="nil"/>
                  </w:tcBorders>
                  <w:vAlign w:val="center"/>
                </w:tcPr>
                <w:p w14:paraId="6665C7B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.762**</w:t>
                  </w:r>
                </w:p>
              </w:tc>
            </w:tr>
            <w:tr w:rsidR="00694090" w:rsidRPr="00F60760" w14:paraId="55080267" w14:textId="77777777" w:rsidTr="00E150C1">
              <w:tc>
                <w:tcPr>
                  <w:tcW w:w="1331" w:type="pct"/>
                  <w:tcBorders>
                    <w:top w:val="nil"/>
                    <w:left w:val="nil"/>
                    <w:bottom w:val="nil"/>
                    <w:right w:val="nil"/>
                  </w:tcBorders>
                </w:tcPr>
                <w:p w14:paraId="0B0355D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223" w:type="pct"/>
                  <w:tcBorders>
                    <w:top w:val="nil"/>
                    <w:left w:val="nil"/>
                    <w:bottom w:val="nil"/>
                    <w:right w:val="nil"/>
                  </w:tcBorders>
                  <w:vAlign w:val="center"/>
                </w:tcPr>
                <w:p w14:paraId="1A012B2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(2.258)</w:t>
                  </w:r>
                </w:p>
              </w:tc>
              <w:tc>
                <w:tcPr>
                  <w:tcW w:w="1223" w:type="pct"/>
                  <w:tcBorders>
                    <w:top w:val="nil"/>
                    <w:left w:val="nil"/>
                    <w:bottom w:val="nil"/>
                    <w:right w:val="nil"/>
                  </w:tcBorders>
                  <w:vAlign w:val="center"/>
                </w:tcPr>
                <w:p w14:paraId="39E0DE9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(2.522)</w:t>
                  </w:r>
                </w:p>
              </w:tc>
              <w:tc>
                <w:tcPr>
                  <w:tcW w:w="1223" w:type="pct"/>
                  <w:tcBorders>
                    <w:top w:val="nil"/>
                    <w:left w:val="nil"/>
                    <w:bottom w:val="nil"/>
                    <w:right w:val="nil"/>
                  </w:tcBorders>
                  <w:vAlign w:val="center"/>
                </w:tcPr>
                <w:p w14:paraId="02C830E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(2.557)</w:t>
                  </w:r>
                </w:p>
              </w:tc>
            </w:tr>
            <w:tr w:rsidR="00694090" w:rsidRPr="00F60760" w14:paraId="2E6F293E" w14:textId="77777777" w:rsidTr="00E150C1">
              <w:tc>
                <w:tcPr>
                  <w:tcW w:w="1331" w:type="pct"/>
                  <w:tcBorders>
                    <w:top w:val="nil"/>
                    <w:left w:val="nil"/>
                    <w:bottom w:val="nil"/>
                    <w:right w:val="nil"/>
                  </w:tcBorders>
                </w:tcPr>
                <w:p w14:paraId="2F50FB05"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acq_dealexperience</w:t>
                  </w:r>
                </w:p>
              </w:tc>
              <w:tc>
                <w:tcPr>
                  <w:tcW w:w="1223" w:type="pct"/>
                  <w:tcBorders>
                    <w:top w:val="nil"/>
                    <w:left w:val="nil"/>
                    <w:bottom w:val="nil"/>
                    <w:right w:val="nil"/>
                  </w:tcBorders>
                  <w:vAlign w:val="center"/>
                </w:tcPr>
                <w:p w14:paraId="50BAB1E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.004</w:t>
                  </w:r>
                </w:p>
              </w:tc>
              <w:tc>
                <w:tcPr>
                  <w:tcW w:w="1223" w:type="pct"/>
                  <w:tcBorders>
                    <w:top w:val="nil"/>
                    <w:left w:val="nil"/>
                    <w:bottom w:val="nil"/>
                    <w:right w:val="nil"/>
                  </w:tcBorders>
                  <w:vAlign w:val="center"/>
                </w:tcPr>
                <w:p w14:paraId="2546CE0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-.004</w:t>
                  </w:r>
                </w:p>
              </w:tc>
              <w:tc>
                <w:tcPr>
                  <w:tcW w:w="1223" w:type="pct"/>
                  <w:tcBorders>
                    <w:top w:val="nil"/>
                    <w:left w:val="nil"/>
                    <w:bottom w:val="nil"/>
                    <w:right w:val="nil"/>
                  </w:tcBorders>
                  <w:vAlign w:val="center"/>
                </w:tcPr>
                <w:p w14:paraId="285A620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.006</w:t>
                  </w:r>
                </w:p>
              </w:tc>
            </w:tr>
            <w:tr w:rsidR="00694090" w:rsidRPr="00F60760" w14:paraId="5574A752" w14:textId="77777777" w:rsidTr="00E150C1">
              <w:tc>
                <w:tcPr>
                  <w:tcW w:w="1331" w:type="pct"/>
                  <w:tcBorders>
                    <w:top w:val="nil"/>
                    <w:left w:val="nil"/>
                    <w:bottom w:val="nil"/>
                    <w:right w:val="nil"/>
                  </w:tcBorders>
                </w:tcPr>
                <w:p w14:paraId="798DF7AD"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223" w:type="pct"/>
                  <w:tcBorders>
                    <w:top w:val="nil"/>
                    <w:left w:val="nil"/>
                    <w:bottom w:val="nil"/>
                    <w:right w:val="nil"/>
                  </w:tcBorders>
                  <w:vAlign w:val="center"/>
                </w:tcPr>
                <w:p w14:paraId="5663A4F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(.087)</w:t>
                  </w:r>
                </w:p>
              </w:tc>
              <w:tc>
                <w:tcPr>
                  <w:tcW w:w="1223" w:type="pct"/>
                  <w:tcBorders>
                    <w:top w:val="nil"/>
                    <w:left w:val="nil"/>
                    <w:bottom w:val="nil"/>
                    <w:right w:val="nil"/>
                  </w:tcBorders>
                  <w:vAlign w:val="center"/>
                </w:tcPr>
                <w:p w14:paraId="47BCF1D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(-.165)</w:t>
                  </w:r>
                </w:p>
              </w:tc>
              <w:tc>
                <w:tcPr>
                  <w:tcW w:w="1223" w:type="pct"/>
                  <w:tcBorders>
                    <w:top w:val="nil"/>
                    <w:left w:val="nil"/>
                    <w:bottom w:val="nil"/>
                    <w:right w:val="nil"/>
                  </w:tcBorders>
                  <w:vAlign w:val="center"/>
                </w:tcPr>
                <w:p w14:paraId="3696E24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(.586)</w:t>
                  </w:r>
                </w:p>
              </w:tc>
            </w:tr>
            <w:tr w:rsidR="00694090" w:rsidRPr="00F60760" w14:paraId="758C79A0" w14:textId="77777777" w:rsidTr="00E150C1">
              <w:tc>
                <w:tcPr>
                  <w:tcW w:w="1331" w:type="pct"/>
                  <w:tcBorders>
                    <w:top w:val="nil"/>
                    <w:left w:val="nil"/>
                    <w:bottom w:val="nil"/>
                    <w:right w:val="nil"/>
                  </w:tcBorders>
                </w:tcPr>
                <w:p w14:paraId="7743DE9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acq_rd_intensity</w:t>
                  </w:r>
                </w:p>
              </w:tc>
              <w:tc>
                <w:tcPr>
                  <w:tcW w:w="1223" w:type="pct"/>
                  <w:tcBorders>
                    <w:top w:val="nil"/>
                    <w:left w:val="nil"/>
                    <w:bottom w:val="nil"/>
                    <w:right w:val="nil"/>
                  </w:tcBorders>
                  <w:vAlign w:val="center"/>
                </w:tcPr>
                <w:p w14:paraId="01BF0C9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-.605*</w:t>
                  </w:r>
                </w:p>
              </w:tc>
              <w:tc>
                <w:tcPr>
                  <w:tcW w:w="1223" w:type="pct"/>
                  <w:tcBorders>
                    <w:top w:val="nil"/>
                    <w:left w:val="nil"/>
                    <w:bottom w:val="nil"/>
                    <w:right w:val="nil"/>
                  </w:tcBorders>
                  <w:vAlign w:val="center"/>
                </w:tcPr>
                <w:p w14:paraId="1953C11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-.349**</w:t>
                  </w:r>
                </w:p>
              </w:tc>
              <w:tc>
                <w:tcPr>
                  <w:tcW w:w="1223" w:type="pct"/>
                  <w:tcBorders>
                    <w:top w:val="nil"/>
                    <w:left w:val="nil"/>
                    <w:bottom w:val="nil"/>
                    <w:right w:val="nil"/>
                  </w:tcBorders>
                  <w:vAlign w:val="center"/>
                </w:tcPr>
                <w:p w14:paraId="3D22A7C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-.156***</w:t>
                  </w:r>
                </w:p>
              </w:tc>
            </w:tr>
            <w:tr w:rsidR="00694090" w:rsidRPr="00F60760" w14:paraId="56742BF4" w14:textId="77777777" w:rsidTr="00E150C1">
              <w:tc>
                <w:tcPr>
                  <w:tcW w:w="1331" w:type="pct"/>
                  <w:tcBorders>
                    <w:top w:val="nil"/>
                    <w:left w:val="nil"/>
                    <w:bottom w:val="nil"/>
                    <w:right w:val="nil"/>
                  </w:tcBorders>
                </w:tcPr>
                <w:p w14:paraId="2922EFA1"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p>
              </w:tc>
              <w:tc>
                <w:tcPr>
                  <w:tcW w:w="1223" w:type="pct"/>
                  <w:tcBorders>
                    <w:top w:val="nil"/>
                    <w:left w:val="nil"/>
                    <w:bottom w:val="nil"/>
                    <w:right w:val="nil"/>
                  </w:tcBorders>
                  <w:vAlign w:val="center"/>
                </w:tcPr>
                <w:p w14:paraId="3C4FBAB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(-1.918)</w:t>
                  </w:r>
                </w:p>
              </w:tc>
              <w:tc>
                <w:tcPr>
                  <w:tcW w:w="1223" w:type="pct"/>
                  <w:tcBorders>
                    <w:top w:val="nil"/>
                    <w:left w:val="nil"/>
                    <w:bottom w:val="nil"/>
                    <w:right w:val="nil"/>
                  </w:tcBorders>
                  <w:vAlign w:val="center"/>
                </w:tcPr>
                <w:p w14:paraId="59BC014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(-2.352)</w:t>
                  </w:r>
                </w:p>
              </w:tc>
              <w:tc>
                <w:tcPr>
                  <w:tcW w:w="1223" w:type="pct"/>
                  <w:tcBorders>
                    <w:top w:val="nil"/>
                    <w:left w:val="nil"/>
                    <w:bottom w:val="nil"/>
                    <w:right w:val="nil"/>
                  </w:tcBorders>
                  <w:vAlign w:val="center"/>
                </w:tcPr>
                <w:p w14:paraId="1C8932F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(-3.098)</w:t>
                  </w:r>
                </w:p>
              </w:tc>
            </w:tr>
            <w:tr w:rsidR="00694090" w:rsidRPr="00F60760" w14:paraId="25AF2865" w14:textId="77777777" w:rsidTr="00E150C1">
              <w:tc>
                <w:tcPr>
                  <w:tcW w:w="1331" w:type="pct"/>
                  <w:tcBorders>
                    <w:top w:val="nil"/>
                    <w:left w:val="nil"/>
                    <w:bottom w:val="nil"/>
                    <w:right w:val="nil"/>
                  </w:tcBorders>
                </w:tcPr>
                <w:p w14:paraId="41C718C4"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tar_age</w:t>
                  </w:r>
                </w:p>
              </w:tc>
              <w:tc>
                <w:tcPr>
                  <w:tcW w:w="1223" w:type="pct"/>
                  <w:tcBorders>
                    <w:top w:val="nil"/>
                    <w:left w:val="nil"/>
                    <w:bottom w:val="nil"/>
                    <w:right w:val="nil"/>
                  </w:tcBorders>
                  <w:vAlign w:val="center"/>
                </w:tcPr>
                <w:p w14:paraId="0E0DEAF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-.002**</w:t>
                  </w:r>
                </w:p>
              </w:tc>
              <w:tc>
                <w:tcPr>
                  <w:tcW w:w="1223" w:type="pct"/>
                  <w:tcBorders>
                    <w:top w:val="nil"/>
                    <w:left w:val="nil"/>
                    <w:bottom w:val="nil"/>
                    <w:right w:val="nil"/>
                  </w:tcBorders>
                  <w:vAlign w:val="center"/>
                </w:tcPr>
                <w:p w14:paraId="46FC2F2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c>
                <w:tcPr>
                  <w:tcW w:w="1223" w:type="pct"/>
                  <w:tcBorders>
                    <w:top w:val="nil"/>
                    <w:left w:val="nil"/>
                    <w:bottom w:val="nil"/>
                    <w:right w:val="nil"/>
                  </w:tcBorders>
                  <w:vAlign w:val="center"/>
                </w:tcPr>
                <w:p w14:paraId="53A96C5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r>
            <w:tr w:rsidR="00694090" w:rsidRPr="00F60760" w14:paraId="749EEECA" w14:textId="77777777" w:rsidTr="00E150C1">
              <w:tc>
                <w:tcPr>
                  <w:tcW w:w="1331" w:type="pct"/>
                  <w:tcBorders>
                    <w:top w:val="nil"/>
                    <w:left w:val="nil"/>
                    <w:bottom w:val="nil"/>
                    <w:right w:val="nil"/>
                  </w:tcBorders>
                </w:tcPr>
                <w:p w14:paraId="4BAD60C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223" w:type="pct"/>
                  <w:tcBorders>
                    <w:top w:val="nil"/>
                    <w:left w:val="nil"/>
                    <w:bottom w:val="nil"/>
                    <w:right w:val="nil"/>
                  </w:tcBorders>
                  <w:vAlign w:val="center"/>
                </w:tcPr>
                <w:p w14:paraId="556704C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(-1.993)</w:t>
                  </w:r>
                </w:p>
              </w:tc>
              <w:tc>
                <w:tcPr>
                  <w:tcW w:w="1223" w:type="pct"/>
                  <w:tcBorders>
                    <w:top w:val="nil"/>
                    <w:left w:val="nil"/>
                    <w:bottom w:val="nil"/>
                    <w:right w:val="nil"/>
                  </w:tcBorders>
                  <w:vAlign w:val="center"/>
                </w:tcPr>
                <w:p w14:paraId="6C2EB5C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(-2.058)</w:t>
                  </w:r>
                </w:p>
              </w:tc>
              <w:tc>
                <w:tcPr>
                  <w:tcW w:w="1223" w:type="pct"/>
                  <w:tcBorders>
                    <w:top w:val="nil"/>
                    <w:left w:val="nil"/>
                    <w:bottom w:val="nil"/>
                    <w:right w:val="nil"/>
                  </w:tcBorders>
                  <w:vAlign w:val="center"/>
                </w:tcPr>
                <w:p w14:paraId="5701A18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(-2.065)</w:t>
                  </w:r>
                </w:p>
              </w:tc>
            </w:tr>
            <w:tr w:rsidR="00694090" w:rsidRPr="00F60760" w14:paraId="06D3AFA1" w14:textId="77777777" w:rsidTr="00E150C1">
              <w:tc>
                <w:tcPr>
                  <w:tcW w:w="1331" w:type="pct"/>
                  <w:tcBorders>
                    <w:top w:val="nil"/>
                    <w:left w:val="nil"/>
                    <w:bottom w:val="nil"/>
                    <w:right w:val="nil"/>
                  </w:tcBorders>
                </w:tcPr>
                <w:p w14:paraId="103BBC6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tar_assets_lastyear_ln</w:t>
                  </w:r>
                </w:p>
              </w:tc>
              <w:tc>
                <w:tcPr>
                  <w:tcW w:w="1223" w:type="pct"/>
                  <w:tcBorders>
                    <w:top w:val="nil"/>
                    <w:left w:val="nil"/>
                    <w:bottom w:val="nil"/>
                    <w:right w:val="nil"/>
                  </w:tcBorders>
                  <w:vAlign w:val="center"/>
                </w:tcPr>
                <w:p w14:paraId="5EB7D9E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-.149*</w:t>
                  </w:r>
                </w:p>
              </w:tc>
              <w:tc>
                <w:tcPr>
                  <w:tcW w:w="1223" w:type="pct"/>
                  <w:tcBorders>
                    <w:top w:val="nil"/>
                    <w:left w:val="nil"/>
                    <w:bottom w:val="nil"/>
                    <w:right w:val="nil"/>
                  </w:tcBorders>
                  <w:vAlign w:val="center"/>
                </w:tcPr>
                <w:p w14:paraId="4E2EE02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-.080</w:t>
                  </w:r>
                </w:p>
              </w:tc>
              <w:tc>
                <w:tcPr>
                  <w:tcW w:w="1223" w:type="pct"/>
                  <w:tcBorders>
                    <w:top w:val="nil"/>
                    <w:left w:val="nil"/>
                    <w:bottom w:val="nil"/>
                    <w:right w:val="nil"/>
                  </w:tcBorders>
                  <w:vAlign w:val="center"/>
                </w:tcPr>
                <w:p w14:paraId="775B5B8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-.032</w:t>
                  </w:r>
                </w:p>
              </w:tc>
            </w:tr>
            <w:tr w:rsidR="00694090" w:rsidRPr="00F60760" w14:paraId="773A0A09" w14:textId="77777777" w:rsidTr="00E150C1">
              <w:tc>
                <w:tcPr>
                  <w:tcW w:w="1331" w:type="pct"/>
                  <w:tcBorders>
                    <w:top w:val="nil"/>
                    <w:left w:val="nil"/>
                    <w:bottom w:val="nil"/>
                    <w:right w:val="nil"/>
                  </w:tcBorders>
                </w:tcPr>
                <w:p w14:paraId="0205559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223" w:type="pct"/>
                  <w:tcBorders>
                    <w:top w:val="nil"/>
                    <w:left w:val="nil"/>
                    <w:bottom w:val="nil"/>
                    <w:right w:val="nil"/>
                  </w:tcBorders>
                  <w:vAlign w:val="center"/>
                </w:tcPr>
                <w:p w14:paraId="21B1016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(-1.743)</w:t>
                  </w:r>
                </w:p>
              </w:tc>
              <w:tc>
                <w:tcPr>
                  <w:tcW w:w="1223" w:type="pct"/>
                  <w:tcBorders>
                    <w:top w:val="nil"/>
                    <w:left w:val="nil"/>
                    <w:bottom w:val="nil"/>
                    <w:right w:val="nil"/>
                  </w:tcBorders>
                  <w:vAlign w:val="center"/>
                </w:tcPr>
                <w:p w14:paraId="1E8FC92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(-1.665)</w:t>
                  </w:r>
                </w:p>
              </w:tc>
              <w:tc>
                <w:tcPr>
                  <w:tcW w:w="1223" w:type="pct"/>
                  <w:tcBorders>
                    <w:top w:val="nil"/>
                    <w:left w:val="nil"/>
                    <w:bottom w:val="nil"/>
                    <w:right w:val="nil"/>
                  </w:tcBorders>
                  <w:vAlign w:val="center"/>
                </w:tcPr>
                <w:p w14:paraId="0D259E6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(-1.394)</w:t>
                  </w:r>
                </w:p>
              </w:tc>
            </w:tr>
            <w:tr w:rsidR="00694090" w:rsidRPr="00F60760" w14:paraId="22BEB49C" w14:textId="77777777" w:rsidTr="00E150C1">
              <w:tc>
                <w:tcPr>
                  <w:tcW w:w="1331" w:type="pct"/>
                  <w:tcBorders>
                    <w:top w:val="nil"/>
                    <w:left w:val="nil"/>
                    <w:bottom w:val="nil"/>
                    <w:right w:val="nil"/>
                  </w:tcBorders>
                </w:tcPr>
                <w:p w14:paraId="08A005D1"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tar_roa_lastyear</w:t>
                  </w:r>
                </w:p>
              </w:tc>
              <w:tc>
                <w:tcPr>
                  <w:tcW w:w="1223" w:type="pct"/>
                  <w:tcBorders>
                    <w:top w:val="nil"/>
                    <w:left w:val="nil"/>
                    <w:bottom w:val="nil"/>
                    <w:right w:val="nil"/>
                  </w:tcBorders>
                  <w:vAlign w:val="center"/>
                </w:tcPr>
                <w:p w14:paraId="7E0BD0D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-.374</w:t>
                  </w:r>
                </w:p>
              </w:tc>
              <w:tc>
                <w:tcPr>
                  <w:tcW w:w="1223" w:type="pct"/>
                  <w:tcBorders>
                    <w:top w:val="nil"/>
                    <w:left w:val="nil"/>
                    <w:bottom w:val="nil"/>
                    <w:right w:val="nil"/>
                  </w:tcBorders>
                  <w:vAlign w:val="center"/>
                </w:tcPr>
                <w:p w14:paraId="265848A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-.244</w:t>
                  </w:r>
                </w:p>
              </w:tc>
              <w:tc>
                <w:tcPr>
                  <w:tcW w:w="1223" w:type="pct"/>
                  <w:tcBorders>
                    <w:top w:val="nil"/>
                    <w:left w:val="nil"/>
                    <w:bottom w:val="nil"/>
                    <w:right w:val="nil"/>
                  </w:tcBorders>
                  <w:vAlign w:val="center"/>
                </w:tcPr>
                <w:p w14:paraId="23E852D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-.108</w:t>
                  </w:r>
                </w:p>
              </w:tc>
            </w:tr>
            <w:tr w:rsidR="00694090" w:rsidRPr="00F60760" w14:paraId="28581650" w14:textId="77777777" w:rsidTr="00E150C1">
              <w:tc>
                <w:tcPr>
                  <w:tcW w:w="1331" w:type="pct"/>
                  <w:tcBorders>
                    <w:top w:val="nil"/>
                    <w:left w:val="nil"/>
                    <w:bottom w:val="nil"/>
                    <w:right w:val="nil"/>
                  </w:tcBorders>
                </w:tcPr>
                <w:p w14:paraId="0923887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223" w:type="pct"/>
                  <w:tcBorders>
                    <w:top w:val="nil"/>
                    <w:left w:val="nil"/>
                    <w:bottom w:val="nil"/>
                    <w:right w:val="nil"/>
                  </w:tcBorders>
                  <w:vAlign w:val="center"/>
                </w:tcPr>
                <w:p w14:paraId="3337BF4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(-1.204)</w:t>
                  </w:r>
                </w:p>
              </w:tc>
              <w:tc>
                <w:tcPr>
                  <w:tcW w:w="1223" w:type="pct"/>
                  <w:tcBorders>
                    <w:top w:val="nil"/>
                    <w:left w:val="nil"/>
                    <w:bottom w:val="nil"/>
                    <w:right w:val="nil"/>
                  </w:tcBorders>
                  <w:vAlign w:val="center"/>
                </w:tcPr>
                <w:p w14:paraId="7CB21CD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(-1.361)</w:t>
                  </w:r>
                </w:p>
              </w:tc>
              <w:tc>
                <w:tcPr>
                  <w:tcW w:w="1223" w:type="pct"/>
                  <w:tcBorders>
                    <w:top w:val="nil"/>
                    <w:left w:val="nil"/>
                    <w:bottom w:val="nil"/>
                    <w:right w:val="nil"/>
                  </w:tcBorders>
                  <w:vAlign w:val="center"/>
                </w:tcPr>
                <w:p w14:paraId="580A908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(-1.408)</w:t>
                  </w:r>
                </w:p>
              </w:tc>
            </w:tr>
            <w:tr w:rsidR="00694090" w:rsidRPr="00F60760" w14:paraId="09E134B0" w14:textId="77777777" w:rsidTr="00E150C1">
              <w:tc>
                <w:tcPr>
                  <w:tcW w:w="1331" w:type="pct"/>
                  <w:tcBorders>
                    <w:top w:val="nil"/>
                    <w:left w:val="nil"/>
                    <w:bottom w:val="nil"/>
                    <w:right w:val="nil"/>
                  </w:tcBorders>
                </w:tcPr>
                <w:p w14:paraId="565CD18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tar_mbratio</w:t>
                  </w:r>
                </w:p>
              </w:tc>
              <w:tc>
                <w:tcPr>
                  <w:tcW w:w="1223" w:type="pct"/>
                  <w:tcBorders>
                    <w:top w:val="nil"/>
                    <w:left w:val="nil"/>
                    <w:bottom w:val="nil"/>
                    <w:right w:val="nil"/>
                  </w:tcBorders>
                  <w:vAlign w:val="center"/>
                </w:tcPr>
                <w:p w14:paraId="41DF196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-.009</w:t>
                  </w:r>
                </w:p>
              </w:tc>
              <w:tc>
                <w:tcPr>
                  <w:tcW w:w="1223" w:type="pct"/>
                  <w:tcBorders>
                    <w:top w:val="nil"/>
                    <w:left w:val="nil"/>
                    <w:bottom w:val="nil"/>
                    <w:right w:val="nil"/>
                  </w:tcBorders>
                  <w:vAlign w:val="center"/>
                </w:tcPr>
                <w:p w14:paraId="26DEA42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-.005</w:t>
                  </w:r>
                </w:p>
              </w:tc>
              <w:tc>
                <w:tcPr>
                  <w:tcW w:w="1223" w:type="pct"/>
                  <w:tcBorders>
                    <w:top w:val="nil"/>
                    <w:left w:val="nil"/>
                    <w:bottom w:val="nil"/>
                    <w:right w:val="nil"/>
                  </w:tcBorders>
                  <w:vAlign w:val="center"/>
                </w:tcPr>
                <w:p w14:paraId="464CC2F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-.002</w:t>
                  </w:r>
                </w:p>
              </w:tc>
            </w:tr>
            <w:tr w:rsidR="00694090" w:rsidRPr="00F60760" w14:paraId="6C658013" w14:textId="77777777" w:rsidTr="00E150C1">
              <w:tc>
                <w:tcPr>
                  <w:tcW w:w="1331" w:type="pct"/>
                  <w:tcBorders>
                    <w:top w:val="nil"/>
                    <w:left w:val="nil"/>
                    <w:bottom w:val="nil"/>
                    <w:right w:val="nil"/>
                  </w:tcBorders>
                </w:tcPr>
                <w:p w14:paraId="1FAEF013"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223" w:type="pct"/>
                  <w:tcBorders>
                    <w:top w:val="nil"/>
                    <w:left w:val="nil"/>
                    <w:bottom w:val="nil"/>
                    <w:right w:val="nil"/>
                  </w:tcBorders>
                  <w:vAlign w:val="center"/>
                </w:tcPr>
                <w:p w14:paraId="153CBBD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(-1.334)</w:t>
                  </w:r>
                </w:p>
              </w:tc>
              <w:tc>
                <w:tcPr>
                  <w:tcW w:w="1223" w:type="pct"/>
                  <w:tcBorders>
                    <w:top w:val="nil"/>
                    <w:left w:val="nil"/>
                    <w:bottom w:val="nil"/>
                    <w:right w:val="nil"/>
                  </w:tcBorders>
                  <w:vAlign w:val="center"/>
                </w:tcPr>
                <w:p w14:paraId="55FF87D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(-1.213)</w:t>
                  </w:r>
                </w:p>
              </w:tc>
              <w:tc>
                <w:tcPr>
                  <w:tcW w:w="1223" w:type="pct"/>
                  <w:tcBorders>
                    <w:top w:val="nil"/>
                    <w:left w:val="nil"/>
                    <w:bottom w:val="nil"/>
                    <w:right w:val="nil"/>
                  </w:tcBorders>
                  <w:vAlign w:val="center"/>
                </w:tcPr>
                <w:p w14:paraId="470A2CC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(-1.207)</w:t>
                  </w:r>
                </w:p>
              </w:tc>
            </w:tr>
            <w:tr w:rsidR="00694090" w:rsidRPr="00F60760" w14:paraId="1A5DCCD9" w14:textId="77777777" w:rsidTr="00E150C1">
              <w:tc>
                <w:tcPr>
                  <w:tcW w:w="1331" w:type="pct"/>
                  <w:tcBorders>
                    <w:top w:val="nil"/>
                    <w:left w:val="nil"/>
                    <w:bottom w:val="nil"/>
                    <w:right w:val="nil"/>
                  </w:tcBorders>
                </w:tcPr>
                <w:p w14:paraId="0CEF3D4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Observations</w:t>
                  </w:r>
                </w:p>
              </w:tc>
              <w:tc>
                <w:tcPr>
                  <w:tcW w:w="1223" w:type="pct"/>
                  <w:tcBorders>
                    <w:top w:val="nil"/>
                    <w:left w:val="nil"/>
                    <w:bottom w:val="nil"/>
                    <w:right w:val="nil"/>
                  </w:tcBorders>
                  <w:vAlign w:val="center"/>
                </w:tcPr>
                <w:p w14:paraId="510FC27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243</w:t>
                  </w:r>
                </w:p>
              </w:tc>
              <w:tc>
                <w:tcPr>
                  <w:tcW w:w="1223" w:type="pct"/>
                  <w:tcBorders>
                    <w:top w:val="nil"/>
                    <w:left w:val="nil"/>
                    <w:bottom w:val="nil"/>
                    <w:right w:val="nil"/>
                  </w:tcBorders>
                  <w:vAlign w:val="center"/>
                </w:tcPr>
                <w:p w14:paraId="64A3FCA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243</w:t>
                  </w:r>
                </w:p>
              </w:tc>
              <w:tc>
                <w:tcPr>
                  <w:tcW w:w="1223" w:type="pct"/>
                  <w:tcBorders>
                    <w:top w:val="nil"/>
                    <w:left w:val="nil"/>
                    <w:bottom w:val="nil"/>
                    <w:right w:val="nil"/>
                  </w:tcBorders>
                  <w:vAlign w:val="center"/>
                </w:tcPr>
                <w:p w14:paraId="021FD5E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243</w:t>
                  </w:r>
                </w:p>
              </w:tc>
            </w:tr>
            <w:tr w:rsidR="00694090" w:rsidRPr="00F60760" w14:paraId="4448B8BB" w14:textId="77777777" w:rsidTr="00E150C1">
              <w:tc>
                <w:tcPr>
                  <w:tcW w:w="1331" w:type="pct"/>
                  <w:tcBorders>
                    <w:top w:val="nil"/>
                    <w:left w:val="nil"/>
                    <w:bottom w:val="nil"/>
                    <w:right w:val="nil"/>
                  </w:tcBorders>
                </w:tcPr>
                <w:p w14:paraId="1B8850B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Adj R2</w:t>
                  </w:r>
                </w:p>
              </w:tc>
              <w:tc>
                <w:tcPr>
                  <w:tcW w:w="1223" w:type="pct"/>
                  <w:tcBorders>
                    <w:top w:val="nil"/>
                    <w:left w:val="nil"/>
                    <w:bottom w:val="nil"/>
                    <w:right w:val="nil"/>
                  </w:tcBorders>
                  <w:vAlign w:val="center"/>
                </w:tcPr>
                <w:p w14:paraId="578D499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.174</w:t>
                  </w:r>
                </w:p>
              </w:tc>
              <w:tc>
                <w:tcPr>
                  <w:tcW w:w="1223" w:type="pct"/>
                  <w:tcBorders>
                    <w:top w:val="nil"/>
                    <w:left w:val="nil"/>
                    <w:bottom w:val="nil"/>
                    <w:right w:val="nil"/>
                  </w:tcBorders>
                  <w:vAlign w:val="center"/>
                </w:tcPr>
                <w:p w14:paraId="624CAF7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.186</w:t>
                  </w:r>
                </w:p>
              </w:tc>
              <w:tc>
                <w:tcPr>
                  <w:tcW w:w="1223" w:type="pct"/>
                  <w:tcBorders>
                    <w:top w:val="nil"/>
                    <w:left w:val="nil"/>
                    <w:bottom w:val="nil"/>
                    <w:right w:val="nil"/>
                  </w:tcBorders>
                  <w:vAlign w:val="center"/>
                </w:tcPr>
                <w:p w14:paraId="32F38BD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.202</w:t>
                  </w:r>
                </w:p>
              </w:tc>
            </w:tr>
            <w:tr w:rsidR="00694090" w:rsidRPr="00F60760" w14:paraId="0194A45E" w14:textId="77777777" w:rsidTr="00E150C1">
              <w:tc>
                <w:tcPr>
                  <w:tcW w:w="1331" w:type="pct"/>
                  <w:tcBorders>
                    <w:top w:val="nil"/>
                    <w:left w:val="nil"/>
                    <w:bottom w:val="nil"/>
                    <w:right w:val="nil"/>
                  </w:tcBorders>
                </w:tcPr>
                <w:p w14:paraId="34E3C0E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Industry FE</w:t>
                  </w:r>
                </w:p>
              </w:tc>
              <w:tc>
                <w:tcPr>
                  <w:tcW w:w="1223" w:type="pct"/>
                  <w:tcBorders>
                    <w:top w:val="nil"/>
                    <w:left w:val="nil"/>
                    <w:bottom w:val="nil"/>
                    <w:right w:val="nil"/>
                  </w:tcBorders>
                </w:tcPr>
                <w:p w14:paraId="206CA8D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1223" w:type="pct"/>
                  <w:tcBorders>
                    <w:top w:val="nil"/>
                    <w:left w:val="nil"/>
                    <w:bottom w:val="nil"/>
                    <w:right w:val="nil"/>
                  </w:tcBorders>
                </w:tcPr>
                <w:p w14:paraId="03957C0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1223" w:type="pct"/>
                  <w:tcBorders>
                    <w:top w:val="nil"/>
                    <w:left w:val="nil"/>
                    <w:bottom w:val="nil"/>
                    <w:right w:val="nil"/>
                  </w:tcBorders>
                </w:tcPr>
                <w:p w14:paraId="18C2BB3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r>
            <w:tr w:rsidR="00694090" w:rsidRPr="00F60760" w14:paraId="05435BA2" w14:textId="77777777" w:rsidTr="00E150C1">
              <w:tc>
                <w:tcPr>
                  <w:tcW w:w="1331" w:type="pct"/>
                  <w:tcBorders>
                    <w:top w:val="nil"/>
                    <w:left w:val="nil"/>
                    <w:bottom w:val="nil"/>
                    <w:right w:val="nil"/>
                  </w:tcBorders>
                </w:tcPr>
                <w:p w14:paraId="3E7261E5"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Year FE</w:t>
                  </w:r>
                </w:p>
              </w:tc>
              <w:tc>
                <w:tcPr>
                  <w:tcW w:w="1223" w:type="pct"/>
                  <w:tcBorders>
                    <w:top w:val="nil"/>
                    <w:left w:val="nil"/>
                    <w:bottom w:val="nil"/>
                    <w:right w:val="nil"/>
                  </w:tcBorders>
                </w:tcPr>
                <w:p w14:paraId="45226D6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1223" w:type="pct"/>
                  <w:tcBorders>
                    <w:top w:val="nil"/>
                    <w:left w:val="nil"/>
                    <w:bottom w:val="nil"/>
                    <w:right w:val="nil"/>
                  </w:tcBorders>
                </w:tcPr>
                <w:p w14:paraId="54CCCEB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Yes</w:t>
                  </w:r>
                </w:p>
              </w:tc>
              <w:tc>
                <w:tcPr>
                  <w:tcW w:w="1223" w:type="pct"/>
                  <w:tcBorders>
                    <w:top w:val="nil"/>
                    <w:left w:val="nil"/>
                    <w:bottom w:val="nil"/>
                    <w:right w:val="nil"/>
                  </w:tcBorders>
                </w:tcPr>
                <w:p w14:paraId="5023B77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Yes</w:t>
                  </w:r>
                </w:p>
              </w:tc>
            </w:tr>
          </w:tbl>
          <w:p w14:paraId="041EF6D3" w14:textId="77777777" w:rsidR="00694090" w:rsidRPr="00F60760" w:rsidRDefault="00694090" w:rsidP="00AB066F">
            <w:pPr>
              <w:jc w:val="left"/>
              <w:rPr>
                <w:color w:val="000000" w:themeColor="text1"/>
                <w:sz w:val="22"/>
                <w:lang w:val="en-US"/>
              </w:rPr>
            </w:pPr>
          </w:p>
        </w:tc>
      </w:tr>
      <w:tr w:rsidR="00694090" w:rsidRPr="00BE5632" w14:paraId="1BACA829" w14:textId="77777777" w:rsidTr="00E150C1">
        <w:trPr>
          <w:trHeight w:val="978"/>
        </w:trPr>
        <w:tc>
          <w:tcPr>
            <w:tcW w:w="8931" w:type="dxa"/>
            <w:tcBorders>
              <w:top w:val="single" w:sz="4" w:space="0" w:color="auto"/>
              <w:left w:val="nil"/>
              <w:right w:val="nil"/>
            </w:tcBorders>
            <w:shd w:val="clear" w:color="auto" w:fill="auto"/>
            <w:noWrap/>
          </w:tcPr>
          <w:p w14:paraId="2FD1B8D6" w14:textId="77777777" w:rsidR="00694090" w:rsidRPr="00F60760" w:rsidRDefault="00694090" w:rsidP="00E74508">
            <w:pPr>
              <w:spacing w:before="120" w:line="240" w:lineRule="auto"/>
              <w:rPr>
                <w:color w:val="000000" w:themeColor="text1"/>
                <w:sz w:val="22"/>
                <w:lang w:val="en-US"/>
              </w:rPr>
            </w:pPr>
            <w:r w:rsidRPr="00F60760">
              <w:rPr>
                <w:i/>
                <w:iCs/>
                <w:color w:val="000000" w:themeColor="text1"/>
                <w:sz w:val="22"/>
                <w:lang w:val="en-US"/>
              </w:rPr>
              <w:t>Note</w:t>
            </w:r>
            <w:r w:rsidRPr="00F60760">
              <w:rPr>
                <w:color w:val="000000" w:themeColor="text1"/>
                <w:sz w:val="22"/>
                <w:lang w:val="en-US"/>
              </w:rPr>
              <w:t xml:space="preserve">. This table reports fixed effects linear OLS regression results predicting the effect of organizational cultural distance between acquirers and targets on deal announcement cumulative abnormal returns (CARs). The dependent variable for Models 1 and 2 is the acquirer’s cumulative abnormal return, with the day range being centered around announcement given in brackets. The dependent variable for Model 3 is the market value-weighted cumulative abnormal return of the </w:t>
            </w:r>
            <w:r w:rsidRPr="00F60760">
              <w:rPr>
                <w:color w:val="000000" w:themeColor="text1"/>
                <w:sz w:val="22"/>
                <w:lang w:val="en-US"/>
              </w:rPr>
              <w:lastRenderedPageBreak/>
              <w:t xml:space="preserve">acquirer and target. The main independent variable in Models 1-3 is </w:t>
            </w:r>
            <w:r w:rsidRPr="00F60760">
              <w:rPr>
                <w:i/>
                <w:color w:val="000000" w:themeColor="text1"/>
                <w:sz w:val="22"/>
                <w:lang w:val="en-US"/>
              </w:rPr>
              <w:t xml:space="preserve">deal_culturaldistance </w:t>
            </w:r>
            <w:r w:rsidRPr="00F60760">
              <w:rPr>
                <w:color w:val="000000" w:themeColor="text1"/>
                <w:sz w:val="22"/>
                <w:lang w:val="en-US"/>
              </w:rPr>
              <w:t xml:space="preserve">with higher values indicating higher cultural dissimilarities between the acquirer and target. We also included the quadratic term </w:t>
            </w:r>
            <w:r w:rsidRPr="00F60760">
              <w:rPr>
                <w:i/>
                <w:iCs/>
                <w:color w:val="000000" w:themeColor="text1"/>
                <w:sz w:val="22"/>
                <w:lang w:val="en-US"/>
              </w:rPr>
              <w:t>deal_culturaldistance_quadr</w:t>
            </w:r>
            <w:r w:rsidRPr="00F60760">
              <w:rPr>
                <w:color w:val="000000" w:themeColor="text1"/>
                <w:sz w:val="22"/>
                <w:lang w:val="en-US"/>
              </w:rPr>
              <w:t xml:space="preserve"> to test for non-linear relationships. A detailed variable description can be found in Appendix B. Constant terms are estimated but not reported. We include the acquirer’s industry and year fixed effects in all models. We cluster standard errors at the 2-digit SIC industry level. t-statistics are reported in parentheses below the coefficients. *, **, *** denote statistical significance at the .10, .05, and .01 levels (using two-tailed tests).</w:t>
            </w:r>
          </w:p>
        </w:tc>
      </w:tr>
    </w:tbl>
    <w:p w14:paraId="5A88214D" w14:textId="77777777" w:rsidR="00331B63" w:rsidRDefault="00331B63">
      <w:pPr>
        <w:spacing w:after="160" w:line="259" w:lineRule="auto"/>
        <w:jc w:val="left"/>
        <w:rPr>
          <w:rStyle w:val="SchwacherVerweis"/>
          <w:rFonts w:eastAsiaTheme="majorEastAsia" w:cstheme="majorBidi"/>
          <w:b/>
          <w:caps/>
          <w:smallCaps w:val="0"/>
          <w:color w:val="auto"/>
          <w:szCs w:val="32"/>
          <w:lang w:val="en-US"/>
        </w:rPr>
      </w:pPr>
      <w:r w:rsidRPr="007E4D6F">
        <w:rPr>
          <w:rStyle w:val="SchwacherVerweis"/>
          <w:smallCaps w:val="0"/>
          <w:color w:val="auto"/>
          <w:lang w:val="en-US"/>
        </w:rPr>
        <w:br w:type="page"/>
      </w:r>
    </w:p>
    <w:p w14:paraId="5AAACE19" w14:textId="0F8E20AC" w:rsidR="00331B63" w:rsidRPr="00947673" w:rsidRDefault="00331B63" w:rsidP="00331B63">
      <w:pPr>
        <w:pStyle w:val="1fake"/>
        <w:rPr>
          <w:rStyle w:val="SchwacherVerweis"/>
          <w:smallCaps w:val="0"/>
          <w:color w:val="auto"/>
        </w:rPr>
      </w:pPr>
      <w:r w:rsidRPr="00947673">
        <w:rPr>
          <w:rStyle w:val="SchwacherVerweis"/>
          <w:smallCaps w:val="0"/>
          <w:color w:val="auto"/>
        </w:rPr>
        <w:lastRenderedPageBreak/>
        <w:t xml:space="preserve">Online Supplement </w:t>
      </w:r>
      <w:r>
        <w:rPr>
          <w:rStyle w:val="SchwacherVerweis"/>
          <w:smallCaps w:val="0"/>
          <w:color w:val="auto"/>
        </w:rPr>
        <w:t>14</w:t>
      </w:r>
    </w:p>
    <w:p w14:paraId="2434F10A" w14:textId="249A3724" w:rsidR="00011AF5" w:rsidRPr="004D7CC1" w:rsidRDefault="00011AF5" w:rsidP="00011AF5">
      <w:pPr>
        <w:pStyle w:val="Beschriftung"/>
      </w:pPr>
      <w:bookmarkStart w:id="633" w:name="_Toc180594860"/>
      <w:r>
        <w:t xml:space="preserve">T - III - </w:t>
      </w:r>
      <w:r>
        <w:fldChar w:fldCharType="begin"/>
      </w:r>
      <w:r>
        <w:instrText xml:space="preserve"> SEQ T_-_III_- \* ARABIC </w:instrText>
      </w:r>
      <w:r>
        <w:fldChar w:fldCharType="separate"/>
      </w:r>
      <w:r w:rsidR="00E91088">
        <w:rPr>
          <w:noProof/>
        </w:rPr>
        <w:t>24</w:t>
      </w:r>
      <w:r>
        <w:fldChar w:fldCharType="end"/>
      </w:r>
      <w:r>
        <w:t xml:space="preserve">: </w:t>
      </w:r>
      <w:r w:rsidRPr="008C3724">
        <w:t>H1b: Long-term operating synergies - Nonlinear relationship</w:t>
      </w:r>
      <w:bookmarkEnd w:id="633"/>
    </w:p>
    <w:tbl>
      <w:tblPr>
        <w:tblW w:w="9072" w:type="dxa"/>
        <w:tblLayout w:type="fixed"/>
        <w:tblLook w:val="04A0" w:firstRow="1" w:lastRow="0" w:firstColumn="1" w:lastColumn="0" w:noHBand="0" w:noVBand="1"/>
      </w:tblPr>
      <w:tblGrid>
        <w:gridCol w:w="9072"/>
      </w:tblGrid>
      <w:tr w:rsidR="00694090" w:rsidRPr="00F60760" w14:paraId="7E3CBF92" w14:textId="77777777" w:rsidTr="00E150C1">
        <w:trPr>
          <w:trHeight w:val="328"/>
        </w:trPr>
        <w:tc>
          <w:tcPr>
            <w:tcW w:w="5000" w:type="pct"/>
            <w:tcBorders>
              <w:left w:val="nil"/>
              <w:bottom w:val="single" w:sz="4" w:space="0" w:color="auto"/>
              <w:right w:val="nil"/>
            </w:tcBorders>
            <w:shd w:val="clear" w:color="auto" w:fill="auto"/>
          </w:tcPr>
          <w:tbl>
            <w:tblPr>
              <w:tblW w:w="8959" w:type="dxa"/>
              <w:jc w:val="center"/>
              <w:tblLayout w:type="fixed"/>
              <w:tblLook w:val="0000" w:firstRow="0" w:lastRow="0" w:firstColumn="0" w:lastColumn="0" w:noHBand="0" w:noVBand="0"/>
            </w:tblPr>
            <w:tblGrid>
              <w:gridCol w:w="2987"/>
              <w:gridCol w:w="2986"/>
              <w:gridCol w:w="2986"/>
            </w:tblGrid>
            <w:tr w:rsidR="00694090" w:rsidRPr="00F60760" w14:paraId="4582F66E" w14:textId="77777777" w:rsidTr="00E150C1">
              <w:trPr>
                <w:jc w:val="center"/>
              </w:trPr>
              <w:tc>
                <w:tcPr>
                  <w:tcW w:w="3231" w:type="dxa"/>
                  <w:tcBorders>
                    <w:top w:val="single" w:sz="4" w:space="0" w:color="auto"/>
                    <w:left w:val="nil"/>
                    <w:right w:val="nil"/>
                  </w:tcBorders>
                </w:tcPr>
                <w:p w14:paraId="1F59794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w:t>
                  </w:r>
                </w:p>
              </w:tc>
              <w:tc>
                <w:tcPr>
                  <w:tcW w:w="3231" w:type="dxa"/>
                  <w:tcBorders>
                    <w:top w:val="single" w:sz="4" w:space="0" w:color="auto"/>
                    <w:left w:val="nil"/>
                    <w:right w:val="nil"/>
                  </w:tcBorders>
                </w:tcPr>
                <w:p w14:paraId="468DF9C6"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(1)</w:t>
                  </w:r>
                </w:p>
              </w:tc>
              <w:tc>
                <w:tcPr>
                  <w:tcW w:w="3231" w:type="dxa"/>
                  <w:tcBorders>
                    <w:top w:val="single" w:sz="4" w:space="0" w:color="auto"/>
                    <w:left w:val="nil"/>
                    <w:right w:val="nil"/>
                  </w:tcBorders>
                </w:tcPr>
                <w:p w14:paraId="4FB3F320"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(2)</w:t>
                  </w:r>
                </w:p>
              </w:tc>
            </w:tr>
            <w:tr w:rsidR="00694090" w:rsidRPr="00F60760" w14:paraId="714B20ED" w14:textId="77777777" w:rsidTr="00E150C1">
              <w:trPr>
                <w:jc w:val="center"/>
              </w:trPr>
              <w:tc>
                <w:tcPr>
                  <w:tcW w:w="3231" w:type="dxa"/>
                  <w:tcBorders>
                    <w:top w:val="nil"/>
                    <w:left w:val="nil"/>
                    <w:bottom w:val="single" w:sz="4" w:space="0" w:color="auto"/>
                    <w:right w:val="nil"/>
                  </w:tcBorders>
                </w:tcPr>
                <w:p w14:paraId="4C34B1B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single" w:sz="4" w:space="0" w:color="auto"/>
                    <w:right w:val="nil"/>
                  </w:tcBorders>
                </w:tcPr>
                <w:p w14:paraId="1C9214C5"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acq_sales_2yr_growth</w:t>
                  </w:r>
                </w:p>
              </w:tc>
              <w:tc>
                <w:tcPr>
                  <w:tcW w:w="3231" w:type="dxa"/>
                  <w:tcBorders>
                    <w:top w:val="nil"/>
                    <w:left w:val="nil"/>
                    <w:bottom w:val="single" w:sz="4" w:space="0" w:color="auto"/>
                    <w:right w:val="nil"/>
                  </w:tcBorders>
                </w:tcPr>
                <w:p w14:paraId="2B337CE5"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acq_sales_4yr_growth</w:t>
                  </w:r>
                </w:p>
              </w:tc>
            </w:tr>
            <w:tr w:rsidR="00694090" w:rsidRPr="00F60760" w14:paraId="51CEB06A" w14:textId="77777777" w:rsidTr="00E150C1">
              <w:trPr>
                <w:trHeight w:val="224"/>
                <w:jc w:val="center"/>
              </w:trPr>
              <w:tc>
                <w:tcPr>
                  <w:tcW w:w="3231" w:type="dxa"/>
                  <w:tcBorders>
                    <w:top w:val="single" w:sz="4" w:space="0" w:color="auto"/>
                    <w:left w:val="nil"/>
                    <w:bottom w:val="nil"/>
                    <w:right w:val="nil"/>
                  </w:tcBorders>
                </w:tcPr>
                <w:p w14:paraId="6A3B05B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deal_culturaldistance</w:t>
                  </w:r>
                </w:p>
              </w:tc>
              <w:tc>
                <w:tcPr>
                  <w:tcW w:w="3231" w:type="dxa"/>
                  <w:tcBorders>
                    <w:top w:val="single" w:sz="4" w:space="0" w:color="auto"/>
                    <w:left w:val="nil"/>
                    <w:bottom w:val="nil"/>
                    <w:right w:val="nil"/>
                  </w:tcBorders>
                  <w:vAlign w:val="center"/>
                </w:tcPr>
                <w:p w14:paraId="7557A47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-.022*</w:t>
                  </w:r>
                </w:p>
              </w:tc>
              <w:tc>
                <w:tcPr>
                  <w:tcW w:w="3231" w:type="dxa"/>
                  <w:tcBorders>
                    <w:top w:val="single" w:sz="4" w:space="0" w:color="auto"/>
                    <w:left w:val="nil"/>
                    <w:bottom w:val="nil"/>
                    <w:right w:val="nil"/>
                  </w:tcBorders>
                  <w:vAlign w:val="center"/>
                </w:tcPr>
                <w:p w14:paraId="3E4E02D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-.018*</w:t>
                  </w:r>
                </w:p>
              </w:tc>
            </w:tr>
            <w:tr w:rsidR="00694090" w:rsidRPr="00F60760" w14:paraId="33D8CC74" w14:textId="77777777" w:rsidTr="00E150C1">
              <w:trPr>
                <w:jc w:val="center"/>
              </w:trPr>
              <w:tc>
                <w:tcPr>
                  <w:tcW w:w="3231" w:type="dxa"/>
                  <w:tcBorders>
                    <w:top w:val="nil"/>
                    <w:left w:val="nil"/>
                    <w:bottom w:val="nil"/>
                    <w:right w:val="nil"/>
                  </w:tcBorders>
                </w:tcPr>
                <w:p w14:paraId="0152BDF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5E4E259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(-1.688)</w:t>
                  </w:r>
                </w:p>
              </w:tc>
              <w:tc>
                <w:tcPr>
                  <w:tcW w:w="3231" w:type="dxa"/>
                  <w:tcBorders>
                    <w:top w:val="nil"/>
                    <w:left w:val="nil"/>
                    <w:bottom w:val="nil"/>
                    <w:right w:val="nil"/>
                  </w:tcBorders>
                  <w:vAlign w:val="center"/>
                </w:tcPr>
                <w:p w14:paraId="7705C80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(-1.865)</w:t>
                  </w:r>
                </w:p>
              </w:tc>
            </w:tr>
            <w:tr w:rsidR="00694090" w:rsidRPr="00F60760" w14:paraId="43EC3C18" w14:textId="77777777" w:rsidTr="00E150C1">
              <w:trPr>
                <w:jc w:val="center"/>
              </w:trPr>
              <w:tc>
                <w:tcPr>
                  <w:tcW w:w="3231" w:type="dxa"/>
                  <w:tcBorders>
                    <w:top w:val="nil"/>
                    <w:left w:val="nil"/>
                    <w:bottom w:val="nil"/>
                    <w:right w:val="nil"/>
                  </w:tcBorders>
                </w:tcPr>
                <w:p w14:paraId="1F28524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deal_culturaldistance_quadr</w:t>
                  </w:r>
                </w:p>
              </w:tc>
              <w:tc>
                <w:tcPr>
                  <w:tcW w:w="3231" w:type="dxa"/>
                  <w:tcBorders>
                    <w:top w:val="nil"/>
                    <w:left w:val="nil"/>
                    <w:bottom w:val="nil"/>
                    <w:right w:val="nil"/>
                  </w:tcBorders>
                  <w:vAlign w:val="center"/>
                </w:tcPr>
                <w:p w14:paraId="68E993A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6.179</w:t>
                  </w:r>
                </w:p>
              </w:tc>
              <w:tc>
                <w:tcPr>
                  <w:tcW w:w="3231" w:type="dxa"/>
                  <w:tcBorders>
                    <w:top w:val="nil"/>
                    <w:left w:val="nil"/>
                    <w:bottom w:val="nil"/>
                    <w:right w:val="nil"/>
                  </w:tcBorders>
                  <w:vAlign w:val="center"/>
                </w:tcPr>
                <w:p w14:paraId="63D3804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4.461</w:t>
                  </w:r>
                </w:p>
              </w:tc>
            </w:tr>
            <w:tr w:rsidR="00694090" w:rsidRPr="00F60760" w14:paraId="433E83D7" w14:textId="77777777" w:rsidTr="00E150C1">
              <w:trPr>
                <w:jc w:val="center"/>
              </w:trPr>
              <w:tc>
                <w:tcPr>
                  <w:tcW w:w="3231" w:type="dxa"/>
                  <w:tcBorders>
                    <w:top w:val="nil"/>
                    <w:left w:val="nil"/>
                    <w:bottom w:val="nil"/>
                    <w:right w:val="nil"/>
                  </w:tcBorders>
                </w:tcPr>
                <w:p w14:paraId="58CA2F9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5F8FDF7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(1.359)</w:t>
                  </w:r>
                </w:p>
              </w:tc>
              <w:tc>
                <w:tcPr>
                  <w:tcW w:w="3231" w:type="dxa"/>
                  <w:tcBorders>
                    <w:top w:val="nil"/>
                    <w:left w:val="nil"/>
                    <w:bottom w:val="nil"/>
                    <w:right w:val="nil"/>
                  </w:tcBorders>
                  <w:vAlign w:val="center"/>
                </w:tcPr>
                <w:p w14:paraId="2D7D840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(1.335)</w:t>
                  </w:r>
                </w:p>
              </w:tc>
            </w:tr>
            <w:tr w:rsidR="00694090" w:rsidRPr="00F60760" w14:paraId="16165785" w14:textId="77777777" w:rsidTr="00E150C1">
              <w:trPr>
                <w:jc w:val="center"/>
              </w:trPr>
              <w:tc>
                <w:tcPr>
                  <w:tcW w:w="3231" w:type="dxa"/>
                  <w:tcBorders>
                    <w:top w:val="nil"/>
                    <w:left w:val="nil"/>
                    <w:bottom w:val="nil"/>
                    <w:right w:val="nil"/>
                  </w:tcBorders>
                </w:tcPr>
                <w:p w14:paraId="5054A8A5"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deal_value_ln</w:t>
                  </w:r>
                </w:p>
              </w:tc>
              <w:tc>
                <w:tcPr>
                  <w:tcW w:w="3231" w:type="dxa"/>
                  <w:tcBorders>
                    <w:top w:val="nil"/>
                    <w:left w:val="nil"/>
                    <w:bottom w:val="nil"/>
                    <w:right w:val="nil"/>
                  </w:tcBorders>
                  <w:vAlign w:val="center"/>
                </w:tcPr>
                <w:p w14:paraId="5AD69E1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-.035</w:t>
                  </w:r>
                </w:p>
              </w:tc>
              <w:tc>
                <w:tcPr>
                  <w:tcW w:w="3231" w:type="dxa"/>
                  <w:tcBorders>
                    <w:top w:val="nil"/>
                    <w:left w:val="nil"/>
                    <w:bottom w:val="nil"/>
                    <w:right w:val="nil"/>
                  </w:tcBorders>
                  <w:vAlign w:val="center"/>
                </w:tcPr>
                <w:p w14:paraId="767C355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-.015</w:t>
                  </w:r>
                </w:p>
              </w:tc>
            </w:tr>
            <w:tr w:rsidR="00694090" w:rsidRPr="00F60760" w14:paraId="1FCBC34F" w14:textId="77777777" w:rsidTr="00E150C1">
              <w:trPr>
                <w:jc w:val="center"/>
              </w:trPr>
              <w:tc>
                <w:tcPr>
                  <w:tcW w:w="3231" w:type="dxa"/>
                  <w:tcBorders>
                    <w:top w:val="nil"/>
                    <w:left w:val="nil"/>
                    <w:bottom w:val="nil"/>
                    <w:right w:val="nil"/>
                  </w:tcBorders>
                </w:tcPr>
                <w:p w14:paraId="72283CC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0CB1096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(-.978)</w:t>
                  </w:r>
                </w:p>
              </w:tc>
              <w:tc>
                <w:tcPr>
                  <w:tcW w:w="3231" w:type="dxa"/>
                  <w:tcBorders>
                    <w:top w:val="nil"/>
                    <w:left w:val="nil"/>
                    <w:bottom w:val="nil"/>
                    <w:right w:val="nil"/>
                  </w:tcBorders>
                  <w:vAlign w:val="center"/>
                </w:tcPr>
                <w:p w14:paraId="7EC3276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(-.633)</w:t>
                  </w:r>
                </w:p>
              </w:tc>
            </w:tr>
            <w:tr w:rsidR="00694090" w:rsidRPr="00F60760" w14:paraId="21E4F55B" w14:textId="77777777" w:rsidTr="00E150C1">
              <w:trPr>
                <w:jc w:val="center"/>
              </w:trPr>
              <w:tc>
                <w:tcPr>
                  <w:tcW w:w="3231" w:type="dxa"/>
                  <w:tcBorders>
                    <w:top w:val="nil"/>
                    <w:left w:val="nil"/>
                    <w:bottom w:val="nil"/>
                    <w:right w:val="nil"/>
                  </w:tcBorders>
                </w:tcPr>
                <w:p w14:paraId="6710715B"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deal_hofstede_distance</w:t>
                  </w:r>
                </w:p>
              </w:tc>
              <w:tc>
                <w:tcPr>
                  <w:tcW w:w="3231" w:type="dxa"/>
                  <w:tcBorders>
                    <w:top w:val="nil"/>
                    <w:left w:val="nil"/>
                    <w:bottom w:val="nil"/>
                    <w:right w:val="nil"/>
                  </w:tcBorders>
                  <w:vAlign w:val="center"/>
                </w:tcPr>
                <w:p w14:paraId="7CD9B11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-.038</w:t>
                  </w:r>
                </w:p>
              </w:tc>
              <w:tc>
                <w:tcPr>
                  <w:tcW w:w="3231" w:type="dxa"/>
                  <w:tcBorders>
                    <w:top w:val="nil"/>
                    <w:left w:val="nil"/>
                    <w:bottom w:val="nil"/>
                    <w:right w:val="nil"/>
                  </w:tcBorders>
                  <w:vAlign w:val="center"/>
                </w:tcPr>
                <w:p w14:paraId="466B6A9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-.143</w:t>
                  </w:r>
                </w:p>
              </w:tc>
            </w:tr>
            <w:tr w:rsidR="00694090" w:rsidRPr="00F60760" w14:paraId="039FC7DC" w14:textId="77777777" w:rsidTr="00E150C1">
              <w:trPr>
                <w:jc w:val="center"/>
              </w:trPr>
              <w:tc>
                <w:tcPr>
                  <w:tcW w:w="3231" w:type="dxa"/>
                  <w:tcBorders>
                    <w:top w:val="nil"/>
                    <w:left w:val="nil"/>
                    <w:bottom w:val="nil"/>
                    <w:right w:val="nil"/>
                  </w:tcBorders>
                </w:tcPr>
                <w:p w14:paraId="67A5570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4D07D55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(-.174)</w:t>
                  </w:r>
                </w:p>
              </w:tc>
              <w:tc>
                <w:tcPr>
                  <w:tcW w:w="3231" w:type="dxa"/>
                  <w:tcBorders>
                    <w:top w:val="nil"/>
                    <w:left w:val="nil"/>
                    <w:bottom w:val="nil"/>
                    <w:right w:val="nil"/>
                  </w:tcBorders>
                  <w:vAlign w:val="center"/>
                </w:tcPr>
                <w:p w14:paraId="4090873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(-.631)</w:t>
                  </w:r>
                </w:p>
              </w:tc>
            </w:tr>
            <w:tr w:rsidR="00694090" w:rsidRPr="00F60760" w14:paraId="0895E830" w14:textId="77777777" w:rsidTr="00E150C1">
              <w:trPr>
                <w:jc w:val="center"/>
              </w:trPr>
              <w:tc>
                <w:tcPr>
                  <w:tcW w:w="3231" w:type="dxa"/>
                  <w:tcBorders>
                    <w:top w:val="nil"/>
                    <w:left w:val="nil"/>
                    <w:bottom w:val="nil"/>
                    <w:right w:val="nil"/>
                  </w:tcBorders>
                </w:tcPr>
                <w:p w14:paraId="23C300F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deal_all_cash_dummy</w:t>
                  </w:r>
                </w:p>
              </w:tc>
              <w:tc>
                <w:tcPr>
                  <w:tcW w:w="3231" w:type="dxa"/>
                  <w:tcBorders>
                    <w:top w:val="nil"/>
                    <w:left w:val="nil"/>
                    <w:bottom w:val="nil"/>
                    <w:right w:val="nil"/>
                  </w:tcBorders>
                  <w:vAlign w:val="center"/>
                </w:tcPr>
                <w:p w14:paraId="0B08C67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-.015</w:t>
                  </w:r>
                </w:p>
              </w:tc>
              <w:tc>
                <w:tcPr>
                  <w:tcW w:w="3231" w:type="dxa"/>
                  <w:tcBorders>
                    <w:top w:val="nil"/>
                    <w:left w:val="nil"/>
                    <w:bottom w:val="nil"/>
                    <w:right w:val="nil"/>
                  </w:tcBorders>
                  <w:vAlign w:val="center"/>
                </w:tcPr>
                <w:p w14:paraId="6AB3A38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-.065*</w:t>
                  </w:r>
                </w:p>
              </w:tc>
            </w:tr>
            <w:tr w:rsidR="00694090" w:rsidRPr="00F60760" w14:paraId="539CFBCD" w14:textId="77777777" w:rsidTr="00E150C1">
              <w:trPr>
                <w:jc w:val="center"/>
              </w:trPr>
              <w:tc>
                <w:tcPr>
                  <w:tcW w:w="3231" w:type="dxa"/>
                  <w:tcBorders>
                    <w:top w:val="nil"/>
                    <w:left w:val="nil"/>
                    <w:bottom w:val="nil"/>
                    <w:right w:val="nil"/>
                  </w:tcBorders>
                </w:tcPr>
                <w:p w14:paraId="79F920F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6573D33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(-.297)</w:t>
                  </w:r>
                </w:p>
              </w:tc>
              <w:tc>
                <w:tcPr>
                  <w:tcW w:w="3231" w:type="dxa"/>
                  <w:tcBorders>
                    <w:top w:val="nil"/>
                    <w:left w:val="nil"/>
                    <w:bottom w:val="nil"/>
                    <w:right w:val="nil"/>
                  </w:tcBorders>
                  <w:vAlign w:val="center"/>
                </w:tcPr>
                <w:p w14:paraId="277BCE1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(-1.976)</w:t>
                  </w:r>
                </w:p>
              </w:tc>
            </w:tr>
            <w:tr w:rsidR="00694090" w:rsidRPr="00F60760" w14:paraId="58E6EEBC" w14:textId="77777777" w:rsidTr="00E150C1">
              <w:trPr>
                <w:jc w:val="center"/>
              </w:trPr>
              <w:tc>
                <w:tcPr>
                  <w:tcW w:w="3231" w:type="dxa"/>
                  <w:tcBorders>
                    <w:top w:val="nil"/>
                    <w:left w:val="nil"/>
                    <w:bottom w:val="nil"/>
                    <w:right w:val="nil"/>
                  </w:tcBorders>
                </w:tcPr>
                <w:p w14:paraId="4874C5F5"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deal_all_stock_dummy</w:t>
                  </w:r>
                </w:p>
              </w:tc>
              <w:tc>
                <w:tcPr>
                  <w:tcW w:w="3231" w:type="dxa"/>
                  <w:tcBorders>
                    <w:top w:val="nil"/>
                    <w:left w:val="nil"/>
                    <w:bottom w:val="nil"/>
                    <w:right w:val="nil"/>
                  </w:tcBorders>
                  <w:vAlign w:val="center"/>
                </w:tcPr>
                <w:p w14:paraId="42DB23B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.007</w:t>
                  </w:r>
                </w:p>
              </w:tc>
              <w:tc>
                <w:tcPr>
                  <w:tcW w:w="3231" w:type="dxa"/>
                  <w:tcBorders>
                    <w:top w:val="nil"/>
                    <w:left w:val="nil"/>
                    <w:bottom w:val="nil"/>
                    <w:right w:val="nil"/>
                  </w:tcBorders>
                  <w:vAlign w:val="center"/>
                </w:tcPr>
                <w:p w14:paraId="6BF609E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-.012</w:t>
                  </w:r>
                </w:p>
              </w:tc>
            </w:tr>
            <w:tr w:rsidR="00694090" w:rsidRPr="00F60760" w14:paraId="7F903AAD" w14:textId="77777777" w:rsidTr="00E150C1">
              <w:trPr>
                <w:jc w:val="center"/>
              </w:trPr>
              <w:tc>
                <w:tcPr>
                  <w:tcW w:w="3231" w:type="dxa"/>
                  <w:tcBorders>
                    <w:top w:val="nil"/>
                    <w:left w:val="nil"/>
                    <w:bottom w:val="nil"/>
                    <w:right w:val="nil"/>
                  </w:tcBorders>
                </w:tcPr>
                <w:p w14:paraId="2E617A0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6C93A00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(.056)</w:t>
                  </w:r>
                </w:p>
              </w:tc>
              <w:tc>
                <w:tcPr>
                  <w:tcW w:w="3231" w:type="dxa"/>
                  <w:tcBorders>
                    <w:top w:val="nil"/>
                    <w:left w:val="nil"/>
                    <w:bottom w:val="nil"/>
                    <w:right w:val="nil"/>
                  </w:tcBorders>
                  <w:vAlign w:val="center"/>
                </w:tcPr>
                <w:p w14:paraId="766E466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(-.151)</w:t>
                  </w:r>
                </w:p>
              </w:tc>
            </w:tr>
            <w:tr w:rsidR="00694090" w:rsidRPr="00F60760" w14:paraId="2C3AD0E5" w14:textId="77777777" w:rsidTr="00E150C1">
              <w:trPr>
                <w:jc w:val="center"/>
              </w:trPr>
              <w:tc>
                <w:tcPr>
                  <w:tcW w:w="3231" w:type="dxa"/>
                  <w:tcBorders>
                    <w:top w:val="nil"/>
                    <w:left w:val="nil"/>
                    <w:bottom w:val="nil"/>
                    <w:right w:val="nil"/>
                  </w:tcBorders>
                </w:tcPr>
                <w:p w14:paraId="5B280DE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deal_tenderoffer_dummy</w:t>
                  </w:r>
                </w:p>
              </w:tc>
              <w:tc>
                <w:tcPr>
                  <w:tcW w:w="3231" w:type="dxa"/>
                  <w:tcBorders>
                    <w:top w:val="nil"/>
                    <w:left w:val="nil"/>
                    <w:bottom w:val="nil"/>
                    <w:right w:val="nil"/>
                  </w:tcBorders>
                  <w:vAlign w:val="center"/>
                </w:tcPr>
                <w:p w14:paraId="2AA98DD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-.041</w:t>
                  </w:r>
                </w:p>
              </w:tc>
              <w:tc>
                <w:tcPr>
                  <w:tcW w:w="3231" w:type="dxa"/>
                  <w:tcBorders>
                    <w:top w:val="nil"/>
                    <w:left w:val="nil"/>
                    <w:bottom w:val="nil"/>
                    <w:right w:val="nil"/>
                  </w:tcBorders>
                  <w:vAlign w:val="center"/>
                </w:tcPr>
                <w:p w14:paraId="45B42D4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.002</w:t>
                  </w:r>
                </w:p>
              </w:tc>
            </w:tr>
            <w:tr w:rsidR="00694090" w:rsidRPr="00F60760" w14:paraId="50A19B67" w14:textId="77777777" w:rsidTr="00E150C1">
              <w:trPr>
                <w:jc w:val="center"/>
              </w:trPr>
              <w:tc>
                <w:tcPr>
                  <w:tcW w:w="3231" w:type="dxa"/>
                  <w:tcBorders>
                    <w:top w:val="nil"/>
                    <w:left w:val="nil"/>
                    <w:bottom w:val="nil"/>
                    <w:right w:val="nil"/>
                  </w:tcBorders>
                </w:tcPr>
                <w:p w14:paraId="676CA693"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4E3F36E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(-.734)</w:t>
                  </w:r>
                </w:p>
              </w:tc>
              <w:tc>
                <w:tcPr>
                  <w:tcW w:w="3231" w:type="dxa"/>
                  <w:tcBorders>
                    <w:top w:val="nil"/>
                    <w:left w:val="nil"/>
                    <w:bottom w:val="nil"/>
                    <w:right w:val="nil"/>
                  </w:tcBorders>
                  <w:vAlign w:val="center"/>
                </w:tcPr>
                <w:p w14:paraId="6A29620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(.054)</w:t>
                  </w:r>
                </w:p>
              </w:tc>
            </w:tr>
            <w:tr w:rsidR="00694090" w:rsidRPr="00F60760" w14:paraId="23DB950F" w14:textId="77777777" w:rsidTr="00E150C1">
              <w:trPr>
                <w:jc w:val="center"/>
              </w:trPr>
              <w:tc>
                <w:tcPr>
                  <w:tcW w:w="3231" w:type="dxa"/>
                  <w:tcBorders>
                    <w:top w:val="nil"/>
                    <w:left w:val="nil"/>
                    <w:bottom w:val="nil"/>
                    <w:right w:val="nil"/>
                  </w:tcBorders>
                </w:tcPr>
                <w:p w14:paraId="62D38C7E"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deal_friendly_dummy</w:t>
                  </w:r>
                </w:p>
              </w:tc>
              <w:tc>
                <w:tcPr>
                  <w:tcW w:w="3231" w:type="dxa"/>
                  <w:tcBorders>
                    <w:top w:val="nil"/>
                    <w:left w:val="nil"/>
                    <w:bottom w:val="nil"/>
                    <w:right w:val="nil"/>
                  </w:tcBorders>
                  <w:vAlign w:val="center"/>
                </w:tcPr>
                <w:p w14:paraId="68C1A1F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.161*</w:t>
                  </w:r>
                </w:p>
              </w:tc>
              <w:tc>
                <w:tcPr>
                  <w:tcW w:w="3231" w:type="dxa"/>
                  <w:tcBorders>
                    <w:top w:val="nil"/>
                    <w:left w:val="nil"/>
                    <w:bottom w:val="nil"/>
                    <w:right w:val="nil"/>
                  </w:tcBorders>
                </w:tcPr>
                <w:p w14:paraId="676EE1D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w:t>
                  </w:r>
                </w:p>
              </w:tc>
            </w:tr>
            <w:tr w:rsidR="00694090" w:rsidRPr="00F60760" w14:paraId="6BAAFBE4" w14:textId="77777777" w:rsidTr="00E150C1">
              <w:trPr>
                <w:jc w:val="center"/>
              </w:trPr>
              <w:tc>
                <w:tcPr>
                  <w:tcW w:w="3231" w:type="dxa"/>
                  <w:tcBorders>
                    <w:top w:val="nil"/>
                    <w:left w:val="nil"/>
                    <w:bottom w:val="nil"/>
                    <w:right w:val="nil"/>
                  </w:tcBorders>
                </w:tcPr>
                <w:p w14:paraId="39F215A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173559C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(1.686)</w:t>
                  </w:r>
                </w:p>
              </w:tc>
              <w:tc>
                <w:tcPr>
                  <w:tcW w:w="3231" w:type="dxa"/>
                  <w:tcBorders>
                    <w:top w:val="nil"/>
                    <w:left w:val="nil"/>
                    <w:bottom w:val="nil"/>
                    <w:right w:val="nil"/>
                  </w:tcBorders>
                </w:tcPr>
                <w:p w14:paraId="74C2AE7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w:t>
                  </w:r>
                </w:p>
              </w:tc>
            </w:tr>
            <w:tr w:rsidR="00694090" w:rsidRPr="00F60760" w14:paraId="6A6D362C" w14:textId="77777777" w:rsidTr="00E150C1">
              <w:trPr>
                <w:jc w:val="center"/>
              </w:trPr>
              <w:tc>
                <w:tcPr>
                  <w:tcW w:w="3231" w:type="dxa"/>
                  <w:tcBorders>
                    <w:top w:val="nil"/>
                    <w:left w:val="nil"/>
                    <w:bottom w:val="nil"/>
                    <w:right w:val="nil"/>
                  </w:tcBorders>
                </w:tcPr>
                <w:p w14:paraId="198E47C0"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deal_relatedness_dummy</w:t>
                  </w:r>
                </w:p>
              </w:tc>
              <w:tc>
                <w:tcPr>
                  <w:tcW w:w="3231" w:type="dxa"/>
                  <w:tcBorders>
                    <w:top w:val="nil"/>
                    <w:left w:val="nil"/>
                    <w:bottom w:val="nil"/>
                    <w:right w:val="nil"/>
                  </w:tcBorders>
                  <w:vAlign w:val="center"/>
                </w:tcPr>
                <w:p w14:paraId="0263563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-.172***</w:t>
                  </w:r>
                </w:p>
              </w:tc>
              <w:tc>
                <w:tcPr>
                  <w:tcW w:w="3231" w:type="dxa"/>
                  <w:tcBorders>
                    <w:top w:val="nil"/>
                    <w:left w:val="nil"/>
                    <w:bottom w:val="nil"/>
                    <w:right w:val="nil"/>
                  </w:tcBorders>
                  <w:vAlign w:val="center"/>
                </w:tcPr>
                <w:p w14:paraId="37EF17B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-.092**</w:t>
                  </w:r>
                </w:p>
              </w:tc>
            </w:tr>
            <w:tr w:rsidR="00694090" w:rsidRPr="00F60760" w14:paraId="1113E4F9" w14:textId="77777777" w:rsidTr="00E150C1">
              <w:trPr>
                <w:jc w:val="center"/>
              </w:trPr>
              <w:tc>
                <w:tcPr>
                  <w:tcW w:w="3231" w:type="dxa"/>
                  <w:tcBorders>
                    <w:top w:val="nil"/>
                    <w:left w:val="nil"/>
                    <w:bottom w:val="nil"/>
                    <w:right w:val="nil"/>
                  </w:tcBorders>
                </w:tcPr>
                <w:p w14:paraId="7AC4286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524EB8E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(-2.899)</w:t>
                  </w:r>
                </w:p>
              </w:tc>
              <w:tc>
                <w:tcPr>
                  <w:tcW w:w="3231" w:type="dxa"/>
                  <w:tcBorders>
                    <w:top w:val="nil"/>
                    <w:left w:val="nil"/>
                    <w:bottom w:val="nil"/>
                    <w:right w:val="nil"/>
                  </w:tcBorders>
                  <w:vAlign w:val="center"/>
                </w:tcPr>
                <w:p w14:paraId="31186CD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(-2.204)</w:t>
                  </w:r>
                </w:p>
              </w:tc>
            </w:tr>
            <w:tr w:rsidR="00694090" w:rsidRPr="00F60760" w14:paraId="5E49AB4E" w14:textId="77777777" w:rsidTr="00E150C1">
              <w:trPr>
                <w:jc w:val="center"/>
              </w:trPr>
              <w:tc>
                <w:tcPr>
                  <w:tcW w:w="3231" w:type="dxa"/>
                  <w:tcBorders>
                    <w:top w:val="nil"/>
                    <w:left w:val="nil"/>
                    <w:bottom w:val="nil"/>
                    <w:right w:val="nil"/>
                  </w:tcBorders>
                </w:tcPr>
                <w:p w14:paraId="4343E3C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acq_age</w:t>
                  </w:r>
                </w:p>
              </w:tc>
              <w:tc>
                <w:tcPr>
                  <w:tcW w:w="3231" w:type="dxa"/>
                  <w:tcBorders>
                    <w:top w:val="nil"/>
                    <w:left w:val="nil"/>
                    <w:bottom w:val="nil"/>
                    <w:right w:val="nil"/>
                  </w:tcBorders>
                  <w:vAlign w:val="center"/>
                </w:tcPr>
                <w:p w14:paraId="1E85E91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c>
                <w:tcPr>
                  <w:tcW w:w="3231" w:type="dxa"/>
                  <w:tcBorders>
                    <w:top w:val="nil"/>
                    <w:left w:val="nil"/>
                    <w:bottom w:val="nil"/>
                    <w:right w:val="nil"/>
                  </w:tcBorders>
                  <w:vAlign w:val="center"/>
                </w:tcPr>
                <w:p w14:paraId="124AE54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r>
            <w:tr w:rsidR="00694090" w:rsidRPr="00F60760" w14:paraId="60505EDC" w14:textId="77777777" w:rsidTr="00E150C1">
              <w:trPr>
                <w:jc w:val="center"/>
              </w:trPr>
              <w:tc>
                <w:tcPr>
                  <w:tcW w:w="3231" w:type="dxa"/>
                  <w:tcBorders>
                    <w:top w:val="nil"/>
                    <w:left w:val="nil"/>
                    <w:bottom w:val="nil"/>
                    <w:right w:val="nil"/>
                  </w:tcBorders>
                </w:tcPr>
                <w:p w14:paraId="4B3DAE1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184DAC7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(-2.388)</w:t>
                  </w:r>
                </w:p>
              </w:tc>
              <w:tc>
                <w:tcPr>
                  <w:tcW w:w="3231" w:type="dxa"/>
                  <w:tcBorders>
                    <w:top w:val="nil"/>
                    <w:left w:val="nil"/>
                    <w:bottom w:val="nil"/>
                    <w:right w:val="nil"/>
                  </w:tcBorders>
                  <w:vAlign w:val="center"/>
                </w:tcPr>
                <w:p w14:paraId="76DEE6F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(-1.750)</w:t>
                  </w:r>
                </w:p>
              </w:tc>
            </w:tr>
            <w:tr w:rsidR="00694090" w:rsidRPr="00F60760" w14:paraId="3957266E" w14:textId="77777777" w:rsidTr="00E150C1">
              <w:trPr>
                <w:jc w:val="center"/>
              </w:trPr>
              <w:tc>
                <w:tcPr>
                  <w:tcW w:w="3231" w:type="dxa"/>
                  <w:tcBorders>
                    <w:top w:val="nil"/>
                    <w:left w:val="nil"/>
                    <w:bottom w:val="nil"/>
                    <w:right w:val="nil"/>
                  </w:tcBorders>
                </w:tcPr>
                <w:p w14:paraId="06540DF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acq_assets_lastyear_ln</w:t>
                  </w:r>
                </w:p>
              </w:tc>
              <w:tc>
                <w:tcPr>
                  <w:tcW w:w="3231" w:type="dxa"/>
                  <w:tcBorders>
                    <w:top w:val="nil"/>
                    <w:left w:val="nil"/>
                    <w:bottom w:val="nil"/>
                    <w:right w:val="nil"/>
                  </w:tcBorders>
                  <w:vAlign w:val="center"/>
                </w:tcPr>
                <w:p w14:paraId="61A79F3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-.080***</w:t>
                  </w:r>
                </w:p>
              </w:tc>
              <w:tc>
                <w:tcPr>
                  <w:tcW w:w="3231" w:type="dxa"/>
                  <w:tcBorders>
                    <w:top w:val="nil"/>
                    <w:left w:val="nil"/>
                    <w:bottom w:val="nil"/>
                    <w:right w:val="nil"/>
                  </w:tcBorders>
                  <w:vAlign w:val="center"/>
                </w:tcPr>
                <w:p w14:paraId="76947B9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-.053***</w:t>
                  </w:r>
                </w:p>
              </w:tc>
            </w:tr>
            <w:tr w:rsidR="00694090" w:rsidRPr="00F60760" w14:paraId="2EE89EA5" w14:textId="77777777" w:rsidTr="00E150C1">
              <w:trPr>
                <w:jc w:val="center"/>
              </w:trPr>
              <w:tc>
                <w:tcPr>
                  <w:tcW w:w="3231" w:type="dxa"/>
                  <w:tcBorders>
                    <w:top w:val="nil"/>
                    <w:left w:val="nil"/>
                    <w:bottom w:val="nil"/>
                    <w:right w:val="nil"/>
                  </w:tcBorders>
                </w:tcPr>
                <w:p w14:paraId="5F6A0F1E"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02D2E4D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(-3.490)</w:t>
                  </w:r>
                </w:p>
              </w:tc>
              <w:tc>
                <w:tcPr>
                  <w:tcW w:w="3231" w:type="dxa"/>
                  <w:tcBorders>
                    <w:top w:val="nil"/>
                    <w:left w:val="nil"/>
                    <w:bottom w:val="nil"/>
                    <w:right w:val="nil"/>
                  </w:tcBorders>
                  <w:vAlign w:val="center"/>
                </w:tcPr>
                <w:p w14:paraId="6FA1D80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(-3.004)</w:t>
                  </w:r>
                </w:p>
              </w:tc>
            </w:tr>
            <w:tr w:rsidR="00694090" w:rsidRPr="00F60760" w14:paraId="351B6FF9" w14:textId="77777777" w:rsidTr="00E150C1">
              <w:trPr>
                <w:jc w:val="center"/>
              </w:trPr>
              <w:tc>
                <w:tcPr>
                  <w:tcW w:w="3231" w:type="dxa"/>
                  <w:tcBorders>
                    <w:top w:val="nil"/>
                    <w:left w:val="nil"/>
                    <w:bottom w:val="nil"/>
                    <w:right w:val="nil"/>
                  </w:tcBorders>
                </w:tcPr>
                <w:p w14:paraId="2D1AE94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acq_roa_lastyear</w:t>
                  </w:r>
                </w:p>
              </w:tc>
              <w:tc>
                <w:tcPr>
                  <w:tcW w:w="3231" w:type="dxa"/>
                  <w:tcBorders>
                    <w:top w:val="nil"/>
                    <w:left w:val="nil"/>
                    <w:bottom w:val="nil"/>
                    <w:right w:val="nil"/>
                  </w:tcBorders>
                  <w:vAlign w:val="center"/>
                </w:tcPr>
                <w:p w14:paraId="7C74DBC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.088</w:t>
                  </w:r>
                </w:p>
              </w:tc>
              <w:tc>
                <w:tcPr>
                  <w:tcW w:w="3231" w:type="dxa"/>
                  <w:tcBorders>
                    <w:top w:val="nil"/>
                    <w:left w:val="nil"/>
                    <w:bottom w:val="nil"/>
                    <w:right w:val="nil"/>
                  </w:tcBorders>
                  <w:vAlign w:val="center"/>
                </w:tcPr>
                <w:p w14:paraId="2A2052F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.002</w:t>
                  </w:r>
                </w:p>
              </w:tc>
            </w:tr>
            <w:tr w:rsidR="00694090" w:rsidRPr="00F60760" w14:paraId="51667EF8" w14:textId="77777777" w:rsidTr="00E150C1">
              <w:trPr>
                <w:jc w:val="center"/>
              </w:trPr>
              <w:tc>
                <w:tcPr>
                  <w:tcW w:w="3231" w:type="dxa"/>
                  <w:tcBorders>
                    <w:top w:val="nil"/>
                    <w:left w:val="nil"/>
                    <w:bottom w:val="nil"/>
                    <w:right w:val="nil"/>
                  </w:tcBorders>
                </w:tcPr>
                <w:p w14:paraId="78A37DAB"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3318FDA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(1.239)</w:t>
                  </w:r>
                </w:p>
              </w:tc>
              <w:tc>
                <w:tcPr>
                  <w:tcW w:w="3231" w:type="dxa"/>
                  <w:tcBorders>
                    <w:top w:val="nil"/>
                    <w:left w:val="nil"/>
                    <w:bottom w:val="nil"/>
                    <w:right w:val="nil"/>
                  </w:tcBorders>
                  <w:vAlign w:val="center"/>
                </w:tcPr>
                <w:p w14:paraId="60C71B1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(.048)</w:t>
                  </w:r>
                </w:p>
              </w:tc>
            </w:tr>
            <w:tr w:rsidR="00694090" w:rsidRPr="00F60760" w14:paraId="44B88C3D" w14:textId="77777777" w:rsidTr="00E150C1">
              <w:trPr>
                <w:jc w:val="center"/>
              </w:trPr>
              <w:tc>
                <w:tcPr>
                  <w:tcW w:w="3231" w:type="dxa"/>
                  <w:tcBorders>
                    <w:top w:val="nil"/>
                    <w:left w:val="nil"/>
                    <w:bottom w:val="nil"/>
                    <w:right w:val="nil"/>
                  </w:tcBorders>
                </w:tcPr>
                <w:p w14:paraId="6421CC7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acq_industrygrowth</w:t>
                  </w:r>
                </w:p>
              </w:tc>
              <w:tc>
                <w:tcPr>
                  <w:tcW w:w="3231" w:type="dxa"/>
                  <w:tcBorders>
                    <w:top w:val="nil"/>
                    <w:left w:val="nil"/>
                    <w:bottom w:val="nil"/>
                    <w:right w:val="nil"/>
                  </w:tcBorders>
                  <w:vAlign w:val="center"/>
                </w:tcPr>
                <w:p w14:paraId="7FAE631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.240</w:t>
                  </w:r>
                </w:p>
              </w:tc>
              <w:tc>
                <w:tcPr>
                  <w:tcW w:w="3231" w:type="dxa"/>
                  <w:tcBorders>
                    <w:top w:val="nil"/>
                    <w:left w:val="nil"/>
                    <w:bottom w:val="nil"/>
                    <w:right w:val="nil"/>
                  </w:tcBorders>
                  <w:vAlign w:val="center"/>
                </w:tcPr>
                <w:p w14:paraId="601C9CC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.304</w:t>
                  </w:r>
                </w:p>
              </w:tc>
            </w:tr>
            <w:tr w:rsidR="00694090" w:rsidRPr="00F60760" w14:paraId="3B3F2DA3" w14:textId="77777777" w:rsidTr="00E150C1">
              <w:trPr>
                <w:jc w:val="center"/>
              </w:trPr>
              <w:tc>
                <w:tcPr>
                  <w:tcW w:w="3231" w:type="dxa"/>
                  <w:tcBorders>
                    <w:top w:val="nil"/>
                    <w:left w:val="nil"/>
                    <w:bottom w:val="nil"/>
                    <w:right w:val="nil"/>
                  </w:tcBorders>
                </w:tcPr>
                <w:p w14:paraId="76E8CE3B"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5C3CB7F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(.338)</w:t>
                  </w:r>
                </w:p>
              </w:tc>
              <w:tc>
                <w:tcPr>
                  <w:tcW w:w="3231" w:type="dxa"/>
                  <w:tcBorders>
                    <w:top w:val="nil"/>
                    <w:left w:val="nil"/>
                    <w:bottom w:val="nil"/>
                    <w:right w:val="nil"/>
                  </w:tcBorders>
                  <w:vAlign w:val="center"/>
                </w:tcPr>
                <w:p w14:paraId="206AC61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(.610)</w:t>
                  </w:r>
                </w:p>
              </w:tc>
            </w:tr>
            <w:tr w:rsidR="00694090" w:rsidRPr="00F60760" w14:paraId="36195C64" w14:textId="77777777" w:rsidTr="00E150C1">
              <w:trPr>
                <w:jc w:val="center"/>
              </w:trPr>
              <w:tc>
                <w:tcPr>
                  <w:tcW w:w="3231" w:type="dxa"/>
                  <w:tcBorders>
                    <w:top w:val="nil"/>
                    <w:left w:val="nil"/>
                    <w:bottom w:val="nil"/>
                    <w:right w:val="nil"/>
                  </w:tcBorders>
                </w:tcPr>
                <w:p w14:paraId="01C69DA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acq_dealexperience</w:t>
                  </w:r>
                </w:p>
              </w:tc>
              <w:tc>
                <w:tcPr>
                  <w:tcW w:w="3231" w:type="dxa"/>
                  <w:tcBorders>
                    <w:top w:val="nil"/>
                    <w:left w:val="nil"/>
                    <w:bottom w:val="nil"/>
                    <w:right w:val="nil"/>
                  </w:tcBorders>
                  <w:vAlign w:val="center"/>
                </w:tcPr>
                <w:p w14:paraId="3B9B0EE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-.0003</w:t>
                  </w:r>
                </w:p>
              </w:tc>
              <w:tc>
                <w:tcPr>
                  <w:tcW w:w="3231" w:type="dxa"/>
                  <w:tcBorders>
                    <w:top w:val="nil"/>
                    <w:left w:val="nil"/>
                    <w:bottom w:val="nil"/>
                    <w:right w:val="nil"/>
                  </w:tcBorders>
                  <w:vAlign w:val="center"/>
                </w:tcPr>
                <w:p w14:paraId="4697515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-.002</w:t>
                  </w:r>
                </w:p>
              </w:tc>
            </w:tr>
            <w:tr w:rsidR="00694090" w:rsidRPr="00F60760" w14:paraId="208C494D" w14:textId="77777777" w:rsidTr="00E150C1">
              <w:trPr>
                <w:jc w:val="center"/>
              </w:trPr>
              <w:tc>
                <w:tcPr>
                  <w:tcW w:w="3231" w:type="dxa"/>
                  <w:tcBorders>
                    <w:top w:val="nil"/>
                    <w:left w:val="nil"/>
                    <w:bottom w:val="nil"/>
                    <w:right w:val="nil"/>
                  </w:tcBorders>
                </w:tcPr>
                <w:p w14:paraId="05FA289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68F5096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(-.014)</w:t>
                  </w:r>
                </w:p>
              </w:tc>
              <w:tc>
                <w:tcPr>
                  <w:tcW w:w="3231" w:type="dxa"/>
                  <w:tcBorders>
                    <w:top w:val="nil"/>
                    <w:left w:val="nil"/>
                    <w:bottom w:val="nil"/>
                    <w:right w:val="nil"/>
                  </w:tcBorders>
                  <w:vAlign w:val="center"/>
                </w:tcPr>
                <w:p w14:paraId="1B7632E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(-.131)</w:t>
                  </w:r>
                </w:p>
              </w:tc>
            </w:tr>
            <w:tr w:rsidR="00694090" w:rsidRPr="00F60760" w14:paraId="0E818929" w14:textId="77777777" w:rsidTr="00E150C1">
              <w:trPr>
                <w:jc w:val="center"/>
              </w:trPr>
              <w:tc>
                <w:tcPr>
                  <w:tcW w:w="3231" w:type="dxa"/>
                  <w:tcBorders>
                    <w:top w:val="nil"/>
                    <w:left w:val="nil"/>
                    <w:bottom w:val="nil"/>
                    <w:right w:val="nil"/>
                  </w:tcBorders>
                  <w:vAlign w:val="center"/>
                </w:tcPr>
                <w:p w14:paraId="40E4BFF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acq_rd_intensity</w:t>
                  </w:r>
                </w:p>
              </w:tc>
              <w:tc>
                <w:tcPr>
                  <w:tcW w:w="3231" w:type="dxa"/>
                  <w:tcBorders>
                    <w:top w:val="nil"/>
                    <w:left w:val="nil"/>
                    <w:bottom w:val="nil"/>
                    <w:right w:val="nil"/>
                  </w:tcBorders>
                  <w:vAlign w:val="center"/>
                </w:tcPr>
                <w:p w14:paraId="22A5ABB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.437**</w:t>
                  </w:r>
                </w:p>
              </w:tc>
              <w:tc>
                <w:tcPr>
                  <w:tcW w:w="3231" w:type="dxa"/>
                  <w:tcBorders>
                    <w:top w:val="nil"/>
                    <w:left w:val="nil"/>
                    <w:bottom w:val="nil"/>
                    <w:right w:val="nil"/>
                  </w:tcBorders>
                  <w:vAlign w:val="center"/>
                </w:tcPr>
                <w:p w14:paraId="48B979C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.068</w:t>
                  </w:r>
                </w:p>
              </w:tc>
            </w:tr>
            <w:tr w:rsidR="00694090" w:rsidRPr="00F60760" w14:paraId="3C305361" w14:textId="77777777" w:rsidTr="00E150C1">
              <w:trPr>
                <w:jc w:val="center"/>
              </w:trPr>
              <w:tc>
                <w:tcPr>
                  <w:tcW w:w="3231" w:type="dxa"/>
                  <w:tcBorders>
                    <w:top w:val="nil"/>
                    <w:left w:val="nil"/>
                    <w:bottom w:val="nil"/>
                    <w:right w:val="nil"/>
                  </w:tcBorders>
                  <w:vAlign w:val="center"/>
                </w:tcPr>
                <w:p w14:paraId="1A77906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p>
              </w:tc>
              <w:tc>
                <w:tcPr>
                  <w:tcW w:w="3231" w:type="dxa"/>
                  <w:tcBorders>
                    <w:top w:val="nil"/>
                    <w:left w:val="nil"/>
                    <w:bottom w:val="nil"/>
                    <w:right w:val="nil"/>
                  </w:tcBorders>
                  <w:vAlign w:val="center"/>
                </w:tcPr>
                <w:p w14:paraId="77EBCD8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(2.001)</w:t>
                  </w:r>
                </w:p>
              </w:tc>
              <w:tc>
                <w:tcPr>
                  <w:tcW w:w="3231" w:type="dxa"/>
                  <w:tcBorders>
                    <w:top w:val="nil"/>
                    <w:left w:val="nil"/>
                    <w:bottom w:val="nil"/>
                    <w:right w:val="nil"/>
                  </w:tcBorders>
                  <w:vAlign w:val="center"/>
                </w:tcPr>
                <w:p w14:paraId="2C39B06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(.236)</w:t>
                  </w:r>
                </w:p>
              </w:tc>
            </w:tr>
            <w:tr w:rsidR="00694090" w:rsidRPr="00F60760" w14:paraId="1C388B81" w14:textId="77777777" w:rsidTr="00E150C1">
              <w:trPr>
                <w:jc w:val="center"/>
              </w:trPr>
              <w:tc>
                <w:tcPr>
                  <w:tcW w:w="3231" w:type="dxa"/>
                  <w:tcBorders>
                    <w:top w:val="nil"/>
                    <w:left w:val="nil"/>
                    <w:bottom w:val="nil"/>
                    <w:right w:val="nil"/>
                  </w:tcBorders>
                </w:tcPr>
                <w:p w14:paraId="24FB776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tar_age</w:t>
                  </w:r>
                </w:p>
              </w:tc>
              <w:tc>
                <w:tcPr>
                  <w:tcW w:w="3231" w:type="dxa"/>
                  <w:tcBorders>
                    <w:top w:val="nil"/>
                    <w:left w:val="nil"/>
                    <w:bottom w:val="nil"/>
                    <w:right w:val="nil"/>
                  </w:tcBorders>
                  <w:vAlign w:val="center"/>
                </w:tcPr>
                <w:p w14:paraId="5E21332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-.0002</w:t>
                  </w:r>
                </w:p>
              </w:tc>
              <w:tc>
                <w:tcPr>
                  <w:tcW w:w="3231" w:type="dxa"/>
                  <w:tcBorders>
                    <w:top w:val="nil"/>
                    <w:left w:val="nil"/>
                    <w:bottom w:val="nil"/>
                    <w:right w:val="nil"/>
                  </w:tcBorders>
                  <w:vAlign w:val="center"/>
                </w:tcPr>
                <w:p w14:paraId="3AB3BBC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-.0002</w:t>
                  </w:r>
                </w:p>
              </w:tc>
            </w:tr>
            <w:tr w:rsidR="00694090" w:rsidRPr="00F60760" w14:paraId="3DEF7B32" w14:textId="77777777" w:rsidTr="00E150C1">
              <w:trPr>
                <w:jc w:val="center"/>
              </w:trPr>
              <w:tc>
                <w:tcPr>
                  <w:tcW w:w="3231" w:type="dxa"/>
                  <w:tcBorders>
                    <w:top w:val="nil"/>
                    <w:left w:val="nil"/>
                    <w:bottom w:val="nil"/>
                    <w:right w:val="nil"/>
                  </w:tcBorders>
                </w:tcPr>
                <w:p w14:paraId="404C9A25"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55C265D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(-.326)</w:t>
                  </w:r>
                </w:p>
              </w:tc>
              <w:tc>
                <w:tcPr>
                  <w:tcW w:w="3231" w:type="dxa"/>
                  <w:tcBorders>
                    <w:top w:val="nil"/>
                    <w:left w:val="nil"/>
                    <w:bottom w:val="nil"/>
                    <w:right w:val="nil"/>
                  </w:tcBorders>
                  <w:vAlign w:val="center"/>
                </w:tcPr>
                <w:p w14:paraId="1DC8DDB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(-.266)</w:t>
                  </w:r>
                </w:p>
              </w:tc>
            </w:tr>
            <w:tr w:rsidR="00694090" w:rsidRPr="00F60760" w14:paraId="70D9AC3D" w14:textId="77777777" w:rsidTr="00E150C1">
              <w:trPr>
                <w:jc w:val="center"/>
              </w:trPr>
              <w:tc>
                <w:tcPr>
                  <w:tcW w:w="3231" w:type="dxa"/>
                  <w:tcBorders>
                    <w:top w:val="nil"/>
                    <w:left w:val="nil"/>
                    <w:bottom w:val="nil"/>
                    <w:right w:val="nil"/>
                  </w:tcBorders>
                </w:tcPr>
                <w:p w14:paraId="2755F758"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tar_assets_lastyear_ln</w:t>
                  </w:r>
                </w:p>
              </w:tc>
              <w:tc>
                <w:tcPr>
                  <w:tcW w:w="3231" w:type="dxa"/>
                  <w:tcBorders>
                    <w:top w:val="nil"/>
                    <w:left w:val="nil"/>
                    <w:bottom w:val="nil"/>
                    <w:right w:val="nil"/>
                  </w:tcBorders>
                  <w:vAlign w:val="center"/>
                </w:tcPr>
                <w:p w14:paraId="27FEBE1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.100***</w:t>
                  </w:r>
                </w:p>
              </w:tc>
              <w:tc>
                <w:tcPr>
                  <w:tcW w:w="3231" w:type="dxa"/>
                  <w:tcBorders>
                    <w:top w:val="nil"/>
                    <w:left w:val="nil"/>
                    <w:bottom w:val="nil"/>
                    <w:right w:val="nil"/>
                  </w:tcBorders>
                  <w:vAlign w:val="center"/>
                </w:tcPr>
                <w:p w14:paraId="72CE568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.049*</w:t>
                  </w:r>
                </w:p>
              </w:tc>
            </w:tr>
            <w:tr w:rsidR="00694090" w:rsidRPr="00F60760" w14:paraId="736E9CA6" w14:textId="77777777" w:rsidTr="00E150C1">
              <w:trPr>
                <w:jc w:val="center"/>
              </w:trPr>
              <w:tc>
                <w:tcPr>
                  <w:tcW w:w="3231" w:type="dxa"/>
                  <w:tcBorders>
                    <w:top w:val="nil"/>
                    <w:left w:val="nil"/>
                    <w:bottom w:val="nil"/>
                    <w:right w:val="nil"/>
                  </w:tcBorders>
                </w:tcPr>
                <w:p w14:paraId="69B19978"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5D596D6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(2.749)</w:t>
                  </w:r>
                </w:p>
              </w:tc>
              <w:tc>
                <w:tcPr>
                  <w:tcW w:w="3231" w:type="dxa"/>
                  <w:tcBorders>
                    <w:top w:val="nil"/>
                    <w:left w:val="nil"/>
                    <w:bottom w:val="nil"/>
                    <w:right w:val="nil"/>
                  </w:tcBorders>
                  <w:vAlign w:val="center"/>
                </w:tcPr>
                <w:p w14:paraId="4AC7F0D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(1.737)</w:t>
                  </w:r>
                </w:p>
              </w:tc>
            </w:tr>
            <w:tr w:rsidR="00694090" w:rsidRPr="00F60760" w14:paraId="6AF48322" w14:textId="77777777" w:rsidTr="00E150C1">
              <w:trPr>
                <w:jc w:val="center"/>
              </w:trPr>
              <w:tc>
                <w:tcPr>
                  <w:tcW w:w="3231" w:type="dxa"/>
                  <w:tcBorders>
                    <w:top w:val="nil"/>
                    <w:left w:val="nil"/>
                    <w:bottom w:val="nil"/>
                    <w:right w:val="nil"/>
                  </w:tcBorders>
                </w:tcPr>
                <w:p w14:paraId="757C8FE0"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tar_roa_lastyear</w:t>
                  </w:r>
                </w:p>
              </w:tc>
              <w:tc>
                <w:tcPr>
                  <w:tcW w:w="3231" w:type="dxa"/>
                  <w:tcBorders>
                    <w:top w:val="nil"/>
                    <w:left w:val="nil"/>
                    <w:bottom w:val="nil"/>
                    <w:right w:val="nil"/>
                  </w:tcBorders>
                  <w:vAlign w:val="center"/>
                </w:tcPr>
                <w:p w14:paraId="46A8831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-.016</w:t>
                  </w:r>
                </w:p>
              </w:tc>
              <w:tc>
                <w:tcPr>
                  <w:tcW w:w="3231" w:type="dxa"/>
                  <w:tcBorders>
                    <w:top w:val="nil"/>
                    <w:left w:val="nil"/>
                    <w:bottom w:val="nil"/>
                    <w:right w:val="nil"/>
                  </w:tcBorders>
                  <w:vAlign w:val="center"/>
                </w:tcPr>
                <w:p w14:paraId="49B9761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-.047</w:t>
                  </w:r>
                </w:p>
              </w:tc>
            </w:tr>
            <w:tr w:rsidR="00694090" w:rsidRPr="00F60760" w14:paraId="67F1E468" w14:textId="77777777" w:rsidTr="00E150C1">
              <w:trPr>
                <w:jc w:val="center"/>
              </w:trPr>
              <w:tc>
                <w:tcPr>
                  <w:tcW w:w="3231" w:type="dxa"/>
                  <w:tcBorders>
                    <w:top w:val="nil"/>
                    <w:left w:val="nil"/>
                    <w:bottom w:val="nil"/>
                    <w:right w:val="nil"/>
                  </w:tcBorders>
                </w:tcPr>
                <w:p w14:paraId="41579854"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587B946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(-.274)</w:t>
                  </w:r>
                </w:p>
              </w:tc>
              <w:tc>
                <w:tcPr>
                  <w:tcW w:w="3231" w:type="dxa"/>
                  <w:tcBorders>
                    <w:top w:val="nil"/>
                    <w:left w:val="nil"/>
                    <w:bottom w:val="nil"/>
                    <w:right w:val="nil"/>
                  </w:tcBorders>
                  <w:vAlign w:val="center"/>
                </w:tcPr>
                <w:p w14:paraId="17F9DF2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(-1.311)</w:t>
                  </w:r>
                </w:p>
              </w:tc>
            </w:tr>
            <w:tr w:rsidR="00694090" w:rsidRPr="00F60760" w14:paraId="6067C00C" w14:textId="77777777" w:rsidTr="00E150C1">
              <w:trPr>
                <w:jc w:val="center"/>
              </w:trPr>
              <w:tc>
                <w:tcPr>
                  <w:tcW w:w="3231" w:type="dxa"/>
                  <w:tcBorders>
                    <w:top w:val="nil"/>
                    <w:left w:val="nil"/>
                    <w:bottom w:val="nil"/>
                    <w:right w:val="nil"/>
                  </w:tcBorders>
                </w:tcPr>
                <w:p w14:paraId="45D44771"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tar_mbratio</w:t>
                  </w:r>
                </w:p>
              </w:tc>
              <w:tc>
                <w:tcPr>
                  <w:tcW w:w="3231" w:type="dxa"/>
                  <w:tcBorders>
                    <w:top w:val="nil"/>
                    <w:left w:val="nil"/>
                    <w:bottom w:val="nil"/>
                    <w:right w:val="nil"/>
                  </w:tcBorders>
                  <w:vAlign w:val="center"/>
                </w:tcPr>
                <w:p w14:paraId="7BC595D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.005*</w:t>
                  </w:r>
                </w:p>
              </w:tc>
              <w:tc>
                <w:tcPr>
                  <w:tcW w:w="3231" w:type="dxa"/>
                  <w:tcBorders>
                    <w:top w:val="nil"/>
                    <w:left w:val="nil"/>
                    <w:bottom w:val="nil"/>
                    <w:right w:val="nil"/>
                  </w:tcBorders>
                  <w:vAlign w:val="center"/>
                </w:tcPr>
                <w:p w14:paraId="6612202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.003**</w:t>
                  </w:r>
                </w:p>
              </w:tc>
            </w:tr>
            <w:tr w:rsidR="00694090" w:rsidRPr="00F60760" w14:paraId="4FD73D87" w14:textId="77777777" w:rsidTr="00E150C1">
              <w:trPr>
                <w:jc w:val="center"/>
              </w:trPr>
              <w:tc>
                <w:tcPr>
                  <w:tcW w:w="3231" w:type="dxa"/>
                  <w:tcBorders>
                    <w:top w:val="nil"/>
                    <w:left w:val="nil"/>
                    <w:bottom w:val="nil"/>
                    <w:right w:val="nil"/>
                  </w:tcBorders>
                </w:tcPr>
                <w:p w14:paraId="073F6454"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25F8A76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(1.868)</w:t>
                  </w:r>
                </w:p>
              </w:tc>
              <w:tc>
                <w:tcPr>
                  <w:tcW w:w="3231" w:type="dxa"/>
                  <w:tcBorders>
                    <w:top w:val="nil"/>
                    <w:left w:val="nil"/>
                    <w:bottom w:val="nil"/>
                    <w:right w:val="nil"/>
                  </w:tcBorders>
                  <w:vAlign w:val="center"/>
                </w:tcPr>
                <w:p w14:paraId="4F3C1AA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(2.188)</w:t>
                  </w:r>
                </w:p>
              </w:tc>
            </w:tr>
            <w:tr w:rsidR="00694090" w:rsidRPr="00F60760" w14:paraId="72A56982" w14:textId="77777777" w:rsidTr="00E150C1">
              <w:trPr>
                <w:jc w:val="center"/>
              </w:trPr>
              <w:tc>
                <w:tcPr>
                  <w:tcW w:w="3231" w:type="dxa"/>
                  <w:tcBorders>
                    <w:top w:val="nil"/>
                    <w:left w:val="nil"/>
                    <w:bottom w:val="nil"/>
                    <w:right w:val="nil"/>
                  </w:tcBorders>
                </w:tcPr>
                <w:p w14:paraId="0F603B1D"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Observations</w:t>
                  </w:r>
                </w:p>
              </w:tc>
              <w:tc>
                <w:tcPr>
                  <w:tcW w:w="3231" w:type="dxa"/>
                  <w:tcBorders>
                    <w:top w:val="nil"/>
                    <w:left w:val="nil"/>
                    <w:bottom w:val="nil"/>
                    <w:right w:val="nil"/>
                  </w:tcBorders>
                  <w:vAlign w:val="center"/>
                </w:tcPr>
                <w:p w14:paraId="79C87D8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182</w:t>
                  </w:r>
                </w:p>
              </w:tc>
              <w:tc>
                <w:tcPr>
                  <w:tcW w:w="3231" w:type="dxa"/>
                  <w:tcBorders>
                    <w:top w:val="nil"/>
                    <w:left w:val="nil"/>
                    <w:bottom w:val="nil"/>
                    <w:right w:val="nil"/>
                  </w:tcBorders>
                  <w:vAlign w:val="center"/>
                </w:tcPr>
                <w:p w14:paraId="1B85AF5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131</w:t>
                  </w:r>
                </w:p>
              </w:tc>
            </w:tr>
            <w:tr w:rsidR="00694090" w:rsidRPr="00F60760" w14:paraId="7636D492" w14:textId="77777777" w:rsidTr="00E150C1">
              <w:trPr>
                <w:jc w:val="center"/>
              </w:trPr>
              <w:tc>
                <w:tcPr>
                  <w:tcW w:w="3231" w:type="dxa"/>
                  <w:tcBorders>
                    <w:top w:val="nil"/>
                    <w:left w:val="nil"/>
                    <w:bottom w:val="nil"/>
                    <w:right w:val="nil"/>
                  </w:tcBorders>
                </w:tcPr>
                <w:p w14:paraId="4ECDA18D"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Adj R2</w:t>
                  </w:r>
                </w:p>
              </w:tc>
              <w:tc>
                <w:tcPr>
                  <w:tcW w:w="3231" w:type="dxa"/>
                  <w:tcBorders>
                    <w:top w:val="nil"/>
                    <w:left w:val="nil"/>
                    <w:bottom w:val="nil"/>
                    <w:right w:val="nil"/>
                  </w:tcBorders>
                  <w:vAlign w:val="center"/>
                </w:tcPr>
                <w:p w14:paraId="41BB8BD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.409</w:t>
                  </w:r>
                </w:p>
              </w:tc>
              <w:tc>
                <w:tcPr>
                  <w:tcW w:w="3231" w:type="dxa"/>
                  <w:tcBorders>
                    <w:top w:val="nil"/>
                    <w:left w:val="nil"/>
                    <w:bottom w:val="nil"/>
                    <w:right w:val="nil"/>
                  </w:tcBorders>
                  <w:vAlign w:val="center"/>
                </w:tcPr>
                <w:p w14:paraId="52F0AD5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.239</w:t>
                  </w:r>
                </w:p>
              </w:tc>
            </w:tr>
            <w:tr w:rsidR="00694090" w:rsidRPr="00F60760" w14:paraId="7664EA95" w14:textId="77777777" w:rsidTr="00E150C1">
              <w:trPr>
                <w:jc w:val="center"/>
              </w:trPr>
              <w:tc>
                <w:tcPr>
                  <w:tcW w:w="3231" w:type="dxa"/>
                  <w:tcBorders>
                    <w:top w:val="nil"/>
                    <w:left w:val="nil"/>
                    <w:bottom w:val="nil"/>
                    <w:right w:val="nil"/>
                  </w:tcBorders>
                </w:tcPr>
                <w:p w14:paraId="3085C97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Industry FE</w:t>
                  </w:r>
                </w:p>
              </w:tc>
              <w:tc>
                <w:tcPr>
                  <w:tcW w:w="3231" w:type="dxa"/>
                  <w:tcBorders>
                    <w:top w:val="nil"/>
                    <w:left w:val="nil"/>
                    <w:bottom w:val="nil"/>
                    <w:right w:val="nil"/>
                  </w:tcBorders>
                </w:tcPr>
                <w:p w14:paraId="178DDD2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3231" w:type="dxa"/>
                  <w:tcBorders>
                    <w:top w:val="nil"/>
                    <w:left w:val="nil"/>
                    <w:bottom w:val="nil"/>
                    <w:right w:val="nil"/>
                  </w:tcBorders>
                </w:tcPr>
                <w:p w14:paraId="386ADB1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r>
            <w:tr w:rsidR="00694090" w:rsidRPr="00F60760" w14:paraId="6BF28305" w14:textId="77777777" w:rsidTr="00E150C1">
              <w:trPr>
                <w:jc w:val="center"/>
              </w:trPr>
              <w:tc>
                <w:tcPr>
                  <w:tcW w:w="3231" w:type="dxa"/>
                  <w:tcBorders>
                    <w:top w:val="nil"/>
                    <w:left w:val="nil"/>
                    <w:bottom w:val="nil"/>
                    <w:right w:val="nil"/>
                  </w:tcBorders>
                </w:tcPr>
                <w:p w14:paraId="18884A6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Year FE</w:t>
                  </w:r>
                </w:p>
              </w:tc>
              <w:tc>
                <w:tcPr>
                  <w:tcW w:w="3231" w:type="dxa"/>
                  <w:tcBorders>
                    <w:top w:val="nil"/>
                    <w:left w:val="nil"/>
                    <w:bottom w:val="nil"/>
                    <w:right w:val="nil"/>
                  </w:tcBorders>
                </w:tcPr>
                <w:p w14:paraId="3F9BC11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3231" w:type="dxa"/>
                  <w:tcBorders>
                    <w:top w:val="nil"/>
                    <w:left w:val="nil"/>
                    <w:bottom w:val="nil"/>
                    <w:right w:val="nil"/>
                  </w:tcBorders>
                </w:tcPr>
                <w:p w14:paraId="554C51F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r>
          </w:tbl>
          <w:p w14:paraId="5199396C" w14:textId="77777777" w:rsidR="00694090" w:rsidRPr="00F60760" w:rsidRDefault="00694090" w:rsidP="00AB066F">
            <w:pPr>
              <w:jc w:val="left"/>
              <w:rPr>
                <w:color w:val="000000" w:themeColor="text1"/>
                <w:sz w:val="22"/>
                <w:lang w:val="en-US"/>
              </w:rPr>
            </w:pPr>
          </w:p>
        </w:tc>
      </w:tr>
      <w:tr w:rsidR="00694090" w:rsidRPr="00BE5632" w14:paraId="188716C2" w14:textId="77777777" w:rsidTr="00E150C1">
        <w:trPr>
          <w:trHeight w:val="416"/>
        </w:trPr>
        <w:tc>
          <w:tcPr>
            <w:tcW w:w="5000" w:type="pct"/>
            <w:tcBorders>
              <w:top w:val="single" w:sz="4" w:space="0" w:color="auto"/>
              <w:left w:val="nil"/>
              <w:right w:val="nil"/>
            </w:tcBorders>
            <w:shd w:val="clear" w:color="auto" w:fill="auto"/>
            <w:noWrap/>
          </w:tcPr>
          <w:p w14:paraId="7B8E2DFC" w14:textId="77777777" w:rsidR="00694090" w:rsidRPr="00F60760" w:rsidRDefault="00694090" w:rsidP="00E74508">
            <w:pPr>
              <w:spacing w:before="120" w:line="240" w:lineRule="auto"/>
              <w:rPr>
                <w:color w:val="000000" w:themeColor="text1"/>
                <w:sz w:val="22"/>
                <w:lang w:val="en-US"/>
              </w:rPr>
            </w:pPr>
            <w:r w:rsidRPr="00F60760">
              <w:rPr>
                <w:i/>
                <w:iCs/>
                <w:color w:val="000000" w:themeColor="text1"/>
                <w:sz w:val="22"/>
                <w:lang w:val="en-US"/>
              </w:rPr>
              <w:t>Note</w:t>
            </w:r>
            <w:r w:rsidRPr="00F60760">
              <w:rPr>
                <w:color w:val="000000" w:themeColor="text1"/>
                <w:sz w:val="22"/>
                <w:lang w:val="en-US"/>
              </w:rPr>
              <w:t xml:space="preserve">. This table reports fixed effects linear OLS regression results predicting the effect of organizational cultural distance between acquirers and targets on long-term synergy gains. The dependent variable for Model 1 is the acquirer’s growth in return on sales two years after deal completion. The dependent variable for Model 2 is the acquirer’s growth in return on sales four years after deal completion. The main independent variable in Model 1 and 2 is </w:t>
            </w:r>
            <w:r w:rsidRPr="00F60760">
              <w:rPr>
                <w:i/>
                <w:color w:val="000000" w:themeColor="text1"/>
                <w:sz w:val="22"/>
                <w:lang w:val="en-US"/>
              </w:rPr>
              <w:t>deal_culturaldistance</w:t>
            </w:r>
            <w:r w:rsidRPr="00F60760">
              <w:rPr>
                <w:color w:val="000000" w:themeColor="text1"/>
                <w:sz w:val="22"/>
                <w:lang w:val="en-US"/>
              </w:rPr>
              <w:t xml:space="preserve">, with higher values indicating higher cultural dissimilarities between the acquirer and target. We also included the quadratic term </w:t>
            </w:r>
            <w:r w:rsidRPr="00F60760">
              <w:rPr>
                <w:i/>
                <w:iCs/>
                <w:color w:val="000000" w:themeColor="text1"/>
                <w:sz w:val="22"/>
                <w:lang w:val="en-US"/>
              </w:rPr>
              <w:t>deal_culturaldistance_quadr</w:t>
            </w:r>
            <w:r w:rsidRPr="00F60760">
              <w:rPr>
                <w:color w:val="000000" w:themeColor="text1"/>
                <w:sz w:val="22"/>
                <w:lang w:val="en-US"/>
              </w:rPr>
              <w:t xml:space="preserve"> to test for non-linear relationships. A </w:t>
            </w:r>
            <w:r w:rsidRPr="00F60760">
              <w:rPr>
                <w:color w:val="000000" w:themeColor="text1"/>
                <w:sz w:val="22"/>
                <w:lang w:val="en-US"/>
              </w:rPr>
              <w:lastRenderedPageBreak/>
              <w:t>detailed variable description can be found in Appendix B. Constant terms are estimated but not reported. We include the acquirer’s industry and year fixed effects in all models. We cluster standard errors at the 2-digit SIC industry level. t-statistics are reported in parentheses below the coefficients. *, **, *** denote statistical significance at the .10, .05, and .01 levels (using two-tailed tests).</w:t>
            </w:r>
          </w:p>
        </w:tc>
      </w:tr>
    </w:tbl>
    <w:p w14:paraId="14C972CE" w14:textId="77777777" w:rsidR="00F26FAE" w:rsidRDefault="00F26FAE">
      <w:pPr>
        <w:spacing w:after="160" w:line="259" w:lineRule="auto"/>
        <w:jc w:val="left"/>
        <w:rPr>
          <w:rStyle w:val="SchwacherVerweis"/>
          <w:rFonts w:eastAsiaTheme="majorEastAsia" w:cstheme="majorBidi"/>
          <w:b/>
          <w:caps/>
          <w:smallCaps w:val="0"/>
          <w:color w:val="auto"/>
          <w:szCs w:val="32"/>
          <w:lang w:val="en-US"/>
        </w:rPr>
      </w:pPr>
      <w:r w:rsidRPr="007E4D6F">
        <w:rPr>
          <w:rStyle w:val="SchwacherVerweis"/>
          <w:smallCaps w:val="0"/>
          <w:color w:val="auto"/>
          <w:lang w:val="en-US"/>
        </w:rPr>
        <w:br w:type="page"/>
      </w:r>
    </w:p>
    <w:p w14:paraId="3624F561" w14:textId="7F810C7F" w:rsidR="00F26FAE" w:rsidRPr="00947673" w:rsidRDefault="00F26FAE" w:rsidP="00F26FAE">
      <w:pPr>
        <w:pStyle w:val="1fake"/>
        <w:rPr>
          <w:rStyle w:val="SchwacherVerweis"/>
          <w:smallCaps w:val="0"/>
          <w:color w:val="auto"/>
        </w:rPr>
      </w:pPr>
      <w:r w:rsidRPr="00947673">
        <w:rPr>
          <w:rStyle w:val="SchwacherVerweis"/>
          <w:smallCaps w:val="0"/>
          <w:color w:val="auto"/>
        </w:rPr>
        <w:lastRenderedPageBreak/>
        <w:t xml:space="preserve">Online Supplement </w:t>
      </w:r>
      <w:r>
        <w:rPr>
          <w:rStyle w:val="SchwacherVerweis"/>
          <w:smallCaps w:val="0"/>
          <w:color w:val="auto"/>
        </w:rPr>
        <w:t>15</w:t>
      </w:r>
    </w:p>
    <w:p w14:paraId="15CD1D55" w14:textId="013149D6" w:rsidR="00011AF5" w:rsidRPr="004D7CC1" w:rsidRDefault="00011AF5" w:rsidP="00011AF5">
      <w:pPr>
        <w:pStyle w:val="Beschriftung"/>
      </w:pPr>
      <w:bookmarkStart w:id="634" w:name="_Toc180594861"/>
      <w:r>
        <w:t xml:space="preserve">T - III - </w:t>
      </w:r>
      <w:r>
        <w:fldChar w:fldCharType="begin"/>
      </w:r>
      <w:r>
        <w:instrText xml:space="preserve"> SEQ T_-_III_- \* ARABIC </w:instrText>
      </w:r>
      <w:r>
        <w:fldChar w:fldCharType="separate"/>
      </w:r>
      <w:r w:rsidR="00E91088">
        <w:rPr>
          <w:noProof/>
        </w:rPr>
        <w:t>25</w:t>
      </w:r>
      <w:r>
        <w:fldChar w:fldCharType="end"/>
      </w:r>
      <w:r>
        <w:rPr>
          <w:noProof/>
        </w:rPr>
        <w:t xml:space="preserve">: </w:t>
      </w:r>
      <w:r w:rsidRPr="007D7E0D">
        <w:rPr>
          <w:noProof/>
        </w:rPr>
        <w:t>H2: Acquisition premiums - Nonlinear relationship</w:t>
      </w:r>
      <w:bookmarkEnd w:id="634"/>
    </w:p>
    <w:tbl>
      <w:tblPr>
        <w:tblW w:w="9072" w:type="dxa"/>
        <w:tblLayout w:type="fixed"/>
        <w:tblLook w:val="04A0" w:firstRow="1" w:lastRow="0" w:firstColumn="1" w:lastColumn="0" w:noHBand="0" w:noVBand="1"/>
      </w:tblPr>
      <w:tblGrid>
        <w:gridCol w:w="9072"/>
      </w:tblGrid>
      <w:tr w:rsidR="00694090" w:rsidRPr="00F60760" w14:paraId="39F511E7" w14:textId="77777777" w:rsidTr="001D491F">
        <w:trPr>
          <w:trHeight w:val="611"/>
        </w:trPr>
        <w:tc>
          <w:tcPr>
            <w:tcW w:w="5000" w:type="pct"/>
            <w:tcBorders>
              <w:left w:val="nil"/>
              <w:bottom w:val="single" w:sz="4" w:space="0" w:color="auto"/>
              <w:right w:val="nil"/>
            </w:tcBorders>
            <w:shd w:val="clear" w:color="auto" w:fill="auto"/>
          </w:tcPr>
          <w:tbl>
            <w:tblPr>
              <w:tblW w:w="9072" w:type="dxa"/>
              <w:tblLayout w:type="fixed"/>
              <w:tblLook w:val="0000" w:firstRow="0" w:lastRow="0" w:firstColumn="0" w:lastColumn="0" w:noHBand="0" w:noVBand="0"/>
            </w:tblPr>
            <w:tblGrid>
              <w:gridCol w:w="2268"/>
              <w:gridCol w:w="2268"/>
              <w:gridCol w:w="2268"/>
              <w:gridCol w:w="2268"/>
            </w:tblGrid>
            <w:tr w:rsidR="00694090" w:rsidRPr="00F60760" w14:paraId="6C157924" w14:textId="77777777" w:rsidTr="001D491F">
              <w:tc>
                <w:tcPr>
                  <w:tcW w:w="3231" w:type="dxa"/>
                  <w:tcBorders>
                    <w:top w:val="single" w:sz="4" w:space="0" w:color="auto"/>
                    <w:left w:val="nil"/>
                    <w:right w:val="nil"/>
                  </w:tcBorders>
                </w:tcPr>
                <w:p w14:paraId="1A0B0D9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w:t>
                  </w:r>
                </w:p>
              </w:tc>
              <w:tc>
                <w:tcPr>
                  <w:tcW w:w="3231" w:type="dxa"/>
                  <w:tcBorders>
                    <w:top w:val="single" w:sz="4" w:space="0" w:color="auto"/>
                    <w:left w:val="nil"/>
                    <w:right w:val="nil"/>
                  </w:tcBorders>
                </w:tcPr>
                <w:p w14:paraId="35165F69"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(1)</w:t>
                  </w:r>
                </w:p>
              </w:tc>
              <w:tc>
                <w:tcPr>
                  <w:tcW w:w="3231" w:type="dxa"/>
                  <w:tcBorders>
                    <w:top w:val="single" w:sz="4" w:space="0" w:color="auto"/>
                    <w:left w:val="nil"/>
                    <w:right w:val="nil"/>
                  </w:tcBorders>
                </w:tcPr>
                <w:p w14:paraId="36570009"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(2)</w:t>
                  </w:r>
                </w:p>
              </w:tc>
              <w:tc>
                <w:tcPr>
                  <w:tcW w:w="3231" w:type="dxa"/>
                  <w:tcBorders>
                    <w:top w:val="single" w:sz="4" w:space="0" w:color="auto"/>
                    <w:left w:val="nil"/>
                    <w:right w:val="nil"/>
                  </w:tcBorders>
                </w:tcPr>
                <w:p w14:paraId="42A91849" w14:textId="2534DE14" w:rsidR="00694090" w:rsidRPr="001D491F" w:rsidRDefault="00694090" w:rsidP="00AB066F">
                  <w:pPr>
                    <w:widowControl w:val="0"/>
                    <w:autoSpaceDE w:val="0"/>
                    <w:autoSpaceDN w:val="0"/>
                    <w:adjustRightInd w:val="0"/>
                    <w:spacing w:line="240" w:lineRule="auto"/>
                    <w:jc w:val="center"/>
                    <w:rPr>
                      <w:b/>
                      <w:bCs/>
                      <w:color w:val="000000" w:themeColor="text1"/>
                      <w:sz w:val="22"/>
                      <w:lang w:val="en-US"/>
                    </w:rPr>
                  </w:pPr>
                  <w:r w:rsidRPr="001D491F">
                    <w:rPr>
                      <w:b/>
                      <w:bCs/>
                      <w:color w:val="000000" w:themeColor="text1"/>
                      <w:sz w:val="22"/>
                      <w:lang w:val="en-US"/>
                    </w:rPr>
                    <w:t>(3)</w:t>
                  </w:r>
                </w:p>
              </w:tc>
            </w:tr>
            <w:tr w:rsidR="00694090" w:rsidRPr="00F60760" w14:paraId="69B35EF6" w14:textId="77777777" w:rsidTr="001D491F">
              <w:tc>
                <w:tcPr>
                  <w:tcW w:w="3231" w:type="dxa"/>
                  <w:tcBorders>
                    <w:top w:val="nil"/>
                    <w:left w:val="nil"/>
                    <w:bottom w:val="single" w:sz="4" w:space="0" w:color="auto"/>
                    <w:right w:val="nil"/>
                  </w:tcBorders>
                </w:tcPr>
                <w:p w14:paraId="0ED5450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single" w:sz="4" w:space="0" w:color="auto"/>
                    <w:right w:val="nil"/>
                  </w:tcBorders>
                </w:tcPr>
                <w:p w14:paraId="26C4F2A2"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deal_premium_1day</w:t>
                  </w:r>
                </w:p>
              </w:tc>
              <w:tc>
                <w:tcPr>
                  <w:tcW w:w="3231" w:type="dxa"/>
                  <w:tcBorders>
                    <w:top w:val="nil"/>
                    <w:left w:val="nil"/>
                    <w:bottom w:val="single" w:sz="4" w:space="0" w:color="auto"/>
                    <w:right w:val="nil"/>
                  </w:tcBorders>
                </w:tcPr>
                <w:p w14:paraId="6C9CFE53"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deal_premium_1week</w:t>
                  </w:r>
                </w:p>
              </w:tc>
              <w:tc>
                <w:tcPr>
                  <w:tcW w:w="3231" w:type="dxa"/>
                  <w:tcBorders>
                    <w:top w:val="nil"/>
                    <w:left w:val="nil"/>
                    <w:bottom w:val="single" w:sz="4" w:space="0" w:color="auto"/>
                    <w:right w:val="nil"/>
                  </w:tcBorders>
                </w:tcPr>
                <w:p w14:paraId="5DD5AF4F" w14:textId="17C74624" w:rsidR="00694090" w:rsidRPr="001D491F" w:rsidRDefault="00694090" w:rsidP="001D491F">
                  <w:pPr>
                    <w:widowControl w:val="0"/>
                    <w:autoSpaceDE w:val="0"/>
                    <w:autoSpaceDN w:val="0"/>
                    <w:adjustRightInd w:val="0"/>
                    <w:spacing w:line="240" w:lineRule="auto"/>
                    <w:rPr>
                      <w:b/>
                      <w:bCs/>
                      <w:color w:val="000000" w:themeColor="text1"/>
                      <w:sz w:val="22"/>
                      <w:lang w:val="en-US"/>
                    </w:rPr>
                  </w:pPr>
                  <w:r w:rsidRPr="001D491F">
                    <w:rPr>
                      <w:b/>
                      <w:bCs/>
                      <w:color w:val="000000" w:themeColor="text1"/>
                      <w:sz w:val="22"/>
                      <w:lang w:val="en-US"/>
                    </w:rPr>
                    <w:t>deal_premium_1month</w:t>
                  </w:r>
                </w:p>
              </w:tc>
            </w:tr>
            <w:tr w:rsidR="00694090" w:rsidRPr="00F60760" w14:paraId="51F03B43" w14:textId="77777777" w:rsidTr="001D491F">
              <w:tc>
                <w:tcPr>
                  <w:tcW w:w="3231" w:type="dxa"/>
                  <w:tcBorders>
                    <w:top w:val="single" w:sz="4" w:space="0" w:color="auto"/>
                    <w:left w:val="nil"/>
                    <w:bottom w:val="nil"/>
                    <w:right w:val="nil"/>
                  </w:tcBorders>
                </w:tcPr>
                <w:p w14:paraId="214EE77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deal_culturaldistance</w:t>
                  </w:r>
                </w:p>
              </w:tc>
              <w:tc>
                <w:tcPr>
                  <w:tcW w:w="3231" w:type="dxa"/>
                  <w:tcBorders>
                    <w:top w:val="single" w:sz="4" w:space="0" w:color="auto"/>
                    <w:left w:val="nil"/>
                    <w:bottom w:val="nil"/>
                    <w:right w:val="nil"/>
                  </w:tcBorders>
                  <w:vAlign w:val="center"/>
                </w:tcPr>
                <w:p w14:paraId="6B12DA3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-.002</w:t>
                  </w:r>
                </w:p>
              </w:tc>
              <w:tc>
                <w:tcPr>
                  <w:tcW w:w="3231" w:type="dxa"/>
                  <w:tcBorders>
                    <w:top w:val="single" w:sz="4" w:space="0" w:color="auto"/>
                    <w:left w:val="nil"/>
                    <w:bottom w:val="nil"/>
                    <w:right w:val="nil"/>
                  </w:tcBorders>
                  <w:vAlign w:val="center"/>
                </w:tcPr>
                <w:p w14:paraId="4D4A078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.005</w:t>
                  </w:r>
                </w:p>
              </w:tc>
              <w:tc>
                <w:tcPr>
                  <w:tcW w:w="3231" w:type="dxa"/>
                  <w:tcBorders>
                    <w:top w:val="single" w:sz="4" w:space="0" w:color="auto"/>
                    <w:left w:val="nil"/>
                    <w:bottom w:val="nil"/>
                    <w:right w:val="nil"/>
                  </w:tcBorders>
                  <w:vAlign w:val="center"/>
                </w:tcPr>
                <w:p w14:paraId="2C0EE19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.503*</w:t>
                  </w:r>
                </w:p>
              </w:tc>
            </w:tr>
            <w:tr w:rsidR="00694090" w:rsidRPr="00F60760" w14:paraId="21C8BCFF" w14:textId="77777777" w:rsidTr="001D491F">
              <w:tc>
                <w:tcPr>
                  <w:tcW w:w="3231" w:type="dxa"/>
                  <w:tcBorders>
                    <w:top w:val="nil"/>
                    <w:left w:val="nil"/>
                    <w:bottom w:val="nil"/>
                    <w:right w:val="nil"/>
                  </w:tcBorders>
                </w:tcPr>
                <w:p w14:paraId="081E4D0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0D7E27F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(-.092)</w:t>
                  </w:r>
                </w:p>
              </w:tc>
              <w:tc>
                <w:tcPr>
                  <w:tcW w:w="3231" w:type="dxa"/>
                  <w:tcBorders>
                    <w:top w:val="nil"/>
                    <w:left w:val="nil"/>
                    <w:bottom w:val="nil"/>
                    <w:right w:val="nil"/>
                  </w:tcBorders>
                  <w:vAlign w:val="center"/>
                </w:tcPr>
                <w:p w14:paraId="3BD0E6F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(.236)</w:t>
                  </w:r>
                </w:p>
              </w:tc>
              <w:tc>
                <w:tcPr>
                  <w:tcW w:w="3231" w:type="dxa"/>
                  <w:tcBorders>
                    <w:top w:val="nil"/>
                    <w:left w:val="nil"/>
                    <w:bottom w:val="nil"/>
                    <w:right w:val="nil"/>
                  </w:tcBorders>
                  <w:vAlign w:val="center"/>
                </w:tcPr>
                <w:p w14:paraId="58391AD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(1.983)</w:t>
                  </w:r>
                </w:p>
              </w:tc>
            </w:tr>
            <w:tr w:rsidR="00694090" w:rsidRPr="00F60760" w14:paraId="5D62C327" w14:textId="77777777" w:rsidTr="001D491F">
              <w:tc>
                <w:tcPr>
                  <w:tcW w:w="3231" w:type="dxa"/>
                  <w:tcBorders>
                    <w:top w:val="nil"/>
                    <w:left w:val="nil"/>
                    <w:bottom w:val="nil"/>
                    <w:right w:val="nil"/>
                  </w:tcBorders>
                </w:tcPr>
                <w:p w14:paraId="2D075044"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deal_culturaldistance_quadr</w:t>
                  </w:r>
                </w:p>
              </w:tc>
              <w:tc>
                <w:tcPr>
                  <w:tcW w:w="3231" w:type="dxa"/>
                  <w:tcBorders>
                    <w:top w:val="nil"/>
                    <w:left w:val="nil"/>
                    <w:bottom w:val="nil"/>
                    <w:right w:val="nil"/>
                  </w:tcBorders>
                  <w:vAlign w:val="center"/>
                </w:tcPr>
                <w:p w14:paraId="0C9EFB1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c>
                <w:tcPr>
                  <w:tcW w:w="3231" w:type="dxa"/>
                  <w:tcBorders>
                    <w:top w:val="nil"/>
                    <w:left w:val="nil"/>
                    <w:bottom w:val="nil"/>
                    <w:right w:val="nil"/>
                  </w:tcBorders>
                  <w:vAlign w:val="center"/>
                </w:tcPr>
                <w:p w14:paraId="4A12CE7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.0004</w:t>
                  </w:r>
                </w:p>
              </w:tc>
              <w:tc>
                <w:tcPr>
                  <w:tcW w:w="3231" w:type="dxa"/>
                  <w:tcBorders>
                    <w:top w:val="nil"/>
                    <w:left w:val="nil"/>
                    <w:bottom w:val="nil"/>
                    <w:right w:val="nil"/>
                  </w:tcBorders>
                  <w:vAlign w:val="center"/>
                </w:tcPr>
                <w:p w14:paraId="4E8848E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r>
            <w:tr w:rsidR="00694090" w:rsidRPr="00F60760" w14:paraId="336C9AA0" w14:textId="77777777" w:rsidTr="001D491F">
              <w:tc>
                <w:tcPr>
                  <w:tcW w:w="3231" w:type="dxa"/>
                  <w:tcBorders>
                    <w:top w:val="nil"/>
                    <w:left w:val="nil"/>
                    <w:bottom w:val="nil"/>
                    <w:right w:val="nil"/>
                  </w:tcBorders>
                </w:tcPr>
                <w:p w14:paraId="30E59034"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p>
              </w:tc>
              <w:tc>
                <w:tcPr>
                  <w:tcW w:w="3231" w:type="dxa"/>
                  <w:tcBorders>
                    <w:top w:val="nil"/>
                    <w:left w:val="nil"/>
                    <w:bottom w:val="nil"/>
                    <w:right w:val="nil"/>
                  </w:tcBorders>
                  <w:vAlign w:val="center"/>
                </w:tcPr>
                <w:p w14:paraId="71D9D6F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(.753)</w:t>
                  </w:r>
                </w:p>
              </w:tc>
              <w:tc>
                <w:tcPr>
                  <w:tcW w:w="3231" w:type="dxa"/>
                  <w:tcBorders>
                    <w:top w:val="nil"/>
                    <w:left w:val="nil"/>
                    <w:bottom w:val="nil"/>
                    <w:right w:val="nil"/>
                  </w:tcBorders>
                  <w:vAlign w:val="center"/>
                </w:tcPr>
                <w:p w14:paraId="4D194EF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(.390)</w:t>
                  </w:r>
                </w:p>
              </w:tc>
              <w:tc>
                <w:tcPr>
                  <w:tcW w:w="3231" w:type="dxa"/>
                  <w:tcBorders>
                    <w:top w:val="nil"/>
                    <w:left w:val="nil"/>
                    <w:bottom w:val="nil"/>
                    <w:right w:val="nil"/>
                  </w:tcBorders>
                  <w:vAlign w:val="center"/>
                </w:tcPr>
                <w:p w14:paraId="5EF68C2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r>
            <w:tr w:rsidR="00694090" w:rsidRPr="00F60760" w14:paraId="5BA2D872" w14:textId="77777777" w:rsidTr="001D491F">
              <w:tc>
                <w:tcPr>
                  <w:tcW w:w="3231" w:type="dxa"/>
                  <w:tcBorders>
                    <w:top w:val="nil"/>
                    <w:left w:val="nil"/>
                    <w:bottom w:val="nil"/>
                    <w:right w:val="nil"/>
                  </w:tcBorders>
                </w:tcPr>
                <w:p w14:paraId="6874C4C3"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deal_value_ln</w:t>
                  </w:r>
                </w:p>
              </w:tc>
              <w:tc>
                <w:tcPr>
                  <w:tcW w:w="3231" w:type="dxa"/>
                  <w:tcBorders>
                    <w:top w:val="nil"/>
                    <w:left w:val="nil"/>
                    <w:bottom w:val="nil"/>
                    <w:right w:val="nil"/>
                  </w:tcBorders>
                  <w:vAlign w:val="center"/>
                </w:tcPr>
                <w:p w14:paraId="62AD687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-.009</w:t>
                  </w:r>
                </w:p>
              </w:tc>
              <w:tc>
                <w:tcPr>
                  <w:tcW w:w="3231" w:type="dxa"/>
                  <w:tcBorders>
                    <w:top w:val="nil"/>
                    <w:left w:val="nil"/>
                    <w:bottom w:val="nil"/>
                    <w:right w:val="nil"/>
                  </w:tcBorders>
                  <w:vAlign w:val="center"/>
                </w:tcPr>
                <w:p w14:paraId="318DB88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-.024</w:t>
                  </w:r>
                </w:p>
              </w:tc>
              <w:tc>
                <w:tcPr>
                  <w:tcW w:w="3231" w:type="dxa"/>
                  <w:tcBorders>
                    <w:top w:val="nil"/>
                    <w:left w:val="nil"/>
                    <w:bottom w:val="nil"/>
                    <w:right w:val="nil"/>
                  </w:tcBorders>
                  <w:vAlign w:val="center"/>
                </w:tcPr>
                <w:p w14:paraId="24EE0E2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-.010</w:t>
                  </w:r>
                </w:p>
              </w:tc>
            </w:tr>
            <w:tr w:rsidR="00694090" w:rsidRPr="00F60760" w14:paraId="40CDDEAD" w14:textId="77777777" w:rsidTr="001D491F">
              <w:tc>
                <w:tcPr>
                  <w:tcW w:w="3231" w:type="dxa"/>
                  <w:tcBorders>
                    <w:top w:val="nil"/>
                    <w:left w:val="nil"/>
                    <w:bottom w:val="nil"/>
                    <w:right w:val="nil"/>
                  </w:tcBorders>
                </w:tcPr>
                <w:p w14:paraId="1156702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3C1A0AE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(-.382)</w:t>
                  </w:r>
                </w:p>
              </w:tc>
              <w:tc>
                <w:tcPr>
                  <w:tcW w:w="3231" w:type="dxa"/>
                  <w:tcBorders>
                    <w:top w:val="nil"/>
                    <w:left w:val="nil"/>
                    <w:bottom w:val="nil"/>
                    <w:right w:val="nil"/>
                  </w:tcBorders>
                  <w:vAlign w:val="center"/>
                </w:tcPr>
                <w:p w14:paraId="4E20D4E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(-.955)</w:t>
                  </w:r>
                </w:p>
              </w:tc>
              <w:tc>
                <w:tcPr>
                  <w:tcW w:w="3231" w:type="dxa"/>
                  <w:tcBorders>
                    <w:top w:val="nil"/>
                    <w:left w:val="nil"/>
                    <w:bottom w:val="nil"/>
                    <w:right w:val="nil"/>
                  </w:tcBorders>
                  <w:vAlign w:val="center"/>
                </w:tcPr>
                <w:p w14:paraId="5C944FF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(-.479)</w:t>
                  </w:r>
                </w:p>
              </w:tc>
            </w:tr>
            <w:tr w:rsidR="00694090" w:rsidRPr="00F60760" w14:paraId="775463FC" w14:textId="77777777" w:rsidTr="001D491F">
              <w:tc>
                <w:tcPr>
                  <w:tcW w:w="3231" w:type="dxa"/>
                  <w:tcBorders>
                    <w:top w:val="nil"/>
                    <w:left w:val="nil"/>
                    <w:bottom w:val="nil"/>
                    <w:right w:val="nil"/>
                  </w:tcBorders>
                </w:tcPr>
                <w:p w14:paraId="34E4620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deal_hofstede_distance</w:t>
                  </w:r>
                </w:p>
              </w:tc>
              <w:tc>
                <w:tcPr>
                  <w:tcW w:w="3231" w:type="dxa"/>
                  <w:tcBorders>
                    <w:top w:val="nil"/>
                    <w:left w:val="nil"/>
                    <w:bottom w:val="nil"/>
                    <w:right w:val="nil"/>
                  </w:tcBorders>
                  <w:vAlign w:val="center"/>
                </w:tcPr>
                <w:p w14:paraId="38923FF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.259</w:t>
                  </w:r>
                </w:p>
              </w:tc>
              <w:tc>
                <w:tcPr>
                  <w:tcW w:w="3231" w:type="dxa"/>
                  <w:tcBorders>
                    <w:top w:val="nil"/>
                    <w:left w:val="nil"/>
                    <w:bottom w:val="nil"/>
                    <w:right w:val="nil"/>
                  </w:tcBorders>
                  <w:vAlign w:val="center"/>
                </w:tcPr>
                <w:p w14:paraId="5DAD169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.002</w:t>
                  </w:r>
                </w:p>
              </w:tc>
              <w:tc>
                <w:tcPr>
                  <w:tcW w:w="3231" w:type="dxa"/>
                  <w:tcBorders>
                    <w:top w:val="nil"/>
                    <w:left w:val="nil"/>
                    <w:bottom w:val="nil"/>
                    <w:right w:val="nil"/>
                  </w:tcBorders>
                  <w:vAlign w:val="center"/>
                </w:tcPr>
                <w:p w14:paraId="54485E3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.071</w:t>
                  </w:r>
                </w:p>
              </w:tc>
            </w:tr>
            <w:tr w:rsidR="00694090" w:rsidRPr="00F60760" w14:paraId="0C1AE500" w14:textId="77777777" w:rsidTr="001D491F">
              <w:tc>
                <w:tcPr>
                  <w:tcW w:w="3231" w:type="dxa"/>
                  <w:tcBorders>
                    <w:top w:val="nil"/>
                    <w:left w:val="nil"/>
                    <w:bottom w:val="nil"/>
                    <w:right w:val="nil"/>
                  </w:tcBorders>
                </w:tcPr>
                <w:p w14:paraId="7B8CB73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605E0F8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(1.452)</w:t>
                  </w:r>
                </w:p>
              </w:tc>
              <w:tc>
                <w:tcPr>
                  <w:tcW w:w="3231" w:type="dxa"/>
                  <w:tcBorders>
                    <w:top w:val="nil"/>
                    <w:left w:val="nil"/>
                    <w:bottom w:val="nil"/>
                    <w:right w:val="nil"/>
                  </w:tcBorders>
                  <w:vAlign w:val="center"/>
                </w:tcPr>
                <w:p w14:paraId="13857CD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(.009)</w:t>
                  </w:r>
                </w:p>
              </w:tc>
              <w:tc>
                <w:tcPr>
                  <w:tcW w:w="3231" w:type="dxa"/>
                  <w:tcBorders>
                    <w:top w:val="nil"/>
                    <w:left w:val="nil"/>
                    <w:bottom w:val="nil"/>
                    <w:right w:val="nil"/>
                  </w:tcBorders>
                  <w:vAlign w:val="center"/>
                </w:tcPr>
                <w:p w14:paraId="031307B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(.286)</w:t>
                  </w:r>
                </w:p>
              </w:tc>
            </w:tr>
            <w:tr w:rsidR="00694090" w:rsidRPr="00F60760" w14:paraId="73F9B74C" w14:textId="77777777" w:rsidTr="001D491F">
              <w:tc>
                <w:tcPr>
                  <w:tcW w:w="3231" w:type="dxa"/>
                  <w:tcBorders>
                    <w:top w:val="nil"/>
                    <w:left w:val="nil"/>
                    <w:bottom w:val="nil"/>
                    <w:right w:val="nil"/>
                  </w:tcBorders>
                </w:tcPr>
                <w:p w14:paraId="7ECFE05B"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deal_all_cash_dummy</w:t>
                  </w:r>
                </w:p>
              </w:tc>
              <w:tc>
                <w:tcPr>
                  <w:tcW w:w="3231" w:type="dxa"/>
                  <w:tcBorders>
                    <w:top w:val="nil"/>
                    <w:left w:val="nil"/>
                    <w:bottom w:val="nil"/>
                    <w:right w:val="nil"/>
                  </w:tcBorders>
                  <w:vAlign w:val="center"/>
                </w:tcPr>
                <w:p w14:paraId="07DEEC1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.105**</w:t>
                  </w:r>
                </w:p>
              </w:tc>
              <w:tc>
                <w:tcPr>
                  <w:tcW w:w="3231" w:type="dxa"/>
                  <w:tcBorders>
                    <w:top w:val="nil"/>
                    <w:left w:val="nil"/>
                    <w:bottom w:val="nil"/>
                    <w:right w:val="nil"/>
                  </w:tcBorders>
                  <w:vAlign w:val="center"/>
                </w:tcPr>
                <w:p w14:paraId="0E145F1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.121**</w:t>
                  </w:r>
                </w:p>
              </w:tc>
              <w:tc>
                <w:tcPr>
                  <w:tcW w:w="3231" w:type="dxa"/>
                  <w:tcBorders>
                    <w:top w:val="nil"/>
                    <w:left w:val="nil"/>
                    <w:bottom w:val="nil"/>
                    <w:right w:val="nil"/>
                  </w:tcBorders>
                  <w:vAlign w:val="center"/>
                </w:tcPr>
                <w:p w14:paraId="3E91A1D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.088</w:t>
                  </w:r>
                </w:p>
              </w:tc>
            </w:tr>
            <w:tr w:rsidR="00694090" w:rsidRPr="00F60760" w14:paraId="6A23D661" w14:textId="77777777" w:rsidTr="001D491F">
              <w:tc>
                <w:tcPr>
                  <w:tcW w:w="3231" w:type="dxa"/>
                  <w:tcBorders>
                    <w:top w:val="nil"/>
                    <w:left w:val="nil"/>
                    <w:bottom w:val="nil"/>
                    <w:right w:val="nil"/>
                  </w:tcBorders>
                </w:tcPr>
                <w:p w14:paraId="4DF9DFC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060B018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(2.063)</w:t>
                  </w:r>
                </w:p>
              </w:tc>
              <w:tc>
                <w:tcPr>
                  <w:tcW w:w="3231" w:type="dxa"/>
                  <w:tcBorders>
                    <w:top w:val="nil"/>
                    <w:left w:val="nil"/>
                    <w:bottom w:val="nil"/>
                    <w:right w:val="nil"/>
                  </w:tcBorders>
                  <w:vAlign w:val="center"/>
                </w:tcPr>
                <w:p w14:paraId="6F476EC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(2.336)</w:t>
                  </w:r>
                </w:p>
              </w:tc>
              <w:tc>
                <w:tcPr>
                  <w:tcW w:w="3231" w:type="dxa"/>
                  <w:tcBorders>
                    <w:top w:val="nil"/>
                    <w:left w:val="nil"/>
                    <w:bottom w:val="nil"/>
                    <w:right w:val="nil"/>
                  </w:tcBorders>
                  <w:vAlign w:val="center"/>
                </w:tcPr>
                <w:p w14:paraId="2271284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(1.527)</w:t>
                  </w:r>
                </w:p>
              </w:tc>
            </w:tr>
            <w:tr w:rsidR="00694090" w:rsidRPr="00F60760" w14:paraId="25348F17" w14:textId="77777777" w:rsidTr="001D491F">
              <w:tc>
                <w:tcPr>
                  <w:tcW w:w="3231" w:type="dxa"/>
                  <w:tcBorders>
                    <w:top w:val="nil"/>
                    <w:left w:val="nil"/>
                    <w:bottom w:val="nil"/>
                    <w:right w:val="nil"/>
                  </w:tcBorders>
                </w:tcPr>
                <w:p w14:paraId="7BE44138"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deal_all_stock_dummy</w:t>
                  </w:r>
                </w:p>
              </w:tc>
              <w:tc>
                <w:tcPr>
                  <w:tcW w:w="3231" w:type="dxa"/>
                  <w:tcBorders>
                    <w:top w:val="nil"/>
                    <w:left w:val="nil"/>
                    <w:bottom w:val="nil"/>
                    <w:right w:val="nil"/>
                  </w:tcBorders>
                  <w:vAlign w:val="center"/>
                </w:tcPr>
                <w:p w14:paraId="7EA6F67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-.109</w:t>
                  </w:r>
                </w:p>
              </w:tc>
              <w:tc>
                <w:tcPr>
                  <w:tcW w:w="3231" w:type="dxa"/>
                  <w:tcBorders>
                    <w:top w:val="nil"/>
                    <w:left w:val="nil"/>
                    <w:bottom w:val="nil"/>
                    <w:right w:val="nil"/>
                  </w:tcBorders>
                  <w:vAlign w:val="center"/>
                </w:tcPr>
                <w:p w14:paraId="6649BCB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-.114*</w:t>
                  </w:r>
                </w:p>
              </w:tc>
              <w:tc>
                <w:tcPr>
                  <w:tcW w:w="3231" w:type="dxa"/>
                  <w:tcBorders>
                    <w:top w:val="nil"/>
                    <w:left w:val="nil"/>
                    <w:bottom w:val="nil"/>
                    <w:right w:val="nil"/>
                  </w:tcBorders>
                  <w:vAlign w:val="center"/>
                </w:tcPr>
                <w:p w14:paraId="35DAC7E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-.109</w:t>
                  </w:r>
                </w:p>
              </w:tc>
            </w:tr>
            <w:tr w:rsidR="00694090" w:rsidRPr="00F60760" w14:paraId="2C7C7079" w14:textId="77777777" w:rsidTr="001D491F">
              <w:tc>
                <w:tcPr>
                  <w:tcW w:w="3231" w:type="dxa"/>
                  <w:tcBorders>
                    <w:top w:val="nil"/>
                    <w:left w:val="nil"/>
                    <w:bottom w:val="nil"/>
                    <w:right w:val="nil"/>
                  </w:tcBorders>
                </w:tcPr>
                <w:p w14:paraId="6C621D7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0B11AD0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(-1.586)</w:t>
                  </w:r>
                </w:p>
              </w:tc>
              <w:tc>
                <w:tcPr>
                  <w:tcW w:w="3231" w:type="dxa"/>
                  <w:tcBorders>
                    <w:top w:val="nil"/>
                    <w:left w:val="nil"/>
                    <w:bottom w:val="nil"/>
                    <w:right w:val="nil"/>
                  </w:tcBorders>
                  <w:vAlign w:val="center"/>
                </w:tcPr>
                <w:p w14:paraId="4027F25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(-1.772)</w:t>
                  </w:r>
                </w:p>
              </w:tc>
              <w:tc>
                <w:tcPr>
                  <w:tcW w:w="3231" w:type="dxa"/>
                  <w:tcBorders>
                    <w:top w:val="nil"/>
                    <w:left w:val="nil"/>
                    <w:bottom w:val="nil"/>
                    <w:right w:val="nil"/>
                  </w:tcBorders>
                  <w:vAlign w:val="center"/>
                </w:tcPr>
                <w:p w14:paraId="57888C5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(-1.551)</w:t>
                  </w:r>
                </w:p>
              </w:tc>
            </w:tr>
            <w:tr w:rsidR="00694090" w:rsidRPr="00F60760" w14:paraId="25E57228" w14:textId="77777777" w:rsidTr="001D491F">
              <w:tc>
                <w:tcPr>
                  <w:tcW w:w="3231" w:type="dxa"/>
                  <w:tcBorders>
                    <w:top w:val="nil"/>
                    <w:left w:val="nil"/>
                    <w:bottom w:val="nil"/>
                    <w:right w:val="nil"/>
                  </w:tcBorders>
                </w:tcPr>
                <w:p w14:paraId="3CF39265"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deal_tenderoffer_dummy</w:t>
                  </w:r>
                </w:p>
              </w:tc>
              <w:tc>
                <w:tcPr>
                  <w:tcW w:w="3231" w:type="dxa"/>
                  <w:tcBorders>
                    <w:top w:val="nil"/>
                    <w:left w:val="nil"/>
                    <w:bottom w:val="nil"/>
                    <w:right w:val="nil"/>
                  </w:tcBorders>
                  <w:vAlign w:val="center"/>
                </w:tcPr>
                <w:p w14:paraId="67440E9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-.065</w:t>
                  </w:r>
                </w:p>
              </w:tc>
              <w:tc>
                <w:tcPr>
                  <w:tcW w:w="3231" w:type="dxa"/>
                  <w:tcBorders>
                    <w:top w:val="nil"/>
                    <w:left w:val="nil"/>
                    <w:bottom w:val="nil"/>
                    <w:right w:val="nil"/>
                  </w:tcBorders>
                  <w:vAlign w:val="center"/>
                </w:tcPr>
                <w:p w14:paraId="38F1D31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-.091</w:t>
                  </w:r>
                </w:p>
              </w:tc>
              <w:tc>
                <w:tcPr>
                  <w:tcW w:w="3231" w:type="dxa"/>
                  <w:tcBorders>
                    <w:top w:val="nil"/>
                    <w:left w:val="nil"/>
                    <w:bottom w:val="nil"/>
                    <w:right w:val="nil"/>
                  </w:tcBorders>
                  <w:vAlign w:val="center"/>
                </w:tcPr>
                <w:p w14:paraId="303CC1D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-.084</w:t>
                  </w:r>
                </w:p>
              </w:tc>
            </w:tr>
            <w:tr w:rsidR="00694090" w:rsidRPr="00F60760" w14:paraId="265E45C6" w14:textId="77777777" w:rsidTr="001D491F">
              <w:tc>
                <w:tcPr>
                  <w:tcW w:w="3231" w:type="dxa"/>
                  <w:tcBorders>
                    <w:top w:val="nil"/>
                    <w:left w:val="nil"/>
                    <w:bottom w:val="nil"/>
                    <w:right w:val="nil"/>
                  </w:tcBorders>
                </w:tcPr>
                <w:p w14:paraId="6E593794"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6FB61AC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(-.943)</w:t>
                  </w:r>
                </w:p>
              </w:tc>
              <w:tc>
                <w:tcPr>
                  <w:tcW w:w="3231" w:type="dxa"/>
                  <w:tcBorders>
                    <w:top w:val="nil"/>
                    <w:left w:val="nil"/>
                    <w:bottom w:val="nil"/>
                    <w:right w:val="nil"/>
                  </w:tcBorders>
                  <w:vAlign w:val="center"/>
                </w:tcPr>
                <w:p w14:paraId="382F3C5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(-1.265)</w:t>
                  </w:r>
                </w:p>
              </w:tc>
              <w:tc>
                <w:tcPr>
                  <w:tcW w:w="3231" w:type="dxa"/>
                  <w:tcBorders>
                    <w:top w:val="nil"/>
                    <w:left w:val="nil"/>
                    <w:bottom w:val="nil"/>
                    <w:right w:val="nil"/>
                  </w:tcBorders>
                  <w:vAlign w:val="center"/>
                </w:tcPr>
                <w:p w14:paraId="072B621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(-1.212)</w:t>
                  </w:r>
                </w:p>
              </w:tc>
            </w:tr>
            <w:tr w:rsidR="00694090" w:rsidRPr="00F60760" w14:paraId="3D051A7A" w14:textId="77777777" w:rsidTr="001D491F">
              <w:tc>
                <w:tcPr>
                  <w:tcW w:w="3231" w:type="dxa"/>
                  <w:tcBorders>
                    <w:top w:val="nil"/>
                    <w:left w:val="nil"/>
                    <w:bottom w:val="nil"/>
                    <w:right w:val="nil"/>
                  </w:tcBorders>
                </w:tcPr>
                <w:p w14:paraId="09A792B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deal_friendly_dummy</w:t>
                  </w:r>
                </w:p>
              </w:tc>
              <w:tc>
                <w:tcPr>
                  <w:tcW w:w="3231" w:type="dxa"/>
                  <w:tcBorders>
                    <w:top w:val="nil"/>
                    <w:left w:val="nil"/>
                    <w:bottom w:val="nil"/>
                    <w:right w:val="nil"/>
                  </w:tcBorders>
                  <w:vAlign w:val="center"/>
                </w:tcPr>
                <w:p w14:paraId="7CB49C3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.386***</w:t>
                  </w:r>
                </w:p>
              </w:tc>
              <w:tc>
                <w:tcPr>
                  <w:tcW w:w="3231" w:type="dxa"/>
                  <w:tcBorders>
                    <w:top w:val="nil"/>
                    <w:left w:val="nil"/>
                    <w:bottom w:val="nil"/>
                    <w:right w:val="nil"/>
                  </w:tcBorders>
                  <w:vAlign w:val="center"/>
                </w:tcPr>
                <w:p w14:paraId="37DA087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.349**</w:t>
                  </w:r>
                </w:p>
              </w:tc>
              <w:tc>
                <w:tcPr>
                  <w:tcW w:w="3231" w:type="dxa"/>
                  <w:tcBorders>
                    <w:top w:val="nil"/>
                    <w:left w:val="nil"/>
                    <w:bottom w:val="nil"/>
                    <w:right w:val="nil"/>
                  </w:tcBorders>
                  <w:vAlign w:val="center"/>
                </w:tcPr>
                <w:p w14:paraId="42832A9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.352***</w:t>
                  </w:r>
                </w:p>
              </w:tc>
            </w:tr>
            <w:tr w:rsidR="00694090" w:rsidRPr="00F60760" w14:paraId="3C668980" w14:textId="77777777" w:rsidTr="001D491F">
              <w:tc>
                <w:tcPr>
                  <w:tcW w:w="3231" w:type="dxa"/>
                  <w:tcBorders>
                    <w:top w:val="nil"/>
                    <w:left w:val="nil"/>
                    <w:bottom w:val="nil"/>
                    <w:right w:val="nil"/>
                  </w:tcBorders>
                </w:tcPr>
                <w:p w14:paraId="07D58255"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24F5995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(3.044)</w:t>
                  </w:r>
                </w:p>
              </w:tc>
              <w:tc>
                <w:tcPr>
                  <w:tcW w:w="3231" w:type="dxa"/>
                  <w:tcBorders>
                    <w:top w:val="nil"/>
                    <w:left w:val="nil"/>
                    <w:bottom w:val="nil"/>
                    <w:right w:val="nil"/>
                  </w:tcBorders>
                  <w:vAlign w:val="center"/>
                </w:tcPr>
                <w:p w14:paraId="7D08B41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(2.367)</w:t>
                  </w:r>
                </w:p>
              </w:tc>
              <w:tc>
                <w:tcPr>
                  <w:tcW w:w="3231" w:type="dxa"/>
                  <w:tcBorders>
                    <w:top w:val="nil"/>
                    <w:left w:val="nil"/>
                    <w:bottom w:val="nil"/>
                    <w:right w:val="nil"/>
                  </w:tcBorders>
                  <w:vAlign w:val="center"/>
                </w:tcPr>
                <w:p w14:paraId="51F1982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(2.888)</w:t>
                  </w:r>
                </w:p>
              </w:tc>
            </w:tr>
            <w:tr w:rsidR="00694090" w:rsidRPr="00F60760" w14:paraId="2957715D" w14:textId="77777777" w:rsidTr="001D491F">
              <w:tc>
                <w:tcPr>
                  <w:tcW w:w="3231" w:type="dxa"/>
                  <w:tcBorders>
                    <w:top w:val="nil"/>
                    <w:left w:val="nil"/>
                    <w:bottom w:val="nil"/>
                    <w:right w:val="nil"/>
                  </w:tcBorders>
                </w:tcPr>
                <w:p w14:paraId="44B5C6F8"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deal_relatedness_dummy</w:t>
                  </w:r>
                </w:p>
              </w:tc>
              <w:tc>
                <w:tcPr>
                  <w:tcW w:w="3231" w:type="dxa"/>
                  <w:tcBorders>
                    <w:top w:val="nil"/>
                    <w:left w:val="nil"/>
                    <w:bottom w:val="nil"/>
                    <w:right w:val="nil"/>
                  </w:tcBorders>
                  <w:vAlign w:val="center"/>
                </w:tcPr>
                <w:p w14:paraId="0C9EFF4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.076</w:t>
                  </w:r>
                </w:p>
              </w:tc>
              <w:tc>
                <w:tcPr>
                  <w:tcW w:w="3231" w:type="dxa"/>
                  <w:tcBorders>
                    <w:top w:val="nil"/>
                    <w:left w:val="nil"/>
                    <w:bottom w:val="nil"/>
                    <w:right w:val="nil"/>
                  </w:tcBorders>
                  <w:vAlign w:val="center"/>
                </w:tcPr>
                <w:p w14:paraId="4AB3D87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.068</w:t>
                  </w:r>
                </w:p>
              </w:tc>
              <w:tc>
                <w:tcPr>
                  <w:tcW w:w="3231" w:type="dxa"/>
                  <w:tcBorders>
                    <w:top w:val="nil"/>
                    <w:left w:val="nil"/>
                    <w:bottom w:val="nil"/>
                    <w:right w:val="nil"/>
                  </w:tcBorders>
                  <w:vAlign w:val="center"/>
                </w:tcPr>
                <w:p w14:paraId="7084951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.120**</w:t>
                  </w:r>
                </w:p>
              </w:tc>
            </w:tr>
            <w:tr w:rsidR="00694090" w:rsidRPr="00F60760" w14:paraId="05130A7D" w14:textId="77777777" w:rsidTr="001D491F">
              <w:tc>
                <w:tcPr>
                  <w:tcW w:w="3231" w:type="dxa"/>
                  <w:tcBorders>
                    <w:top w:val="nil"/>
                    <w:left w:val="nil"/>
                    <w:bottom w:val="nil"/>
                    <w:right w:val="nil"/>
                  </w:tcBorders>
                </w:tcPr>
                <w:p w14:paraId="1AA4BBA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3CBFB85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(1.198)</w:t>
                  </w:r>
                </w:p>
              </w:tc>
              <w:tc>
                <w:tcPr>
                  <w:tcW w:w="3231" w:type="dxa"/>
                  <w:tcBorders>
                    <w:top w:val="nil"/>
                    <w:left w:val="nil"/>
                    <w:bottom w:val="nil"/>
                    <w:right w:val="nil"/>
                  </w:tcBorders>
                  <w:vAlign w:val="center"/>
                </w:tcPr>
                <w:p w14:paraId="221047D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(1.114)</w:t>
                  </w:r>
                </w:p>
              </w:tc>
              <w:tc>
                <w:tcPr>
                  <w:tcW w:w="3231" w:type="dxa"/>
                  <w:tcBorders>
                    <w:top w:val="nil"/>
                    <w:left w:val="nil"/>
                    <w:bottom w:val="nil"/>
                    <w:right w:val="nil"/>
                  </w:tcBorders>
                  <w:vAlign w:val="center"/>
                </w:tcPr>
                <w:p w14:paraId="65A1A3B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(2.145)</w:t>
                  </w:r>
                </w:p>
              </w:tc>
            </w:tr>
            <w:tr w:rsidR="00694090" w:rsidRPr="00F60760" w14:paraId="73D295A6" w14:textId="77777777" w:rsidTr="001D491F">
              <w:tc>
                <w:tcPr>
                  <w:tcW w:w="3231" w:type="dxa"/>
                  <w:tcBorders>
                    <w:top w:val="nil"/>
                    <w:left w:val="nil"/>
                    <w:bottom w:val="nil"/>
                    <w:right w:val="nil"/>
                  </w:tcBorders>
                </w:tcPr>
                <w:p w14:paraId="468610D0"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acq_age</w:t>
                  </w:r>
                </w:p>
              </w:tc>
              <w:tc>
                <w:tcPr>
                  <w:tcW w:w="3231" w:type="dxa"/>
                  <w:tcBorders>
                    <w:top w:val="nil"/>
                    <w:left w:val="nil"/>
                    <w:bottom w:val="nil"/>
                    <w:right w:val="nil"/>
                  </w:tcBorders>
                  <w:vAlign w:val="center"/>
                </w:tcPr>
                <w:p w14:paraId="203FC64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-.0001</w:t>
                  </w:r>
                </w:p>
              </w:tc>
              <w:tc>
                <w:tcPr>
                  <w:tcW w:w="3231" w:type="dxa"/>
                  <w:tcBorders>
                    <w:top w:val="nil"/>
                    <w:left w:val="nil"/>
                    <w:bottom w:val="nil"/>
                    <w:right w:val="nil"/>
                  </w:tcBorders>
                  <w:vAlign w:val="center"/>
                </w:tcPr>
                <w:p w14:paraId="49A5FC3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-.0003</w:t>
                  </w:r>
                </w:p>
              </w:tc>
              <w:tc>
                <w:tcPr>
                  <w:tcW w:w="3231" w:type="dxa"/>
                  <w:tcBorders>
                    <w:top w:val="nil"/>
                    <w:left w:val="nil"/>
                    <w:bottom w:val="nil"/>
                    <w:right w:val="nil"/>
                  </w:tcBorders>
                  <w:vAlign w:val="center"/>
                </w:tcPr>
                <w:p w14:paraId="7FC997D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-.0003</w:t>
                  </w:r>
                </w:p>
              </w:tc>
            </w:tr>
            <w:tr w:rsidR="00694090" w:rsidRPr="00F60760" w14:paraId="0194F7E0" w14:textId="77777777" w:rsidTr="001D491F">
              <w:tc>
                <w:tcPr>
                  <w:tcW w:w="3231" w:type="dxa"/>
                  <w:tcBorders>
                    <w:top w:val="nil"/>
                    <w:left w:val="nil"/>
                    <w:bottom w:val="nil"/>
                    <w:right w:val="nil"/>
                  </w:tcBorders>
                </w:tcPr>
                <w:p w14:paraId="70C4086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2B831E1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(-.114)</w:t>
                  </w:r>
                </w:p>
              </w:tc>
              <w:tc>
                <w:tcPr>
                  <w:tcW w:w="3231" w:type="dxa"/>
                  <w:tcBorders>
                    <w:top w:val="nil"/>
                    <w:left w:val="nil"/>
                    <w:bottom w:val="nil"/>
                    <w:right w:val="nil"/>
                  </w:tcBorders>
                  <w:vAlign w:val="center"/>
                </w:tcPr>
                <w:p w14:paraId="6025A3D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(-.628)</w:t>
                  </w:r>
                </w:p>
              </w:tc>
              <w:tc>
                <w:tcPr>
                  <w:tcW w:w="3231" w:type="dxa"/>
                  <w:tcBorders>
                    <w:top w:val="nil"/>
                    <w:left w:val="nil"/>
                    <w:bottom w:val="nil"/>
                    <w:right w:val="nil"/>
                  </w:tcBorders>
                  <w:vAlign w:val="center"/>
                </w:tcPr>
                <w:p w14:paraId="1F0AEF8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(-.707)</w:t>
                  </w:r>
                </w:p>
              </w:tc>
            </w:tr>
            <w:tr w:rsidR="00694090" w:rsidRPr="00F60760" w14:paraId="714D98E1" w14:textId="77777777" w:rsidTr="001D491F">
              <w:tc>
                <w:tcPr>
                  <w:tcW w:w="3231" w:type="dxa"/>
                  <w:tcBorders>
                    <w:top w:val="nil"/>
                    <w:left w:val="nil"/>
                    <w:bottom w:val="nil"/>
                    <w:right w:val="nil"/>
                  </w:tcBorders>
                </w:tcPr>
                <w:p w14:paraId="4AF6055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acq_assets_lastyear_ln</w:t>
                  </w:r>
                </w:p>
              </w:tc>
              <w:tc>
                <w:tcPr>
                  <w:tcW w:w="3231" w:type="dxa"/>
                  <w:tcBorders>
                    <w:top w:val="nil"/>
                    <w:left w:val="nil"/>
                    <w:bottom w:val="nil"/>
                    <w:right w:val="nil"/>
                  </w:tcBorders>
                  <w:vAlign w:val="center"/>
                </w:tcPr>
                <w:p w14:paraId="5B36F66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.019</w:t>
                  </w:r>
                </w:p>
              </w:tc>
              <w:tc>
                <w:tcPr>
                  <w:tcW w:w="3231" w:type="dxa"/>
                  <w:tcBorders>
                    <w:top w:val="nil"/>
                    <w:left w:val="nil"/>
                    <w:bottom w:val="nil"/>
                    <w:right w:val="nil"/>
                  </w:tcBorders>
                  <w:vAlign w:val="center"/>
                </w:tcPr>
                <w:p w14:paraId="66989E8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.026</w:t>
                  </w:r>
                </w:p>
              </w:tc>
              <w:tc>
                <w:tcPr>
                  <w:tcW w:w="3231" w:type="dxa"/>
                  <w:tcBorders>
                    <w:top w:val="nil"/>
                    <w:left w:val="nil"/>
                    <w:bottom w:val="nil"/>
                    <w:right w:val="nil"/>
                  </w:tcBorders>
                  <w:vAlign w:val="center"/>
                </w:tcPr>
                <w:p w14:paraId="080635E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.045</w:t>
                  </w:r>
                </w:p>
              </w:tc>
            </w:tr>
            <w:tr w:rsidR="00694090" w:rsidRPr="00F60760" w14:paraId="5A0F5A22" w14:textId="77777777" w:rsidTr="001D491F">
              <w:tc>
                <w:tcPr>
                  <w:tcW w:w="3231" w:type="dxa"/>
                  <w:tcBorders>
                    <w:top w:val="nil"/>
                    <w:left w:val="nil"/>
                    <w:bottom w:val="nil"/>
                    <w:right w:val="nil"/>
                  </w:tcBorders>
                </w:tcPr>
                <w:p w14:paraId="48EEED05"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1107A74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(.573)</w:t>
                  </w:r>
                </w:p>
              </w:tc>
              <w:tc>
                <w:tcPr>
                  <w:tcW w:w="3231" w:type="dxa"/>
                  <w:tcBorders>
                    <w:top w:val="nil"/>
                    <w:left w:val="nil"/>
                    <w:bottom w:val="nil"/>
                    <w:right w:val="nil"/>
                  </w:tcBorders>
                  <w:vAlign w:val="center"/>
                </w:tcPr>
                <w:p w14:paraId="6DA8BC5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(.843)</w:t>
                  </w:r>
                </w:p>
              </w:tc>
              <w:tc>
                <w:tcPr>
                  <w:tcW w:w="3231" w:type="dxa"/>
                  <w:tcBorders>
                    <w:top w:val="nil"/>
                    <w:left w:val="nil"/>
                    <w:bottom w:val="nil"/>
                    <w:right w:val="nil"/>
                  </w:tcBorders>
                  <w:vAlign w:val="center"/>
                </w:tcPr>
                <w:p w14:paraId="7D4EFB6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(1.203)</w:t>
                  </w:r>
                </w:p>
              </w:tc>
            </w:tr>
            <w:tr w:rsidR="00694090" w:rsidRPr="00F60760" w14:paraId="6EE68915" w14:textId="77777777" w:rsidTr="001D491F">
              <w:tc>
                <w:tcPr>
                  <w:tcW w:w="3231" w:type="dxa"/>
                  <w:tcBorders>
                    <w:top w:val="nil"/>
                    <w:left w:val="nil"/>
                    <w:bottom w:val="nil"/>
                    <w:right w:val="nil"/>
                  </w:tcBorders>
                </w:tcPr>
                <w:p w14:paraId="1A01C1B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acq_roa_lastyear</w:t>
                  </w:r>
                </w:p>
              </w:tc>
              <w:tc>
                <w:tcPr>
                  <w:tcW w:w="3231" w:type="dxa"/>
                  <w:tcBorders>
                    <w:top w:val="nil"/>
                    <w:left w:val="nil"/>
                    <w:bottom w:val="nil"/>
                    <w:right w:val="nil"/>
                  </w:tcBorders>
                  <w:vAlign w:val="center"/>
                </w:tcPr>
                <w:p w14:paraId="50714A8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.013</w:t>
                  </w:r>
                </w:p>
              </w:tc>
              <w:tc>
                <w:tcPr>
                  <w:tcW w:w="3231" w:type="dxa"/>
                  <w:tcBorders>
                    <w:top w:val="nil"/>
                    <w:left w:val="nil"/>
                    <w:bottom w:val="nil"/>
                    <w:right w:val="nil"/>
                  </w:tcBorders>
                  <w:vAlign w:val="center"/>
                </w:tcPr>
                <w:p w14:paraId="25449D4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.028*</w:t>
                  </w:r>
                </w:p>
              </w:tc>
              <w:tc>
                <w:tcPr>
                  <w:tcW w:w="3231" w:type="dxa"/>
                  <w:tcBorders>
                    <w:top w:val="nil"/>
                    <w:left w:val="nil"/>
                    <w:bottom w:val="nil"/>
                    <w:right w:val="nil"/>
                  </w:tcBorders>
                  <w:vAlign w:val="center"/>
                </w:tcPr>
                <w:p w14:paraId="5452287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.030*</w:t>
                  </w:r>
                </w:p>
              </w:tc>
            </w:tr>
            <w:tr w:rsidR="00694090" w:rsidRPr="00F60760" w14:paraId="268C4BFD" w14:textId="77777777" w:rsidTr="001D491F">
              <w:tc>
                <w:tcPr>
                  <w:tcW w:w="3231" w:type="dxa"/>
                  <w:tcBorders>
                    <w:top w:val="nil"/>
                    <w:left w:val="nil"/>
                    <w:bottom w:val="nil"/>
                    <w:right w:val="nil"/>
                  </w:tcBorders>
                </w:tcPr>
                <w:p w14:paraId="1D25EB8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52C89DE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(.661)</w:t>
                  </w:r>
                </w:p>
              </w:tc>
              <w:tc>
                <w:tcPr>
                  <w:tcW w:w="3231" w:type="dxa"/>
                  <w:tcBorders>
                    <w:top w:val="nil"/>
                    <w:left w:val="nil"/>
                    <w:bottom w:val="nil"/>
                    <w:right w:val="nil"/>
                  </w:tcBorders>
                  <w:vAlign w:val="center"/>
                </w:tcPr>
                <w:p w14:paraId="755DE82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(1.753)</w:t>
                  </w:r>
                </w:p>
              </w:tc>
              <w:tc>
                <w:tcPr>
                  <w:tcW w:w="3231" w:type="dxa"/>
                  <w:tcBorders>
                    <w:top w:val="nil"/>
                    <w:left w:val="nil"/>
                    <w:bottom w:val="nil"/>
                    <w:right w:val="nil"/>
                  </w:tcBorders>
                  <w:vAlign w:val="center"/>
                </w:tcPr>
                <w:p w14:paraId="2E9F0B9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(1.919)</w:t>
                  </w:r>
                </w:p>
              </w:tc>
            </w:tr>
            <w:tr w:rsidR="00694090" w:rsidRPr="00F60760" w14:paraId="0A5E53C2" w14:textId="77777777" w:rsidTr="001D491F">
              <w:tc>
                <w:tcPr>
                  <w:tcW w:w="3231" w:type="dxa"/>
                  <w:tcBorders>
                    <w:top w:val="nil"/>
                    <w:left w:val="nil"/>
                    <w:bottom w:val="nil"/>
                    <w:right w:val="nil"/>
                  </w:tcBorders>
                </w:tcPr>
                <w:p w14:paraId="6F4C023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acq_industrygrowth</w:t>
                  </w:r>
                </w:p>
              </w:tc>
              <w:tc>
                <w:tcPr>
                  <w:tcW w:w="3231" w:type="dxa"/>
                  <w:tcBorders>
                    <w:top w:val="nil"/>
                    <w:left w:val="nil"/>
                    <w:bottom w:val="nil"/>
                    <w:right w:val="nil"/>
                  </w:tcBorders>
                  <w:vAlign w:val="center"/>
                </w:tcPr>
                <w:p w14:paraId="51FE325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-2.268***</w:t>
                  </w:r>
                </w:p>
              </w:tc>
              <w:tc>
                <w:tcPr>
                  <w:tcW w:w="3231" w:type="dxa"/>
                  <w:tcBorders>
                    <w:top w:val="nil"/>
                    <w:left w:val="nil"/>
                    <w:bottom w:val="nil"/>
                    <w:right w:val="nil"/>
                  </w:tcBorders>
                  <w:vAlign w:val="center"/>
                </w:tcPr>
                <w:p w14:paraId="1FDD907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-2.099***</w:t>
                  </w:r>
                </w:p>
              </w:tc>
              <w:tc>
                <w:tcPr>
                  <w:tcW w:w="3231" w:type="dxa"/>
                  <w:tcBorders>
                    <w:top w:val="nil"/>
                    <w:left w:val="nil"/>
                    <w:bottom w:val="nil"/>
                    <w:right w:val="nil"/>
                  </w:tcBorders>
                  <w:vAlign w:val="center"/>
                </w:tcPr>
                <w:p w14:paraId="11FBF7C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-1.912***</w:t>
                  </w:r>
                </w:p>
              </w:tc>
            </w:tr>
            <w:tr w:rsidR="00694090" w:rsidRPr="00F60760" w14:paraId="662AC205" w14:textId="77777777" w:rsidTr="001D491F">
              <w:tc>
                <w:tcPr>
                  <w:tcW w:w="3231" w:type="dxa"/>
                  <w:tcBorders>
                    <w:top w:val="nil"/>
                    <w:left w:val="nil"/>
                    <w:bottom w:val="nil"/>
                    <w:right w:val="nil"/>
                  </w:tcBorders>
                </w:tcPr>
                <w:p w14:paraId="5FBFFC9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634AE34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(-3.574)</w:t>
                  </w:r>
                </w:p>
              </w:tc>
              <w:tc>
                <w:tcPr>
                  <w:tcW w:w="3231" w:type="dxa"/>
                  <w:tcBorders>
                    <w:top w:val="nil"/>
                    <w:left w:val="nil"/>
                    <w:bottom w:val="nil"/>
                    <w:right w:val="nil"/>
                  </w:tcBorders>
                  <w:vAlign w:val="center"/>
                </w:tcPr>
                <w:p w14:paraId="4AFE2F9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(-3.346)</w:t>
                  </w:r>
                </w:p>
              </w:tc>
              <w:tc>
                <w:tcPr>
                  <w:tcW w:w="3231" w:type="dxa"/>
                  <w:tcBorders>
                    <w:top w:val="nil"/>
                    <w:left w:val="nil"/>
                    <w:bottom w:val="nil"/>
                    <w:right w:val="nil"/>
                  </w:tcBorders>
                  <w:vAlign w:val="center"/>
                </w:tcPr>
                <w:p w14:paraId="1474F6B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(-2.770)</w:t>
                  </w:r>
                </w:p>
              </w:tc>
            </w:tr>
            <w:tr w:rsidR="00694090" w:rsidRPr="00F60760" w14:paraId="6376B70C" w14:textId="77777777" w:rsidTr="001D491F">
              <w:tc>
                <w:tcPr>
                  <w:tcW w:w="3231" w:type="dxa"/>
                  <w:tcBorders>
                    <w:top w:val="nil"/>
                    <w:left w:val="nil"/>
                    <w:bottom w:val="nil"/>
                    <w:right w:val="nil"/>
                  </w:tcBorders>
                </w:tcPr>
                <w:p w14:paraId="11622258"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acq_dealexperience</w:t>
                  </w:r>
                </w:p>
              </w:tc>
              <w:tc>
                <w:tcPr>
                  <w:tcW w:w="3231" w:type="dxa"/>
                  <w:tcBorders>
                    <w:top w:val="nil"/>
                    <w:left w:val="nil"/>
                    <w:bottom w:val="nil"/>
                    <w:right w:val="nil"/>
                  </w:tcBorders>
                  <w:vAlign w:val="center"/>
                </w:tcPr>
                <w:p w14:paraId="7CCC4C5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-.043</w:t>
                  </w:r>
                </w:p>
              </w:tc>
              <w:tc>
                <w:tcPr>
                  <w:tcW w:w="3231" w:type="dxa"/>
                  <w:tcBorders>
                    <w:top w:val="nil"/>
                    <w:left w:val="nil"/>
                    <w:bottom w:val="nil"/>
                    <w:right w:val="nil"/>
                  </w:tcBorders>
                  <w:vAlign w:val="center"/>
                </w:tcPr>
                <w:p w14:paraId="449A165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-.043</w:t>
                  </w:r>
                </w:p>
              </w:tc>
              <w:tc>
                <w:tcPr>
                  <w:tcW w:w="3231" w:type="dxa"/>
                  <w:tcBorders>
                    <w:top w:val="nil"/>
                    <w:left w:val="nil"/>
                    <w:bottom w:val="nil"/>
                    <w:right w:val="nil"/>
                  </w:tcBorders>
                  <w:vAlign w:val="center"/>
                </w:tcPr>
                <w:p w14:paraId="665845B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-.037</w:t>
                  </w:r>
                </w:p>
              </w:tc>
            </w:tr>
            <w:tr w:rsidR="00694090" w:rsidRPr="00F60760" w14:paraId="5442FB0B" w14:textId="77777777" w:rsidTr="001D491F">
              <w:tc>
                <w:tcPr>
                  <w:tcW w:w="3231" w:type="dxa"/>
                  <w:tcBorders>
                    <w:top w:val="nil"/>
                    <w:left w:val="nil"/>
                    <w:bottom w:val="nil"/>
                    <w:right w:val="nil"/>
                  </w:tcBorders>
                </w:tcPr>
                <w:p w14:paraId="5C592B1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63D6E22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(-1.000)</w:t>
                  </w:r>
                </w:p>
              </w:tc>
              <w:tc>
                <w:tcPr>
                  <w:tcW w:w="3231" w:type="dxa"/>
                  <w:tcBorders>
                    <w:top w:val="nil"/>
                    <w:left w:val="nil"/>
                    <w:bottom w:val="nil"/>
                    <w:right w:val="nil"/>
                  </w:tcBorders>
                  <w:vAlign w:val="center"/>
                </w:tcPr>
                <w:p w14:paraId="45ADDE7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(-1.177)</w:t>
                  </w:r>
                </w:p>
              </w:tc>
              <w:tc>
                <w:tcPr>
                  <w:tcW w:w="3231" w:type="dxa"/>
                  <w:tcBorders>
                    <w:top w:val="nil"/>
                    <w:left w:val="nil"/>
                    <w:bottom w:val="nil"/>
                    <w:right w:val="nil"/>
                  </w:tcBorders>
                  <w:vAlign w:val="center"/>
                </w:tcPr>
                <w:p w14:paraId="3A3D145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(-.987)</w:t>
                  </w:r>
                </w:p>
              </w:tc>
            </w:tr>
            <w:tr w:rsidR="00694090" w:rsidRPr="00F60760" w14:paraId="5D204155" w14:textId="77777777" w:rsidTr="001D491F">
              <w:tc>
                <w:tcPr>
                  <w:tcW w:w="3231" w:type="dxa"/>
                  <w:tcBorders>
                    <w:top w:val="nil"/>
                    <w:left w:val="nil"/>
                    <w:bottom w:val="nil"/>
                    <w:right w:val="nil"/>
                  </w:tcBorders>
                  <w:vAlign w:val="center"/>
                </w:tcPr>
                <w:p w14:paraId="28A5A4D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acq_rd_intensity</w:t>
                  </w:r>
                </w:p>
              </w:tc>
              <w:tc>
                <w:tcPr>
                  <w:tcW w:w="3231" w:type="dxa"/>
                  <w:tcBorders>
                    <w:top w:val="nil"/>
                    <w:left w:val="nil"/>
                    <w:bottom w:val="nil"/>
                    <w:right w:val="nil"/>
                  </w:tcBorders>
                  <w:vAlign w:val="center"/>
                </w:tcPr>
                <w:p w14:paraId="75B2CA9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-.457***</w:t>
                  </w:r>
                </w:p>
              </w:tc>
              <w:tc>
                <w:tcPr>
                  <w:tcW w:w="3231" w:type="dxa"/>
                  <w:tcBorders>
                    <w:top w:val="nil"/>
                    <w:left w:val="nil"/>
                    <w:bottom w:val="nil"/>
                    <w:right w:val="nil"/>
                  </w:tcBorders>
                  <w:vAlign w:val="center"/>
                </w:tcPr>
                <w:p w14:paraId="6713CD7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-.374***</w:t>
                  </w:r>
                </w:p>
              </w:tc>
              <w:tc>
                <w:tcPr>
                  <w:tcW w:w="3231" w:type="dxa"/>
                  <w:tcBorders>
                    <w:top w:val="nil"/>
                    <w:left w:val="nil"/>
                    <w:bottom w:val="nil"/>
                    <w:right w:val="nil"/>
                  </w:tcBorders>
                  <w:vAlign w:val="center"/>
                </w:tcPr>
                <w:p w14:paraId="7DBD2AC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-.365</w:t>
                  </w:r>
                </w:p>
              </w:tc>
            </w:tr>
            <w:tr w:rsidR="00694090" w:rsidRPr="00F60760" w14:paraId="1C9636AE" w14:textId="77777777" w:rsidTr="001D491F">
              <w:tc>
                <w:tcPr>
                  <w:tcW w:w="3231" w:type="dxa"/>
                  <w:tcBorders>
                    <w:top w:val="nil"/>
                    <w:left w:val="nil"/>
                    <w:bottom w:val="nil"/>
                    <w:right w:val="nil"/>
                  </w:tcBorders>
                  <w:vAlign w:val="center"/>
                </w:tcPr>
                <w:p w14:paraId="397736B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p>
              </w:tc>
              <w:tc>
                <w:tcPr>
                  <w:tcW w:w="3231" w:type="dxa"/>
                  <w:tcBorders>
                    <w:top w:val="nil"/>
                    <w:left w:val="nil"/>
                    <w:bottom w:val="nil"/>
                    <w:right w:val="nil"/>
                  </w:tcBorders>
                  <w:vAlign w:val="center"/>
                </w:tcPr>
                <w:p w14:paraId="2D7AE65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(-4.575)</w:t>
                  </w:r>
                </w:p>
              </w:tc>
              <w:tc>
                <w:tcPr>
                  <w:tcW w:w="3231" w:type="dxa"/>
                  <w:tcBorders>
                    <w:top w:val="nil"/>
                    <w:left w:val="nil"/>
                    <w:bottom w:val="nil"/>
                    <w:right w:val="nil"/>
                  </w:tcBorders>
                  <w:vAlign w:val="center"/>
                </w:tcPr>
                <w:p w14:paraId="5EE38BF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(-2.947)</w:t>
                  </w:r>
                </w:p>
              </w:tc>
              <w:tc>
                <w:tcPr>
                  <w:tcW w:w="3231" w:type="dxa"/>
                  <w:tcBorders>
                    <w:top w:val="nil"/>
                    <w:left w:val="nil"/>
                    <w:bottom w:val="nil"/>
                    <w:right w:val="nil"/>
                  </w:tcBorders>
                  <w:vAlign w:val="center"/>
                </w:tcPr>
                <w:p w14:paraId="5A7D864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(-1.155)</w:t>
                  </w:r>
                </w:p>
              </w:tc>
            </w:tr>
            <w:tr w:rsidR="00694090" w:rsidRPr="00F60760" w14:paraId="1947C88A" w14:textId="77777777" w:rsidTr="001D491F">
              <w:tc>
                <w:tcPr>
                  <w:tcW w:w="3231" w:type="dxa"/>
                  <w:tcBorders>
                    <w:top w:val="nil"/>
                    <w:left w:val="nil"/>
                    <w:bottom w:val="nil"/>
                    <w:right w:val="nil"/>
                  </w:tcBorders>
                </w:tcPr>
                <w:p w14:paraId="49BC6A9B"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tar_age</w:t>
                  </w:r>
                </w:p>
              </w:tc>
              <w:tc>
                <w:tcPr>
                  <w:tcW w:w="3231" w:type="dxa"/>
                  <w:tcBorders>
                    <w:top w:val="nil"/>
                    <w:left w:val="nil"/>
                    <w:bottom w:val="nil"/>
                    <w:right w:val="nil"/>
                  </w:tcBorders>
                  <w:vAlign w:val="center"/>
                </w:tcPr>
                <w:p w14:paraId="5C529B6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.0001</w:t>
                  </w:r>
                </w:p>
              </w:tc>
              <w:tc>
                <w:tcPr>
                  <w:tcW w:w="3231" w:type="dxa"/>
                  <w:tcBorders>
                    <w:top w:val="nil"/>
                    <w:left w:val="nil"/>
                    <w:bottom w:val="nil"/>
                    <w:right w:val="nil"/>
                  </w:tcBorders>
                  <w:vAlign w:val="center"/>
                </w:tcPr>
                <w:p w14:paraId="6820386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.00001</w:t>
                  </w:r>
                </w:p>
              </w:tc>
              <w:tc>
                <w:tcPr>
                  <w:tcW w:w="3231" w:type="dxa"/>
                  <w:tcBorders>
                    <w:top w:val="nil"/>
                    <w:left w:val="nil"/>
                    <w:bottom w:val="nil"/>
                    <w:right w:val="nil"/>
                  </w:tcBorders>
                  <w:vAlign w:val="center"/>
                </w:tcPr>
                <w:p w14:paraId="3721730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.0002</w:t>
                  </w:r>
                </w:p>
              </w:tc>
            </w:tr>
            <w:tr w:rsidR="00694090" w:rsidRPr="00F60760" w14:paraId="234AF80B" w14:textId="77777777" w:rsidTr="001D491F">
              <w:tc>
                <w:tcPr>
                  <w:tcW w:w="3231" w:type="dxa"/>
                  <w:tcBorders>
                    <w:top w:val="nil"/>
                    <w:left w:val="nil"/>
                    <w:bottom w:val="nil"/>
                    <w:right w:val="nil"/>
                  </w:tcBorders>
                </w:tcPr>
                <w:p w14:paraId="71E5118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7BDF29A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(.113)</w:t>
                  </w:r>
                </w:p>
              </w:tc>
              <w:tc>
                <w:tcPr>
                  <w:tcW w:w="3231" w:type="dxa"/>
                  <w:tcBorders>
                    <w:top w:val="nil"/>
                    <w:left w:val="nil"/>
                    <w:bottom w:val="nil"/>
                    <w:right w:val="nil"/>
                  </w:tcBorders>
                  <w:vAlign w:val="center"/>
                </w:tcPr>
                <w:p w14:paraId="3B4D1CC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(.015)</w:t>
                  </w:r>
                </w:p>
              </w:tc>
              <w:tc>
                <w:tcPr>
                  <w:tcW w:w="3231" w:type="dxa"/>
                  <w:tcBorders>
                    <w:top w:val="nil"/>
                    <w:left w:val="nil"/>
                    <w:bottom w:val="nil"/>
                    <w:right w:val="nil"/>
                  </w:tcBorders>
                  <w:vAlign w:val="center"/>
                </w:tcPr>
                <w:p w14:paraId="1855813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(.343)</w:t>
                  </w:r>
                </w:p>
              </w:tc>
            </w:tr>
            <w:tr w:rsidR="00694090" w:rsidRPr="00F60760" w14:paraId="77741065" w14:textId="77777777" w:rsidTr="001D491F">
              <w:tc>
                <w:tcPr>
                  <w:tcW w:w="3231" w:type="dxa"/>
                  <w:tcBorders>
                    <w:top w:val="nil"/>
                    <w:left w:val="nil"/>
                    <w:bottom w:val="nil"/>
                    <w:right w:val="nil"/>
                  </w:tcBorders>
                </w:tcPr>
                <w:p w14:paraId="0E1A886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tar_assets_lastyear_ln</w:t>
                  </w:r>
                </w:p>
              </w:tc>
              <w:tc>
                <w:tcPr>
                  <w:tcW w:w="3231" w:type="dxa"/>
                  <w:tcBorders>
                    <w:top w:val="nil"/>
                    <w:left w:val="nil"/>
                    <w:bottom w:val="nil"/>
                    <w:right w:val="nil"/>
                  </w:tcBorders>
                  <w:vAlign w:val="center"/>
                </w:tcPr>
                <w:p w14:paraId="2AEF990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.021</w:t>
                  </w:r>
                </w:p>
              </w:tc>
              <w:tc>
                <w:tcPr>
                  <w:tcW w:w="3231" w:type="dxa"/>
                  <w:tcBorders>
                    <w:top w:val="nil"/>
                    <w:left w:val="nil"/>
                    <w:bottom w:val="nil"/>
                    <w:right w:val="nil"/>
                  </w:tcBorders>
                  <w:vAlign w:val="center"/>
                </w:tcPr>
                <w:p w14:paraId="44CF8C6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.031</w:t>
                  </w:r>
                </w:p>
              </w:tc>
              <w:tc>
                <w:tcPr>
                  <w:tcW w:w="3231" w:type="dxa"/>
                  <w:tcBorders>
                    <w:top w:val="nil"/>
                    <w:left w:val="nil"/>
                    <w:bottom w:val="nil"/>
                    <w:right w:val="nil"/>
                  </w:tcBorders>
                  <w:vAlign w:val="center"/>
                </w:tcPr>
                <w:p w14:paraId="694AD90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-.015</w:t>
                  </w:r>
                </w:p>
              </w:tc>
            </w:tr>
            <w:tr w:rsidR="00694090" w:rsidRPr="00F60760" w14:paraId="0D14FE3D" w14:textId="77777777" w:rsidTr="001D491F">
              <w:tc>
                <w:tcPr>
                  <w:tcW w:w="3231" w:type="dxa"/>
                  <w:tcBorders>
                    <w:top w:val="nil"/>
                    <w:left w:val="nil"/>
                    <w:bottom w:val="nil"/>
                    <w:right w:val="nil"/>
                  </w:tcBorders>
                </w:tcPr>
                <w:p w14:paraId="3AA5D765"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07451C5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(.471)</w:t>
                  </w:r>
                </w:p>
              </w:tc>
              <w:tc>
                <w:tcPr>
                  <w:tcW w:w="3231" w:type="dxa"/>
                  <w:tcBorders>
                    <w:top w:val="nil"/>
                    <w:left w:val="nil"/>
                    <w:bottom w:val="nil"/>
                    <w:right w:val="nil"/>
                  </w:tcBorders>
                  <w:vAlign w:val="center"/>
                </w:tcPr>
                <w:p w14:paraId="015C85C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(.709)</w:t>
                  </w:r>
                </w:p>
              </w:tc>
              <w:tc>
                <w:tcPr>
                  <w:tcW w:w="3231" w:type="dxa"/>
                  <w:tcBorders>
                    <w:top w:val="nil"/>
                    <w:left w:val="nil"/>
                    <w:bottom w:val="nil"/>
                    <w:right w:val="nil"/>
                  </w:tcBorders>
                  <w:vAlign w:val="center"/>
                </w:tcPr>
                <w:p w14:paraId="5585E7A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(-.476)</w:t>
                  </w:r>
                </w:p>
              </w:tc>
            </w:tr>
            <w:tr w:rsidR="00694090" w:rsidRPr="00F60760" w14:paraId="6E44C53B" w14:textId="77777777" w:rsidTr="001D491F">
              <w:tc>
                <w:tcPr>
                  <w:tcW w:w="3231" w:type="dxa"/>
                  <w:tcBorders>
                    <w:top w:val="nil"/>
                    <w:left w:val="nil"/>
                    <w:bottom w:val="nil"/>
                    <w:right w:val="nil"/>
                  </w:tcBorders>
                </w:tcPr>
                <w:p w14:paraId="796A1FCE"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tar_roa_lastyear</w:t>
                  </w:r>
                </w:p>
              </w:tc>
              <w:tc>
                <w:tcPr>
                  <w:tcW w:w="3231" w:type="dxa"/>
                  <w:tcBorders>
                    <w:top w:val="nil"/>
                    <w:left w:val="nil"/>
                    <w:bottom w:val="nil"/>
                    <w:right w:val="nil"/>
                  </w:tcBorders>
                  <w:vAlign w:val="center"/>
                </w:tcPr>
                <w:p w14:paraId="7753242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-.435</w:t>
                  </w:r>
                </w:p>
              </w:tc>
              <w:tc>
                <w:tcPr>
                  <w:tcW w:w="3231" w:type="dxa"/>
                  <w:tcBorders>
                    <w:top w:val="nil"/>
                    <w:left w:val="nil"/>
                    <w:bottom w:val="nil"/>
                    <w:right w:val="nil"/>
                  </w:tcBorders>
                  <w:vAlign w:val="center"/>
                </w:tcPr>
                <w:p w14:paraId="4B9E27C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-.366</w:t>
                  </w:r>
                </w:p>
              </w:tc>
              <w:tc>
                <w:tcPr>
                  <w:tcW w:w="3231" w:type="dxa"/>
                  <w:tcBorders>
                    <w:top w:val="nil"/>
                    <w:left w:val="nil"/>
                    <w:bottom w:val="nil"/>
                    <w:right w:val="nil"/>
                  </w:tcBorders>
                  <w:vAlign w:val="center"/>
                </w:tcPr>
                <w:p w14:paraId="0D681D9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-.245</w:t>
                  </w:r>
                </w:p>
              </w:tc>
            </w:tr>
            <w:tr w:rsidR="00694090" w:rsidRPr="00F60760" w14:paraId="1D1F7C56" w14:textId="77777777" w:rsidTr="001D491F">
              <w:tc>
                <w:tcPr>
                  <w:tcW w:w="3231" w:type="dxa"/>
                  <w:tcBorders>
                    <w:top w:val="nil"/>
                    <w:left w:val="nil"/>
                    <w:bottom w:val="nil"/>
                    <w:right w:val="nil"/>
                  </w:tcBorders>
                </w:tcPr>
                <w:p w14:paraId="5F4F674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043A494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(-1.516)</w:t>
                  </w:r>
                </w:p>
              </w:tc>
              <w:tc>
                <w:tcPr>
                  <w:tcW w:w="3231" w:type="dxa"/>
                  <w:tcBorders>
                    <w:top w:val="nil"/>
                    <w:left w:val="nil"/>
                    <w:bottom w:val="nil"/>
                    <w:right w:val="nil"/>
                  </w:tcBorders>
                  <w:vAlign w:val="center"/>
                </w:tcPr>
                <w:p w14:paraId="4B1A79B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(-1.277)</w:t>
                  </w:r>
                </w:p>
              </w:tc>
              <w:tc>
                <w:tcPr>
                  <w:tcW w:w="3231" w:type="dxa"/>
                  <w:tcBorders>
                    <w:top w:val="nil"/>
                    <w:left w:val="nil"/>
                    <w:bottom w:val="nil"/>
                    <w:right w:val="nil"/>
                  </w:tcBorders>
                  <w:vAlign w:val="center"/>
                </w:tcPr>
                <w:p w14:paraId="51BB650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(-1.016)</w:t>
                  </w:r>
                </w:p>
              </w:tc>
            </w:tr>
            <w:tr w:rsidR="00694090" w:rsidRPr="00F60760" w14:paraId="352EB982" w14:textId="77777777" w:rsidTr="001D491F">
              <w:tc>
                <w:tcPr>
                  <w:tcW w:w="3231" w:type="dxa"/>
                  <w:tcBorders>
                    <w:top w:val="nil"/>
                    <w:left w:val="nil"/>
                    <w:bottom w:val="nil"/>
                    <w:right w:val="nil"/>
                  </w:tcBorders>
                </w:tcPr>
                <w:p w14:paraId="5BF1AAF5"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tar_mbratio</w:t>
                  </w:r>
                </w:p>
              </w:tc>
              <w:tc>
                <w:tcPr>
                  <w:tcW w:w="3231" w:type="dxa"/>
                  <w:tcBorders>
                    <w:top w:val="nil"/>
                    <w:left w:val="nil"/>
                    <w:bottom w:val="nil"/>
                    <w:right w:val="nil"/>
                  </w:tcBorders>
                  <w:vAlign w:val="center"/>
                </w:tcPr>
                <w:p w14:paraId="6138704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-.006***</w:t>
                  </w:r>
                </w:p>
              </w:tc>
              <w:tc>
                <w:tcPr>
                  <w:tcW w:w="3231" w:type="dxa"/>
                  <w:tcBorders>
                    <w:top w:val="nil"/>
                    <w:left w:val="nil"/>
                    <w:bottom w:val="nil"/>
                    <w:right w:val="nil"/>
                  </w:tcBorders>
                  <w:vAlign w:val="center"/>
                </w:tcPr>
                <w:p w14:paraId="4D38A75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-.005***</w:t>
                  </w:r>
                </w:p>
              </w:tc>
              <w:tc>
                <w:tcPr>
                  <w:tcW w:w="3231" w:type="dxa"/>
                  <w:tcBorders>
                    <w:top w:val="nil"/>
                    <w:left w:val="nil"/>
                    <w:bottom w:val="nil"/>
                    <w:right w:val="nil"/>
                  </w:tcBorders>
                  <w:vAlign w:val="center"/>
                </w:tcPr>
                <w:p w14:paraId="11779F8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-.006***</w:t>
                  </w:r>
                </w:p>
              </w:tc>
            </w:tr>
            <w:tr w:rsidR="00694090" w:rsidRPr="00F60760" w14:paraId="7411E4D0" w14:textId="77777777" w:rsidTr="001D491F">
              <w:tc>
                <w:tcPr>
                  <w:tcW w:w="3231" w:type="dxa"/>
                  <w:tcBorders>
                    <w:top w:val="nil"/>
                    <w:left w:val="nil"/>
                    <w:bottom w:val="nil"/>
                    <w:right w:val="nil"/>
                  </w:tcBorders>
                </w:tcPr>
                <w:p w14:paraId="5C8F790E"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0723FD3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(-4.382)</w:t>
                  </w:r>
                </w:p>
              </w:tc>
              <w:tc>
                <w:tcPr>
                  <w:tcW w:w="3231" w:type="dxa"/>
                  <w:tcBorders>
                    <w:top w:val="nil"/>
                    <w:left w:val="nil"/>
                    <w:bottom w:val="nil"/>
                    <w:right w:val="nil"/>
                  </w:tcBorders>
                  <w:vAlign w:val="center"/>
                </w:tcPr>
                <w:p w14:paraId="0AB59C0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(-3.529)</w:t>
                  </w:r>
                </w:p>
              </w:tc>
              <w:tc>
                <w:tcPr>
                  <w:tcW w:w="3231" w:type="dxa"/>
                  <w:tcBorders>
                    <w:top w:val="nil"/>
                    <w:left w:val="nil"/>
                    <w:bottom w:val="nil"/>
                    <w:right w:val="nil"/>
                  </w:tcBorders>
                  <w:vAlign w:val="center"/>
                </w:tcPr>
                <w:p w14:paraId="743017E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(-3.431)</w:t>
                  </w:r>
                </w:p>
              </w:tc>
            </w:tr>
            <w:tr w:rsidR="00694090" w:rsidRPr="00F60760" w14:paraId="0459211A" w14:textId="77777777" w:rsidTr="001D491F">
              <w:tc>
                <w:tcPr>
                  <w:tcW w:w="3231" w:type="dxa"/>
                  <w:tcBorders>
                    <w:top w:val="nil"/>
                    <w:left w:val="nil"/>
                    <w:bottom w:val="nil"/>
                    <w:right w:val="nil"/>
                  </w:tcBorders>
                </w:tcPr>
                <w:p w14:paraId="6D83EEF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lastRenderedPageBreak/>
                    <w:t xml:space="preserve"> Observations</w:t>
                  </w:r>
                </w:p>
              </w:tc>
              <w:tc>
                <w:tcPr>
                  <w:tcW w:w="3231" w:type="dxa"/>
                  <w:tcBorders>
                    <w:top w:val="nil"/>
                    <w:left w:val="nil"/>
                    <w:bottom w:val="nil"/>
                    <w:right w:val="nil"/>
                  </w:tcBorders>
                  <w:vAlign w:val="center"/>
                </w:tcPr>
                <w:p w14:paraId="7973F0E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226</w:t>
                  </w:r>
                </w:p>
              </w:tc>
              <w:tc>
                <w:tcPr>
                  <w:tcW w:w="3231" w:type="dxa"/>
                  <w:tcBorders>
                    <w:top w:val="nil"/>
                    <w:left w:val="nil"/>
                    <w:bottom w:val="nil"/>
                    <w:right w:val="nil"/>
                  </w:tcBorders>
                  <w:vAlign w:val="center"/>
                </w:tcPr>
                <w:p w14:paraId="6FEE4A3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226</w:t>
                  </w:r>
                </w:p>
              </w:tc>
              <w:tc>
                <w:tcPr>
                  <w:tcW w:w="3231" w:type="dxa"/>
                  <w:tcBorders>
                    <w:top w:val="nil"/>
                    <w:left w:val="nil"/>
                    <w:bottom w:val="nil"/>
                    <w:right w:val="nil"/>
                  </w:tcBorders>
                </w:tcPr>
                <w:p w14:paraId="23A176D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226</w:t>
                  </w:r>
                </w:p>
              </w:tc>
            </w:tr>
            <w:tr w:rsidR="00694090" w:rsidRPr="00F60760" w14:paraId="426F42BE" w14:textId="77777777" w:rsidTr="001D491F">
              <w:tc>
                <w:tcPr>
                  <w:tcW w:w="3231" w:type="dxa"/>
                  <w:tcBorders>
                    <w:top w:val="nil"/>
                    <w:left w:val="nil"/>
                    <w:bottom w:val="nil"/>
                    <w:right w:val="nil"/>
                  </w:tcBorders>
                </w:tcPr>
                <w:p w14:paraId="6A5793B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Adj R2</w:t>
                  </w:r>
                </w:p>
              </w:tc>
              <w:tc>
                <w:tcPr>
                  <w:tcW w:w="3231" w:type="dxa"/>
                  <w:tcBorders>
                    <w:top w:val="nil"/>
                    <w:left w:val="nil"/>
                    <w:bottom w:val="nil"/>
                    <w:right w:val="nil"/>
                  </w:tcBorders>
                  <w:vAlign w:val="center"/>
                </w:tcPr>
                <w:p w14:paraId="3CCBF42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.078</w:t>
                  </w:r>
                </w:p>
              </w:tc>
              <w:tc>
                <w:tcPr>
                  <w:tcW w:w="3231" w:type="dxa"/>
                  <w:tcBorders>
                    <w:top w:val="nil"/>
                    <w:left w:val="nil"/>
                    <w:bottom w:val="nil"/>
                    <w:right w:val="nil"/>
                  </w:tcBorders>
                  <w:vAlign w:val="center"/>
                </w:tcPr>
                <w:p w14:paraId="7762805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.078</w:t>
                  </w:r>
                </w:p>
              </w:tc>
              <w:tc>
                <w:tcPr>
                  <w:tcW w:w="3231" w:type="dxa"/>
                  <w:tcBorders>
                    <w:top w:val="nil"/>
                    <w:left w:val="nil"/>
                    <w:bottom w:val="nil"/>
                    <w:right w:val="nil"/>
                  </w:tcBorders>
                  <w:vAlign w:val="center"/>
                </w:tcPr>
                <w:p w14:paraId="18E2735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.066</w:t>
                  </w:r>
                </w:p>
              </w:tc>
            </w:tr>
            <w:tr w:rsidR="00694090" w:rsidRPr="00F60760" w14:paraId="428AC208" w14:textId="77777777" w:rsidTr="001D491F">
              <w:tc>
                <w:tcPr>
                  <w:tcW w:w="3231" w:type="dxa"/>
                  <w:tcBorders>
                    <w:top w:val="nil"/>
                    <w:left w:val="nil"/>
                    <w:bottom w:val="nil"/>
                    <w:right w:val="nil"/>
                  </w:tcBorders>
                </w:tcPr>
                <w:p w14:paraId="41605C13"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Industry FE</w:t>
                  </w:r>
                </w:p>
              </w:tc>
              <w:tc>
                <w:tcPr>
                  <w:tcW w:w="3231" w:type="dxa"/>
                  <w:tcBorders>
                    <w:top w:val="nil"/>
                    <w:left w:val="nil"/>
                    <w:bottom w:val="nil"/>
                    <w:right w:val="nil"/>
                  </w:tcBorders>
                </w:tcPr>
                <w:p w14:paraId="28B911B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3231" w:type="dxa"/>
                  <w:tcBorders>
                    <w:top w:val="nil"/>
                    <w:left w:val="nil"/>
                    <w:bottom w:val="nil"/>
                    <w:right w:val="nil"/>
                  </w:tcBorders>
                </w:tcPr>
                <w:p w14:paraId="5EE9073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3231" w:type="dxa"/>
                  <w:tcBorders>
                    <w:top w:val="nil"/>
                    <w:left w:val="nil"/>
                    <w:bottom w:val="nil"/>
                    <w:right w:val="nil"/>
                  </w:tcBorders>
                </w:tcPr>
                <w:p w14:paraId="2CC5FD1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r>
            <w:tr w:rsidR="00694090" w:rsidRPr="00F60760" w14:paraId="5F5418F7" w14:textId="77777777" w:rsidTr="001D491F">
              <w:tc>
                <w:tcPr>
                  <w:tcW w:w="3231" w:type="dxa"/>
                  <w:tcBorders>
                    <w:top w:val="nil"/>
                    <w:left w:val="nil"/>
                    <w:bottom w:val="nil"/>
                    <w:right w:val="nil"/>
                  </w:tcBorders>
                </w:tcPr>
                <w:p w14:paraId="6042779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Year FE</w:t>
                  </w:r>
                </w:p>
              </w:tc>
              <w:tc>
                <w:tcPr>
                  <w:tcW w:w="3231" w:type="dxa"/>
                  <w:tcBorders>
                    <w:top w:val="nil"/>
                    <w:left w:val="nil"/>
                    <w:bottom w:val="nil"/>
                    <w:right w:val="nil"/>
                  </w:tcBorders>
                </w:tcPr>
                <w:p w14:paraId="70F3792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3231" w:type="dxa"/>
                  <w:tcBorders>
                    <w:top w:val="nil"/>
                    <w:left w:val="nil"/>
                    <w:bottom w:val="nil"/>
                    <w:right w:val="nil"/>
                  </w:tcBorders>
                </w:tcPr>
                <w:p w14:paraId="477CCDE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Yes</w:t>
                  </w:r>
                </w:p>
              </w:tc>
              <w:tc>
                <w:tcPr>
                  <w:tcW w:w="3231" w:type="dxa"/>
                  <w:tcBorders>
                    <w:top w:val="nil"/>
                    <w:left w:val="nil"/>
                    <w:bottom w:val="nil"/>
                    <w:right w:val="nil"/>
                  </w:tcBorders>
                </w:tcPr>
                <w:p w14:paraId="19F4CC7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Yes</w:t>
                  </w:r>
                </w:p>
              </w:tc>
            </w:tr>
          </w:tbl>
          <w:p w14:paraId="384E969F" w14:textId="77777777" w:rsidR="00694090" w:rsidRPr="00F60760" w:rsidRDefault="00694090" w:rsidP="00AB066F">
            <w:pPr>
              <w:jc w:val="left"/>
              <w:rPr>
                <w:color w:val="000000" w:themeColor="text1"/>
                <w:sz w:val="22"/>
                <w:lang w:val="en-US"/>
              </w:rPr>
            </w:pPr>
          </w:p>
        </w:tc>
      </w:tr>
      <w:tr w:rsidR="00694090" w:rsidRPr="00BE5632" w14:paraId="22129A4B" w14:textId="77777777" w:rsidTr="001D491F">
        <w:trPr>
          <w:trHeight w:val="170"/>
        </w:trPr>
        <w:tc>
          <w:tcPr>
            <w:tcW w:w="5000" w:type="pct"/>
            <w:tcBorders>
              <w:top w:val="single" w:sz="4" w:space="0" w:color="auto"/>
              <w:left w:val="nil"/>
              <w:right w:val="nil"/>
            </w:tcBorders>
            <w:shd w:val="clear" w:color="auto" w:fill="auto"/>
            <w:noWrap/>
          </w:tcPr>
          <w:p w14:paraId="09BC90FB" w14:textId="77777777" w:rsidR="00694090" w:rsidRPr="00F60760" w:rsidRDefault="00694090" w:rsidP="00E74508">
            <w:pPr>
              <w:spacing w:before="120" w:line="240" w:lineRule="auto"/>
              <w:rPr>
                <w:color w:val="000000" w:themeColor="text1"/>
                <w:sz w:val="22"/>
                <w:lang w:val="en-US"/>
              </w:rPr>
            </w:pPr>
            <w:r w:rsidRPr="00F60760">
              <w:rPr>
                <w:i/>
                <w:iCs/>
                <w:color w:val="000000" w:themeColor="text1"/>
                <w:sz w:val="22"/>
                <w:lang w:val="en-US"/>
              </w:rPr>
              <w:lastRenderedPageBreak/>
              <w:t>Note</w:t>
            </w:r>
            <w:r w:rsidRPr="00F60760">
              <w:rPr>
                <w:color w:val="000000" w:themeColor="text1"/>
                <w:sz w:val="22"/>
                <w:lang w:val="en-US"/>
              </w:rPr>
              <w:t xml:space="preserve">. This table reports fixed effects linear OLS regression results predicting the effect of organizational cultural distance between acquirers and targets on acquisition premiums. The dependent variable for all Models is the acquisition premium paid in relation to the target’s market value, which is measured 1 day and 1 week prior deal announcement. The main independent variable in Models 1 and 2 is </w:t>
            </w:r>
            <w:r w:rsidRPr="00F60760">
              <w:rPr>
                <w:i/>
                <w:color w:val="000000" w:themeColor="text1"/>
                <w:sz w:val="22"/>
                <w:lang w:val="en-US"/>
              </w:rPr>
              <w:t>deal_culturaldistance</w:t>
            </w:r>
            <w:r w:rsidRPr="00F60760">
              <w:rPr>
                <w:color w:val="000000" w:themeColor="text1"/>
                <w:sz w:val="22"/>
                <w:lang w:val="en-US"/>
              </w:rPr>
              <w:t xml:space="preserve">, with higher values indicating higher cultural dissimilarities between the acquirer and target. We also included the quadratic term </w:t>
            </w:r>
            <w:r w:rsidRPr="00F60760">
              <w:rPr>
                <w:i/>
                <w:iCs/>
                <w:color w:val="000000" w:themeColor="text1"/>
                <w:sz w:val="22"/>
                <w:lang w:val="en-US"/>
              </w:rPr>
              <w:t>deal_culturaldistance_quadr</w:t>
            </w:r>
            <w:r w:rsidRPr="00F60760">
              <w:rPr>
                <w:color w:val="000000" w:themeColor="text1"/>
                <w:sz w:val="22"/>
                <w:lang w:val="en-US"/>
              </w:rPr>
              <w:t xml:space="preserve"> to test for non-linear relationships. A detailed variable description can be found in Appendix B. Constant terms are estimated but not reported. We include the acquirer’s industry and year fixed effects in all models. We cluster standard errors at the 2-digit SIC industry level. t-statistics are reported in parentheses below the coefficients. *, **, *** denote statistical significance at the .10, .05, and .01 levels (using two-tailed tests).</w:t>
            </w:r>
          </w:p>
        </w:tc>
      </w:tr>
    </w:tbl>
    <w:p w14:paraId="3279367D" w14:textId="77777777" w:rsidR="00F26FAE" w:rsidRDefault="00F26FAE">
      <w:pPr>
        <w:spacing w:after="160" w:line="259" w:lineRule="auto"/>
        <w:jc w:val="left"/>
        <w:rPr>
          <w:rStyle w:val="SchwacherVerweis"/>
          <w:rFonts w:eastAsiaTheme="majorEastAsia" w:cstheme="majorBidi"/>
          <w:b/>
          <w:caps/>
          <w:smallCaps w:val="0"/>
          <w:color w:val="auto"/>
          <w:szCs w:val="32"/>
          <w:lang w:val="en-US"/>
        </w:rPr>
      </w:pPr>
      <w:r w:rsidRPr="00B1627F">
        <w:rPr>
          <w:rStyle w:val="SchwacherVerweis"/>
          <w:smallCaps w:val="0"/>
          <w:color w:val="auto"/>
          <w:lang w:val="en-US"/>
        </w:rPr>
        <w:br w:type="page"/>
      </w:r>
    </w:p>
    <w:p w14:paraId="7055329A" w14:textId="41E2BCFE" w:rsidR="00F26FAE" w:rsidRPr="00947673" w:rsidRDefault="00F26FAE" w:rsidP="00F26FAE">
      <w:pPr>
        <w:pStyle w:val="1fake"/>
        <w:rPr>
          <w:rStyle w:val="SchwacherVerweis"/>
          <w:smallCaps w:val="0"/>
          <w:color w:val="auto"/>
        </w:rPr>
      </w:pPr>
      <w:r w:rsidRPr="00947673">
        <w:rPr>
          <w:rStyle w:val="SchwacherVerweis"/>
          <w:smallCaps w:val="0"/>
          <w:color w:val="auto"/>
        </w:rPr>
        <w:lastRenderedPageBreak/>
        <w:t xml:space="preserve">Online Supplement </w:t>
      </w:r>
      <w:r>
        <w:rPr>
          <w:rStyle w:val="SchwacherVerweis"/>
          <w:smallCaps w:val="0"/>
          <w:color w:val="auto"/>
        </w:rPr>
        <w:t>16</w:t>
      </w:r>
    </w:p>
    <w:p w14:paraId="56078593" w14:textId="7ADD5024" w:rsidR="00011AF5" w:rsidRPr="00F26FAE" w:rsidRDefault="00011AF5" w:rsidP="00011AF5">
      <w:pPr>
        <w:pStyle w:val="Beschriftung"/>
      </w:pPr>
      <w:bookmarkStart w:id="635" w:name="_Toc180594862"/>
      <w:r>
        <w:t xml:space="preserve">T - III - </w:t>
      </w:r>
      <w:r>
        <w:fldChar w:fldCharType="begin"/>
      </w:r>
      <w:r>
        <w:instrText xml:space="preserve"> SEQ T_-_III_- \* ARABIC </w:instrText>
      </w:r>
      <w:r>
        <w:fldChar w:fldCharType="separate"/>
      </w:r>
      <w:r w:rsidR="00E91088">
        <w:rPr>
          <w:noProof/>
        </w:rPr>
        <w:t>26</w:t>
      </w:r>
      <w:r>
        <w:fldChar w:fldCharType="end"/>
      </w:r>
      <w:r>
        <w:rPr>
          <w:noProof/>
        </w:rPr>
        <w:t xml:space="preserve">: </w:t>
      </w:r>
      <w:r w:rsidRPr="004819DA">
        <w:rPr>
          <w:noProof/>
        </w:rPr>
        <w:t>H3: Innovation - Nonlinear relationship</w:t>
      </w:r>
      <w:bookmarkEnd w:id="635"/>
    </w:p>
    <w:tbl>
      <w:tblPr>
        <w:tblW w:w="9072" w:type="dxa"/>
        <w:tblLayout w:type="fixed"/>
        <w:tblLook w:val="04A0" w:firstRow="1" w:lastRow="0" w:firstColumn="1" w:lastColumn="0" w:noHBand="0" w:noVBand="1"/>
      </w:tblPr>
      <w:tblGrid>
        <w:gridCol w:w="9072"/>
      </w:tblGrid>
      <w:tr w:rsidR="00694090" w:rsidRPr="00F60760" w14:paraId="0A9A9DFF" w14:textId="77777777" w:rsidTr="001D491F">
        <w:trPr>
          <w:trHeight w:val="1247"/>
        </w:trPr>
        <w:tc>
          <w:tcPr>
            <w:tcW w:w="5000" w:type="pct"/>
            <w:tcBorders>
              <w:left w:val="nil"/>
              <w:bottom w:val="single" w:sz="4" w:space="0" w:color="auto"/>
              <w:right w:val="nil"/>
            </w:tcBorders>
            <w:shd w:val="clear" w:color="auto" w:fill="auto"/>
          </w:tcPr>
          <w:tbl>
            <w:tblPr>
              <w:tblW w:w="9072" w:type="dxa"/>
              <w:tblLayout w:type="fixed"/>
              <w:tblLook w:val="0000" w:firstRow="0" w:lastRow="0" w:firstColumn="0" w:lastColumn="0" w:noHBand="0" w:noVBand="0"/>
            </w:tblPr>
            <w:tblGrid>
              <w:gridCol w:w="3024"/>
              <w:gridCol w:w="3024"/>
              <w:gridCol w:w="3024"/>
            </w:tblGrid>
            <w:tr w:rsidR="00694090" w:rsidRPr="00F60760" w14:paraId="02EF8AFE" w14:textId="77777777" w:rsidTr="001D491F">
              <w:tc>
                <w:tcPr>
                  <w:tcW w:w="3231" w:type="dxa"/>
                  <w:tcBorders>
                    <w:top w:val="single" w:sz="4" w:space="0" w:color="auto"/>
                    <w:left w:val="nil"/>
                    <w:right w:val="nil"/>
                  </w:tcBorders>
                </w:tcPr>
                <w:p w14:paraId="68173BB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w:t>
                  </w:r>
                </w:p>
              </w:tc>
              <w:tc>
                <w:tcPr>
                  <w:tcW w:w="3231" w:type="dxa"/>
                  <w:tcBorders>
                    <w:top w:val="single" w:sz="4" w:space="0" w:color="auto"/>
                    <w:left w:val="nil"/>
                    <w:right w:val="nil"/>
                  </w:tcBorders>
                </w:tcPr>
                <w:p w14:paraId="5E59F7AD"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(1)</w:t>
                  </w:r>
                </w:p>
              </w:tc>
              <w:tc>
                <w:tcPr>
                  <w:tcW w:w="3231" w:type="dxa"/>
                  <w:tcBorders>
                    <w:top w:val="single" w:sz="4" w:space="0" w:color="auto"/>
                    <w:left w:val="nil"/>
                    <w:right w:val="nil"/>
                  </w:tcBorders>
                </w:tcPr>
                <w:p w14:paraId="3C7F83C9"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(2)</w:t>
                  </w:r>
                </w:p>
              </w:tc>
            </w:tr>
            <w:tr w:rsidR="00694090" w:rsidRPr="00F60760" w14:paraId="46E60E9F" w14:textId="77777777" w:rsidTr="001D491F">
              <w:tc>
                <w:tcPr>
                  <w:tcW w:w="3231" w:type="dxa"/>
                  <w:tcBorders>
                    <w:top w:val="nil"/>
                    <w:left w:val="nil"/>
                    <w:bottom w:val="single" w:sz="4" w:space="0" w:color="auto"/>
                    <w:right w:val="nil"/>
                  </w:tcBorders>
                </w:tcPr>
                <w:p w14:paraId="3AB3E500"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single" w:sz="4" w:space="0" w:color="auto"/>
                    <w:right w:val="nil"/>
                  </w:tcBorders>
                </w:tcPr>
                <w:p w14:paraId="226509B8"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acq_2yr_patent_growth</w:t>
                  </w:r>
                </w:p>
              </w:tc>
              <w:tc>
                <w:tcPr>
                  <w:tcW w:w="3231" w:type="dxa"/>
                  <w:tcBorders>
                    <w:top w:val="nil"/>
                    <w:left w:val="nil"/>
                    <w:bottom w:val="single" w:sz="4" w:space="0" w:color="auto"/>
                    <w:right w:val="nil"/>
                  </w:tcBorders>
                </w:tcPr>
                <w:p w14:paraId="1932A4B9"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acq_2yr_npd_growth</w:t>
                  </w:r>
                </w:p>
              </w:tc>
            </w:tr>
            <w:tr w:rsidR="00694090" w:rsidRPr="00F60760" w14:paraId="329DD835" w14:textId="77777777" w:rsidTr="001D491F">
              <w:tc>
                <w:tcPr>
                  <w:tcW w:w="3231" w:type="dxa"/>
                  <w:tcBorders>
                    <w:top w:val="single" w:sz="4" w:space="0" w:color="auto"/>
                    <w:left w:val="nil"/>
                    <w:bottom w:val="nil"/>
                    <w:right w:val="nil"/>
                  </w:tcBorders>
                </w:tcPr>
                <w:p w14:paraId="02CBB33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deal_culturaldistance</w:t>
                  </w:r>
                </w:p>
              </w:tc>
              <w:tc>
                <w:tcPr>
                  <w:tcW w:w="3231" w:type="dxa"/>
                  <w:tcBorders>
                    <w:top w:val="single" w:sz="4" w:space="0" w:color="auto"/>
                    <w:left w:val="nil"/>
                    <w:bottom w:val="nil"/>
                    <w:right w:val="nil"/>
                  </w:tcBorders>
                </w:tcPr>
                <w:p w14:paraId="5BA638F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-.030</w:t>
                  </w:r>
                </w:p>
              </w:tc>
              <w:tc>
                <w:tcPr>
                  <w:tcW w:w="3231" w:type="dxa"/>
                  <w:tcBorders>
                    <w:top w:val="single" w:sz="4" w:space="0" w:color="auto"/>
                    <w:left w:val="nil"/>
                    <w:bottom w:val="nil"/>
                    <w:right w:val="nil"/>
                  </w:tcBorders>
                </w:tcPr>
                <w:p w14:paraId="12E33CB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.039</w:t>
                  </w:r>
                </w:p>
              </w:tc>
            </w:tr>
            <w:tr w:rsidR="00694090" w:rsidRPr="00F60760" w14:paraId="2982D6FB" w14:textId="77777777" w:rsidTr="001D491F">
              <w:tc>
                <w:tcPr>
                  <w:tcW w:w="3231" w:type="dxa"/>
                  <w:tcBorders>
                    <w:top w:val="nil"/>
                    <w:left w:val="nil"/>
                    <w:bottom w:val="nil"/>
                    <w:right w:val="nil"/>
                  </w:tcBorders>
                </w:tcPr>
                <w:p w14:paraId="6C7C2FE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7346E27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(-.510)</w:t>
                  </w:r>
                </w:p>
              </w:tc>
              <w:tc>
                <w:tcPr>
                  <w:tcW w:w="3231" w:type="dxa"/>
                  <w:tcBorders>
                    <w:top w:val="nil"/>
                    <w:left w:val="nil"/>
                    <w:bottom w:val="nil"/>
                    <w:right w:val="nil"/>
                  </w:tcBorders>
                </w:tcPr>
                <w:p w14:paraId="016C0ED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(.590)</w:t>
                  </w:r>
                </w:p>
              </w:tc>
            </w:tr>
            <w:tr w:rsidR="00694090" w:rsidRPr="00F60760" w14:paraId="23CF056C" w14:textId="77777777" w:rsidTr="001D491F">
              <w:tc>
                <w:tcPr>
                  <w:tcW w:w="3231" w:type="dxa"/>
                  <w:tcBorders>
                    <w:top w:val="nil"/>
                    <w:left w:val="nil"/>
                    <w:bottom w:val="nil"/>
                    <w:right w:val="nil"/>
                  </w:tcBorders>
                </w:tcPr>
                <w:p w14:paraId="1B7E127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deal_culturaldistance_quadr</w:t>
                  </w:r>
                </w:p>
              </w:tc>
              <w:tc>
                <w:tcPr>
                  <w:tcW w:w="3231" w:type="dxa"/>
                  <w:tcBorders>
                    <w:top w:val="nil"/>
                    <w:left w:val="nil"/>
                    <w:bottom w:val="nil"/>
                    <w:right w:val="nil"/>
                  </w:tcBorders>
                </w:tcPr>
                <w:p w14:paraId="4E97DFF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w:t>
                  </w:r>
                </w:p>
              </w:tc>
              <w:tc>
                <w:tcPr>
                  <w:tcW w:w="3231" w:type="dxa"/>
                  <w:tcBorders>
                    <w:top w:val="nil"/>
                    <w:left w:val="nil"/>
                    <w:bottom w:val="nil"/>
                    <w:right w:val="nil"/>
                  </w:tcBorders>
                </w:tcPr>
                <w:p w14:paraId="3378292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-.003</w:t>
                  </w:r>
                </w:p>
              </w:tc>
            </w:tr>
            <w:tr w:rsidR="00694090" w:rsidRPr="00F60760" w14:paraId="250DC773" w14:textId="77777777" w:rsidTr="001D491F">
              <w:tc>
                <w:tcPr>
                  <w:tcW w:w="3231" w:type="dxa"/>
                  <w:tcBorders>
                    <w:top w:val="nil"/>
                    <w:left w:val="nil"/>
                    <w:bottom w:val="nil"/>
                    <w:right w:val="nil"/>
                  </w:tcBorders>
                </w:tcPr>
                <w:p w14:paraId="580FD4AD"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p>
              </w:tc>
              <w:tc>
                <w:tcPr>
                  <w:tcW w:w="3231" w:type="dxa"/>
                  <w:tcBorders>
                    <w:top w:val="nil"/>
                    <w:left w:val="nil"/>
                    <w:bottom w:val="nil"/>
                    <w:right w:val="nil"/>
                  </w:tcBorders>
                </w:tcPr>
                <w:p w14:paraId="725EE5E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(.067)</w:t>
                  </w:r>
                </w:p>
              </w:tc>
              <w:tc>
                <w:tcPr>
                  <w:tcW w:w="3231" w:type="dxa"/>
                  <w:tcBorders>
                    <w:top w:val="nil"/>
                    <w:left w:val="nil"/>
                    <w:bottom w:val="nil"/>
                    <w:right w:val="nil"/>
                  </w:tcBorders>
                </w:tcPr>
                <w:p w14:paraId="3DA604A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(-.672)</w:t>
                  </w:r>
                </w:p>
              </w:tc>
            </w:tr>
            <w:tr w:rsidR="00694090" w:rsidRPr="00F60760" w14:paraId="764122DE" w14:textId="77777777" w:rsidTr="001D491F">
              <w:tc>
                <w:tcPr>
                  <w:tcW w:w="3231" w:type="dxa"/>
                  <w:tcBorders>
                    <w:top w:val="nil"/>
                    <w:left w:val="nil"/>
                    <w:bottom w:val="nil"/>
                    <w:right w:val="nil"/>
                  </w:tcBorders>
                </w:tcPr>
                <w:p w14:paraId="1CA94A84"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deal_value_ln</w:t>
                  </w:r>
                </w:p>
              </w:tc>
              <w:tc>
                <w:tcPr>
                  <w:tcW w:w="3231" w:type="dxa"/>
                  <w:tcBorders>
                    <w:top w:val="nil"/>
                    <w:left w:val="nil"/>
                    <w:bottom w:val="nil"/>
                    <w:right w:val="nil"/>
                  </w:tcBorders>
                </w:tcPr>
                <w:p w14:paraId="259C653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.042</w:t>
                  </w:r>
                </w:p>
              </w:tc>
              <w:tc>
                <w:tcPr>
                  <w:tcW w:w="3231" w:type="dxa"/>
                  <w:tcBorders>
                    <w:top w:val="nil"/>
                    <w:left w:val="nil"/>
                    <w:bottom w:val="nil"/>
                    <w:right w:val="nil"/>
                  </w:tcBorders>
                </w:tcPr>
                <w:p w14:paraId="7BE4092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.016</w:t>
                  </w:r>
                </w:p>
              </w:tc>
            </w:tr>
            <w:tr w:rsidR="00694090" w:rsidRPr="00F60760" w14:paraId="08285226" w14:textId="77777777" w:rsidTr="001D491F">
              <w:tc>
                <w:tcPr>
                  <w:tcW w:w="3231" w:type="dxa"/>
                  <w:tcBorders>
                    <w:top w:val="nil"/>
                    <w:left w:val="nil"/>
                    <w:bottom w:val="nil"/>
                    <w:right w:val="nil"/>
                  </w:tcBorders>
                </w:tcPr>
                <w:p w14:paraId="3BE393E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24AE35D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(.365)</w:t>
                  </w:r>
                </w:p>
              </w:tc>
              <w:tc>
                <w:tcPr>
                  <w:tcW w:w="3231" w:type="dxa"/>
                  <w:tcBorders>
                    <w:top w:val="nil"/>
                    <w:left w:val="nil"/>
                    <w:bottom w:val="nil"/>
                    <w:right w:val="nil"/>
                  </w:tcBorders>
                </w:tcPr>
                <w:p w14:paraId="4A53B3D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(.076)</w:t>
                  </w:r>
                </w:p>
              </w:tc>
            </w:tr>
            <w:tr w:rsidR="00694090" w:rsidRPr="00F60760" w14:paraId="04C59CAD" w14:textId="77777777" w:rsidTr="001D491F">
              <w:tc>
                <w:tcPr>
                  <w:tcW w:w="3231" w:type="dxa"/>
                  <w:tcBorders>
                    <w:top w:val="nil"/>
                    <w:left w:val="nil"/>
                    <w:bottom w:val="nil"/>
                    <w:right w:val="nil"/>
                  </w:tcBorders>
                </w:tcPr>
                <w:p w14:paraId="0DE4310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deal_hofstede_distance</w:t>
                  </w:r>
                </w:p>
              </w:tc>
              <w:tc>
                <w:tcPr>
                  <w:tcW w:w="3231" w:type="dxa"/>
                  <w:tcBorders>
                    <w:top w:val="nil"/>
                    <w:left w:val="nil"/>
                    <w:bottom w:val="nil"/>
                    <w:right w:val="nil"/>
                  </w:tcBorders>
                </w:tcPr>
                <w:p w14:paraId="0638CBD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-.035</w:t>
                  </w:r>
                </w:p>
              </w:tc>
              <w:tc>
                <w:tcPr>
                  <w:tcW w:w="3231" w:type="dxa"/>
                  <w:tcBorders>
                    <w:top w:val="nil"/>
                    <w:left w:val="nil"/>
                    <w:bottom w:val="nil"/>
                    <w:right w:val="nil"/>
                  </w:tcBorders>
                </w:tcPr>
                <w:p w14:paraId="4BF157E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-2.615**</w:t>
                  </w:r>
                </w:p>
              </w:tc>
            </w:tr>
            <w:tr w:rsidR="00694090" w:rsidRPr="00F60760" w14:paraId="52A7CF8B" w14:textId="77777777" w:rsidTr="001D491F">
              <w:tc>
                <w:tcPr>
                  <w:tcW w:w="3231" w:type="dxa"/>
                  <w:tcBorders>
                    <w:top w:val="nil"/>
                    <w:left w:val="nil"/>
                    <w:bottom w:val="nil"/>
                    <w:right w:val="nil"/>
                  </w:tcBorders>
                </w:tcPr>
                <w:p w14:paraId="2C1839F8"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38749D8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(-.025)</w:t>
                  </w:r>
                </w:p>
              </w:tc>
              <w:tc>
                <w:tcPr>
                  <w:tcW w:w="3231" w:type="dxa"/>
                  <w:tcBorders>
                    <w:top w:val="nil"/>
                    <w:left w:val="nil"/>
                    <w:bottom w:val="nil"/>
                    <w:right w:val="nil"/>
                  </w:tcBorders>
                </w:tcPr>
                <w:p w14:paraId="6CCB69D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(-2.094)</w:t>
                  </w:r>
                </w:p>
              </w:tc>
            </w:tr>
            <w:tr w:rsidR="00694090" w:rsidRPr="00F60760" w14:paraId="1947DF42" w14:textId="77777777" w:rsidTr="001D491F">
              <w:tc>
                <w:tcPr>
                  <w:tcW w:w="3231" w:type="dxa"/>
                  <w:tcBorders>
                    <w:top w:val="nil"/>
                    <w:left w:val="nil"/>
                    <w:bottom w:val="nil"/>
                    <w:right w:val="nil"/>
                  </w:tcBorders>
                </w:tcPr>
                <w:p w14:paraId="0AD1E62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deal_all_cash_dummy</w:t>
                  </w:r>
                </w:p>
              </w:tc>
              <w:tc>
                <w:tcPr>
                  <w:tcW w:w="3231" w:type="dxa"/>
                  <w:tcBorders>
                    <w:top w:val="nil"/>
                    <w:left w:val="nil"/>
                    <w:bottom w:val="nil"/>
                    <w:right w:val="nil"/>
                  </w:tcBorders>
                </w:tcPr>
                <w:p w14:paraId="317669A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-.063</w:t>
                  </w:r>
                </w:p>
              </w:tc>
              <w:tc>
                <w:tcPr>
                  <w:tcW w:w="3231" w:type="dxa"/>
                  <w:tcBorders>
                    <w:top w:val="nil"/>
                    <w:left w:val="nil"/>
                    <w:bottom w:val="nil"/>
                    <w:right w:val="nil"/>
                  </w:tcBorders>
                </w:tcPr>
                <w:p w14:paraId="26BF706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-.110</w:t>
                  </w:r>
                </w:p>
              </w:tc>
            </w:tr>
            <w:tr w:rsidR="00694090" w:rsidRPr="00F60760" w14:paraId="36A22E48" w14:textId="77777777" w:rsidTr="001D491F">
              <w:tc>
                <w:tcPr>
                  <w:tcW w:w="3231" w:type="dxa"/>
                  <w:tcBorders>
                    <w:top w:val="nil"/>
                    <w:left w:val="nil"/>
                    <w:bottom w:val="nil"/>
                    <w:right w:val="nil"/>
                  </w:tcBorders>
                </w:tcPr>
                <w:p w14:paraId="754CB78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1B2973A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(-.212)</w:t>
                  </w:r>
                </w:p>
              </w:tc>
              <w:tc>
                <w:tcPr>
                  <w:tcW w:w="3231" w:type="dxa"/>
                  <w:tcBorders>
                    <w:top w:val="nil"/>
                    <w:left w:val="nil"/>
                    <w:bottom w:val="nil"/>
                    <w:right w:val="nil"/>
                  </w:tcBorders>
                </w:tcPr>
                <w:p w14:paraId="2045F3A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(-.291)</w:t>
                  </w:r>
                </w:p>
              </w:tc>
            </w:tr>
            <w:tr w:rsidR="00694090" w:rsidRPr="00F60760" w14:paraId="3F7140E6" w14:textId="77777777" w:rsidTr="001D491F">
              <w:tc>
                <w:tcPr>
                  <w:tcW w:w="3231" w:type="dxa"/>
                  <w:tcBorders>
                    <w:top w:val="nil"/>
                    <w:left w:val="nil"/>
                    <w:bottom w:val="nil"/>
                    <w:right w:val="nil"/>
                  </w:tcBorders>
                </w:tcPr>
                <w:p w14:paraId="06D6525B"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deal_all_stock_dummy</w:t>
                  </w:r>
                </w:p>
              </w:tc>
              <w:tc>
                <w:tcPr>
                  <w:tcW w:w="3231" w:type="dxa"/>
                  <w:tcBorders>
                    <w:top w:val="nil"/>
                    <w:left w:val="nil"/>
                    <w:bottom w:val="nil"/>
                    <w:right w:val="nil"/>
                  </w:tcBorders>
                </w:tcPr>
                <w:p w14:paraId="67222A7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-.204</w:t>
                  </w:r>
                </w:p>
              </w:tc>
              <w:tc>
                <w:tcPr>
                  <w:tcW w:w="3231" w:type="dxa"/>
                  <w:tcBorders>
                    <w:top w:val="nil"/>
                    <w:left w:val="nil"/>
                    <w:bottom w:val="nil"/>
                    <w:right w:val="nil"/>
                  </w:tcBorders>
                </w:tcPr>
                <w:p w14:paraId="24C5483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-.232</w:t>
                  </w:r>
                </w:p>
              </w:tc>
            </w:tr>
            <w:tr w:rsidR="00694090" w:rsidRPr="00F60760" w14:paraId="7D8C5A2A" w14:textId="77777777" w:rsidTr="001D491F">
              <w:tc>
                <w:tcPr>
                  <w:tcW w:w="3231" w:type="dxa"/>
                  <w:tcBorders>
                    <w:top w:val="nil"/>
                    <w:left w:val="nil"/>
                    <w:bottom w:val="nil"/>
                    <w:right w:val="nil"/>
                  </w:tcBorders>
                </w:tcPr>
                <w:p w14:paraId="76D3913E"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2D77E1A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(-.563)</w:t>
                  </w:r>
                </w:p>
              </w:tc>
              <w:tc>
                <w:tcPr>
                  <w:tcW w:w="3231" w:type="dxa"/>
                  <w:tcBorders>
                    <w:top w:val="nil"/>
                    <w:left w:val="nil"/>
                    <w:bottom w:val="nil"/>
                    <w:right w:val="nil"/>
                  </w:tcBorders>
                </w:tcPr>
                <w:p w14:paraId="6B17726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(-.629)</w:t>
                  </w:r>
                </w:p>
              </w:tc>
            </w:tr>
            <w:tr w:rsidR="00694090" w:rsidRPr="00F60760" w14:paraId="2168F625" w14:textId="77777777" w:rsidTr="001D491F">
              <w:tc>
                <w:tcPr>
                  <w:tcW w:w="3231" w:type="dxa"/>
                  <w:tcBorders>
                    <w:top w:val="nil"/>
                    <w:left w:val="nil"/>
                    <w:bottom w:val="nil"/>
                    <w:right w:val="nil"/>
                  </w:tcBorders>
                </w:tcPr>
                <w:p w14:paraId="0C6BF69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deal_tenderoffer_dummy</w:t>
                  </w:r>
                </w:p>
              </w:tc>
              <w:tc>
                <w:tcPr>
                  <w:tcW w:w="3231" w:type="dxa"/>
                  <w:tcBorders>
                    <w:top w:val="nil"/>
                    <w:left w:val="nil"/>
                    <w:bottom w:val="nil"/>
                    <w:right w:val="nil"/>
                  </w:tcBorders>
                </w:tcPr>
                <w:p w14:paraId="24DEF58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-.029</w:t>
                  </w:r>
                </w:p>
              </w:tc>
              <w:tc>
                <w:tcPr>
                  <w:tcW w:w="3231" w:type="dxa"/>
                  <w:tcBorders>
                    <w:top w:val="nil"/>
                    <w:left w:val="nil"/>
                    <w:bottom w:val="nil"/>
                    <w:right w:val="nil"/>
                  </w:tcBorders>
                </w:tcPr>
                <w:p w14:paraId="187D7E7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.315</w:t>
                  </w:r>
                </w:p>
              </w:tc>
            </w:tr>
            <w:tr w:rsidR="00694090" w:rsidRPr="00F60760" w14:paraId="5475FD50" w14:textId="77777777" w:rsidTr="001D491F">
              <w:tc>
                <w:tcPr>
                  <w:tcW w:w="3231" w:type="dxa"/>
                  <w:tcBorders>
                    <w:top w:val="nil"/>
                    <w:left w:val="nil"/>
                    <w:bottom w:val="nil"/>
                    <w:right w:val="nil"/>
                  </w:tcBorders>
                </w:tcPr>
                <w:p w14:paraId="52B7A04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698D0F3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(-.098)</w:t>
                  </w:r>
                </w:p>
              </w:tc>
              <w:tc>
                <w:tcPr>
                  <w:tcW w:w="3231" w:type="dxa"/>
                  <w:tcBorders>
                    <w:top w:val="nil"/>
                    <w:left w:val="nil"/>
                    <w:bottom w:val="nil"/>
                    <w:right w:val="nil"/>
                  </w:tcBorders>
                </w:tcPr>
                <w:p w14:paraId="638DDD7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(1.016)</w:t>
                  </w:r>
                </w:p>
              </w:tc>
            </w:tr>
            <w:tr w:rsidR="00694090" w:rsidRPr="00F60760" w14:paraId="16ADF73A" w14:textId="77777777" w:rsidTr="001D491F">
              <w:tc>
                <w:tcPr>
                  <w:tcW w:w="3231" w:type="dxa"/>
                  <w:tcBorders>
                    <w:top w:val="nil"/>
                    <w:left w:val="nil"/>
                    <w:bottom w:val="nil"/>
                    <w:right w:val="nil"/>
                  </w:tcBorders>
                </w:tcPr>
                <w:p w14:paraId="4D83D328"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deal_friendly_dummy</w:t>
                  </w:r>
                </w:p>
              </w:tc>
              <w:tc>
                <w:tcPr>
                  <w:tcW w:w="3231" w:type="dxa"/>
                  <w:tcBorders>
                    <w:top w:val="nil"/>
                    <w:left w:val="nil"/>
                    <w:bottom w:val="nil"/>
                    <w:right w:val="nil"/>
                  </w:tcBorders>
                </w:tcPr>
                <w:p w14:paraId="5548915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-3.093***</w:t>
                  </w:r>
                </w:p>
              </w:tc>
              <w:tc>
                <w:tcPr>
                  <w:tcW w:w="3231" w:type="dxa"/>
                  <w:tcBorders>
                    <w:top w:val="nil"/>
                    <w:left w:val="nil"/>
                    <w:bottom w:val="nil"/>
                    <w:right w:val="nil"/>
                  </w:tcBorders>
                </w:tcPr>
                <w:p w14:paraId="5BFD122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w:t>
                  </w:r>
                </w:p>
              </w:tc>
            </w:tr>
            <w:tr w:rsidR="00694090" w:rsidRPr="00F60760" w14:paraId="2B33CD98" w14:textId="77777777" w:rsidTr="001D491F">
              <w:tc>
                <w:tcPr>
                  <w:tcW w:w="3231" w:type="dxa"/>
                  <w:tcBorders>
                    <w:top w:val="nil"/>
                    <w:left w:val="nil"/>
                    <w:bottom w:val="nil"/>
                    <w:right w:val="nil"/>
                  </w:tcBorders>
                </w:tcPr>
                <w:p w14:paraId="2AF2211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25ED6CD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(-4.150)</w:t>
                  </w:r>
                </w:p>
              </w:tc>
              <w:tc>
                <w:tcPr>
                  <w:tcW w:w="3231" w:type="dxa"/>
                  <w:tcBorders>
                    <w:top w:val="nil"/>
                    <w:left w:val="nil"/>
                    <w:bottom w:val="nil"/>
                    <w:right w:val="nil"/>
                  </w:tcBorders>
                </w:tcPr>
                <w:p w14:paraId="20745D8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w:t>
                  </w:r>
                </w:p>
              </w:tc>
            </w:tr>
            <w:tr w:rsidR="00694090" w:rsidRPr="00F60760" w14:paraId="71D50725" w14:textId="77777777" w:rsidTr="001D491F">
              <w:tc>
                <w:tcPr>
                  <w:tcW w:w="3231" w:type="dxa"/>
                  <w:tcBorders>
                    <w:top w:val="nil"/>
                    <w:left w:val="nil"/>
                    <w:bottom w:val="nil"/>
                    <w:right w:val="nil"/>
                  </w:tcBorders>
                </w:tcPr>
                <w:p w14:paraId="7D630EBD"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deal_relatedness_dummy</w:t>
                  </w:r>
                </w:p>
              </w:tc>
              <w:tc>
                <w:tcPr>
                  <w:tcW w:w="3231" w:type="dxa"/>
                  <w:tcBorders>
                    <w:top w:val="nil"/>
                    <w:left w:val="nil"/>
                    <w:bottom w:val="nil"/>
                    <w:right w:val="nil"/>
                  </w:tcBorders>
                </w:tcPr>
                <w:p w14:paraId="5C3976A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.183</w:t>
                  </w:r>
                </w:p>
              </w:tc>
              <w:tc>
                <w:tcPr>
                  <w:tcW w:w="3231" w:type="dxa"/>
                  <w:tcBorders>
                    <w:top w:val="nil"/>
                    <w:left w:val="nil"/>
                    <w:bottom w:val="nil"/>
                    <w:right w:val="nil"/>
                  </w:tcBorders>
                </w:tcPr>
                <w:p w14:paraId="2389A03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.155</w:t>
                  </w:r>
                </w:p>
              </w:tc>
            </w:tr>
            <w:tr w:rsidR="00694090" w:rsidRPr="00F60760" w14:paraId="17099F0C" w14:textId="77777777" w:rsidTr="001D491F">
              <w:tc>
                <w:tcPr>
                  <w:tcW w:w="3231" w:type="dxa"/>
                  <w:tcBorders>
                    <w:top w:val="nil"/>
                    <w:left w:val="nil"/>
                    <w:bottom w:val="nil"/>
                    <w:right w:val="nil"/>
                  </w:tcBorders>
                </w:tcPr>
                <w:p w14:paraId="147FFF1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0D6AF24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(.937)</w:t>
                  </w:r>
                </w:p>
              </w:tc>
              <w:tc>
                <w:tcPr>
                  <w:tcW w:w="3231" w:type="dxa"/>
                  <w:tcBorders>
                    <w:top w:val="nil"/>
                    <w:left w:val="nil"/>
                    <w:bottom w:val="nil"/>
                    <w:right w:val="nil"/>
                  </w:tcBorders>
                </w:tcPr>
                <w:p w14:paraId="5ADE23A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(.807)</w:t>
                  </w:r>
                </w:p>
              </w:tc>
            </w:tr>
            <w:tr w:rsidR="00694090" w:rsidRPr="00F60760" w14:paraId="38C99A3E" w14:textId="77777777" w:rsidTr="001D491F">
              <w:tc>
                <w:tcPr>
                  <w:tcW w:w="3231" w:type="dxa"/>
                  <w:tcBorders>
                    <w:top w:val="nil"/>
                    <w:left w:val="nil"/>
                    <w:bottom w:val="nil"/>
                    <w:right w:val="nil"/>
                  </w:tcBorders>
                </w:tcPr>
                <w:p w14:paraId="672754BE"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acq_age</w:t>
                  </w:r>
                </w:p>
              </w:tc>
              <w:tc>
                <w:tcPr>
                  <w:tcW w:w="3231" w:type="dxa"/>
                  <w:tcBorders>
                    <w:top w:val="nil"/>
                    <w:left w:val="nil"/>
                    <w:bottom w:val="nil"/>
                    <w:right w:val="nil"/>
                  </w:tcBorders>
                </w:tcPr>
                <w:p w14:paraId="6AEADE8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.003</w:t>
                  </w:r>
                </w:p>
              </w:tc>
              <w:tc>
                <w:tcPr>
                  <w:tcW w:w="3231" w:type="dxa"/>
                  <w:tcBorders>
                    <w:top w:val="nil"/>
                    <w:left w:val="nil"/>
                    <w:bottom w:val="nil"/>
                    <w:right w:val="nil"/>
                  </w:tcBorders>
                </w:tcPr>
                <w:p w14:paraId="4F66E0C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-.003*</w:t>
                  </w:r>
                </w:p>
              </w:tc>
            </w:tr>
            <w:tr w:rsidR="00694090" w:rsidRPr="00F60760" w14:paraId="326B2395" w14:textId="77777777" w:rsidTr="001D491F">
              <w:tc>
                <w:tcPr>
                  <w:tcW w:w="3231" w:type="dxa"/>
                  <w:tcBorders>
                    <w:top w:val="nil"/>
                    <w:left w:val="nil"/>
                    <w:bottom w:val="nil"/>
                    <w:right w:val="nil"/>
                  </w:tcBorders>
                </w:tcPr>
                <w:p w14:paraId="292F0A9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0CB673C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(1.151)</w:t>
                  </w:r>
                </w:p>
              </w:tc>
              <w:tc>
                <w:tcPr>
                  <w:tcW w:w="3231" w:type="dxa"/>
                  <w:tcBorders>
                    <w:top w:val="nil"/>
                    <w:left w:val="nil"/>
                    <w:bottom w:val="nil"/>
                    <w:right w:val="nil"/>
                  </w:tcBorders>
                </w:tcPr>
                <w:p w14:paraId="4E83D40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(-1.842)</w:t>
                  </w:r>
                </w:p>
              </w:tc>
            </w:tr>
            <w:tr w:rsidR="00694090" w:rsidRPr="00F60760" w14:paraId="4D96A91B" w14:textId="77777777" w:rsidTr="001D491F">
              <w:tc>
                <w:tcPr>
                  <w:tcW w:w="3231" w:type="dxa"/>
                  <w:tcBorders>
                    <w:top w:val="nil"/>
                    <w:left w:val="nil"/>
                    <w:bottom w:val="nil"/>
                    <w:right w:val="nil"/>
                  </w:tcBorders>
                </w:tcPr>
                <w:p w14:paraId="5340E6B1"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acq_assets_lastyear_ln</w:t>
                  </w:r>
                </w:p>
              </w:tc>
              <w:tc>
                <w:tcPr>
                  <w:tcW w:w="3231" w:type="dxa"/>
                  <w:tcBorders>
                    <w:top w:val="nil"/>
                    <w:left w:val="nil"/>
                    <w:bottom w:val="nil"/>
                    <w:right w:val="nil"/>
                  </w:tcBorders>
                </w:tcPr>
                <w:p w14:paraId="7BDEECC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.117</w:t>
                  </w:r>
                </w:p>
              </w:tc>
              <w:tc>
                <w:tcPr>
                  <w:tcW w:w="3231" w:type="dxa"/>
                  <w:tcBorders>
                    <w:top w:val="nil"/>
                    <w:left w:val="nil"/>
                    <w:bottom w:val="nil"/>
                    <w:right w:val="nil"/>
                  </w:tcBorders>
                </w:tcPr>
                <w:p w14:paraId="322EEF1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-.108</w:t>
                  </w:r>
                </w:p>
              </w:tc>
            </w:tr>
            <w:tr w:rsidR="00694090" w:rsidRPr="00F60760" w14:paraId="275406FC" w14:textId="77777777" w:rsidTr="001D491F">
              <w:tc>
                <w:tcPr>
                  <w:tcW w:w="3231" w:type="dxa"/>
                  <w:tcBorders>
                    <w:top w:val="nil"/>
                    <w:left w:val="nil"/>
                    <w:bottom w:val="nil"/>
                    <w:right w:val="nil"/>
                  </w:tcBorders>
                </w:tcPr>
                <w:p w14:paraId="27E25EA8"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3256117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(1.106)</w:t>
                  </w:r>
                </w:p>
              </w:tc>
              <w:tc>
                <w:tcPr>
                  <w:tcW w:w="3231" w:type="dxa"/>
                  <w:tcBorders>
                    <w:top w:val="nil"/>
                    <w:left w:val="nil"/>
                    <w:bottom w:val="nil"/>
                    <w:right w:val="nil"/>
                  </w:tcBorders>
                </w:tcPr>
                <w:p w14:paraId="2AE8280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(-.973)</w:t>
                  </w:r>
                </w:p>
              </w:tc>
            </w:tr>
            <w:tr w:rsidR="00694090" w:rsidRPr="00F60760" w14:paraId="26E2E17E" w14:textId="77777777" w:rsidTr="001D491F">
              <w:tc>
                <w:tcPr>
                  <w:tcW w:w="3231" w:type="dxa"/>
                  <w:tcBorders>
                    <w:top w:val="nil"/>
                    <w:left w:val="nil"/>
                    <w:bottom w:val="nil"/>
                    <w:right w:val="nil"/>
                  </w:tcBorders>
                </w:tcPr>
                <w:p w14:paraId="5D9CA9BE"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acq_roa_lastyear</w:t>
                  </w:r>
                </w:p>
              </w:tc>
              <w:tc>
                <w:tcPr>
                  <w:tcW w:w="3231" w:type="dxa"/>
                  <w:tcBorders>
                    <w:top w:val="nil"/>
                    <w:left w:val="nil"/>
                    <w:bottom w:val="nil"/>
                    <w:right w:val="nil"/>
                  </w:tcBorders>
                </w:tcPr>
                <w:p w14:paraId="5E28C0B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.216**</w:t>
                  </w:r>
                </w:p>
              </w:tc>
              <w:tc>
                <w:tcPr>
                  <w:tcW w:w="3231" w:type="dxa"/>
                  <w:tcBorders>
                    <w:top w:val="nil"/>
                    <w:left w:val="nil"/>
                    <w:bottom w:val="nil"/>
                    <w:right w:val="nil"/>
                  </w:tcBorders>
                </w:tcPr>
                <w:p w14:paraId="5C759BB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-.121*</w:t>
                  </w:r>
                </w:p>
              </w:tc>
            </w:tr>
            <w:tr w:rsidR="00694090" w:rsidRPr="00F60760" w14:paraId="50921F0E" w14:textId="77777777" w:rsidTr="001D491F">
              <w:tc>
                <w:tcPr>
                  <w:tcW w:w="3231" w:type="dxa"/>
                  <w:tcBorders>
                    <w:top w:val="nil"/>
                    <w:left w:val="nil"/>
                    <w:bottom w:val="nil"/>
                    <w:right w:val="nil"/>
                  </w:tcBorders>
                </w:tcPr>
                <w:p w14:paraId="68F172D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11CF9AA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(2.209)</w:t>
                  </w:r>
                </w:p>
              </w:tc>
              <w:tc>
                <w:tcPr>
                  <w:tcW w:w="3231" w:type="dxa"/>
                  <w:tcBorders>
                    <w:top w:val="nil"/>
                    <w:left w:val="nil"/>
                    <w:bottom w:val="nil"/>
                    <w:right w:val="nil"/>
                  </w:tcBorders>
                </w:tcPr>
                <w:p w14:paraId="646D4F8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(-1.675)</w:t>
                  </w:r>
                </w:p>
              </w:tc>
            </w:tr>
            <w:tr w:rsidR="00694090" w:rsidRPr="00F60760" w14:paraId="59C08234" w14:textId="77777777" w:rsidTr="001D491F">
              <w:tc>
                <w:tcPr>
                  <w:tcW w:w="3231" w:type="dxa"/>
                  <w:tcBorders>
                    <w:top w:val="nil"/>
                    <w:left w:val="nil"/>
                    <w:bottom w:val="nil"/>
                    <w:right w:val="nil"/>
                  </w:tcBorders>
                </w:tcPr>
                <w:p w14:paraId="10BE2A7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acq_industrygrowth</w:t>
                  </w:r>
                </w:p>
              </w:tc>
              <w:tc>
                <w:tcPr>
                  <w:tcW w:w="3231" w:type="dxa"/>
                  <w:tcBorders>
                    <w:top w:val="nil"/>
                    <w:left w:val="nil"/>
                    <w:bottom w:val="nil"/>
                    <w:right w:val="nil"/>
                  </w:tcBorders>
                </w:tcPr>
                <w:p w14:paraId="6A6FCA8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-2.685</w:t>
                  </w:r>
                </w:p>
              </w:tc>
              <w:tc>
                <w:tcPr>
                  <w:tcW w:w="3231" w:type="dxa"/>
                  <w:tcBorders>
                    <w:top w:val="nil"/>
                    <w:left w:val="nil"/>
                    <w:bottom w:val="nil"/>
                    <w:right w:val="nil"/>
                  </w:tcBorders>
                </w:tcPr>
                <w:p w14:paraId="5DBA93A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19.774**</w:t>
                  </w:r>
                </w:p>
              </w:tc>
            </w:tr>
            <w:tr w:rsidR="00694090" w:rsidRPr="00F60760" w14:paraId="7B50639C" w14:textId="77777777" w:rsidTr="001D491F">
              <w:tc>
                <w:tcPr>
                  <w:tcW w:w="3231" w:type="dxa"/>
                  <w:tcBorders>
                    <w:top w:val="nil"/>
                    <w:left w:val="nil"/>
                    <w:bottom w:val="nil"/>
                    <w:right w:val="nil"/>
                  </w:tcBorders>
                </w:tcPr>
                <w:p w14:paraId="494FF8BB"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1C05F0B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(-1.590)</w:t>
                  </w:r>
                </w:p>
              </w:tc>
              <w:tc>
                <w:tcPr>
                  <w:tcW w:w="3231" w:type="dxa"/>
                  <w:tcBorders>
                    <w:top w:val="nil"/>
                    <w:left w:val="nil"/>
                    <w:bottom w:val="nil"/>
                    <w:right w:val="nil"/>
                  </w:tcBorders>
                </w:tcPr>
                <w:p w14:paraId="2AF104C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(2.007)</w:t>
                  </w:r>
                </w:p>
              </w:tc>
            </w:tr>
            <w:tr w:rsidR="00694090" w:rsidRPr="00F60760" w14:paraId="6E855FD7" w14:textId="77777777" w:rsidTr="001D491F">
              <w:tc>
                <w:tcPr>
                  <w:tcW w:w="3231" w:type="dxa"/>
                  <w:tcBorders>
                    <w:top w:val="nil"/>
                    <w:left w:val="nil"/>
                    <w:bottom w:val="nil"/>
                    <w:right w:val="nil"/>
                  </w:tcBorders>
                </w:tcPr>
                <w:p w14:paraId="560A4F68"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acq_dealexperience</w:t>
                  </w:r>
                </w:p>
              </w:tc>
              <w:tc>
                <w:tcPr>
                  <w:tcW w:w="3231" w:type="dxa"/>
                  <w:tcBorders>
                    <w:top w:val="nil"/>
                    <w:left w:val="nil"/>
                    <w:bottom w:val="nil"/>
                    <w:right w:val="nil"/>
                  </w:tcBorders>
                </w:tcPr>
                <w:p w14:paraId="64952CC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-.215**</w:t>
                  </w:r>
                </w:p>
              </w:tc>
              <w:tc>
                <w:tcPr>
                  <w:tcW w:w="3231" w:type="dxa"/>
                  <w:tcBorders>
                    <w:top w:val="nil"/>
                    <w:left w:val="nil"/>
                    <w:bottom w:val="nil"/>
                    <w:right w:val="nil"/>
                  </w:tcBorders>
                </w:tcPr>
                <w:p w14:paraId="49E4EDD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-.103</w:t>
                  </w:r>
                </w:p>
              </w:tc>
            </w:tr>
            <w:tr w:rsidR="00694090" w:rsidRPr="00F60760" w14:paraId="3E25AEC8" w14:textId="77777777" w:rsidTr="001D491F">
              <w:tc>
                <w:tcPr>
                  <w:tcW w:w="3231" w:type="dxa"/>
                  <w:tcBorders>
                    <w:top w:val="nil"/>
                    <w:left w:val="nil"/>
                    <w:bottom w:val="nil"/>
                    <w:right w:val="nil"/>
                  </w:tcBorders>
                </w:tcPr>
                <w:p w14:paraId="0DBABC4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4FD5F5B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(-2.137)</w:t>
                  </w:r>
                </w:p>
              </w:tc>
              <w:tc>
                <w:tcPr>
                  <w:tcW w:w="3231" w:type="dxa"/>
                  <w:tcBorders>
                    <w:top w:val="nil"/>
                    <w:left w:val="nil"/>
                    <w:bottom w:val="nil"/>
                    <w:right w:val="nil"/>
                  </w:tcBorders>
                </w:tcPr>
                <w:p w14:paraId="5E3F517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(-.526)</w:t>
                  </w:r>
                </w:p>
              </w:tc>
            </w:tr>
            <w:tr w:rsidR="00694090" w:rsidRPr="00F60760" w14:paraId="385AB3E3" w14:textId="77777777" w:rsidTr="001D491F">
              <w:tc>
                <w:tcPr>
                  <w:tcW w:w="3231" w:type="dxa"/>
                  <w:tcBorders>
                    <w:top w:val="nil"/>
                    <w:left w:val="nil"/>
                    <w:bottom w:val="nil"/>
                    <w:right w:val="nil"/>
                  </w:tcBorders>
                </w:tcPr>
                <w:p w14:paraId="46AEF2FE"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acq_rd_intensity</w:t>
                  </w:r>
                </w:p>
              </w:tc>
              <w:tc>
                <w:tcPr>
                  <w:tcW w:w="3231" w:type="dxa"/>
                  <w:tcBorders>
                    <w:top w:val="nil"/>
                    <w:left w:val="nil"/>
                    <w:bottom w:val="nil"/>
                    <w:right w:val="nil"/>
                  </w:tcBorders>
                </w:tcPr>
                <w:p w14:paraId="40ACC6E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.531</w:t>
                  </w:r>
                </w:p>
              </w:tc>
              <w:tc>
                <w:tcPr>
                  <w:tcW w:w="3231" w:type="dxa"/>
                  <w:tcBorders>
                    <w:top w:val="nil"/>
                    <w:left w:val="nil"/>
                    <w:bottom w:val="nil"/>
                    <w:right w:val="nil"/>
                  </w:tcBorders>
                </w:tcPr>
                <w:p w14:paraId="3F5844F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.751</w:t>
                  </w:r>
                </w:p>
              </w:tc>
            </w:tr>
            <w:tr w:rsidR="00694090" w:rsidRPr="00F60760" w14:paraId="19D833E5" w14:textId="77777777" w:rsidTr="001D491F">
              <w:tc>
                <w:tcPr>
                  <w:tcW w:w="3231" w:type="dxa"/>
                  <w:tcBorders>
                    <w:top w:val="nil"/>
                    <w:left w:val="nil"/>
                    <w:bottom w:val="nil"/>
                    <w:right w:val="nil"/>
                  </w:tcBorders>
                </w:tcPr>
                <w:p w14:paraId="0AB3E47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p>
              </w:tc>
              <w:tc>
                <w:tcPr>
                  <w:tcW w:w="3231" w:type="dxa"/>
                  <w:tcBorders>
                    <w:top w:val="nil"/>
                    <w:left w:val="nil"/>
                    <w:bottom w:val="nil"/>
                    <w:right w:val="nil"/>
                  </w:tcBorders>
                </w:tcPr>
                <w:p w14:paraId="3251146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(.504)</w:t>
                  </w:r>
                </w:p>
              </w:tc>
              <w:tc>
                <w:tcPr>
                  <w:tcW w:w="3231" w:type="dxa"/>
                  <w:tcBorders>
                    <w:top w:val="nil"/>
                    <w:left w:val="nil"/>
                    <w:bottom w:val="nil"/>
                    <w:right w:val="nil"/>
                  </w:tcBorders>
                </w:tcPr>
                <w:p w14:paraId="6B89A05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(.406)</w:t>
                  </w:r>
                </w:p>
              </w:tc>
            </w:tr>
            <w:tr w:rsidR="00694090" w:rsidRPr="00F60760" w14:paraId="2D14F0EE" w14:textId="77777777" w:rsidTr="001D491F">
              <w:tc>
                <w:tcPr>
                  <w:tcW w:w="3231" w:type="dxa"/>
                  <w:tcBorders>
                    <w:top w:val="nil"/>
                    <w:left w:val="nil"/>
                    <w:bottom w:val="nil"/>
                    <w:right w:val="nil"/>
                  </w:tcBorders>
                </w:tcPr>
                <w:p w14:paraId="164BA465"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tar_age</w:t>
                  </w:r>
                </w:p>
              </w:tc>
              <w:tc>
                <w:tcPr>
                  <w:tcW w:w="3231" w:type="dxa"/>
                  <w:tcBorders>
                    <w:top w:val="nil"/>
                    <w:left w:val="nil"/>
                    <w:bottom w:val="nil"/>
                    <w:right w:val="nil"/>
                  </w:tcBorders>
                </w:tcPr>
                <w:p w14:paraId="6EEE861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w:t>
                  </w:r>
                </w:p>
              </w:tc>
              <w:tc>
                <w:tcPr>
                  <w:tcW w:w="3231" w:type="dxa"/>
                  <w:tcBorders>
                    <w:top w:val="nil"/>
                    <w:left w:val="nil"/>
                    <w:bottom w:val="nil"/>
                    <w:right w:val="nil"/>
                  </w:tcBorders>
                </w:tcPr>
                <w:p w14:paraId="4F9BF50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-.005</w:t>
                  </w:r>
                </w:p>
              </w:tc>
            </w:tr>
            <w:tr w:rsidR="00694090" w:rsidRPr="00F60760" w14:paraId="7F92276C" w14:textId="77777777" w:rsidTr="001D491F">
              <w:tc>
                <w:tcPr>
                  <w:tcW w:w="3231" w:type="dxa"/>
                  <w:tcBorders>
                    <w:top w:val="nil"/>
                    <w:left w:val="nil"/>
                    <w:bottom w:val="nil"/>
                    <w:right w:val="nil"/>
                  </w:tcBorders>
                </w:tcPr>
                <w:p w14:paraId="176BA1F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17307F5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(.012)</w:t>
                  </w:r>
                </w:p>
              </w:tc>
              <w:tc>
                <w:tcPr>
                  <w:tcW w:w="3231" w:type="dxa"/>
                  <w:tcBorders>
                    <w:top w:val="nil"/>
                    <w:left w:val="nil"/>
                    <w:bottom w:val="nil"/>
                    <w:right w:val="nil"/>
                  </w:tcBorders>
                </w:tcPr>
                <w:p w14:paraId="3A919F1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(-1.320)</w:t>
                  </w:r>
                </w:p>
              </w:tc>
            </w:tr>
            <w:tr w:rsidR="00694090" w:rsidRPr="00F60760" w14:paraId="0476107F" w14:textId="77777777" w:rsidTr="001D491F">
              <w:tc>
                <w:tcPr>
                  <w:tcW w:w="3231" w:type="dxa"/>
                  <w:tcBorders>
                    <w:top w:val="nil"/>
                    <w:left w:val="nil"/>
                    <w:bottom w:val="nil"/>
                    <w:right w:val="nil"/>
                  </w:tcBorders>
                </w:tcPr>
                <w:p w14:paraId="24FF5F2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tar_assets_lastyear_ln</w:t>
                  </w:r>
                </w:p>
              </w:tc>
              <w:tc>
                <w:tcPr>
                  <w:tcW w:w="3231" w:type="dxa"/>
                  <w:tcBorders>
                    <w:top w:val="nil"/>
                    <w:left w:val="nil"/>
                    <w:bottom w:val="nil"/>
                    <w:right w:val="nil"/>
                  </w:tcBorders>
                </w:tcPr>
                <w:p w14:paraId="73F2645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-.066</w:t>
                  </w:r>
                </w:p>
              </w:tc>
              <w:tc>
                <w:tcPr>
                  <w:tcW w:w="3231" w:type="dxa"/>
                  <w:tcBorders>
                    <w:top w:val="nil"/>
                    <w:left w:val="nil"/>
                    <w:bottom w:val="nil"/>
                    <w:right w:val="nil"/>
                  </w:tcBorders>
                </w:tcPr>
                <w:p w14:paraId="35010DA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-.063</w:t>
                  </w:r>
                </w:p>
              </w:tc>
            </w:tr>
            <w:tr w:rsidR="00694090" w:rsidRPr="00F60760" w14:paraId="5411E5CB" w14:textId="77777777" w:rsidTr="001D491F">
              <w:tc>
                <w:tcPr>
                  <w:tcW w:w="3231" w:type="dxa"/>
                  <w:tcBorders>
                    <w:top w:val="nil"/>
                    <w:left w:val="nil"/>
                    <w:bottom w:val="nil"/>
                    <w:right w:val="nil"/>
                  </w:tcBorders>
                </w:tcPr>
                <w:p w14:paraId="4063948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4745E85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(-.594)</w:t>
                  </w:r>
                </w:p>
              </w:tc>
              <w:tc>
                <w:tcPr>
                  <w:tcW w:w="3231" w:type="dxa"/>
                  <w:tcBorders>
                    <w:top w:val="nil"/>
                    <w:left w:val="nil"/>
                    <w:bottom w:val="nil"/>
                    <w:right w:val="nil"/>
                  </w:tcBorders>
                </w:tcPr>
                <w:p w14:paraId="5FEE4D2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(-.406)</w:t>
                  </w:r>
                </w:p>
              </w:tc>
            </w:tr>
            <w:tr w:rsidR="00694090" w:rsidRPr="00F60760" w14:paraId="31F97623" w14:textId="77777777" w:rsidTr="001D491F">
              <w:tc>
                <w:tcPr>
                  <w:tcW w:w="3231" w:type="dxa"/>
                  <w:tcBorders>
                    <w:top w:val="nil"/>
                    <w:left w:val="nil"/>
                    <w:bottom w:val="nil"/>
                    <w:right w:val="nil"/>
                  </w:tcBorders>
                </w:tcPr>
                <w:p w14:paraId="4DA991C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tar_roa_lastyear</w:t>
                  </w:r>
                </w:p>
              </w:tc>
              <w:tc>
                <w:tcPr>
                  <w:tcW w:w="3231" w:type="dxa"/>
                  <w:tcBorders>
                    <w:top w:val="nil"/>
                    <w:left w:val="nil"/>
                    <w:bottom w:val="nil"/>
                    <w:right w:val="nil"/>
                  </w:tcBorders>
                </w:tcPr>
                <w:p w14:paraId="7D4A9B3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-.094</w:t>
                  </w:r>
                </w:p>
              </w:tc>
              <w:tc>
                <w:tcPr>
                  <w:tcW w:w="3231" w:type="dxa"/>
                  <w:tcBorders>
                    <w:top w:val="nil"/>
                    <w:left w:val="nil"/>
                    <w:bottom w:val="nil"/>
                    <w:right w:val="nil"/>
                  </w:tcBorders>
                </w:tcPr>
                <w:p w14:paraId="32318CF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.948***</w:t>
                  </w:r>
                </w:p>
              </w:tc>
            </w:tr>
            <w:tr w:rsidR="00694090" w:rsidRPr="00F60760" w14:paraId="44A964CC" w14:textId="77777777" w:rsidTr="001D491F">
              <w:tc>
                <w:tcPr>
                  <w:tcW w:w="3231" w:type="dxa"/>
                  <w:tcBorders>
                    <w:top w:val="nil"/>
                    <w:left w:val="nil"/>
                    <w:bottom w:val="nil"/>
                    <w:right w:val="nil"/>
                  </w:tcBorders>
                </w:tcPr>
                <w:p w14:paraId="4A35DC1B"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0F49C4E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(-.288)</w:t>
                  </w:r>
                </w:p>
              </w:tc>
              <w:tc>
                <w:tcPr>
                  <w:tcW w:w="3231" w:type="dxa"/>
                  <w:tcBorders>
                    <w:top w:val="nil"/>
                    <w:left w:val="nil"/>
                    <w:bottom w:val="nil"/>
                    <w:right w:val="nil"/>
                  </w:tcBorders>
                </w:tcPr>
                <w:p w14:paraId="1C13F4F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(2.754)</w:t>
                  </w:r>
                </w:p>
              </w:tc>
            </w:tr>
            <w:tr w:rsidR="00694090" w:rsidRPr="00F60760" w14:paraId="1BD5C734" w14:textId="77777777" w:rsidTr="001D491F">
              <w:tc>
                <w:tcPr>
                  <w:tcW w:w="3231" w:type="dxa"/>
                  <w:tcBorders>
                    <w:top w:val="nil"/>
                    <w:left w:val="nil"/>
                    <w:bottom w:val="nil"/>
                    <w:right w:val="nil"/>
                  </w:tcBorders>
                </w:tcPr>
                <w:p w14:paraId="318CC160"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tar_mbratio</w:t>
                  </w:r>
                </w:p>
              </w:tc>
              <w:tc>
                <w:tcPr>
                  <w:tcW w:w="3231" w:type="dxa"/>
                  <w:tcBorders>
                    <w:top w:val="nil"/>
                    <w:left w:val="nil"/>
                    <w:bottom w:val="nil"/>
                    <w:right w:val="nil"/>
                  </w:tcBorders>
                </w:tcPr>
                <w:p w14:paraId="7FE33C7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.015**</w:t>
                  </w:r>
                </w:p>
              </w:tc>
              <w:tc>
                <w:tcPr>
                  <w:tcW w:w="3231" w:type="dxa"/>
                  <w:tcBorders>
                    <w:top w:val="nil"/>
                    <w:left w:val="nil"/>
                    <w:bottom w:val="nil"/>
                    <w:right w:val="nil"/>
                  </w:tcBorders>
                </w:tcPr>
                <w:p w14:paraId="4B94859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.025</w:t>
                  </w:r>
                </w:p>
              </w:tc>
            </w:tr>
            <w:tr w:rsidR="00694090" w:rsidRPr="00F60760" w14:paraId="50649EC0" w14:textId="77777777" w:rsidTr="001D491F">
              <w:tc>
                <w:tcPr>
                  <w:tcW w:w="3231" w:type="dxa"/>
                  <w:tcBorders>
                    <w:top w:val="nil"/>
                    <w:left w:val="nil"/>
                    <w:bottom w:val="nil"/>
                    <w:right w:val="nil"/>
                  </w:tcBorders>
                </w:tcPr>
                <w:p w14:paraId="7347C518"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2361143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(2.214)</w:t>
                  </w:r>
                </w:p>
              </w:tc>
              <w:tc>
                <w:tcPr>
                  <w:tcW w:w="3231" w:type="dxa"/>
                  <w:tcBorders>
                    <w:top w:val="nil"/>
                    <w:left w:val="nil"/>
                    <w:bottom w:val="nil"/>
                    <w:right w:val="nil"/>
                  </w:tcBorders>
                </w:tcPr>
                <w:p w14:paraId="5E5079F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(1.616)</w:t>
                  </w:r>
                </w:p>
              </w:tc>
            </w:tr>
            <w:tr w:rsidR="00694090" w:rsidRPr="00F60760" w14:paraId="44E0767B" w14:textId="77777777" w:rsidTr="001D491F">
              <w:tc>
                <w:tcPr>
                  <w:tcW w:w="3231" w:type="dxa"/>
                  <w:tcBorders>
                    <w:top w:val="nil"/>
                    <w:left w:val="nil"/>
                    <w:bottom w:val="nil"/>
                    <w:right w:val="nil"/>
                  </w:tcBorders>
                </w:tcPr>
                <w:p w14:paraId="3F2AFC4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Observations</w:t>
                  </w:r>
                </w:p>
              </w:tc>
              <w:tc>
                <w:tcPr>
                  <w:tcW w:w="3231" w:type="dxa"/>
                  <w:tcBorders>
                    <w:top w:val="nil"/>
                    <w:left w:val="nil"/>
                    <w:bottom w:val="nil"/>
                    <w:right w:val="nil"/>
                  </w:tcBorders>
                  <w:vAlign w:val="center"/>
                </w:tcPr>
                <w:p w14:paraId="6F1DD39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207</w:t>
                  </w:r>
                </w:p>
              </w:tc>
              <w:tc>
                <w:tcPr>
                  <w:tcW w:w="3231" w:type="dxa"/>
                  <w:tcBorders>
                    <w:top w:val="nil"/>
                    <w:left w:val="nil"/>
                    <w:bottom w:val="nil"/>
                    <w:right w:val="nil"/>
                  </w:tcBorders>
                  <w:vAlign w:val="center"/>
                </w:tcPr>
                <w:p w14:paraId="664A20F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151</w:t>
                  </w:r>
                </w:p>
              </w:tc>
            </w:tr>
            <w:tr w:rsidR="00694090" w:rsidRPr="00F60760" w14:paraId="74BD30A4" w14:textId="77777777" w:rsidTr="001D491F">
              <w:tc>
                <w:tcPr>
                  <w:tcW w:w="3231" w:type="dxa"/>
                  <w:tcBorders>
                    <w:top w:val="nil"/>
                    <w:left w:val="nil"/>
                    <w:bottom w:val="nil"/>
                    <w:right w:val="nil"/>
                  </w:tcBorders>
                </w:tcPr>
                <w:p w14:paraId="722E2E1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Adj R2</w:t>
                  </w:r>
                </w:p>
              </w:tc>
              <w:tc>
                <w:tcPr>
                  <w:tcW w:w="3231" w:type="dxa"/>
                  <w:tcBorders>
                    <w:top w:val="nil"/>
                    <w:left w:val="nil"/>
                    <w:bottom w:val="nil"/>
                    <w:right w:val="nil"/>
                  </w:tcBorders>
                </w:tcPr>
                <w:p w14:paraId="70AB074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0.136</w:t>
                  </w:r>
                </w:p>
              </w:tc>
              <w:tc>
                <w:tcPr>
                  <w:tcW w:w="3231" w:type="dxa"/>
                  <w:tcBorders>
                    <w:top w:val="nil"/>
                    <w:left w:val="nil"/>
                    <w:bottom w:val="nil"/>
                    <w:right w:val="nil"/>
                  </w:tcBorders>
                </w:tcPr>
                <w:p w14:paraId="6C43811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0.099</w:t>
                  </w:r>
                </w:p>
              </w:tc>
            </w:tr>
            <w:tr w:rsidR="00694090" w:rsidRPr="00F60760" w14:paraId="0C65BE01" w14:textId="77777777" w:rsidTr="001D491F">
              <w:tc>
                <w:tcPr>
                  <w:tcW w:w="3231" w:type="dxa"/>
                  <w:tcBorders>
                    <w:top w:val="nil"/>
                    <w:left w:val="nil"/>
                    <w:bottom w:val="nil"/>
                    <w:right w:val="nil"/>
                  </w:tcBorders>
                </w:tcPr>
                <w:p w14:paraId="18FFEE34"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Industry FE</w:t>
                  </w:r>
                </w:p>
              </w:tc>
              <w:tc>
                <w:tcPr>
                  <w:tcW w:w="3231" w:type="dxa"/>
                  <w:tcBorders>
                    <w:top w:val="nil"/>
                    <w:left w:val="nil"/>
                    <w:bottom w:val="nil"/>
                    <w:right w:val="nil"/>
                  </w:tcBorders>
                </w:tcPr>
                <w:p w14:paraId="2D6206A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3231" w:type="dxa"/>
                  <w:tcBorders>
                    <w:top w:val="nil"/>
                    <w:left w:val="nil"/>
                    <w:bottom w:val="nil"/>
                    <w:right w:val="nil"/>
                  </w:tcBorders>
                </w:tcPr>
                <w:p w14:paraId="24A5EC4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r>
            <w:tr w:rsidR="00694090" w:rsidRPr="00F60760" w14:paraId="5D8D6B43" w14:textId="77777777" w:rsidTr="001D491F">
              <w:tc>
                <w:tcPr>
                  <w:tcW w:w="3231" w:type="dxa"/>
                  <w:tcBorders>
                    <w:top w:val="nil"/>
                    <w:left w:val="nil"/>
                    <w:bottom w:val="nil"/>
                    <w:right w:val="nil"/>
                  </w:tcBorders>
                </w:tcPr>
                <w:p w14:paraId="3636E2E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Year FE</w:t>
                  </w:r>
                </w:p>
              </w:tc>
              <w:tc>
                <w:tcPr>
                  <w:tcW w:w="3231" w:type="dxa"/>
                  <w:tcBorders>
                    <w:top w:val="nil"/>
                    <w:left w:val="nil"/>
                    <w:bottom w:val="nil"/>
                    <w:right w:val="nil"/>
                  </w:tcBorders>
                </w:tcPr>
                <w:p w14:paraId="72ABE77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3231" w:type="dxa"/>
                  <w:tcBorders>
                    <w:top w:val="nil"/>
                    <w:left w:val="nil"/>
                    <w:bottom w:val="nil"/>
                    <w:right w:val="nil"/>
                  </w:tcBorders>
                </w:tcPr>
                <w:p w14:paraId="47DBFD3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Yes</w:t>
                  </w:r>
                </w:p>
              </w:tc>
            </w:tr>
          </w:tbl>
          <w:p w14:paraId="1558CC19" w14:textId="77777777" w:rsidR="00694090" w:rsidRPr="00F60760" w:rsidRDefault="00694090" w:rsidP="00AB066F">
            <w:pPr>
              <w:tabs>
                <w:tab w:val="left" w:pos="2710"/>
              </w:tabs>
              <w:rPr>
                <w:color w:val="000000" w:themeColor="text1"/>
                <w:sz w:val="22"/>
                <w:lang w:val="en-US"/>
              </w:rPr>
            </w:pPr>
          </w:p>
        </w:tc>
      </w:tr>
      <w:tr w:rsidR="00694090" w:rsidRPr="00BE5632" w14:paraId="28C843A1" w14:textId="77777777" w:rsidTr="001D491F">
        <w:trPr>
          <w:trHeight w:val="2514"/>
        </w:trPr>
        <w:tc>
          <w:tcPr>
            <w:tcW w:w="5000" w:type="pct"/>
            <w:tcBorders>
              <w:top w:val="single" w:sz="4" w:space="0" w:color="auto"/>
              <w:left w:val="nil"/>
              <w:right w:val="nil"/>
            </w:tcBorders>
            <w:shd w:val="clear" w:color="auto" w:fill="auto"/>
            <w:noWrap/>
          </w:tcPr>
          <w:p w14:paraId="68ABFAFA" w14:textId="77777777" w:rsidR="00694090" w:rsidRPr="00F60760" w:rsidRDefault="00694090" w:rsidP="00E74508">
            <w:pPr>
              <w:spacing w:before="120" w:line="240" w:lineRule="auto"/>
              <w:rPr>
                <w:color w:val="000000" w:themeColor="text1"/>
                <w:sz w:val="22"/>
                <w:lang w:val="en-US"/>
              </w:rPr>
            </w:pPr>
            <w:r w:rsidRPr="00F60760">
              <w:rPr>
                <w:i/>
                <w:iCs/>
                <w:color w:val="000000" w:themeColor="text1"/>
                <w:sz w:val="22"/>
                <w:lang w:val="en-US"/>
              </w:rPr>
              <w:lastRenderedPageBreak/>
              <w:t>Note</w:t>
            </w:r>
            <w:r w:rsidRPr="00F60760">
              <w:rPr>
                <w:color w:val="000000" w:themeColor="text1"/>
                <w:sz w:val="22"/>
                <w:lang w:val="en-US"/>
              </w:rPr>
              <w:t xml:space="preserve">. This table reports fixed effects negative binomial regression results predicting the effect of organizational cultural distance between acquirers and targets on innovation. The dependent variable for Model 1 is the acquirer’s patent growth two years after deal completion compared to one year prior the deal. The dependent variable for Model 2 is the acquirer’s new product development growth two years after deal completion compared to one year prior the deal. The main independent variable in Models 1 and 2 is </w:t>
            </w:r>
            <w:r w:rsidRPr="00F60760">
              <w:rPr>
                <w:i/>
                <w:color w:val="000000" w:themeColor="text1"/>
                <w:sz w:val="22"/>
                <w:lang w:val="en-US"/>
              </w:rPr>
              <w:t>deal_culturaldistance</w:t>
            </w:r>
            <w:r w:rsidRPr="00F60760">
              <w:rPr>
                <w:color w:val="000000" w:themeColor="text1"/>
                <w:sz w:val="22"/>
                <w:lang w:val="en-US"/>
              </w:rPr>
              <w:t xml:space="preserve">, with higher values indicating higher cultural dissimilarities between the acquirer and target. We also included the quadratic term </w:t>
            </w:r>
            <w:r w:rsidRPr="00F60760">
              <w:rPr>
                <w:i/>
                <w:iCs/>
                <w:color w:val="000000" w:themeColor="text1"/>
                <w:sz w:val="22"/>
                <w:lang w:val="en-US"/>
              </w:rPr>
              <w:t>deal_culturaldistance_quadr</w:t>
            </w:r>
            <w:r w:rsidRPr="00F60760">
              <w:rPr>
                <w:color w:val="000000" w:themeColor="text1"/>
                <w:sz w:val="22"/>
                <w:lang w:val="en-US"/>
              </w:rPr>
              <w:t xml:space="preserve"> to test for non-linear relationships. A detailed variable description can be found in Appendix B. Constant terms are estimated but not reported. We include the acquirer’s industry and year fixed effects in all models. We cluster standard errors at the 2-digit SIC industry level. t-statistics are reported in parentheses below the coefficients. *, **, *** denote statistical significance at the .10, .05, and .01 levels (using two-tailed tests).</w:t>
            </w:r>
          </w:p>
        </w:tc>
      </w:tr>
    </w:tbl>
    <w:p w14:paraId="21D7B138" w14:textId="77777777" w:rsidR="00F26FAE" w:rsidRDefault="00F26FAE">
      <w:pPr>
        <w:spacing w:after="160" w:line="259" w:lineRule="auto"/>
        <w:jc w:val="left"/>
        <w:rPr>
          <w:color w:val="000000" w:themeColor="text1"/>
          <w:lang w:val="en-US"/>
        </w:rPr>
      </w:pPr>
      <w:r>
        <w:rPr>
          <w:color w:val="000000" w:themeColor="text1"/>
          <w:lang w:val="en-US"/>
        </w:rPr>
        <w:br w:type="page"/>
      </w:r>
    </w:p>
    <w:p w14:paraId="06927C2B" w14:textId="61D21A10" w:rsidR="00F26FAE" w:rsidRPr="00947673" w:rsidRDefault="00F26FAE" w:rsidP="00F26FAE">
      <w:pPr>
        <w:pStyle w:val="1fake"/>
        <w:rPr>
          <w:rStyle w:val="SchwacherVerweis"/>
          <w:smallCaps w:val="0"/>
          <w:color w:val="auto"/>
        </w:rPr>
      </w:pPr>
      <w:r w:rsidRPr="00947673">
        <w:rPr>
          <w:rStyle w:val="SchwacherVerweis"/>
          <w:smallCaps w:val="0"/>
          <w:color w:val="auto"/>
        </w:rPr>
        <w:lastRenderedPageBreak/>
        <w:t xml:space="preserve">Online Supplement </w:t>
      </w:r>
      <w:r>
        <w:rPr>
          <w:rStyle w:val="SchwacherVerweis"/>
          <w:smallCaps w:val="0"/>
          <w:color w:val="auto"/>
        </w:rPr>
        <w:t>17</w:t>
      </w:r>
    </w:p>
    <w:p w14:paraId="7679ACAC" w14:textId="788FC66D" w:rsidR="00011AF5" w:rsidRPr="00F26FAE" w:rsidRDefault="00011AF5" w:rsidP="00011AF5">
      <w:pPr>
        <w:pStyle w:val="Beschriftung"/>
      </w:pPr>
      <w:bookmarkStart w:id="636" w:name="_Toc180594863"/>
      <w:r>
        <w:t xml:space="preserve">T - III - </w:t>
      </w:r>
      <w:r>
        <w:fldChar w:fldCharType="begin"/>
      </w:r>
      <w:r>
        <w:instrText xml:space="preserve"> SEQ T_-_III_- \* ARABIC </w:instrText>
      </w:r>
      <w:r>
        <w:fldChar w:fldCharType="separate"/>
      </w:r>
      <w:r w:rsidR="00E91088">
        <w:rPr>
          <w:noProof/>
        </w:rPr>
        <w:t>27</w:t>
      </w:r>
      <w:r>
        <w:fldChar w:fldCharType="end"/>
      </w:r>
      <w:r>
        <w:t xml:space="preserve">: </w:t>
      </w:r>
      <w:r w:rsidRPr="004A1EA3">
        <w:t>H1a: Capital market reactions (CARs) – Acquisition premium</w:t>
      </w:r>
      <w:bookmarkEnd w:id="636"/>
    </w:p>
    <w:tbl>
      <w:tblPr>
        <w:tblW w:w="9072" w:type="dxa"/>
        <w:tblLook w:val="04A0" w:firstRow="1" w:lastRow="0" w:firstColumn="1" w:lastColumn="0" w:noHBand="0" w:noVBand="1"/>
      </w:tblPr>
      <w:tblGrid>
        <w:gridCol w:w="9072"/>
      </w:tblGrid>
      <w:tr w:rsidR="00694090" w:rsidRPr="00F60760" w14:paraId="30C78C90" w14:textId="77777777" w:rsidTr="001D491F">
        <w:trPr>
          <w:trHeight w:val="1887"/>
        </w:trPr>
        <w:tc>
          <w:tcPr>
            <w:tcW w:w="9072" w:type="dxa"/>
            <w:tcBorders>
              <w:left w:val="nil"/>
              <w:bottom w:val="single" w:sz="4" w:space="0" w:color="auto"/>
              <w:right w:val="nil"/>
            </w:tcBorders>
            <w:shd w:val="clear" w:color="auto" w:fill="auto"/>
          </w:tcPr>
          <w:tbl>
            <w:tblPr>
              <w:tblW w:w="8959" w:type="dxa"/>
              <w:tblLook w:val="0000" w:firstRow="0" w:lastRow="0" w:firstColumn="0" w:lastColumn="0" w:noHBand="0" w:noVBand="0"/>
            </w:tblPr>
            <w:tblGrid>
              <w:gridCol w:w="2452"/>
              <w:gridCol w:w="2169"/>
              <w:gridCol w:w="2169"/>
              <w:gridCol w:w="2169"/>
            </w:tblGrid>
            <w:tr w:rsidR="00694090" w:rsidRPr="00F60760" w14:paraId="4407167E" w14:textId="77777777" w:rsidTr="001D491F">
              <w:tc>
                <w:tcPr>
                  <w:tcW w:w="1331" w:type="pct"/>
                  <w:tcBorders>
                    <w:top w:val="single" w:sz="4" w:space="0" w:color="auto"/>
                    <w:left w:val="nil"/>
                    <w:right w:val="nil"/>
                  </w:tcBorders>
                </w:tcPr>
                <w:p w14:paraId="5495FFB3"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 xml:space="preserve">   </w:t>
                  </w:r>
                </w:p>
              </w:tc>
              <w:tc>
                <w:tcPr>
                  <w:tcW w:w="1223" w:type="pct"/>
                  <w:tcBorders>
                    <w:top w:val="single" w:sz="4" w:space="0" w:color="auto"/>
                    <w:left w:val="nil"/>
                    <w:right w:val="nil"/>
                  </w:tcBorders>
                </w:tcPr>
                <w:p w14:paraId="197F5424"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(1)</w:t>
                  </w:r>
                </w:p>
              </w:tc>
              <w:tc>
                <w:tcPr>
                  <w:tcW w:w="1223" w:type="pct"/>
                  <w:tcBorders>
                    <w:top w:val="single" w:sz="4" w:space="0" w:color="auto"/>
                    <w:left w:val="nil"/>
                    <w:right w:val="nil"/>
                  </w:tcBorders>
                </w:tcPr>
                <w:p w14:paraId="44CBA1F3"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(2)</w:t>
                  </w:r>
                </w:p>
              </w:tc>
              <w:tc>
                <w:tcPr>
                  <w:tcW w:w="1223" w:type="pct"/>
                  <w:tcBorders>
                    <w:top w:val="single" w:sz="4" w:space="0" w:color="auto"/>
                    <w:left w:val="nil"/>
                    <w:right w:val="nil"/>
                  </w:tcBorders>
                </w:tcPr>
                <w:p w14:paraId="5310BBF2"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(3)</w:t>
                  </w:r>
                </w:p>
              </w:tc>
            </w:tr>
            <w:tr w:rsidR="00694090" w:rsidRPr="00F60760" w14:paraId="755C7984" w14:textId="77777777" w:rsidTr="001D491F">
              <w:tc>
                <w:tcPr>
                  <w:tcW w:w="1331" w:type="pct"/>
                  <w:tcBorders>
                    <w:top w:val="nil"/>
                    <w:left w:val="nil"/>
                    <w:bottom w:val="single" w:sz="4" w:space="0" w:color="auto"/>
                    <w:right w:val="nil"/>
                  </w:tcBorders>
                </w:tcPr>
                <w:p w14:paraId="5EF6C8F9"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 xml:space="preserve">   </w:t>
                  </w:r>
                </w:p>
              </w:tc>
              <w:tc>
                <w:tcPr>
                  <w:tcW w:w="1223" w:type="pct"/>
                  <w:tcBorders>
                    <w:top w:val="nil"/>
                    <w:left w:val="nil"/>
                    <w:bottom w:val="single" w:sz="4" w:space="0" w:color="auto"/>
                    <w:right w:val="nil"/>
                  </w:tcBorders>
                </w:tcPr>
                <w:p w14:paraId="3C88D332"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acq_car</w:t>
                  </w:r>
                  <w:r w:rsidRPr="00F60760">
                    <w:rPr>
                      <w:b/>
                      <w:bCs/>
                      <w:color w:val="000000" w:themeColor="text1"/>
                      <w:sz w:val="22"/>
                      <w:lang w:val="en-US"/>
                    </w:rPr>
                    <w:br/>
                    <w:t>[-10,10]</w:t>
                  </w:r>
                </w:p>
              </w:tc>
              <w:tc>
                <w:tcPr>
                  <w:tcW w:w="1223" w:type="pct"/>
                  <w:tcBorders>
                    <w:top w:val="nil"/>
                    <w:left w:val="nil"/>
                    <w:bottom w:val="single" w:sz="4" w:space="0" w:color="auto"/>
                    <w:right w:val="nil"/>
                  </w:tcBorders>
                </w:tcPr>
                <w:p w14:paraId="681AFDBA"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acq_car</w:t>
                  </w:r>
                  <w:r w:rsidRPr="00F60760">
                    <w:rPr>
                      <w:b/>
                      <w:bCs/>
                      <w:color w:val="000000" w:themeColor="text1"/>
                      <w:sz w:val="22"/>
                      <w:lang w:val="en-US"/>
                    </w:rPr>
                    <w:br/>
                    <w:t>[-5,5]</w:t>
                  </w:r>
                </w:p>
              </w:tc>
              <w:tc>
                <w:tcPr>
                  <w:tcW w:w="1223" w:type="pct"/>
                  <w:tcBorders>
                    <w:top w:val="nil"/>
                    <w:left w:val="nil"/>
                    <w:bottom w:val="single" w:sz="4" w:space="0" w:color="auto"/>
                    <w:right w:val="nil"/>
                  </w:tcBorders>
                </w:tcPr>
                <w:p w14:paraId="6E84BD3B"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deal_car_weighted</w:t>
                  </w:r>
                  <w:r w:rsidRPr="00F60760">
                    <w:rPr>
                      <w:b/>
                      <w:bCs/>
                      <w:color w:val="000000" w:themeColor="text1"/>
                      <w:sz w:val="22"/>
                      <w:lang w:val="en-US"/>
                    </w:rPr>
                    <w:br/>
                    <w:t>[-5,5]</w:t>
                  </w:r>
                </w:p>
              </w:tc>
            </w:tr>
            <w:tr w:rsidR="00694090" w:rsidRPr="00F60760" w14:paraId="57E0BCE4" w14:textId="77777777" w:rsidTr="001D491F">
              <w:tc>
                <w:tcPr>
                  <w:tcW w:w="1331" w:type="pct"/>
                  <w:tcBorders>
                    <w:top w:val="single" w:sz="4" w:space="0" w:color="auto"/>
                    <w:left w:val="nil"/>
                    <w:bottom w:val="nil"/>
                    <w:right w:val="nil"/>
                  </w:tcBorders>
                </w:tcPr>
                <w:p w14:paraId="77AEAB2B"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deal_culturaldistance</w:t>
                  </w:r>
                </w:p>
              </w:tc>
              <w:tc>
                <w:tcPr>
                  <w:tcW w:w="1223" w:type="pct"/>
                  <w:tcBorders>
                    <w:top w:val="single" w:sz="4" w:space="0" w:color="auto"/>
                    <w:left w:val="nil"/>
                    <w:bottom w:val="nil"/>
                    <w:right w:val="nil"/>
                  </w:tcBorders>
                </w:tcPr>
                <w:p w14:paraId="02E9985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-.033*</w:t>
                  </w:r>
                </w:p>
              </w:tc>
              <w:tc>
                <w:tcPr>
                  <w:tcW w:w="1223" w:type="pct"/>
                  <w:tcBorders>
                    <w:top w:val="single" w:sz="4" w:space="0" w:color="auto"/>
                    <w:left w:val="nil"/>
                    <w:bottom w:val="nil"/>
                    <w:right w:val="nil"/>
                  </w:tcBorders>
                </w:tcPr>
                <w:p w14:paraId="5685337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-.022**</w:t>
                  </w:r>
                </w:p>
              </w:tc>
              <w:tc>
                <w:tcPr>
                  <w:tcW w:w="1223" w:type="pct"/>
                  <w:tcBorders>
                    <w:top w:val="single" w:sz="4" w:space="0" w:color="auto"/>
                    <w:left w:val="nil"/>
                    <w:bottom w:val="nil"/>
                    <w:right w:val="nil"/>
                  </w:tcBorders>
                </w:tcPr>
                <w:p w14:paraId="4F14467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-.012***</w:t>
                  </w:r>
                </w:p>
              </w:tc>
            </w:tr>
            <w:tr w:rsidR="00694090" w:rsidRPr="00F60760" w14:paraId="5D778E1B" w14:textId="77777777" w:rsidTr="001D491F">
              <w:tc>
                <w:tcPr>
                  <w:tcW w:w="1331" w:type="pct"/>
                  <w:tcBorders>
                    <w:top w:val="nil"/>
                    <w:left w:val="nil"/>
                    <w:bottom w:val="nil"/>
                    <w:right w:val="nil"/>
                  </w:tcBorders>
                </w:tcPr>
                <w:p w14:paraId="63BB595B"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223" w:type="pct"/>
                  <w:tcBorders>
                    <w:top w:val="nil"/>
                    <w:left w:val="nil"/>
                    <w:bottom w:val="nil"/>
                    <w:right w:val="nil"/>
                  </w:tcBorders>
                </w:tcPr>
                <w:p w14:paraId="255FF2C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(-1.956)</w:t>
                  </w:r>
                </w:p>
              </w:tc>
              <w:tc>
                <w:tcPr>
                  <w:tcW w:w="1223" w:type="pct"/>
                  <w:tcBorders>
                    <w:top w:val="nil"/>
                    <w:left w:val="nil"/>
                    <w:bottom w:val="nil"/>
                    <w:right w:val="nil"/>
                  </w:tcBorders>
                </w:tcPr>
                <w:p w14:paraId="6CF21D7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(-2.125)</w:t>
                  </w:r>
                </w:p>
              </w:tc>
              <w:tc>
                <w:tcPr>
                  <w:tcW w:w="1223" w:type="pct"/>
                  <w:tcBorders>
                    <w:top w:val="nil"/>
                    <w:left w:val="nil"/>
                    <w:bottom w:val="nil"/>
                    <w:right w:val="nil"/>
                  </w:tcBorders>
                </w:tcPr>
                <w:p w14:paraId="1F60BE7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(-2.713)</w:t>
                  </w:r>
                </w:p>
              </w:tc>
            </w:tr>
            <w:tr w:rsidR="00694090" w:rsidRPr="00F60760" w14:paraId="62ABE751" w14:textId="77777777" w:rsidTr="001D491F">
              <w:tc>
                <w:tcPr>
                  <w:tcW w:w="1331" w:type="pct"/>
                  <w:tcBorders>
                    <w:top w:val="nil"/>
                    <w:left w:val="nil"/>
                    <w:bottom w:val="nil"/>
                    <w:right w:val="nil"/>
                  </w:tcBorders>
                </w:tcPr>
                <w:p w14:paraId="4E93887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deal_premium_1week</w:t>
                  </w:r>
                </w:p>
              </w:tc>
              <w:tc>
                <w:tcPr>
                  <w:tcW w:w="1223" w:type="pct"/>
                  <w:tcBorders>
                    <w:top w:val="nil"/>
                    <w:left w:val="nil"/>
                    <w:bottom w:val="nil"/>
                    <w:right w:val="nil"/>
                  </w:tcBorders>
                </w:tcPr>
                <w:p w14:paraId="0CE6EAD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-.036</w:t>
                  </w:r>
                </w:p>
              </w:tc>
              <w:tc>
                <w:tcPr>
                  <w:tcW w:w="1223" w:type="pct"/>
                  <w:tcBorders>
                    <w:top w:val="nil"/>
                    <w:left w:val="nil"/>
                    <w:bottom w:val="nil"/>
                    <w:right w:val="nil"/>
                  </w:tcBorders>
                </w:tcPr>
                <w:p w14:paraId="11CCEB8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-.026</w:t>
                  </w:r>
                </w:p>
              </w:tc>
              <w:tc>
                <w:tcPr>
                  <w:tcW w:w="1223" w:type="pct"/>
                  <w:tcBorders>
                    <w:top w:val="nil"/>
                    <w:left w:val="nil"/>
                    <w:bottom w:val="nil"/>
                    <w:right w:val="nil"/>
                  </w:tcBorders>
                </w:tcPr>
                <w:p w14:paraId="7D73E88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-.030</w:t>
                  </w:r>
                </w:p>
              </w:tc>
            </w:tr>
            <w:tr w:rsidR="00694090" w:rsidRPr="00F60760" w14:paraId="7DCE5C8B" w14:textId="77777777" w:rsidTr="001D491F">
              <w:tc>
                <w:tcPr>
                  <w:tcW w:w="1331" w:type="pct"/>
                  <w:tcBorders>
                    <w:top w:val="nil"/>
                    <w:left w:val="nil"/>
                    <w:bottom w:val="nil"/>
                    <w:right w:val="nil"/>
                  </w:tcBorders>
                </w:tcPr>
                <w:p w14:paraId="77D606D5"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223" w:type="pct"/>
                  <w:tcBorders>
                    <w:top w:val="nil"/>
                    <w:left w:val="nil"/>
                    <w:bottom w:val="nil"/>
                    <w:right w:val="nil"/>
                  </w:tcBorders>
                </w:tcPr>
                <w:p w14:paraId="68D1159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(-.366)</w:t>
                  </w:r>
                </w:p>
              </w:tc>
              <w:tc>
                <w:tcPr>
                  <w:tcW w:w="1223" w:type="pct"/>
                  <w:tcBorders>
                    <w:top w:val="nil"/>
                    <w:left w:val="nil"/>
                    <w:bottom w:val="nil"/>
                    <w:right w:val="nil"/>
                  </w:tcBorders>
                </w:tcPr>
                <w:p w14:paraId="3836E1C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(-.545)</w:t>
                  </w:r>
                </w:p>
              </w:tc>
              <w:tc>
                <w:tcPr>
                  <w:tcW w:w="1223" w:type="pct"/>
                  <w:tcBorders>
                    <w:top w:val="nil"/>
                    <w:left w:val="nil"/>
                    <w:bottom w:val="nil"/>
                    <w:right w:val="nil"/>
                  </w:tcBorders>
                </w:tcPr>
                <w:p w14:paraId="2C81776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(-1.254)</w:t>
                  </w:r>
                </w:p>
              </w:tc>
            </w:tr>
            <w:tr w:rsidR="00694090" w:rsidRPr="00F60760" w14:paraId="3018C396" w14:textId="77777777" w:rsidTr="001D491F">
              <w:tc>
                <w:tcPr>
                  <w:tcW w:w="1331" w:type="pct"/>
                  <w:tcBorders>
                    <w:top w:val="nil"/>
                    <w:left w:val="nil"/>
                    <w:bottom w:val="nil"/>
                    <w:right w:val="nil"/>
                  </w:tcBorders>
                </w:tcPr>
                <w:p w14:paraId="70C12E30"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deal_value_ln</w:t>
                  </w:r>
                </w:p>
              </w:tc>
              <w:tc>
                <w:tcPr>
                  <w:tcW w:w="1223" w:type="pct"/>
                  <w:tcBorders>
                    <w:top w:val="nil"/>
                    <w:left w:val="nil"/>
                    <w:bottom w:val="nil"/>
                    <w:right w:val="nil"/>
                  </w:tcBorders>
                </w:tcPr>
                <w:p w14:paraId="3E15E4A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.071*</w:t>
                  </w:r>
                </w:p>
              </w:tc>
              <w:tc>
                <w:tcPr>
                  <w:tcW w:w="1223" w:type="pct"/>
                  <w:tcBorders>
                    <w:top w:val="nil"/>
                    <w:left w:val="nil"/>
                    <w:bottom w:val="nil"/>
                    <w:right w:val="nil"/>
                  </w:tcBorders>
                </w:tcPr>
                <w:p w14:paraId="68F1557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.041*</w:t>
                  </w:r>
                </w:p>
              </w:tc>
              <w:tc>
                <w:tcPr>
                  <w:tcW w:w="1223" w:type="pct"/>
                  <w:tcBorders>
                    <w:top w:val="nil"/>
                    <w:left w:val="nil"/>
                    <w:bottom w:val="nil"/>
                    <w:right w:val="nil"/>
                  </w:tcBorders>
                </w:tcPr>
                <w:p w14:paraId="0D69D4E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.016*</w:t>
                  </w:r>
                </w:p>
              </w:tc>
            </w:tr>
            <w:tr w:rsidR="00694090" w:rsidRPr="00F60760" w14:paraId="55D39793" w14:textId="77777777" w:rsidTr="001D491F">
              <w:tc>
                <w:tcPr>
                  <w:tcW w:w="1331" w:type="pct"/>
                  <w:tcBorders>
                    <w:top w:val="nil"/>
                    <w:left w:val="nil"/>
                    <w:bottom w:val="nil"/>
                    <w:right w:val="nil"/>
                  </w:tcBorders>
                </w:tcPr>
                <w:p w14:paraId="41141108"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223" w:type="pct"/>
                  <w:tcBorders>
                    <w:top w:val="nil"/>
                    <w:left w:val="nil"/>
                    <w:bottom w:val="nil"/>
                    <w:right w:val="nil"/>
                  </w:tcBorders>
                </w:tcPr>
                <w:p w14:paraId="39DE3AF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(1.829)</w:t>
                  </w:r>
                </w:p>
              </w:tc>
              <w:tc>
                <w:tcPr>
                  <w:tcW w:w="1223" w:type="pct"/>
                  <w:tcBorders>
                    <w:top w:val="nil"/>
                    <w:left w:val="nil"/>
                    <w:bottom w:val="nil"/>
                    <w:right w:val="nil"/>
                  </w:tcBorders>
                </w:tcPr>
                <w:p w14:paraId="1D8823F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(1.827)</w:t>
                  </w:r>
                </w:p>
              </w:tc>
              <w:tc>
                <w:tcPr>
                  <w:tcW w:w="1223" w:type="pct"/>
                  <w:tcBorders>
                    <w:top w:val="nil"/>
                    <w:left w:val="nil"/>
                    <w:bottom w:val="nil"/>
                    <w:right w:val="nil"/>
                  </w:tcBorders>
                </w:tcPr>
                <w:p w14:paraId="0AD9851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(1.787)</w:t>
                  </w:r>
                </w:p>
              </w:tc>
            </w:tr>
            <w:tr w:rsidR="00694090" w:rsidRPr="00F60760" w14:paraId="0DBB9A50" w14:textId="77777777" w:rsidTr="001D491F">
              <w:tc>
                <w:tcPr>
                  <w:tcW w:w="1331" w:type="pct"/>
                  <w:tcBorders>
                    <w:top w:val="nil"/>
                    <w:left w:val="nil"/>
                    <w:bottom w:val="nil"/>
                    <w:right w:val="nil"/>
                  </w:tcBorders>
                </w:tcPr>
                <w:p w14:paraId="316AC28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deal_hofstede_distance</w:t>
                  </w:r>
                </w:p>
              </w:tc>
              <w:tc>
                <w:tcPr>
                  <w:tcW w:w="1223" w:type="pct"/>
                  <w:tcBorders>
                    <w:top w:val="nil"/>
                    <w:left w:val="nil"/>
                    <w:bottom w:val="nil"/>
                    <w:right w:val="nil"/>
                  </w:tcBorders>
                </w:tcPr>
                <w:p w14:paraId="67B5DD5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.197</w:t>
                  </w:r>
                </w:p>
              </w:tc>
              <w:tc>
                <w:tcPr>
                  <w:tcW w:w="1223" w:type="pct"/>
                  <w:tcBorders>
                    <w:top w:val="nil"/>
                    <w:left w:val="nil"/>
                    <w:bottom w:val="nil"/>
                    <w:right w:val="nil"/>
                  </w:tcBorders>
                </w:tcPr>
                <w:p w14:paraId="46F8DE5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.056</w:t>
                  </w:r>
                </w:p>
              </w:tc>
              <w:tc>
                <w:tcPr>
                  <w:tcW w:w="1223" w:type="pct"/>
                  <w:tcBorders>
                    <w:top w:val="nil"/>
                    <w:left w:val="nil"/>
                    <w:bottom w:val="nil"/>
                    <w:right w:val="nil"/>
                  </w:tcBorders>
                </w:tcPr>
                <w:p w14:paraId="5477A9D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-.025</w:t>
                  </w:r>
                </w:p>
              </w:tc>
            </w:tr>
            <w:tr w:rsidR="00694090" w:rsidRPr="00F60760" w14:paraId="749090C6" w14:textId="77777777" w:rsidTr="001D491F">
              <w:tc>
                <w:tcPr>
                  <w:tcW w:w="1331" w:type="pct"/>
                  <w:tcBorders>
                    <w:top w:val="nil"/>
                    <w:left w:val="nil"/>
                    <w:bottom w:val="nil"/>
                    <w:right w:val="nil"/>
                  </w:tcBorders>
                </w:tcPr>
                <w:p w14:paraId="711BB68B"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223" w:type="pct"/>
                  <w:tcBorders>
                    <w:top w:val="nil"/>
                    <w:left w:val="nil"/>
                    <w:bottom w:val="nil"/>
                    <w:right w:val="nil"/>
                  </w:tcBorders>
                </w:tcPr>
                <w:p w14:paraId="4F36D74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(.691)</w:t>
                  </w:r>
                </w:p>
              </w:tc>
              <w:tc>
                <w:tcPr>
                  <w:tcW w:w="1223" w:type="pct"/>
                  <w:tcBorders>
                    <w:top w:val="nil"/>
                    <w:left w:val="nil"/>
                    <w:bottom w:val="nil"/>
                    <w:right w:val="nil"/>
                  </w:tcBorders>
                </w:tcPr>
                <w:p w14:paraId="05ED7E1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(.383)</w:t>
                  </w:r>
                </w:p>
              </w:tc>
              <w:tc>
                <w:tcPr>
                  <w:tcW w:w="1223" w:type="pct"/>
                  <w:tcBorders>
                    <w:top w:val="nil"/>
                    <w:left w:val="nil"/>
                    <w:bottom w:val="nil"/>
                    <w:right w:val="nil"/>
                  </w:tcBorders>
                </w:tcPr>
                <w:p w14:paraId="030BBE4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(-.314)</w:t>
                  </w:r>
                </w:p>
              </w:tc>
            </w:tr>
            <w:tr w:rsidR="00694090" w:rsidRPr="00F60760" w14:paraId="17AB105F" w14:textId="77777777" w:rsidTr="001D491F">
              <w:tc>
                <w:tcPr>
                  <w:tcW w:w="1331" w:type="pct"/>
                  <w:tcBorders>
                    <w:top w:val="nil"/>
                    <w:left w:val="nil"/>
                    <w:bottom w:val="nil"/>
                    <w:right w:val="nil"/>
                  </w:tcBorders>
                </w:tcPr>
                <w:p w14:paraId="690EDEF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deal_all_cash_dummy</w:t>
                  </w:r>
                </w:p>
              </w:tc>
              <w:tc>
                <w:tcPr>
                  <w:tcW w:w="1223" w:type="pct"/>
                  <w:tcBorders>
                    <w:top w:val="nil"/>
                    <w:left w:val="nil"/>
                    <w:bottom w:val="nil"/>
                    <w:right w:val="nil"/>
                  </w:tcBorders>
                </w:tcPr>
                <w:p w14:paraId="7A8D5F6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.078</w:t>
                  </w:r>
                </w:p>
              </w:tc>
              <w:tc>
                <w:tcPr>
                  <w:tcW w:w="1223" w:type="pct"/>
                  <w:tcBorders>
                    <w:top w:val="nil"/>
                    <w:left w:val="nil"/>
                    <w:bottom w:val="nil"/>
                    <w:right w:val="nil"/>
                  </w:tcBorders>
                </w:tcPr>
                <w:p w14:paraId="1C920E4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.054</w:t>
                  </w:r>
                </w:p>
              </w:tc>
              <w:tc>
                <w:tcPr>
                  <w:tcW w:w="1223" w:type="pct"/>
                  <w:tcBorders>
                    <w:top w:val="nil"/>
                    <w:left w:val="nil"/>
                    <w:bottom w:val="nil"/>
                    <w:right w:val="nil"/>
                  </w:tcBorders>
                </w:tcPr>
                <w:p w14:paraId="2A3A3FB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.019</w:t>
                  </w:r>
                </w:p>
              </w:tc>
            </w:tr>
            <w:tr w:rsidR="00694090" w:rsidRPr="00F60760" w14:paraId="33E06613" w14:textId="77777777" w:rsidTr="001D491F">
              <w:tc>
                <w:tcPr>
                  <w:tcW w:w="1331" w:type="pct"/>
                  <w:tcBorders>
                    <w:top w:val="nil"/>
                    <w:left w:val="nil"/>
                    <w:bottom w:val="nil"/>
                    <w:right w:val="nil"/>
                  </w:tcBorders>
                </w:tcPr>
                <w:p w14:paraId="189FCB8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223" w:type="pct"/>
                  <w:tcBorders>
                    <w:top w:val="nil"/>
                    <w:left w:val="nil"/>
                    <w:bottom w:val="nil"/>
                    <w:right w:val="nil"/>
                  </w:tcBorders>
                </w:tcPr>
                <w:p w14:paraId="454FCAA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(.982)</w:t>
                  </w:r>
                </w:p>
              </w:tc>
              <w:tc>
                <w:tcPr>
                  <w:tcW w:w="1223" w:type="pct"/>
                  <w:tcBorders>
                    <w:top w:val="nil"/>
                    <w:left w:val="nil"/>
                    <w:bottom w:val="nil"/>
                    <w:right w:val="nil"/>
                  </w:tcBorders>
                </w:tcPr>
                <w:p w14:paraId="211EC6A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(1.192)</w:t>
                  </w:r>
                </w:p>
              </w:tc>
              <w:tc>
                <w:tcPr>
                  <w:tcW w:w="1223" w:type="pct"/>
                  <w:tcBorders>
                    <w:top w:val="nil"/>
                    <w:left w:val="nil"/>
                    <w:bottom w:val="nil"/>
                    <w:right w:val="nil"/>
                  </w:tcBorders>
                </w:tcPr>
                <w:p w14:paraId="34B8E2C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(.929)</w:t>
                  </w:r>
                </w:p>
              </w:tc>
            </w:tr>
            <w:tr w:rsidR="00694090" w:rsidRPr="00F60760" w14:paraId="32F54C6D" w14:textId="77777777" w:rsidTr="001D491F">
              <w:tc>
                <w:tcPr>
                  <w:tcW w:w="1331" w:type="pct"/>
                  <w:tcBorders>
                    <w:top w:val="nil"/>
                    <w:left w:val="nil"/>
                    <w:bottom w:val="nil"/>
                    <w:right w:val="nil"/>
                  </w:tcBorders>
                </w:tcPr>
                <w:p w14:paraId="42B8BDD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deal_all_stock_dummy</w:t>
                  </w:r>
                </w:p>
              </w:tc>
              <w:tc>
                <w:tcPr>
                  <w:tcW w:w="1223" w:type="pct"/>
                  <w:tcBorders>
                    <w:top w:val="nil"/>
                    <w:left w:val="nil"/>
                    <w:bottom w:val="nil"/>
                    <w:right w:val="nil"/>
                  </w:tcBorders>
                </w:tcPr>
                <w:p w14:paraId="4456EFB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.070</w:t>
                  </w:r>
                </w:p>
              </w:tc>
              <w:tc>
                <w:tcPr>
                  <w:tcW w:w="1223" w:type="pct"/>
                  <w:tcBorders>
                    <w:top w:val="nil"/>
                    <w:left w:val="nil"/>
                    <w:bottom w:val="nil"/>
                    <w:right w:val="nil"/>
                  </w:tcBorders>
                </w:tcPr>
                <w:p w14:paraId="5638065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.043</w:t>
                  </w:r>
                </w:p>
              </w:tc>
              <w:tc>
                <w:tcPr>
                  <w:tcW w:w="1223" w:type="pct"/>
                  <w:tcBorders>
                    <w:top w:val="nil"/>
                    <w:left w:val="nil"/>
                    <w:bottom w:val="nil"/>
                    <w:right w:val="nil"/>
                  </w:tcBorders>
                </w:tcPr>
                <w:p w14:paraId="3E57376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.019</w:t>
                  </w:r>
                </w:p>
              </w:tc>
            </w:tr>
            <w:tr w:rsidR="00694090" w:rsidRPr="00F60760" w14:paraId="22F31AE9" w14:textId="77777777" w:rsidTr="001D491F">
              <w:tc>
                <w:tcPr>
                  <w:tcW w:w="1331" w:type="pct"/>
                  <w:tcBorders>
                    <w:top w:val="nil"/>
                    <w:left w:val="nil"/>
                    <w:bottom w:val="nil"/>
                    <w:right w:val="nil"/>
                  </w:tcBorders>
                </w:tcPr>
                <w:p w14:paraId="0781BB8E"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223" w:type="pct"/>
                  <w:tcBorders>
                    <w:top w:val="nil"/>
                    <w:left w:val="nil"/>
                    <w:bottom w:val="nil"/>
                    <w:right w:val="nil"/>
                  </w:tcBorders>
                </w:tcPr>
                <w:p w14:paraId="1704F4C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(.648)</w:t>
                  </w:r>
                </w:p>
              </w:tc>
              <w:tc>
                <w:tcPr>
                  <w:tcW w:w="1223" w:type="pct"/>
                  <w:tcBorders>
                    <w:top w:val="nil"/>
                    <w:left w:val="nil"/>
                    <w:bottom w:val="nil"/>
                    <w:right w:val="nil"/>
                  </w:tcBorders>
                </w:tcPr>
                <w:p w14:paraId="342F46F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(.751)</w:t>
                  </w:r>
                </w:p>
              </w:tc>
              <w:tc>
                <w:tcPr>
                  <w:tcW w:w="1223" w:type="pct"/>
                  <w:tcBorders>
                    <w:top w:val="nil"/>
                    <w:left w:val="nil"/>
                    <w:bottom w:val="nil"/>
                    <w:right w:val="nil"/>
                  </w:tcBorders>
                </w:tcPr>
                <w:p w14:paraId="14C349C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(1.043)</w:t>
                  </w:r>
                </w:p>
              </w:tc>
            </w:tr>
            <w:tr w:rsidR="00694090" w:rsidRPr="00F60760" w14:paraId="7913D593" w14:textId="77777777" w:rsidTr="001D491F">
              <w:tc>
                <w:tcPr>
                  <w:tcW w:w="1331" w:type="pct"/>
                  <w:tcBorders>
                    <w:top w:val="nil"/>
                    <w:left w:val="nil"/>
                    <w:bottom w:val="nil"/>
                    <w:right w:val="nil"/>
                  </w:tcBorders>
                </w:tcPr>
                <w:p w14:paraId="635C238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deal_tenderoffer_dummy</w:t>
                  </w:r>
                </w:p>
              </w:tc>
              <w:tc>
                <w:tcPr>
                  <w:tcW w:w="1223" w:type="pct"/>
                  <w:tcBorders>
                    <w:top w:val="nil"/>
                    <w:left w:val="nil"/>
                    <w:bottom w:val="nil"/>
                    <w:right w:val="nil"/>
                  </w:tcBorders>
                </w:tcPr>
                <w:p w14:paraId="60CBC57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.058</w:t>
                  </w:r>
                </w:p>
              </w:tc>
              <w:tc>
                <w:tcPr>
                  <w:tcW w:w="1223" w:type="pct"/>
                  <w:tcBorders>
                    <w:top w:val="nil"/>
                    <w:left w:val="nil"/>
                    <w:bottom w:val="nil"/>
                    <w:right w:val="nil"/>
                  </w:tcBorders>
                </w:tcPr>
                <w:p w14:paraId="046239E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.042</w:t>
                  </w:r>
                </w:p>
              </w:tc>
              <w:tc>
                <w:tcPr>
                  <w:tcW w:w="1223" w:type="pct"/>
                  <w:tcBorders>
                    <w:top w:val="nil"/>
                    <w:left w:val="nil"/>
                    <w:bottom w:val="nil"/>
                    <w:right w:val="nil"/>
                  </w:tcBorders>
                </w:tcPr>
                <w:p w14:paraId="4753E8B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.011</w:t>
                  </w:r>
                </w:p>
              </w:tc>
            </w:tr>
            <w:tr w:rsidR="00694090" w:rsidRPr="00F60760" w14:paraId="55E5CB25" w14:textId="77777777" w:rsidTr="001D491F">
              <w:tc>
                <w:tcPr>
                  <w:tcW w:w="1331" w:type="pct"/>
                  <w:tcBorders>
                    <w:top w:val="nil"/>
                    <w:left w:val="nil"/>
                    <w:bottom w:val="nil"/>
                    <w:right w:val="nil"/>
                  </w:tcBorders>
                </w:tcPr>
                <w:p w14:paraId="08F5567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223" w:type="pct"/>
                  <w:tcBorders>
                    <w:top w:val="nil"/>
                    <w:left w:val="nil"/>
                    <w:bottom w:val="nil"/>
                    <w:right w:val="nil"/>
                  </w:tcBorders>
                </w:tcPr>
                <w:p w14:paraId="4703335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(1.202)</w:t>
                  </w:r>
                </w:p>
              </w:tc>
              <w:tc>
                <w:tcPr>
                  <w:tcW w:w="1223" w:type="pct"/>
                  <w:tcBorders>
                    <w:top w:val="nil"/>
                    <w:left w:val="nil"/>
                    <w:bottom w:val="nil"/>
                    <w:right w:val="nil"/>
                  </w:tcBorders>
                </w:tcPr>
                <w:p w14:paraId="60D5E3E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(1.554)</w:t>
                  </w:r>
                </w:p>
              </w:tc>
              <w:tc>
                <w:tcPr>
                  <w:tcW w:w="1223" w:type="pct"/>
                  <w:tcBorders>
                    <w:top w:val="nil"/>
                    <w:left w:val="nil"/>
                    <w:bottom w:val="nil"/>
                    <w:right w:val="nil"/>
                  </w:tcBorders>
                </w:tcPr>
                <w:p w14:paraId="0894F77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(.905)</w:t>
                  </w:r>
                </w:p>
              </w:tc>
            </w:tr>
            <w:tr w:rsidR="00694090" w:rsidRPr="00F60760" w14:paraId="6C8D0B41" w14:textId="77777777" w:rsidTr="001D491F">
              <w:tc>
                <w:tcPr>
                  <w:tcW w:w="1331" w:type="pct"/>
                  <w:tcBorders>
                    <w:top w:val="nil"/>
                    <w:left w:val="nil"/>
                    <w:bottom w:val="nil"/>
                    <w:right w:val="nil"/>
                  </w:tcBorders>
                </w:tcPr>
                <w:p w14:paraId="6BAF388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deal_friendly_dummy</w:t>
                  </w:r>
                </w:p>
              </w:tc>
              <w:tc>
                <w:tcPr>
                  <w:tcW w:w="1223" w:type="pct"/>
                  <w:tcBorders>
                    <w:top w:val="nil"/>
                    <w:left w:val="nil"/>
                    <w:bottom w:val="nil"/>
                    <w:right w:val="nil"/>
                  </w:tcBorders>
                </w:tcPr>
                <w:p w14:paraId="3C17CCE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-.186</w:t>
                  </w:r>
                </w:p>
              </w:tc>
              <w:tc>
                <w:tcPr>
                  <w:tcW w:w="1223" w:type="pct"/>
                  <w:tcBorders>
                    <w:top w:val="nil"/>
                    <w:left w:val="nil"/>
                    <w:bottom w:val="nil"/>
                    <w:right w:val="nil"/>
                  </w:tcBorders>
                </w:tcPr>
                <w:p w14:paraId="781CDFE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-.070</w:t>
                  </w:r>
                </w:p>
              </w:tc>
              <w:tc>
                <w:tcPr>
                  <w:tcW w:w="1223" w:type="pct"/>
                  <w:tcBorders>
                    <w:top w:val="nil"/>
                    <w:left w:val="nil"/>
                    <w:bottom w:val="nil"/>
                    <w:right w:val="nil"/>
                  </w:tcBorders>
                </w:tcPr>
                <w:p w14:paraId="06C5C7C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-.019</w:t>
                  </w:r>
                </w:p>
              </w:tc>
            </w:tr>
            <w:tr w:rsidR="00694090" w:rsidRPr="00F60760" w14:paraId="64C3044D" w14:textId="77777777" w:rsidTr="001D491F">
              <w:tc>
                <w:tcPr>
                  <w:tcW w:w="1331" w:type="pct"/>
                  <w:tcBorders>
                    <w:top w:val="nil"/>
                    <w:left w:val="nil"/>
                    <w:bottom w:val="nil"/>
                    <w:right w:val="nil"/>
                  </w:tcBorders>
                </w:tcPr>
                <w:p w14:paraId="79F5BC23"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223" w:type="pct"/>
                  <w:tcBorders>
                    <w:top w:val="nil"/>
                    <w:left w:val="nil"/>
                    <w:bottom w:val="nil"/>
                    <w:right w:val="nil"/>
                  </w:tcBorders>
                </w:tcPr>
                <w:p w14:paraId="633F90E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(-.694)</w:t>
                  </w:r>
                </w:p>
              </w:tc>
              <w:tc>
                <w:tcPr>
                  <w:tcW w:w="1223" w:type="pct"/>
                  <w:tcBorders>
                    <w:top w:val="nil"/>
                    <w:left w:val="nil"/>
                    <w:bottom w:val="nil"/>
                    <w:right w:val="nil"/>
                  </w:tcBorders>
                </w:tcPr>
                <w:p w14:paraId="18A720C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(-.448)</w:t>
                  </w:r>
                </w:p>
              </w:tc>
              <w:tc>
                <w:tcPr>
                  <w:tcW w:w="1223" w:type="pct"/>
                  <w:tcBorders>
                    <w:top w:val="nil"/>
                    <w:left w:val="nil"/>
                    <w:bottom w:val="nil"/>
                    <w:right w:val="nil"/>
                  </w:tcBorders>
                </w:tcPr>
                <w:p w14:paraId="5EA1158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(-.345)</w:t>
                  </w:r>
                </w:p>
              </w:tc>
            </w:tr>
            <w:tr w:rsidR="00694090" w:rsidRPr="00F60760" w14:paraId="1F01E6F8" w14:textId="77777777" w:rsidTr="001D491F">
              <w:tc>
                <w:tcPr>
                  <w:tcW w:w="1331" w:type="pct"/>
                  <w:tcBorders>
                    <w:top w:val="nil"/>
                    <w:left w:val="nil"/>
                    <w:bottom w:val="nil"/>
                    <w:right w:val="nil"/>
                  </w:tcBorders>
                </w:tcPr>
                <w:p w14:paraId="2888E34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deal_relatedness_dummy</w:t>
                  </w:r>
                </w:p>
              </w:tc>
              <w:tc>
                <w:tcPr>
                  <w:tcW w:w="1223" w:type="pct"/>
                  <w:tcBorders>
                    <w:top w:val="nil"/>
                    <w:left w:val="nil"/>
                    <w:bottom w:val="nil"/>
                    <w:right w:val="nil"/>
                  </w:tcBorders>
                </w:tcPr>
                <w:p w14:paraId="2683E47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.081</w:t>
                  </w:r>
                </w:p>
              </w:tc>
              <w:tc>
                <w:tcPr>
                  <w:tcW w:w="1223" w:type="pct"/>
                  <w:tcBorders>
                    <w:top w:val="nil"/>
                    <w:left w:val="nil"/>
                    <w:bottom w:val="nil"/>
                    <w:right w:val="nil"/>
                  </w:tcBorders>
                </w:tcPr>
                <w:p w14:paraId="2CDFD87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.031</w:t>
                  </w:r>
                </w:p>
              </w:tc>
              <w:tc>
                <w:tcPr>
                  <w:tcW w:w="1223" w:type="pct"/>
                  <w:tcBorders>
                    <w:top w:val="nil"/>
                    <w:left w:val="nil"/>
                    <w:bottom w:val="nil"/>
                    <w:right w:val="nil"/>
                  </w:tcBorders>
                </w:tcPr>
                <w:p w14:paraId="227FE1B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.012</w:t>
                  </w:r>
                </w:p>
              </w:tc>
            </w:tr>
            <w:tr w:rsidR="00694090" w:rsidRPr="00F60760" w14:paraId="196069FB" w14:textId="77777777" w:rsidTr="001D491F">
              <w:tc>
                <w:tcPr>
                  <w:tcW w:w="1331" w:type="pct"/>
                  <w:tcBorders>
                    <w:top w:val="nil"/>
                    <w:left w:val="nil"/>
                    <w:bottom w:val="nil"/>
                    <w:right w:val="nil"/>
                  </w:tcBorders>
                </w:tcPr>
                <w:p w14:paraId="27067D41"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223" w:type="pct"/>
                  <w:tcBorders>
                    <w:top w:val="nil"/>
                    <w:left w:val="nil"/>
                    <w:bottom w:val="nil"/>
                    <w:right w:val="nil"/>
                  </w:tcBorders>
                </w:tcPr>
                <w:p w14:paraId="3EFFF33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(.998)</w:t>
                  </w:r>
                </w:p>
              </w:tc>
              <w:tc>
                <w:tcPr>
                  <w:tcW w:w="1223" w:type="pct"/>
                  <w:tcBorders>
                    <w:top w:val="nil"/>
                    <w:left w:val="nil"/>
                    <w:bottom w:val="nil"/>
                    <w:right w:val="nil"/>
                  </w:tcBorders>
                </w:tcPr>
                <w:p w14:paraId="7C216AB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(.692)</w:t>
                  </w:r>
                </w:p>
              </w:tc>
              <w:tc>
                <w:tcPr>
                  <w:tcW w:w="1223" w:type="pct"/>
                  <w:tcBorders>
                    <w:top w:val="nil"/>
                    <w:left w:val="nil"/>
                    <w:bottom w:val="nil"/>
                    <w:right w:val="nil"/>
                  </w:tcBorders>
                </w:tcPr>
                <w:p w14:paraId="2907554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(.643)</w:t>
                  </w:r>
                </w:p>
              </w:tc>
            </w:tr>
            <w:tr w:rsidR="00694090" w:rsidRPr="00F60760" w14:paraId="69860B29" w14:textId="77777777" w:rsidTr="001D491F">
              <w:tc>
                <w:tcPr>
                  <w:tcW w:w="1331" w:type="pct"/>
                  <w:tcBorders>
                    <w:top w:val="nil"/>
                    <w:left w:val="nil"/>
                    <w:bottom w:val="nil"/>
                    <w:right w:val="nil"/>
                  </w:tcBorders>
                </w:tcPr>
                <w:p w14:paraId="22CE711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acq_age</w:t>
                  </w:r>
                </w:p>
              </w:tc>
              <w:tc>
                <w:tcPr>
                  <w:tcW w:w="1223" w:type="pct"/>
                  <w:tcBorders>
                    <w:top w:val="nil"/>
                    <w:left w:val="nil"/>
                    <w:bottom w:val="nil"/>
                    <w:right w:val="nil"/>
                  </w:tcBorders>
                </w:tcPr>
                <w:p w14:paraId="64D54DF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.0004</w:t>
                  </w:r>
                </w:p>
              </w:tc>
              <w:tc>
                <w:tcPr>
                  <w:tcW w:w="1223" w:type="pct"/>
                  <w:tcBorders>
                    <w:top w:val="nil"/>
                    <w:left w:val="nil"/>
                    <w:bottom w:val="nil"/>
                    <w:right w:val="nil"/>
                  </w:tcBorders>
                </w:tcPr>
                <w:p w14:paraId="661C783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.0003</w:t>
                  </w:r>
                </w:p>
              </w:tc>
              <w:tc>
                <w:tcPr>
                  <w:tcW w:w="1223" w:type="pct"/>
                  <w:tcBorders>
                    <w:top w:val="nil"/>
                    <w:left w:val="nil"/>
                    <w:bottom w:val="nil"/>
                    <w:right w:val="nil"/>
                  </w:tcBorders>
                </w:tcPr>
                <w:p w14:paraId="6D3D738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.0001</w:t>
                  </w:r>
                </w:p>
              </w:tc>
            </w:tr>
            <w:tr w:rsidR="00694090" w:rsidRPr="00F60760" w14:paraId="32AF15EF" w14:textId="77777777" w:rsidTr="001D491F">
              <w:tc>
                <w:tcPr>
                  <w:tcW w:w="1331" w:type="pct"/>
                  <w:tcBorders>
                    <w:top w:val="nil"/>
                    <w:left w:val="nil"/>
                    <w:bottom w:val="nil"/>
                    <w:right w:val="nil"/>
                  </w:tcBorders>
                </w:tcPr>
                <w:p w14:paraId="56670D51"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223" w:type="pct"/>
                  <w:tcBorders>
                    <w:top w:val="nil"/>
                    <w:left w:val="nil"/>
                    <w:bottom w:val="nil"/>
                    <w:right w:val="nil"/>
                  </w:tcBorders>
                </w:tcPr>
                <w:p w14:paraId="4A76CC1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(.434)</w:t>
                  </w:r>
                </w:p>
              </w:tc>
              <w:tc>
                <w:tcPr>
                  <w:tcW w:w="1223" w:type="pct"/>
                  <w:tcBorders>
                    <w:top w:val="nil"/>
                    <w:left w:val="nil"/>
                    <w:bottom w:val="nil"/>
                    <w:right w:val="nil"/>
                  </w:tcBorders>
                </w:tcPr>
                <w:p w14:paraId="4A7F9AB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(.569)</w:t>
                  </w:r>
                </w:p>
              </w:tc>
              <w:tc>
                <w:tcPr>
                  <w:tcW w:w="1223" w:type="pct"/>
                  <w:tcBorders>
                    <w:top w:val="nil"/>
                    <w:left w:val="nil"/>
                    <w:bottom w:val="nil"/>
                    <w:right w:val="nil"/>
                  </w:tcBorders>
                </w:tcPr>
                <w:p w14:paraId="1C603A7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(.741)</w:t>
                  </w:r>
                </w:p>
              </w:tc>
            </w:tr>
            <w:tr w:rsidR="00694090" w:rsidRPr="00F60760" w14:paraId="3B2F5487" w14:textId="77777777" w:rsidTr="001D491F">
              <w:tc>
                <w:tcPr>
                  <w:tcW w:w="1331" w:type="pct"/>
                  <w:tcBorders>
                    <w:top w:val="nil"/>
                    <w:left w:val="nil"/>
                    <w:bottom w:val="nil"/>
                    <w:right w:val="nil"/>
                  </w:tcBorders>
                </w:tcPr>
                <w:p w14:paraId="01E94898"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acq_assets_lastyear_ln</w:t>
                  </w:r>
                </w:p>
              </w:tc>
              <w:tc>
                <w:tcPr>
                  <w:tcW w:w="1223" w:type="pct"/>
                  <w:tcBorders>
                    <w:top w:val="nil"/>
                    <w:left w:val="nil"/>
                    <w:bottom w:val="nil"/>
                    <w:right w:val="nil"/>
                  </w:tcBorders>
                </w:tcPr>
                <w:p w14:paraId="6D92AFB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.059***</w:t>
                  </w:r>
                </w:p>
              </w:tc>
              <w:tc>
                <w:tcPr>
                  <w:tcW w:w="1223" w:type="pct"/>
                  <w:tcBorders>
                    <w:top w:val="nil"/>
                    <w:left w:val="nil"/>
                    <w:bottom w:val="nil"/>
                    <w:right w:val="nil"/>
                  </w:tcBorders>
                </w:tcPr>
                <w:p w14:paraId="2F6C81D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.033***</w:t>
                  </w:r>
                </w:p>
              </w:tc>
              <w:tc>
                <w:tcPr>
                  <w:tcW w:w="1223" w:type="pct"/>
                  <w:tcBorders>
                    <w:top w:val="nil"/>
                    <w:left w:val="nil"/>
                    <w:bottom w:val="nil"/>
                    <w:right w:val="nil"/>
                  </w:tcBorders>
                </w:tcPr>
                <w:p w14:paraId="70BDC4A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.011***</w:t>
                  </w:r>
                </w:p>
              </w:tc>
            </w:tr>
            <w:tr w:rsidR="00694090" w:rsidRPr="00F60760" w14:paraId="5FCB355F" w14:textId="77777777" w:rsidTr="001D491F">
              <w:tc>
                <w:tcPr>
                  <w:tcW w:w="1331" w:type="pct"/>
                  <w:tcBorders>
                    <w:top w:val="nil"/>
                    <w:left w:val="nil"/>
                    <w:bottom w:val="nil"/>
                    <w:right w:val="nil"/>
                  </w:tcBorders>
                </w:tcPr>
                <w:p w14:paraId="21CA88B3"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223" w:type="pct"/>
                  <w:tcBorders>
                    <w:top w:val="nil"/>
                    <w:left w:val="nil"/>
                    <w:bottom w:val="nil"/>
                    <w:right w:val="nil"/>
                  </w:tcBorders>
                </w:tcPr>
                <w:p w14:paraId="71EB03B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(2.814)</w:t>
                  </w:r>
                </w:p>
              </w:tc>
              <w:tc>
                <w:tcPr>
                  <w:tcW w:w="1223" w:type="pct"/>
                  <w:tcBorders>
                    <w:top w:val="nil"/>
                    <w:left w:val="nil"/>
                    <w:bottom w:val="nil"/>
                    <w:right w:val="nil"/>
                  </w:tcBorders>
                </w:tcPr>
                <w:p w14:paraId="5FFA17E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(2.835)</w:t>
                  </w:r>
                </w:p>
              </w:tc>
              <w:tc>
                <w:tcPr>
                  <w:tcW w:w="1223" w:type="pct"/>
                  <w:tcBorders>
                    <w:top w:val="nil"/>
                    <w:left w:val="nil"/>
                    <w:bottom w:val="nil"/>
                    <w:right w:val="nil"/>
                  </w:tcBorders>
                </w:tcPr>
                <w:p w14:paraId="18751C4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(2.883)</w:t>
                  </w:r>
                </w:p>
              </w:tc>
            </w:tr>
            <w:tr w:rsidR="00694090" w:rsidRPr="00F60760" w14:paraId="3FA7647E" w14:textId="77777777" w:rsidTr="001D491F">
              <w:tc>
                <w:tcPr>
                  <w:tcW w:w="1331" w:type="pct"/>
                  <w:tcBorders>
                    <w:top w:val="nil"/>
                    <w:left w:val="nil"/>
                    <w:bottom w:val="nil"/>
                    <w:right w:val="nil"/>
                  </w:tcBorders>
                </w:tcPr>
                <w:p w14:paraId="11CB6C55"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acq_roa_lastyear</w:t>
                  </w:r>
                </w:p>
              </w:tc>
              <w:tc>
                <w:tcPr>
                  <w:tcW w:w="1223" w:type="pct"/>
                  <w:tcBorders>
                    <w:top w:val="nil"/>
                    <w:left w:val="nil"/>
                    <w:bottom w:val="nil"/>
                    <w:right w:val="nil"/>
                  </w:tcBorders>
                </w:tcPr>
                <w:p w14:paraId="4407C52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-.018</w:t>
                  </w:r>
                </w:p>
              </w:tc>
              <w:tc>
                <w:tcPr>
                  <w:tcW w:w="1223" w:type="pct"/>
                  <w:tcBorders>
                    <w:top w:val="nil"/>
                    <w:left w:val="nil"/>
                    <w:bottom w:val="nil"/>
                    <w:right w:val="nil"/>
                  </w:tcBorders>
                </w:tcPr>
                <w:p w14:paraId="792365E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-.011</w:t>
                  </w:r>
                </w:p>
              </w:tc>
              <w:tc>
                <w:tcPr>
                  <w:tcW w:w="1223" w:type="pct"/>
                  <w:tcBorders>
                    <w:top w:val="nil"/>
                    <w:left w:val="nil"/>
                    <w:bottom w:val="nil"/>
                    <w:right w:val="nil"/>
                  </w:tcBorders>
                </w:tcPr>
                <w:p w14:paraId="5E09F92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-.004</w:t>
                  </w:r>
                </w:p>
              </w:tc>
            </w:tr>
            <w:tr w:rsidR="00694090" w:rsidRPr="00F60760" w14:paraId="210B10BD" w14:textId="77777777" w:rsidTr="001D491F">
              <w:tc>
                <w:tcPr>
                  <w:tcW w:w="1331" w:type="pct"/>
                  <w:tcBorders>
                    <w:top w:val="nil"/>
                    <w:left w:val="nil"/>
                    <w:bottom w:val="nil"/>
                    <w:right w:val="nil"/>
                  </w:tcBorders>
                </w:tcPr>
                <w:p w14:paraId="13C7192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223" w:type="pct"/>
                  <w:tcBorders>
                    <w:top w:val="nil"/>
                    <w:left w:val="nil"/>
                    <w:bottom w:val="nil"/>
                    <w:right w:val="nil"/>
                  </w:tcBorders>
                </w:tcPr>
                <w:p w14:paraId="581BDB4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(-.765)</w:t>
                  </w:r>
                </w:p>
              </w:tc>
              <w:tc>
                <w:tcPr>
                  <w:tcW w:w="1223" w:type="pct"/>
                  <w:tcBorders>
                    <w:top w:val="nil"/>
                    <w:left w:val="nil"/>
                    <w:bottom w:val="nil"/>
                    <w:right w:val="nil"/>
                  </w:tcBorders>
                </w:tcPr>
                <w:p w14:paraId="3FB8404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(-.732)</w:t>
                  </w:r>
                </w:p>
              </w:tc>
              <w:tc>
                <w:tcPr>
                  <w:tcW w:w="1223" w:type="pct"/>
                  <w:tcBorders>
                    <w:top w:val="nil"/>
                    <w:left w:val="nil"/>
                    <w:bottom w:val="nil"/>
                    <w:right w:val="nil"/>
                  </w:tcBorders>
                </w:tcPr>
                <w:p w14:paraId="1A85FB6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(-.516)</w:t>
                  </w:r>
                </w:p>
              </w:tc>
            </w:tr>
            <w:tr w:rsidR="00694090" w:rsidRPr="00F60760" w14:paraId="281F9CB7" w14:textId="77777777" w:rsidTr="001D491F">
              <w:tc>
                <w:tcPr>
                  <w:tcW w:w="1331" w:type="pct"/>
                  <w:tcBorders>
                    <w:top w:val="nil"/>
                    <w:left w:val="nil"/>
                    <w:bottom w:val="nil"/>
                    <w:right w:val="nil"/>
                  </w:tcBorders>
                </w:tcPr>
                <w:p w14:paraId="408DE678"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acq_industrygrowth</w:t>
                  </w:r>
                </w:p>
              </w:tc>
              <w:tc>
                <w:tcPr>
                  <w:tcW w:w="1223" w:type="pct"/>
                  <w:tcBorders>
                    <w:top w:val="nil"/>
                    <w:left w:val="nil"/>
                    <w:bottom w:val="nil"/>
                    <w:right w:val="nil"/>
                  </w:tcBorders>
                </w:tcPr>
                <w:p w14:paraId="1ECF723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1.978</w:t>
                  </w:r>
                </w:p>
              </w:tc>
              <w:tc>
                <w:tcPr>
                  <w:tcW w:w="1223" w:type="pct"/>
                  <w:tcBorders>
                    <w:top w:val="nil"/>
                    <w:left w:val="nil"/>
                    <w:bottom w:val="nil"/>
                    <w:right w:val="nil"/>
                  </w:tcBorders>
                </w:tcPr>
                <w:p w14:paraId="175CB18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1.025</w:t>
                  </w:r>
                </w:p>
              </w:tc>
              <w:tc>
                <w:tcPr>
                  <w:tcW w:w="1223" w:type="pct"/>
                  <w:tcBorders>
                    <w:top w:val="nil"/>
                    <w:left w:val="nil"/>
                    <w:bottom w:val="nil"/>
                    <w:right w:val="nil"/>
                  </w:tcBorders>
                </w:tcPr>
                <w:p w14:paraId="5A130E7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.332</w:t>
                  </w:r>
                </w:p>
              </w:tc>
            </w:tr>
            <w:tr w:rsidR="00694090" w:rsidRPr="00F60760" w14:paraId="0C71CB69" w14:textId="77777777" w:rsidTr="001D491F">
              <w:tc>
                <w:tcPr>
                  <w:tcW w:w="1331" w:type="pct"/>
                  <w:tcBorders>
                    <w:top w:val="nil"/>
                    <w:left w:val="nil"/>
                    <w:bottom w:val="nil"/>
                    <w:right w:val="nil"/>
                  </w:tcBorders>
                </w:tcPr>
                <w:p w14:paraId="5FCBE10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223" w:type="pct"/>
                  <w:tcBorders>
                    <w:top w:val="nil"/>
                    <w:left w:val="nil"/>
                    <w:bottom w:val="nil"/>
                    <w:right w:val="nil"/>
                  </w:tcBorders>
                </w:tcPr>
                <w:p w14:paraId="2B84035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(1.626)</w:t>
                  </w:r>
                </w:p>
              </w:tc>
              <w:tc>
                <w:tcPr>
                  <w:tcW w:w="1223" w:type="pct"/>
                  <w:tcBorders>
                    <w:top w:val="nil"/>
                    <w:left w:val="nil"/>
                    <w:bottom w:val="nil"/>
                    <w:right w:val="nil"/>
                  </w:tcBorders>
                </w:tcPr>
                <w:p w14:paraId="0280CC8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(1.592)</w:t>
                  </w:r>
                </w:p>
              </w:tc>
              <w:tc>
                <w:tcPr>
                  <w:tcW w:w="1223" w:type="pct"/>
                  <w:tcBorders>
                    <w:top w:val="nil"/>
                    <w:left w:val="nil"/>
                    <w:bottom w:val="nil"/>
                    <w:right w:val="nil"/>
                  </w:tcBorders>
                </w:tcPr>
                <w:p w14:paraId="2232A85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(1.124)</w:t>
                  </w:r>
                </w:p>
              </w:tc>
            </w:tr>
            <w:tr w:rsidR="00694090" w:rsidRPr="00F60760" w14:paraId="0D271B41" w14:textId="77777777" w:rsidTr="001D491F">
              <w:tc>
                <w:tcPr>
                  <w:tcW w:w="1331" w:type="pct"/>
                  <w:tcBorders>
                    <w:top w:val="nil"/>
                    <w:left w:val="nil"/>
                    <w:bottom w:val="nil"/>
                    <w:right w:val="nil"/>
                  </w:tcBorders>
                </w:tcPr>
                <w:p w14:paraId="04953A8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acq_dealexperience</w:t>
                  </w:r>
                </w:p>
              </w:tc>
              <w:tc>
                <w:tcPr>
                  <w:tcW w:w="1223" w:type="pct"/>
                  <w:tcBorders>
                    <w:top w:val="nil"/>
                    <w:left w:val="nil"/>
                    <w:bottom w:val="nil"/>
                    <w:right w:val="nil"/>
                  </w:tcBorders>
                </w:tcPr>
                <w:p w14:paraId="6BF366D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-.040*</w:t>
                  </w:r>
                </w:p>
              </w:tc>
              <w:tc>
                <w:tcPr>
                  <w:tcW w:w="1223" w:type="pct"/>
                  <w:tcBorders>
                    <w:top w:val="nil"/>
                    <w:left w:val="nil"/>
                    <w:bottom w:val="nil"/>
                    <w:right w:val="nil"/>
                  </w:tcBorders>
                </w:tcPr>
                <w:p w14:paraId="73BE4F5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-.029**</w:t>
                  </w:r>
                </w:p>
              </w:tc>
              <w:tc>
                <w:tcPr>
                  <w:tcW w:w="1223" w:type="pct"/>
                  <w:tcBorders>
                    <w:top w:val="nil"/>
                    <w:left w:val="nil"/>
                    <w:bottom w:val="nil"/>
                    <w:right w:val="nil"/>
                  </w:tcBorders>
                </w:tcPr>
                <w:p w14:paraId="66F62CF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-.006</w:t>
                  </w:r>
                </w:p>
              </w:tc>
            </w:tr>
            <w:tr w:rsidR="00694090" w:rsidRPr="00F60760" w14:paraId="6BA3C2CF" w14:textId="77777777" w:rsidTr="001D491F">
              <w:tc>
                <w:tcPr>
                  <w:tcW w:w="1331" w:type="pct"/>
                  <w:tcBorders>
                    <w:top w:val="nil"/>
                    <w:left w:val="nil"/>
                    <w:bottom w:val="nil"/>
                    <w:right w:val="nil"/>
                  </w:tcBorders>
                </w:tcPr>
                <w:p w14:paraId="304D5033"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223" w:type="pct"/>
                  <w:tcBorders>
                    <w:top w:val="nil"/>
                    <w:left w:val="nil"/>
                    <w:bottom w:val="nil"/>
                    <w:right w:val="nil"/>
                  </w:tcBorders>
                </w:tcPr>
                <w:p w14:paraId="210A883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(-1.784)</w:t>
                  </w:r>
                </w:p>
              </w:tc>
              <w:tc>
                <w:tcPr>
                  <w:tcW w:w="1223" w:type="pct"/>
                  <w:tcBorders>
                    <w:top w:val="nil"/>
                    <w:left w:val="nil"/>
                    <w:bottom w:val="nil"/>
                    <w:right w:val="nil"/>
                  </w:tcBorders>
                </w:tcPr>
                <w:p w14:paraId="2C18C86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(-2.058)</w:t>
                  </w:r>
                </w:p>
              </w:tc>
              <w:tc>
                <w:tcPr>
                  <w:tcW w:w="1223" w:type="pct"/>
                  <w:tcBorders>
                    <w:top w:val="nil"/>
                    <w:left w:val="nil"/>
                    <w:bottom w:val="nil"/>
                    <w:right w:val="nil"/>
                  </w:tcBorders>
                </w:tcPr>
                <w:p w14:paraId="4DCDCFA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(-1.088)</w:t>
                  </w:r>
                </w:p>
              </w:tc>
            </w:tr>
            <w:tr w:rsidR="00694090" w:rsidRPr="00F60760" w14:paraId="34065266" w14:textId="77777777" w:rsidTr="001D491F">
              <w:tc>
                <w:tcPr>
                  <w:tcW w:w="1331" w:type="pct"/>
                  <w:tcBorders>
                    <w:top w:val="nil"/>
                    <w:left w:val="nil"/>
                    <w:bottom w:val="nil"/>
                    <w:right w:val="nil"/>
                  </w:tcBorders>
                </w:tcPr>
                <w:p w14:paraId="04755F30"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acq_rd_intensity</w:t>
                  </w:r>
                </w:p>
              </w:tc>
              <w:tc>
                <w:tcPr>
                  <w:tcW w:w="1223" w:type="pct"/>
                  <w:tcBorders>
                    <w:top w:val="nil"/>
                    <w:left w:val="nil"/>
                    <w:bottom w:val="nil"/>
                    <w:right w:val="nil"/>
                  </w:tcBorders>
                </w:tcPr>
                <w:p w14:paraId="25D15BC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.102</w:t>
                  </w:r>
                </w:p>
              </w:tc>
              <w:tc>
                <w:tcPr>
                  <w:tcW w:w="1223" w:type="pct"/>
                  <w:tcBorders>
                    <w:top w:val="nil"/>
                    <w:left w:val="nil"/>
                    <w:bottom w:val="nil"/>
                    <w:right w:val="nil"/>
                  </w:tcBorders>
                </w:tcPr>
                <w:p w14:paraId="6BBAA2A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.043</w:t>
                  </w:r>
                </w:p>
              </w:tc>
              <w:tc>
                <w:tcPr>
                  <w:tcW w:w="1223" w:type="pct"/>
                  <w:tcBorders>
                    <w:top w:val="nil"/>
                    <w:left w:val="nil"/>
                    <w:bottom w:val="nil"/>
                    <w:right w:val="nil"/>
                  </w:tcBorders>
                </w:tcPr>
                <w:p w14:paraId="71FDE34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-.018</w:t>
                  </w:r>
                </w:p>
              </w:tc>
            </w:tr>
            <w:tr w:rsidR="00694090" w:rsidRPr="00F60760" w14:paraId="1D8F1166" w14:textId="77777777" w:rsidTr="001D491F">
              <w:tc>
                <w:tcPr>
                  <w:tcW w:w="1331" w:type="pct"/>
                  <w:tcBorders>
                    <w:top w:val="nil"/>
                    <w:left w:val="nil"/>
                    <w:bottom w:val="nil"/>
                    <w:right w:val="nil"/>
                  </w:tcBorders>
                </w:tcPr>
                <w:p w14:paraId="7193E0E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p>
              </w:tc>
              <w:tc>
                <w:tcPr>
                  <w:tcW w:w="1223" w:type="pct"/>
                  <w:tcBorders>
                    <w:top w:val="nil"/>
                    <w:left w:val="nil"/>
                    <w:bottom w:val="nil"/>
                    <w:right w:val="nil"/>
                  </w:tcBorders>
                </w:tcPr>
                <w:p w14:paraId="5127F38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(.466)</w:t>
                  </w:r>
                </w:p>
              </w:tc>
              <w:tc>
                <w:tcPr>
                  <w:tcW w:w="1223" w:type="pct"/>
                  <w:tcBorders>
                    <w:top w:val="nil"/>
                    <w:left w:val="nil"/>
                    <w:bottom w:val="nil"/>
                    <w:right w:val="nil"/>
                  </w:tcBorders>
                </w:tcPr>
                <w:p w14:paraId="04B76F5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(.406)</w:t>
                  </w:r>
                </w:p>
              </w:tc>
              <w:tc>
                <w:tcPr>
                  <w:tcW w:w="1223" w:type="pct"/>
                  <w:tcBorders>
                    <w:top w:val="nil"/>
                    <w:left w:val="nil"/>
                    <w:bottom w:val="nil"/>
                    <w:right w:val="nil"/>
                  </w:tcBorders>
                </w:tcPr>
                <w:p w14:paraId="0C36636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(-.378)</w:t>
                  </w:r>
                </w:p>
              </w:tc>
            </w:tr>
            <w:tr w:rsidR="00694090" w:rsidRPr="00F60760" w14:paraId="7B578645" w14:textId="77777777" w:rsidTr="001D491F">
              <w:tc>
                <w:tcPr>
                  <w:tcW w:w="1331" w:type="pct"/>
                  <w:tcBorders>
                    <w:top w:val="nil"/>
                    <w:left w:val="nil"/>
                    <w:bottom w:val="nil"/>
                    <w:right w:val="nil"/>
                  </w:tcBorders>
                </w:tcPr>
                <w:p w14:paraId="149B4063"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tar_age</w:t>
                  </w:r>
                </w:p>
              </w:tc>
              <w:tc>
                <w:tcPr>
                  <w:tcW w:w="1223" w:type="pct"/>
                  <w:tcBorders>
                    <w:top w:val="nil"/>
                    <w:left w:val="nil"/>
                    <w:bottom w:val="nil"/>
                    <w:right w:val="nil"/>
                  </w:tcBorders>
                </w:tcPr>
                <w:p w14:paraId="2301D0A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.0001</w:t>
                  </w:r>
                </w:p>
              </w:tc>
              <w:tc>
                <w:tcPr>
                  <w:tcW w:w="1223" w:type="pct"/>
                  <w:tcBorders>
                    <w:top w:val="nil"/>
                    <w:left w:val="nil"/>
                    <w:bottom w:val="nil"/>
                    <w:right w:val="nil"/>
                  </w:tcBorders>
                </w:tcPr>
                <w:p w14:paraId="17ADB94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-.0001</w:t>
                  </w:r>
                </w:p>
              </w:tc>
              <w:tc>
                <w:tcPr>
                  <w:tcW w:w="1223" w:type="pct"/>
                  <w:tcBorders>
                    <w:top w:val="nil"/>
                    <w:left w:val="nil"/>
                    <w:bottom w:val="nil"/>
                    <w:right w:val="nil"/>
                  </w:tcBorders>
                </w:tcPr>
                <w:p w14:paraId="7EAAD91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-.0001</w:t>
                  </w:r>
                </w:p>
              </w:tc>
            </w:tr>
            <w:tr w:rsidR="00694090" w:rsidRPr="00F60760" w14:paraId="518D4949" w14:textId="77777777" w:rsidTr="001D491F">
              <w:tc>
                <w:tcPr>
                  <w:tcW w:w="1331" w:type="pct"/>
                  <w:tcBorders>
                    <w:top w:val="nil"/>
                    <w:left w:val="nil"/>
                    <w:bottom w:val="nil"/>
                    <w:right w:val="nil"/>
                  </w:tcBorders>
                </w:tcPr>
                <w:p w14:paraId="67C6FE60"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223" w:type="pct"/>
                  <w:tcBorders>
                    <w:top w:val="nil"/>
                    <w:left w:val="nil"/>
                    <w:bottom w:val="nil"/>
                    <w:right w:val="nil"/>
                  </w:tcBorders>
                </w:tcPr>
                <w:p w14:paraId="581985B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(.082)</w:t>
                  </w:r>
                </w:p>
              </w:tc>
              <w:tc>
                <w:tcPr>
                  <w:tcW w:w="1223" w:type="pct"/>
                  <w:tcBorders>
                    <w:top w:val="nil"/>
                    <w:left w:val="nil"/>
                    <w:bottom w:val="nil"/>
                    <w:right w:val="nil"/>
                  </w:tcBorders>
                </w:tcPr>
                <w:p w14:paraId="662B72F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(-.281)</w:t>
                  </w:r>
                </w:p>
              </w:tc>
              <w:tc>
                <w:tcPr>
                  <w:tcW w:w="1223" w:type="pct"/>
                  <w:tcBorders>
                    <w:top w:val="nil"/>
                    <w:left w:val="nil"/>
                    <w:bottom w:val="nil"/>
                    <w:right w:val="nil"/>
                  </w:tcBorders>
                </w:tcPr>
                <w:p w14:paraId="2BE6D52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(-.329)</w:t>
                  </w:r>
                </w:p>
              </w:tc>
            </w:tr>
            <w:tr w:rsidR="00694090" w:rsidRPr="00F60760" w14:paraId="4583496D" w14:textId="77777777" w:rsidTr="001D491F">
              <w:tc>
                <w:tcPr>
                  <w:tcW w:w="1331" w:type="pct"/>
                  <w:tcBorders>
                    <w:top w:val="nil"/>
                    <w:left w:val="nil"/>
                    <w:bottom w:val="nil"/>
                    <w:right w:val="nil"/>
                  </w:tcBorders>
                </w:tcPr>
                <w:p w14:paraId="34414DD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tar_assets_lastyear_ln</w:t>
                  </w:r>
                </w:p>
              </w:tc>
              <w:tc>
                <w:tcPr>
                  <w:tcW w:w="1223" w:type="pct"/>
                  <w:tcBorders>
                    <w:top w:val="nil"/>
                    <w:left w:val="nil"/>
                    <w:bottom w:val="nil"/>
                    <w:right w:val="nil"/>
                  </w:tcBorders>
                </w:tcPr>
                <w:p w14:paraId="4854D0A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-.107***</w:t>
                  </w:r>
                </w:p>
              </w:tc>
              <w:tc>
                <w:tcPr>
                  <w:tcW w:w="1223" w:type="pct"/>
                  <w:tcBorders>
                    <w:top w:val="nil"/>
                    <w:left w:val="nil"/>
                    <w:bottom w:val="nil"/>
                    <w:right w:val="nil"/>
                  </w:tcBorders>
                </w:tcPr>
                <w:p w14:paraId="78D6824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-.056**</w:t>
                  </w:r>
                </w:p>
              </w:tc>
              <w:tc>
                <w:tcPr>
                  <w:tcW w:w="1223" w:type="pct"/>
                  <w:tcBorders>
                    <w:top w:val="nil"/>
                    <w:left w:val="nil"/>
                    <w:bottom w:val="nil"/>
                    <w:right w:val="nil"/>
                  </w:tcBorders>
                </w:tcPr>
                <w:p w14:paraId="5851645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-.020*</w:t>
                  </w:r>
                </w:p>
              </w:tc>
            </w:tr>
            <w:tr w:rsidR="00694090" w:rsidRPr="00F60760" w14:paraId="15E8BB18" w14:textId="77777777" w:rsidTr="001D491F">
              <w:tc>
                <w:tcPr>
                  <w:tcW w:w="1331" w:type="pct"/>
                  <w:tcBorders>
                    <w:top w:val="nil"/>
                    <w:left w:val="nil"/>
                    <w:bottom w:val="nil"/>
                    <w:right w:val="nil"/>
                  </w:tcBorders>
                </w:tcPr>
                <w:p w14:paraId="58A4C30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223" w:type="pct"/>
                  <w:tcBorders>
                    <w:top w:val="nil"/>
                    <w:left w:val="nil"/>
                    <w:bottom w:val="nil"/>
                    <w:right w:val="nil"/>
                  </w:tcBorders>
                </w:tcPr>
                <w:p w14:paraId="43DB852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(-3.101)</w:t>
                  </w:r>
                </w:p>
              </w:tc>
              <w:tc>
                <w:tcPr>
                  <w:tcW w:w="1223" w:type="pct"/>
                  <w:tcBorders>
                    <w:top w:val="nil"/>
                    <w:left w:val="nil"/>
                    <w:bottom w:val="nil"/>
                    <w:right w:val="nil"/>
                  </w:tcBorders>
                </w:tcPr>
                <w:p w14:paraId="578F917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(-2.613)</w:t>
                  </w:r>
                </w:p>
              </w:tc>
              <w:tc>
                <w:tcPr>
                  <w:tcW w:w="1223" w:type="pct"/>
                  <w:tcBorders>
                    <w:top w:val="nil"/>
                    <w:left w:val="nil"/>
                    <w:bottom w:val="nil"/>
                    <w:right w:val="nil"/>
                  </w:tcBorders>
                </w:tcPr>
                <w:p w14:paraId="39CD595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(-2.002)</w:t>
                  </w:r>
                </w:p>
              </w:tc>
            </w:tr>
            <w:tr w:rsidR="00694090" w:rsidRPr="00F60760" w14:paraId="16E9B012" w14:textId="77777777" w:rsidTr="001D491F">
              <w:tc>
                <w:tcPr>
                  <w:tcW w:w="1331" w:type="pct"/>
                  <w:tcBorders>
                    <w:top w:val="nil"/>
                    <w:left w:val="nil"/>
                    <w:bottom w:val="nil"/>
                    <w:right w:val="nil"/>
                  </w:tcBorders>
                </w:tcPr>
                <w:p w14:paraId="1C5E3773"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tar_roa_lastyear</w:t>
                  </w:r>
                </w:p>
              </w:tc>
              <w:tc>
                <w:tcPr>
                  <w:tcW w:w="1223" w:type="pct"/>
                  <w:tcBorders>
                    <w:top w:val="nil"/>
                    <w:left w:val="nil"/>
                    <w:bottom w:val="nil"/>
                    <w:right w:val="nil"/>
                  </w:tcBorders>
                </w:tcPr>
                <w:p w14:paraId="6582054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.944***</w:t>
                  </w:r>
                </w:p>
              </w:tc>
              <w:tc>
                <w:tcPr>
                  <w:tcW w:w="1223" w:type="pct"/>
                  <w:tcBorders>
                    <w:top w:val="nil"/>
                    <w:left w:val="nil"/>
                    <w:bottom w:val="nil"/>
                    <w:right w:val="nil"/>
                  </w:tcBorders>
                </w:tcPr>
                <w:p w14:paraId="4812429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.503***</w:t>
                  </w:r>
                </w:p>
              </w:tc>
              <w:tc>
                <w:tcPr>
                  <w:tcW w:w="1223" w:type="pct"/>
                  <w:tcBorders>
                    <w:top w:val="nil"/>
                    <w:left w:val="nil"/>
                    <w:bottom w:val="nil"/>
                    <w:right w:val="nil"/>
                  </w:tcBorders>
                </w:tcPr>
                <w:p w14:paraId="7F91C96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.180**</w:t>
                  </w:r>
                </w:p>
              </w:tc>
            </w:tr>
            <w:tr w:rsidR="00694090" w:rsidRPr="00F60760" w14:paraId="139FD3B1" w14:textId="77777777" w:rsidTr="001D491F">
              <w:tc>
                <w:tcPr>
                  <w:tcW w:w="1331" w:type="pct"/>
                  <w:tcBorders>
                    <w:top w:val="nil"/>
                    <w:left w:val="nil"/>
                    <w:bottom w:val="nil"/>
                    <w:right w:val="nil"/>
                  </w:tcBorders>
                </w:tcPr>
                <w:p w14:paraId="1E14690D"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223" w:type="pct"/>
                  <w:tcBorders>
                    <w:top w:val="nil"/>
                    <w:left w:val="nil"/>
                    <w:bottom w:val="nil"/>
                    <w:right w:val="nil"/>
                  </w:tcBorders>
                </w:tcPr>
                <w:p w14:paraId="100EC84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(3.650)</w:t>
                  </w:r>
                </w:p>
              </w:tc>
              <w:tc>
                <w:tcPr>
                  <w:tcW w:w="1223" w:type="pct"/>
                  <w:tcBorders>
                    <w:top w:val="nil"/>
                    <w:left w:val="nil"/>
                    <w:bottom w:val="nil"/>
                    <w:right w:val="nil"/>
                  </w:tcBorders>
                </w:tcPr>
                <w:p w14:paraId="22261A3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(3.754)</w:t>
                  </w:r>
                </w:p>
              </w:tc>
              <w:tc>
                <w:tcPr>
                  <w:tcW w:w="1223" w:type="pct"/>
                  <w:tcBorders>
                    <w:top w:val="nil"/>
                    <w:left w:val="nil"/>
                    <w:bottom w:val="nil"/>
                    <w:right w:val="nil"/>
                  </w:tcBorders>
                </w:tcPr>
                <w:p w14:paraId="2AC99D2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(2.376)</w:t>
                  </w:r>
                </w:p>
              </w:tc>
            </w:tr>
            <w:tr w:rsidR="00694090" w:rsidRPr="00F60760" w14:paraId="0CA5FF47" w14:textId="77777777" w:rsidTr="001D491F">
              <w:tc>
                <w:tcPr>
                  <w:tcW w:w="1331" w:type="pct"/>
                  <w:tcBorders>
                    <w:top w:val="nil"/>
                    <w:left w:val="nil"/>
                    <w:bottom w:val="nil"/>
                    <w:right w:val="nil"/>
                  </w:tcBorders>
                </w:tcPr>
                <w:p w14:paraId="7588E8F1"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tar_mbratio</w:t>
                  </w:r>
                </w:p>
              </w:tc>
              <w:tc>
                <w:tcPr>
                  <w:tcW w:w="1223" w:type="pct"/>
                  <w:tcBorders>
                    <w:top w:val="nil"/>
                    <w:left w:val="nil"/>
                    <w:bottom w:val="nil"/>
                    <w:right w:val="nil"/>
                  </w:tcBorders>
                </w:tcPr>
                <w:p w14:paraId="205D55D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-.006***</w:t>
                  </w:r>
                </w:p>
              </w:tc>
              <w:tc>
                <w:tcPr>
                  <w:tcW w:w="1223" w:type="pct"/>
                  <w:tcBorders>
                    <w:top w:val="nil"/>
                    <w:left w:val="nil"/>
                    <w:bottom w:val="nil"/>
                    <w:right w:val="nil"/>
                  </w:tcBorders>
                </w:tcPr>
                <w:p w14:paraId="37B40A4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-.003**</w:t>
                  </w:r>
                </w:p>
              </w:tc>
              <w:tc>
                <w:tcPr>
                  <w:tcW w:w="1223" w:type="pct"/>
                  <w:tcBorders>
                    <w:top w:val="nil"/>
                    <w:left w:val="nil"/>
                    <w:bottom w:val="nil"/>
                    <w:right w:val="nil"/>
                  </w:tcBorders>
                </w:tcPr>
                <w:p w14:paraId="10FB1D7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r>
            <w:tr w:rsidR="00694090" w:rsidRPr="00F60760" w14:paraId="73DCFA95" w14:textId="77777777" w:rsidTr="001D491F">
              <w:tc>
                <w:tcPr>
                  <w:tcW w:w="1331" w:type="pct"/>
                  <w:tcBorders>
                    <w:top w:val="nil"/>
                    <w:left w:val="nil"/>
                    <w:bottom w:val="nil"/>
                    <w:right w:val="nil"/>
                  </w:tcBorders>
                </w:tcPr>
                <w:p w14:paraId="573EFE3D"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p>
              </w:tc>
              <w:tc>
                <w:tcPr>
                  <w:tcW w:w="1223" w:type="pct"/>
                  <w:tcBorders>
                    <w:top w:val="nil"/>
                    <w:left w:val="nil"/>
                    <w:bottom w:val="nil"/>
                    <w:right w:val="nil"/>
                  </w:tcBorders>
                </w:tcPr>
                <w:p w14:paraId="26AC53E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(-2.879)</w:t>
                  </w:r>
                </w:p>
              </w:tc>
              <w:tc>
                <w:tcPr>
                  <w:tcW w:w="1223" w:type="pct"/>
                  <w:tcBorders>
                    <w:top w:val="nil"/>
                    <w:left w:val="nil"/>
                    <w:bottom w:val="nil"/>
                    <w:right w:val="nil"/>
                  </w:tcBorders>
                </w:tcPr>
                <w:p w14:paraId="3C1AEA4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(-2.567)</w:t>
                  </w:r>
                </w:p>
              </w:tc>
              <w:tc>
                <w:tcPr>
                  <w:tcW w:w="1223" w:type="pct"/>
                  <w:tcBorders>
                    <w:top w:val="nil"/>
                    <w:left w:val="nil"/>
                    <w:bottom w:val="nil"/>
                    <w:right w:val="nil"/>
                  </w:tcBorders>
                </w:tcPr>
                <w:p w14:paraId="6F99A1B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(-2.497)</w:t>
                  </w:r>
                </w:p>
              </w:tc>
            </w:tr>
            <w:tr w:rsidR="00694090" w:rsidRPr="00F60760" w14:paraId="5C428FA8" w14:textId="77777777" w:rsidTr="001D491F">
              <w:tc>
                <w:tcPr>
                  <w:tcW w:w="1331" w:type="pct"/>
                  <w:tcBorders>
                    <w:top w:val="nil"/>
                    <w:left w:val="nil"/>
                    <w:bottom w:val="nil"/>
                    <w:right w:val="nil"/>
                  </w:tcBorders>
                </w:tcPr>
                <w:p w14:paraId="7F862CE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Observations</w:t>
                  </w:r>
                </w:p>
              </w:tc>
              <w:tc>
                <w:tcPr>
                  <w:tcW w:w="1223" w:type="pct"/>
                  <w:tcBorders>
                    <w:top w:val="nil"/>
                    <w:left w:val="nil"/>
                    <w:bottom w:val="nil"/>
                    <w:right w:val="nil"/>
                  </w:tcBorders>
                </w:tcPr>
                <w:p w14:paraId="5976513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226</w:t>
                  </w:r>
                </w:p>
              </w:tc>
              <w:tc>
                <w:tcPr>
                  <w:tcW w:w="1223" w:type="pct"/>
                  <w:tcBorders>
                    <w:top w:val="nil"/>
                    <w:left w:val="nil"/>
                    <w:bottom w:val="nil"/>
                    <w:right w:val="nil"/>
                  </w:tcBorders>
                </w:tcPr>
                <w:p w14:paraId="2B17ACF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226</w:t>
                  </w:r>
                </w:p>
              </w:tc>
              <w:tc>
                <w:tcPr>
                  <w:tcW w:w="1223" w:type="pct"/>
                  <w:tcBorders>
                    <w:top w:val="nil"/>
                    <w:left w:val="nil"/>
                    <w:bottom w:val="nil"/>
                    <w:right w:val="nil"/>
                  </w:tcBorders>
                </w:tcPr>
                <w:p w14:paraId="46523ED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226</w:t>
                  </w:r>
                </w:p>
              </w:tc>
            </w:tr>
            <w:tr w:rsidR="00694090" w:rsidRPr="00F60760" w14:paraId="247B2CF4" w14:textId="77777777" w:rsidTr="001D491F">
              <w:tc>
                <w:tcPr>
                  <w:tcW w:w="1331" w:type="pct"/>
                  <w:tcBorders>
                    <w:top w:val="nil"/>
                    <w:left w:val="nil"/>
                    <w:bottom w:val="nil"/>
                    <w:right w:val="nil"/>
                  </w:tcBorders>
                </w:tcPr>
                <w:p w14:paraId="008E050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Adj R2</w:t>
                  </w:r>
                </w:p>
              </w:tc>
              <w:tc>
                <w:tcPr>
                  <w:tcW w:w="1223" w:type="pct"/>
                  <w:tcBorders>
                    <w:top w:val="nil"/>
                    <w:left w:val="nil"/>
                    <w:bottom w:val="nil"/>
                    <w:right w:val="nil"/>
                  </w:tcBorders>
                  <w:vAlign w:val="center"/>
                </w:tcPr>
                <w:p w14:paraId="6363FE6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.109</w:t>
                  </w:r>
                </w:p>
              </w:tc>
              <w:tc>
                <w:tcPr>
                  <w:tcW w:w="1223" w:type="pct"/>
                  <w:tcBorders>
                    <w:top w:val="nil"/>
                    <w:left w:val="nil"/>
                    <w:bottom w:val="nil"/>
                    <w:right w:val="nil"/>
                  </w:tcBorders>
                  <w:vAlign w:val="center"/>
                </w:tcPr>
                <w:p w14:paraId="0E2401A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.119</w:t>
                  </w:r>
                </w:p>
              </w:tc>
              <w:tc>
                <w:tcPr>
                  <w:tcW w:w="1223" w:type="pct"/>
                  <w:tcBorders>
                    <w:top w:val="nil"/>
                    <w:left w:val="nil"/>
                    <w:bottom w:val="nil"/>
                    <w:right w:val="nil"/>
                  </w:tcBorders>
                  <w:vAlign w:val="center"/>
                </w:tcPr>
                <w:p w14:paraId="16610EA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.124</w:t>
                  </w:r>
                </w:p>
              </w:tc>
            </w:tr>
            <w:tr w:rsidR="00694090" w:rsidRPr="00F60760" w14:paraId="78F79908" w14:textId="77777777" w:rsidTr="001D491F">
              <w:tc>
                <w:tcPr>
                  <w:tcW w:w="1331" w:type="pct"/>
                  <w:tcBorders>
                    <w:top w:val="nil"/>
                    <w:left w:val="nil"/>
                    <w:bottom w:val="nil"/>
                    <w:right w:val="nil"/>
                  </w:tcBorders>
                </w:tcPr>
                <w:p w14:paraId="247846C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Industry FE</w:t>
                  </w:r>
                </w:p>
              </w:tc>
              <w:tc>
                <w:tcPr>
                  <w:tcW w:w="1223" w:type="pct"/>
                  <w:tcBorders>
                    <w:top w:val="nil"/>
                    <w:left w:val="nil"/>
                    <w:bottom w:val="nil"/>
                    <w:right w:val="nil"/>
                  </w:tcBorders>
                </w:tcPr>
                <w:p w14:paraId="3540651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1223" w:type="pct"/>
                  <w:tcBorders>
                    <w:top w:val="nil"/>
                    <w:left w:val="nil"/>
                    <w:bottom w:val="nil"/>
                    <w:right w:val="nil"/>
                  </w:tcBorders>
                </w:tcPr>
                <w:p w14:paraId="0271DAB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1223" w:type="pct"/>
                  <w:tcBorders>
                    <w:top w:val="nil"/>
                    <w:left w:val="nil"/>
                    <w:bottom w:val="nil"/>
                    <w:right w:val="nil"/>
                  </w:tcBorders>
                </w:tcPr>
                <w:p w14:paraId="64DFCE3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r>
            <w:tr w:rsidR="00694090" w:rsidRPr="00F60760" w14:paraId="599C3010" w14:textId="77777777" w:rsidTr="001D491F">
              <w:tc>
                <w:tcPr>
                  <w:tcW w:w="1331" w:type="pct"/>
                  <w:tcBorders>
                    <w:top w:val="nil"/>
                    <w:left w:val="nil"/>
                    <w:bottom w:val="nil"/>
                    <w:right w:val="nil"/>
                  </w:tcBorders>
                </w:tcPr>
                <w:p w14:paraId="4DB6B274"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Year FE</w:t>
                  </w:r>
                </w:p>
              </w:tc>
              <w:tc>
                <w:tcPr>
                  <w:tcW w:w="1223" w:type="pct"/>
                  <w:tcBorders>
                    <w:top w:val="nil"/>
                    <w:left w:val="nil"/>
                    <w:bottom w:val="nil"/>
                    <w:right w:val="nil"/>
                  </w:tcBorders>
                </w:tcPr>
                <w:p w14:paraId="74E8F15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1223" w:type="pct"/>
                  <w:tcBorders>
                    <w:top w:val="nil"/>
                    <w:left w:val="nil"/>
                    <w:bottom w:val="nil"/>
                    <w:right w:val="nil"/>
                  </w:tcBorders>
                </w:tcPr>
                <w:p w14:paraId="27808C3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Yes</w:t>
                  </w:r>
                </w:p>
              </w:tc>
              <w:tc>
                <w:tcPr>
                  <w:tcW w:w="1223" w:type="pct"/>
                  <w:tcBorders>
                    <w:top w:val="nil"/>
                    <w:left w:val="nil"/>
                    <w:bottom w:val="nil"/>
                    <w:right w:val="nil"/>
                  </w:tcBorders>
                </w:tcPr>
                <w:p w14:paraId="098F4D7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Yes</w:t>
                  </w:r>
                </w:p>
              </w:tc>
            </w:tr>
          </w:tbl>
          <w:p w14:paraId="57ECC17C" w14:textId="77777777" w:rsidR="00694090" w:rsidRPr="00F60760" w:rsidRDefault="00694090" w:rsidP="00AB066F">
            <w:pPr>
              <w:jc w:val="left"/>
              <w:rPr>
                <w:color w:val="000000" w:themeColor="text1"/>
                <w:sz w:val="22"/>
                <w:lang w:val="en-US"/>
              </w:rPr>
            </w:pPr>
          </w:p>
        </w:tc>
      </w:tr>
      <w:tr w:rsidR="00694090" w:rsidRPr="00BE5632" w14:paraId="229EB21F" w14:textId="77777777" w:rsidTr="001D491F">
        <w:trPr>
          <w:trHeight w:val="978"/>
        </w:trPr>
        <w:tc>
          <w:tcPr>
            <w:tcW w:w="9072" w:type="dxa"/>
            <w:tcBorders>
              <w:top w:val="single" w:sz="4" w:space="0" w:color="auto"/>
              <w:left w:val="nil"/>
              <w:right w:val="nil"/>
            </w:tcBorders>
            <w:shd w:val="clear" w:color="auto" w:fill="auto"/>
            <w:noWrap/>
          </w:tcPr>
          <w:p w14:paraId="726833F8" w14:textId="77777777" w:rsidR="00694090" w:rsidRPr="00F60760" w:rsidRDefault="00694090" w:rsidP="00E74508">
            <w:pPr>
              <w:spacing w:before="120" w:line="240" w:lineRule="auto"/>
              <w:rPr>
                <w:color w:val="000000" w:themeColor="text1"/>
                <w:sz w:val="22"/>
                <w:lang w:val="en-US"/>
              </w:rPr>
            </w:pPr>
            <w:r w:rsidRPr="00F60760">
              <w:rPr>
                <w:i/>
                <w:iCs/>
                <w:color w:val="000000" w:themeColor="text1"/>
                <w:sz w:val="22"/>
                <w:lang w:val="en-US"/>
              </w:rPr>
              <w:t>Note</w:t>
            </w:r>
            <w:r w:rsidRPr="00F60760">
              <w:rPr>
                <w:color w:val="000000" w:themeColor="text1"/>
                <w:sz w:val="22"/>
                <w:lang w:val="en-US"/>
              </w:rPr>
              <w:t xml:space="preserve">. This table reports fixed effects linear OLS regression results predicting the effect of organizational cultural distance between acquirers and targets on deal announcement cumulative abnormal returns (CARs). The dependent variable for Models 1 and 2 is the acquirer’s cumulative abnormal return, with the day range being centered around announcement given in brackets. The </w:t>
            </w:r>
            <w:r w:rsidRPr="00F60760">
              <w:rPr>
                <w:color w:val="000000" w:themeColor="text1"/>
                <w:sz w:val="22"/>
                <w:lang w:val="en-US"/>
              </w:rPr>
              <w:lastRenderedPageBreak/>
              <w:t xml:space="preserve">dependent variable for Model 3 is the market value-weighted cumulative abnormal return of the acquirer and target. The main independent variable in Models 1-3 is </w:t>
            </w:r>
            <w:r w:rsidRPr="00F60760">
              <w:rPr>
                <w:i/>
                <w:color w:val="000000" w:themeColor="text1"/>
                <w:sz w:val="22"/>
                <w:lang w:val="en-US"/>
              </w:rPr>
              <w:t xml:space="preserve">deal_culturaldistance </w:t>
            </w:r>
            <w:r w:rsidRPr="00F60760">
              <w:rPr>
                <w:color w:val="000000" w:themeColor="text1"/>
                <w:sz w:val="22"/>
                <w:lang w:val="en-US"/>
              </w:rPr>
              <w:t>with higher values indicating higher cultural dissimilarities between the acquirer and target. A detailed variable description can be found in Appendix B. Constant terms are estimated but not reported. We include the acquirer’s industry and year fixed effects in all models. We cluster standard errors at the 2-digit SIC industry level. t-statistics are reported in parentheses below the coefficients. *, **, *** denote statistical significance at the .10, .05, and .01 levels (using two-tailed tests).</w:t>
            </w:r>
          </w:p>
        </w:tc>
      </w:tr>
    </w:tbl>
    <w:p w14:paraId="082AF8CB" w14:textId="77777777" w:rsidR="00F26FAE" w:rsidRDefault="00F26FAE">
      <w:pPr>
        <w:spacing w:after="160" w:line="259" w:lineRule="auto"/>
        <w:jc w:val="left"/>
        <w:rPr>
          <w:rStyle w:val="SchwacherVerweis"/>
          <w:rFonts w:eastAsiaTheme="majorEastAsia" w:cstheme="majorBidi"/>
          <w:b/>
          <w:caps/>
          <w:smallCaps w:val="0"/>
          <w:color w:val="auto"/>
          <w:szCs w:val="32"/>
          <w:lang w:val="en-US"/>
        </w:rPr>
      </w:pPr>
      <w:r w:rsidRPr="00B1627F">
        <w:rPr>
          <w:rStyle w:val="SchwacherVerweis"/>
          <w:smallCaps w:val="0"/>
          <w:color w:val="auto"/>
          <w:lang w:val="en-US"/>
        </w:rPr>
        <w:lastRenderedPageBreak/>
        <w:br w:type="page"/>
      </w:r>
    </w:p>
    <w:p w14:paraId="45E2B23F" w14:textId="44F86441" w:rsidR="00F26FAE" w:rsidRPr="00947673" w:rsidRDefault="00F26FAE" w:rsidP="00F26FAE">
      <w:pPr>
        <w:pStyle w:val="1fake"/>
        <w:rPr>
          <w:rStyle w:val="SchwacherVerweis"/>
          <w:smallCaps w:val="0"/>
          <w:color w:val="auto"/>
        </w:rPr>
      </w:pPr>
      <w:r w:rsidRPr="00947673">
        <w:rPr>
          <w:rStyle w:val="SchwacherVerweis"/>
          <w:smallCaps w:val="0"/>
          <w:color w:val="auto"/>
        </w:rPr>
        <w:lastRenderedPageBreak/>
        <w:t xml:space="preserve">Online Supplement </w:t>
      </w:r>
      <w:r>
        <w:rPr>
          <w:rStyle w:val="SchwacherVerweis"/>
          <w:smallCaps w:val="0"/>
          <w:color w:val="auto"/>
        </w:rPr>
        <w:t>18</w:t>
      </w:r>
    </w:p>
    <w:p w14:paraId="10C24461" w14:textId="2BA4639F" w:rsidR="00011AF5" w:rsidRPr="00FB5C54" w:rsidRDefault="00011AF5" w:rsidP="00011AF5">
      <w:pPr>
        <w:pStyle w:val="Beschriftung"/>
      </w:pPr>
      <w:bookmarkStart w:id="637" w:name="_Toc180594864"/>
      <w:r>
        <w:t xml:space="preserve">T - III - </w:t>
      </w:r>
      <w:r>
        <w:fldChar w:fldCharType="begin"/>
      </w:r>
      <w:r>
        <w:instrText xml:space="preserve"> SEQ T_-_III_- \* ARABIC </w:instrText>
      </w:r>
      <w:r>
        <w:fldChar w:fldCharType="separate"/>
      </w:r>
      <w:r w:rsidR="00E91088">
        <w:rPr>
          <w:noProof/>
        </w:rPr>
        <w:t>28</w:t>
      </w:r>
      <w:r>
        <w:fldChar w:fldCharType="end"/>
      </w:r>
      <w:r>
        <w:t xml:space="preserve">: </w:t>
      </w:r>
      <w:r w:rsidRPr="00F54E66">
        <w:t>H1b: Long-term operating synergies – Acquisition premium</w:t>
      </w:r>
      <w:bookmarkEnd w:id="637"/>
    </w:p>
    <w:tbl>
      <w:tblPr>
        <w:tblW w:w="9072" w:type="dxa"/>
        <w:tblLayout w:type="fixed"/>
        <w:tblLook w:val="04A0" w:firstRow="1" w:lastRow="0" w:firstColumn="1" w:lastColumn="0" w:noHBand="0" w:noVBand="1"/>
      </w:tblPr>
      <w:tblGrid>
        <w:gridCol w:w="9072"/>
      </w:tblGrid>
      <w:tr w:rsidR="00694090" w:rsidRPr="00F60760" w14:paraId="76B3997D" w14:textId="77777777" w:rsidTr="001D491F">
        <w:trPr>
          <w:trHeight w:val="469"/>
        </w:trPr>
        <w:tc>
          <w:tcPr>
            <w:tcW w:w="5000" w:type="pct"/>
            <w:tcBorders>
              <w:left w:val="nil"/>
              <w:bottom w:val="single" w:sz="4" w:space="0" w:color="auto"/>
              <w:right w:val="nil"/>
            </w:tcBorders>
            <w:shd w:val="clear" w:color="auto" w:fill="auto"/>
          </w:tcPr>
          <w:tbl>
            <w:tblPr>
              <w:tblW w:w="8959" w:type="dxa"/>
              <w:jc w:val="center"/>
              <w:tblLayout w:type="fixed"/>
              <w:tblLook w:val="0000" w:firstRow="0" w:lastRow="0" w:firstColumn="0" w:lastColumn="0" w:noHBand="0" w:noVBand="0"/>
            </w:tblPr>
            <w:tblGrid>
              <w:gridCol w:w="2987"/>
              <w:gridCol w:w="2986"/>
              <w:gridCol w:w="2986"/>
            </w:tblGrid>
            <w:tr w:rsidR="00694090" w:rsidRPr="00F60760" w14:paraId="7EE255B3" w14:textId="77777777" w:rsidTr="001D491F">
              <w:trPr>
                <w:jc w:val="center"/>
              </w:trPr>
              <w:tc>
                <w:tcPr>
                  <w:tcW w:w="3231" w:type="dxa"/>
                  <w:tcBorders>
                    <w:top w:val="single" w:sz="4" w:space="0" w:color="auto"/>
                    <w:left w:val="nil"/>
                    <w:right w:val="nil"/>
                  </w:tcBorders>
                </w:tcPr>
                <w:p w14:paraId="048CE04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single" w:sz="4" w:space="0" w:color="auto"/>
                    <w:left w:val="nil"/>
                    <w:right w:val="nil"/>
                  </w:tcBorders>
                </w:tcPr>
                <w:p w14:paraId="2B83FB0D"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(1)</w:t>
                  </w:r>
                </w:p>
              </w:tc>
              <w:tc>
                <w:tcPr>
                  <w:tcW w:w="3231" w:type="dxa"/>
                  <w:tcBorders>
                    <w:top w:val="single" w:sz="4" w:space="0" w:color="auto"/>
                    <w:left w:val="nil"/>
                    <w:right w:val="nil"/>
                  </w:tcBorders>
                </w:tcPr>
                <w:p w14:paraId="0142E89C"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(2)</w:t>
                  </w:r>
                </w:p>
              </w:tc>
            </w:tr>
            <w:tr w:rsidR="00694090" w:rsidRPr="00F60760" w14:paraId="0E482D27" w14:textId="77777777" w:rsidTr="001D491F">
              <w:trPr>
                <w:jc w:val="center"/>
              </w:trPr>
              <w:tc>
                <w:tcPr>
                  <w:tcW w:w="3231" w:type="dxa"/>
                  <w:tcBorders>
                    <w:top w:val="nil"/>
                    <w:left w:val="nil"/>
                    <w:bottom w:val="single" w:sz="4" w:space="0" w:color="auto"/>
                    <w:right w:val="nil"/>
                  </w:tcBorders>
                </w:tcPr>
                <w:p w14:paraId="4BFEBA9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single" w:sz="4" w:space="0" w:color="auto"/>
                    <w:right w:val="nil"/>
                  </w:tcBorders>
                </w:tcPr>
                <w:p w14:paraId="06496DA8"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acq_sales_2yr_growth</w:t>
                  </w:r>
                </w:p>
              </w:tc>
              <w:tc>
                <w:tcPr>
                  <w:tcW w:w="3231" w:type="dxa"/>
                  <w:tcBorders>
                    <w:top w:val="nil"/>
                    <w:left w:val="nil"/>
                    <w:bottom w:val="single" w:sz="4" w:space="0" w:color="auto"/>
                    <w:right w:val="nil"/>
                  </w:tcBorders>
                </w:tcPr>
                <w:p w14:paraId="4A0072FD"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acq_sales_4yr_growth</w:t>
                  </w:r>
                </w:p>
              </w:tc>
            </w:tr>
            <w:tr w:rsidR="00694090" w:rsidRPr="00F60760" w14:paraId="36A34480" w14:textId="77777777" w:rsidTr="001D491F">
              <w:trPr>
                <w:trHeight w:val="224"/>
                <w:jc w:val="center"/>
              </w:trPr>
              <w:tc>
                <w:tcPr>
                  <w:tcW w:w="3231" w:type="dxa"/>
                  <w:tcBorders>
                    <w:top w:val="single" w:sz="4" w:space="0" w:color="auto"/>
                    <w:left w:val="nil"/>
                    <w:bottom w:val="nil"/>
                    <w:right w:val="nil"/>
                  </w:tcBorders>
                </w:tcPr>
                <w:p w14:paraId="01F8F17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deal_culturaldistance</w:t>
                  </w:r>
                </w:p>
              </w:tc>
              <w:tc>
                <w:tcPr>
                  <w:tcW w:w="3231" w:type="dxa"/>
                  <w:tcBorders>
                    <w:top w:val="single" w:sz="4" w:space="0" w:color="auto"/>
                    <w:left w:val="nil"/>
                    <w:bottom w:val="nil"/>
                    <w:right w:val="nil"/>
                  </w:tcBorders>
                </w:tcPr>
                <w:p w14:paraId="4653E98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-.010**</w:t>
                  </w:r>
                </w:p>
              </w:tc>
              <w:tc>
                <w:tcPr>
                  <w:tcW w:w="3231" w:type="dxa"/>
                  <w:tcBorders>
                    <w:top w:val="single" w:sz="4" w:space="0" w:color="auto"/>
                    <w:left w:val="nil"/>
                    <w:bottom w:val="nil"/>
                    <w:right w:val="nil"/>
                  </w:tcBorders>
                </w:tcPr>
                <w:p w14:paraId="1C319EB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-.008***</w:t>
                  </w:r>
                </w:p>
              </w:tc>
            </w:tr>
            <w:tr w:rsidR="00694090" w:rsidRPr="00F60760" w14:paraId="27C4A213" w14:textId="77777777" w:rsidTr="001D491F">
              <w:trPr>
                <w:jc w:val="center"/>
              </w:trPr>
              <w:tc>
                <w:tcPr>
                  <w:tcW w:w="3231" w:type="dxa"/>
                  <w:tcBorders>
                    <w:top w:val="nil"/>
                    <w:left w:val="nil"/>
                    <w:bottom w:val="nil"/>
                    <w:right w:val="nil"/>
                  </w:tcBorders>
                </w:tcPr>
                <w:p w14:paraId="3087B0CD"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60967B3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(-2.086)</w:t>
                  </w:r>
                </w:p>
              </w:tc>
              <w:tc>
                <w:tcPr>
                  <w:tcW w:w="3231" w:type="dxa"/>
                  <w:tcBorders>
                    <w:top w:val="nil"/>
                    <w:left w:val="nil"/>
                    <w:bottom w:val="nil"/>
                    <w:right w:val="nil"/>
                  </w:tcBorders>
                </w:tcPr>
                <w:p w14:paraId="0800F50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(-4.137)</w:t>
                  </w:r>
                </w:p>
              </w:tc>
            </w:tr>
            <w:tr w:rsidR="00694090" w:rsidRPr="00F60760" w14:paraId="2B437363" w14:textId="77777777" w:rsidTr="001D491F">
              <w:trPr>
                <w:jc w:val="center"/>
              </w:trPr>
              <w:tc>
                <w:tcPr>
                  <w:tcW w:w="3231" w:type="dxa"/>
                  <w:tcBorders>
                    <w:top w:val="nil"/>
                    <w:left w:val="nil"/>
                    <w:bottom w:val="nil"/>
                    <w:right w:val="nil"/>
                  </w:tcBorders>
                </w:tcPr>
                <w:p w14:paraId="3D8A83E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deal_premium_1week</w:t>
                  </w:r>
                </w:p>
              </w:tc>
              <w:tc>
                <w:tcPr>
                  <w:tcW w:w="3231" w:type="dxa"/>
                  <w:tcBorders>
                    <w:top w:val="nil"/>
                    <w:left w:val="nil"/>
                    <w:bottom w:val="nil"/>
                    <w:right w:val="nil"/>
                  </w:tcBorders>
                </w:tcPr>
                <w:p w14:paraId="05F2F5F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.160**</w:t>
                  </w:r>
                </w:p>
              </w:tc>
              <w:tc>
                <w:tcPr>
                  <w:tcW w:w="3231" w:type="dxa"/>
                  <w:tcBorders>
                    <w:top w:val="nil"/>
                    <w:left w:val="nil"/>
                    <w:bottom w:val="nil"/>
                    <w:right w:val="nil"/>
                  </w:tcBorders>
                </w:tcPr>
                <w:p w14:paraId="54D284F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.066</w:t>
                  </w:r>
                </w:p>
              </w:tc>
            </w:tr>
            <w:tr w:rsidR="00694090" w:rsidRPr="00F60760" w14:paraId="5B82A610" w14:textId="77777777" w:rsidTr="001D491F">
              <w:trPr>
                <w:jc w:val="center"/>
              </w:trPr>
              <w:tc>
                <w:tcPr>
                  <w:tcW w:w="3231" w:type="dxa"/>
                  <w:tcBorders>
                    <w:top w:val="nil"/>
                    <w:left w:val="nil"/>
                    <w:bottom w:val="nil"/>
                    <w:right w:val="nil"/>
                  </w:tcBorders>
                </w:tcPr>
                <w:p w14:paraId="55AE624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p>
              </w:tc>
              <w:tc>
                <w:tcPr>
                  <w:tcW w:w="3231" w:type="dxa"/>
                  <w:tcBorders>
                    <w:top w:val="nil"/>
                    <w:left w:val="nil"/>
                    <w:bottom w:val="nil"/>
                    <w:right w:val="nil"/>
                  </w:tcBorders>
                </w:tcPr>
                <w:p w14:paraId="1DFCF1F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(2.546)</w:t>
                  </w:r>
                </w:p>
              </w:tc>
              <w:tc>
                <w:tcPr>
                  <w:tcW w:w="3231" w:type="dxa"/>
                  <w:tcBorders>
                    <w:top w:val="nil"/>
                    <w:left w:val="nil"/>
                    <w:bottom w:val="nil"/>
                    <w:right w:val="nil"/>
                  </w:tcBorders>
                </w:tcPr>
                <w:p w14:paraId="0BDA949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(1.129)</w:t>
                  </w:r>
                </w:p>
              </w:tc>
            </w:tr>
            <w:tr w:rsidR="00694090" w:rsidRPr="00F60760" w14:paraId="46226960" w14:textId="77777777" w:rsidTr="001D491F">
              <w:trPr>
                <w:jc w:val="center"/>
              </w:trPr>
              <w:tc>
                <w:tcPr>
                  <w:tcW w:w="3231" w:type="dxa"/>
                  <w:tcBorders>
                    <w:top w:val="nil"/>
                    <w:left w:val="nil"/>
                    <w:bottom w:val="nil"/>
                    <w:right w:val="nil"/>
                  </w:tcBorders>
                </w:tcPr>
                <w:p w14:paraId="3E29ABC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deal_value_ln</w:t>
                  </w:r>
                </w:p>
              </w:tc>
              <w:tc>
                <w:tcPr>
                  <w:tcW w:w="3231" w:type="dxa"/>
                  <w:tcBorders>
                    <w:top w:val="nil"/>
                    <w:left w:val="nil"/>
                    <w:bottom w:val="nil"/>
                    <w:right w:val="nil"/>
                  </w:tcBorders>
                </w:tcPr>
                <w:p w14:paraId="5FAF9D5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-.029</w:t>
                  </w:r>
                </w:p>
              </w:tc>
              <w:tc>
                <w:tcPr>
                  <w:tcW w:w="3231" w:type="dxa"/>
                  <w:tcBorders>
                    <w:top w:val="nil"/>
                    <w:left w:val="nil"/>
                    <w:bottom w:val="nil"/>
                    <w:right w:val="nil"/>
                  </w:tcBorders>
                </w:tcPr>
                <w:p w14:paraId="6F34580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.004</w:t>
                  </w:r>
                </w:p>
              </w:tc>
            </w:tr>
            <w:tr w:rsidR="00694090" w:rsidRPr="00F60760" w14:paraId="3DC58099" w14:textId="77777777" w:rsidTr="001D491F">
              <w:trPr>
                <w:jc w:val="center"/>
              </w:trPr>
              <w:tc>
                <w:tcPr>
                  <w:tcW w:w="3231" w:type="dxa"/>
                  <w:tcBorders>
                    <w:top w:val="nil"/>
                    <w:left w:val="nil"/>
                    <w:bottom w:val="nil"/>
                    <w:right w:val="nil"/>
                  </w:tcBorders>
                </w:tcPr>
                <w:p w14:paraId="3131578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4CF78CB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(-.811)</w:t>
                  </w:r>
                </w:p>
              </w:tc>
              <w:tc>
                <w:tcPr>
                  <w:tcW w:w="3231" w:type="dxa"/>
                  <w:tcBorders>
                    <w:top w:val="nil"/>
                    <w:left w:val="nil"/>
                    <w:bottom w:val="nil"/>
                    <w:right w:val="nil"/>
                  </w:tcBorders>
                </w:tcPr>
                <w:p w14:paraId="4FDF1F6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(.144)</w:t>
                  </w:r>
                </w:p>
              </w:tc>
            </w:tr>
            <w:tr w:rsidR="00694090" w:rsidRPr="00F60760" w14:paraId="6A50CCE0" w14:textId="77777777" w:rsidTr="001D491F">
              <w:trPr>
                <w:jc w:val="center"/>
              </w:trPr>
              <w:tc>
                <w:tcPr>
                  <w:tcW w:w="3231" w:type="dxa"/>
                  <w:tcBorders>
                    <w:top w:val="nil"/>
                    <w:left w:val="nil"/>
                    <w:bottom w:val="nil"/>
                    <w:right w:val="nil"/>
                  </w:tcBorders>
                </w:tcPr>
                <w:p w14:paraId="5CE34BE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deal_hofstede_distance</w:t>
                  </w:r>
                </w:p>
              </w:tc>
              <w:tc>
                <w:tcPr>
                  <w:tcW w:w="3231" w:type="dxa"/>
                  <w:tcBorders>
                    <w:top w:val="nil"/>
                    <w:left w:val="nil"/>
                    <w:bottom w:val="nil"/>
                    <w:right w:val="nil"/>
                  </w:tcBorders>
                </w:tcPr>
                <w:p w14:paraId="16E4442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-.201</w:t>
                  </w:r>
                </w:p>
              </w:tc>
              <w:tc>
                <w:tcPr>
                  <w:tcW w:w="3231" w:type="dxa"/>
                  <w:tcBorders>
                    <w:top w:val="nil"/>
                    <w:left w:val="nil"/>
                    <w:bottom w:val="nil"/>
                    <w:right w:val="nil"/>
                  </w:tcBorders>
                </w:tcPr>
                <w:p w14:paraId="4E172E1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-.140</w:t>
                  </w:r>
                </w:p>
              </w:tc>
            </w:tr>
            <w:tr w:rsidR="00694090" w:rsidRPr="00F60760" w14:paraId="354BE4A7" w14:textId="77777777" w:rsidTr="001D491F">
              <w:trPr>
                <w:jc w:val="center"/>
              </w:trPr>
              <w:tc>
                <w:tcPr>
                  <w:tcW w:w="3231" w:type="dxa"/>
                  <w:tcBorders>
                    <w:top w:val="nil"/>
                    <w:left w:val="nil"/>
                    <w:bottom w:val="nil"/>
                    <w:right w:val="nil"/>
                  </w:tcBorders>
                </w:tcPr>
                <w:p w14:paraId="38D08C03"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3398126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(-.856)</w:t>
                  </w:r>
                </w:p>
              </w:tc>
              <w:tc>
                <w:tcPr>
                  <w:tcW w:w="3231" w:type="dxa"/>
                  <w:tcBorders>
                    <w:top w:val="nil"/>
                    <w:left w:val="nil"/>
                    <w:bottom w:val="nil"/>
                    <w:right w:val="nil"/>
                  </w:tcBorders>
                </w:tcPr>
                <w:p w14:paraId="6C05CB0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(-.565)</w:t>
                  </w:r>
                </w:p>
              </w:tc>
            </w:tr>
            <w:tr w:rsidR="00694090" w:rsidRPr="00F60760" w14:paraId="0B307900" w14:textId="77777777" w:rsidTr="001D491F">
              <w:trPr>
                <w:jc w:val="center"/>
              </w:trPr>
              <w:tc>
                <w:tcPr>
                  <w:tcW w:w="3231" w:type="dxa"/>
                  <w:tcBorders>
                    <w:top w:val="nil"/>
                    <w:left w:val="nil"/>
                    <w:bottom w:val="nil"/>
                    <w:right w:val="nil"/>
                  </w:tcBorders>
                </w:tcPr>
                <w:p w14:paraId="3B8FAB3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deal_all_cash_dummy</w:t>
                  </w:r>
                </w:p>
              </w:tc>
              <w:tc>
                <w:tcPr>
                  <w:tcW w:w="3231" w:type="dxa"/>
                  <w:tcBorders>
                    <w:top w:val="nil"/>
                    <w:left w:val="nil"/>
                    <w:bottom w:val="nil"/>
                    <w:right w:val="nil"/>
                  </w:tcBorders>
                </w:tcPr>
                <w:p w14:paraId="11A840F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-.031</w:t>
                  </w:r>
                </w:p>
              </w:tc>
              <w:tc>
                <w:tcPr>
                  <w:tcW w:w="3231" w:type="dxa"/>
                  <w:tcBorders>
                    <w:top w:val="nil"/>
                    <w:left w:val="nil"/>
                    <w:bottom w:val="nil"/>
                    <w:right w:val="nil"/>
                  </w:tcBorders>
                </w:tcPr>
                <w:p w14:paraId="7ECFF68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-.104***</w:t>
                  </w:r>
                </w:p>
              </w:tc>
            </w:tr>
            <w:tr w:rsidR="00694090" w:rsidRPr="00F60760" w14:paraId="4CD6579B" w14:textId="77777777" w:rsidTr="001D491F">
              <w:trPr>
                <w:jc w:val="center"/>
              </w:trPr>
              <w:tc>
                <w:tcPr>
                  <w:tcW w:w="3231" w:type="dxa"/>
                  <w:tcBorders>
                    <w:top w:val="nil"/>
                    <w:left w:val="nil"/>
                    <w:bottom w:val="nil"/>
                    <w:right w:val="nil"/>
                  </w:tcBorders>
                </w:tcPr>
                <w:p w14:paraId="5D9EA913"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2AC920F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(-.537)</w:t>
                  </w:r>
                </w:p>
              </w:tc>
              <w:tc>
                <w:tcPr>
                  <w:tcW w:w="3231" w:type="dxa"/>
                  <w:tcBorders>
                    <w:top w:val="nil"/>
                    <w:left w:val="nil"/>
                    <w:bottom w:val="nil"/>
                    <w:right w:val="nil"/>
                  </w:tcBorders>
                </w:tcPr>
                <w:p w14:paraId="010235C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(-3.539)</w:t>
                  </w:r>
                </w:p>
              </w:tc>
            </w:tr>
            <w:tr w:rsidR="00694090" w:rsidRPr="00F60760" w14:paraId="05845613" w14:textId="77777777" w:rsidTr="001D491F">
              <w:trPr>
                <w:jc w:val="center"/>
              </w:trPr>
              <w:tc>
                <w:tcPr>
                  <w:tcW w:w="3231" w:type="dxa"/>
                  <w:tcBorders>
                    <w:top w:val="nil"/>
                    <w:left w:val="nil"/>
                    <w:bottom w:val="nil"/>
                    <w:right w:val="nil"/>
                  </w:tcBorders>
                </w:tcPr>
                <w:p w14:paraId="55EBAB40"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deal_all_stock_dummy</w:t>
                  </w:r>
                </w:p>
              </w:tc>
              <w:tc>
                <w:tcPr>
                  <w:tcW w:w="3231" w:type="dxa"/>
                  <w:tcBorders>
                    <w:top w:val="nil"/>
                    <w:left w:val="nil"/>
                    <w:bottom w:val="nil"/>
                    <w:right w:val="nil"/>
                  </w:tcBorders>
                </w:tcPr>
                <w:p w14:paraId="4D15A8A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.016</w:t>
                  </w:r>
                </w:p>
              </w:tc>
              <w:tc>
                <w:tcPr>
                  <w:tcW w:w="3231" w:type="dxa"/>
                  <w:tcBorders>
                    <w:top w:val="nil"/>
                    <w:left w:val="nil"/>
                    <w:bottom w:val="nil"/>
                    <w:right w:val="nil"/>
                  </w:tcBorders>
                </w:tcPr>
                <w:p w14:paraId="52F4699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r>
            <w:tr w:rsidR="00694090" w:rsidRPr="00F60760" w14:paraId="1A89FD4E" w14:textId="77777777" w:rsidTr="001D491F">
              <w:trPr>
                <w:jc w:val="center"/>
              </w:trPr>
              <w:tc>
                <w:tcPr>
                  <w:tcW w:w="3231" w:type="dxa"/>
                  <w:tcBorders>
                    <w:top w:val="nil"/>
                    <w:left w:val="nil"/>
                    <w:bottom w:val="nil"/>
                    <w:right w:val="nil"/>
                  </w:tcBorders>
                </w:tcPr>
                <w:p w14:paraId="40E6C68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705C238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(.109)</w:t>
                  </w:r>
                </w:p>
              </w:tc>
              <w:tc>
                <w:tcPr>
                  <w:tcW w:w="3231" w:type="dxa"/>
                  <w:tcBorders>
                    <w:top w:val="nil"/>
                    <w:left w:val="nil"/>
                    <w:bottom w:val="nil"/>
                    <w:right w:val="nil"/>
                  </w:tcBorders>
                </w:tcPr>
                <w:p w14:paraId="19CAF79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(.013)</w:t>
                  </w:r>
                </w:p>
              </w:tc>
            </w:tr>
            <w:tr w:rsidR="00694090" w:rsidRPr="00F60760" w14:paraId="37F4F206" w14:textId="77777777" w:rsidTr="001D491F">
              <w:trPr>
                <w:jc w:val="center"/>
              </w:trPr>
              <w:tc>
                <w:tcPr>
                  <w:tcW w:w="3231" w:type="dxa"/>
                  <w:tcBorders>
                    <w:top w:val="nil"/>
                    <w:left w:val="nil"/>
                    <w:bottom w:val="nil"/>
                    <w:right w:val="nil"/>
                  </w:tcBorders>
                </w:tcPr>
                <w:p w14:paraId="3AC766D0"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deal_tenderoffer_dummy</w:t>
                  </w:r>
                </w:p>
              </w:tc>
              <w:tc>
                <w:tcPr>
                  <w:tcW w:w="3231" w:type="dxa"/>
                  <w:tcBorders>
                    <w:top w:val="nil"/>
                    <w:left w:val="nil"/>
                    <w:bottom w:val="nil"/>
                    <w:right w:val="nil"/>
                  </w:tcBorders>
                </w:tcPr>
                <w:p w14:paraId="0EC00C5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-.049</w:t>
                  </w:r>
                </w:p>
              </w:tc>
              <w:tc>
                <w:tcPr>
                  <w:tcW w:w="3231" w:type="dxa"/>
                  <w:tcBorders>
                    <w:top w:val="nil"/>
                    <w:left w:val="nil"/>
                    <w:bottom w:val="nil"/>
                    <w:right w:val="nil"/>
                  </w:tcBorders>
                </w:tcPr>
                <w:p w14:paraId="78A6F43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-.006</w:t>
                  </w:r>
                </w:p>
              </w:tc>
            </w:tr>
            <w:tr w:rsidR="00694090" w:rsidRPr="00F60760" w14:paraId="26895EFD" w14:textId="77777777" w:rsidTr="001D491F">
              <w:trPr>
                <w:jc w:val="center"/>
              </w:trPr>
              <w:tc>
                <w:tcPr>
                  <w:tcW w:w="3231" w:type="dxa"/>
                  <w:tcBorders>
                    <w:top w:val="nil"/>
                    <w:left w:val="nil"/>
                    <w:bottom w:val="nil"/>
                    <w:right w:val="nil"/>
                  </w:tcBorders>
                </w:tcPr>
                <w:p w14:paraId="4AF5A1A0"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4C4661F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(-.809)</w:t>
                  </w:r>
                </w:p>
              </w:tc>
              <w:tc>
                <w:tcPr>
                  <w:tcW w:w="3231" w:type="dxa"/>
                  <w:tcBorders>
                    <w:top w:val="nil"/>
                    <w:left w:val="nil"/>
                    <w:bottom w:val="nil"/>
                    <w:right w:val="nil"/>
                  </w:tcBorders>
                </w:tcPr>
                <w:p w14:paraId="4329680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(-.148)</w:t>
                  </w:r>
                </w:p>
              </w:tc>
            </w:tr>
            <w:tr w:rsidR="00694090" w:rsidRPr="00F60760" w14:paraId="4838C32B" w14:textId="77777777" w:rsidTr="001D491F">
              <w:trPr>
                <w:jc w:val="center"/>
              </w:trPr>
              <w:tc>
                <w:tcPr>
                  <w:tcW w:w="3231" w:type="dxa"/>
                  <w:tcBorders>
                    <w:top w:val="nil"/>
                    <w:left w:val="nil"/>
                    <w:bottom w:val="nil"/>
                    <w:right w:val="nil"/>
                  </w:tcBorders>
                </w:tcPr>
                <w:p w14:paraId="7F0DE673"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deal_friendly_dummy</w:t>
                  </w:r>
                </w:p>
              </w:tc>
              <w:tc>
                <w:tcPr>
                  <w:tcW w:w="3231" w:type="dxa"/>
                  <w:tcBorders>
                    <w:top w:val="nil"/>
                    <w:left w:val="nil"/>
                    <w:bottom w:val="nil"/>
                    <w:right w:val="nil"/>
                  </w:tcBorders>
                </w:tcPr>
                <w:p w14:paraId="534EC21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.102</w:t>
                  </w:r>
                </w:p>
              </w:tc>
              <w:tc>
                <w:tcPr>
                  <w:tcW w:w="3231" w:type="dxa"/>
                  <w:tcBorders>
                    <w:top w:val="nil"/>
                    <w:left w:val="nil"/>
                    <w:bottom w:val="nil"/>
                    <w:right w:val="nil"/>
                  </w:tcBorders>
                </w:tcPr>
                <w:p w14:paraId="0F79A19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w:t>
                  </w:r>
                </w:p>
              </w:tc>
            </w:tr>
            <w:tr w:rsidR="00694090" w:rsidRPr="00F60760" w14:paraId="5B51675A" w14:textId="77777777" w:rsidTr="001D491F">
              <w:trPr>
                <w:jc w:val="center"/>
              </w:trPr>
              <w:tc>
                <w:tcPr>
                  <w:tcW w:w="3231" w:type="dxa"/>
                  <w:tcBorders>
                    <w:top w:val="nil"/>
                    <w:left w:val="nil"/>
                    <w:bottom w:val="nil"/>
                    <w:right w:val="nil"/>
                  </w:tcBorders>
                </w:tcPr>
                <w:p w14:paraId="44A433FE"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6A6B7C4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(1.127)</w:t>
                  </w:r>
                </w:p>
              </w:tc>
              <w:tc>
                <w:tcPr>
                  <w:tcW w:w="3231" w:type="dxa"/>
                  <w:tcBorders>
                    <w:top w:val="nil"/>
                    <w:left w:val="nil"/>
                    <w:bottom w:val="nil"/>
                    <w:right w:val="nil"/>
                  </w:tcBorders>
                </w:tcPr>
                <w:p w14:paraId="388B83F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w:t>
                  </w:r>
                </w:p>
              </w:tc>
            </w:tr>
            <w:tr w:rsidR="00694090" w:rsidRPr="00F60760" w14:paraId="5F5D7B18" w14:textId="77777777" w:rsidTr="001D491F">
              <w:trPr>
                <w:jc w:val="center"/>
              </w:trPr>
              <w:tc>
                <w:tcPr>
                  <w:tcW w:w="3231" w:type="dxa"/>
                  <w:tcBorders>
                    <w:top w:val="nil"/>
                    <w:left w:val="nil"/>
                    <w:bottom w:val="nil"/>
                    <w:right w:val="nil"/>
                  </w:tcBorders>
                </w:tcPr>
                <w:p w14:paraId="5CF6C761"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deal_relatedness_dummy</w:t>
                  </w:r>
                </w:p>
              </w:tc>
              <w:tc>
                <w:tcPr>
                  <w:tcW w:w="3231" w:type="dxa"/>
                  <w:tcBorders>
                    <w:top w:val="nil"/>
                    <w:left w:val="nil"/>
                    <w:bottom w:val="nil"/>
                    <w:right w:val="nil"/>
                  </w:tcBorders>
                </w:tcPr>
                <w:p w14:paraId="024BAC5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-.170***</w:t>
                  </w:r>
                </w:p>
              </w:tc>
              <w:tc>
                <w:tcPr>
                  <w:tcW w:w="3231" w:type="dxa"/>
                  <w:tcBorders>
                    <w:top w:val="nil"/>
                    <w:left w:val="nil"/>
                    <w:bottom w:val="nil"/>
                    <w:right w:val="nil"/>
                  </w:tcBorders>
                </w:tcPr>
                <w:p w14:paraId="2C1FE9E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-.105***</w:t>
                  </w:r>
                </w:p>
              </w:tc>
            </w:tr>
            <w:tr w:rsidR="00694090" w:rsidRPr="00F60760" w14:paraId="28B232E6" w14:textId="77777777" w:rsidTr="001D491F">
              <w:trPr>
                <w:jc w:val="center"/>
              </w:trPr>
              <w:tc>
                <w:tcPr>
                  <w:tcW w:w="3231" w:type="dxa"/>
                  <w:tcBorders>
                    <w:top w:val="nil"/>
                    <w:left w:val="nil"/>
                    <w:bottom w:val="nil"/>
                    <w:right w:val="nil"/>
                  </w:tcBorders>
                </w:tcPr>
                <w:p w14:paraId="20482455"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0AA697D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(-2.904)</w:t>
                  </w:r>
                </w:p>
              </w:tc>
              <w:tc>
                <w:tcPr>
                  <w:tcW w:w="3231" w:type="dxa"/>
                  <w:tcBorders>
                    <w:top w:val="nil"/>
                    <w:left w:val="nil"/>
                    <w:bottom w:val="nil"/>
                    <w:right w:val="nil"/>
                  </w:tcBorders>
                </w:tcPr>
                <w:p w14:paraId="341BC71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(-3.445)</w:t>
                  </w:r>
                </w:p>
              </w:tc>
            </w:tr>
            <w:tr w:rsidR="00694090" w:rsidRPr="00F60760" w14:paraId="49FA0D4A" w14:textId="77777777" w:rsidTr="001D491F">
              <w:trPr>
                <w:jc w:val="center"/>
              </w:trPr>
              <w:tc>
                <w:tcPr>
                  <w:tcW w:w="3231" w:type="dxa"/>
                  <w:tcBorders>
                    <w:top w:val="nil"/>
                    <w:left w:val="nil"/>
                    <w:bottom w:val="nil"/>
                    <w:right w:val="nil"/>
                  </w:tcBorders>
                </w:tcPr>
                <w:p w14:paraId="57575E18"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acq_age</w:t>
                  </w:r>
                </w:p>
              </w:tc>
              <w:tc>
                <w:tcPr>
                  <w:tcW w:w="3231" w:type="dxa"/>
                  <w:tcBorders>
                    <w:top w:val="nil"/>
                    <w:left w:val="nil"/>
                    <w:bottom w:val="nil"/>
                    <w:right w:val="nil"/>
                  </w:tcBorders>
                </w:tcPr>
                <w:p w14:paraId="4DC1B5E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c>
                <w:tcPr>
                  <w:tcW w:w="3231" w:type="dxa"/>
                  <w:tcBorders>
                    <w:top w:val="nil"/>
                    <w:left w:val="nil"/>
                    <w:bottom w:val="nil"/>
                    <w:right w:val="nil"/>
                  </w:tcBorders>
                </w:tcPr>
                <w:p w14:paraId="1B6D44E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r>
            <w:tr w:rsidR="00694090" w:rsidRPr="00F60760" w14:paraId="3DC05AC2" w14:textId="77777777" w:rsidTr="001D491F">
              <w:trPr>
                <w:jc w:val="center"/>
              </w:trPr>
              <w:tc>
                <w:tcPr>
                  <w:tcW w:w="3231" w:type="dxa"/>
                  <w:tcBorders>
                    <w:top w:val="nil"/>
                    <w:left w:val="nil"/>
                    <w:bottom w:val="nil"/>
                    <w:right w:val="nil"/>
                  </w:tcBorders>
                </w:tcPr>
                <w:p w14:paraId="18DCBDE1"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676D2D1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(-2.087)</w:t>
                  </w:r>
                </w:p>
              </w:tc>
              <w:tc>
                <w:tcPr>
                  <w:tcW w:w="3231" w:type="dxa"/>
                  <w:tcBorders>
                    <w:top w:val="nil"/>
                    <w:left w:val="nil"/>
                    <w:bottom w:val="nil"/>
                    <w:right w:val="nil"/>
                  </w:tcBorders>
                </w:tcPr>
                <w:p w14:paraId="6267A8B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(-2.296)</w:t>
                  </w:r>
                </w:p>
              </w:tc>
            </w:tr>
            <w:tr w:rsidR="00694090" w:rsidRPr="00F60760" w14:paraId="5962E4E5" w14:textId="77777777" w:rsidTr="001D491F">
              <w:trPr>
                <w:jc w:val="center"/>
              </w:trPr>
              <w:tc>
                <w:tcPr>
                  <w:tcW w:w="3231" w:type="dxa"/>
                  <w:tcBorders>
                    <w:top w:val="nil"/>
                    <w:left w:val="nil"/>
                    <w:bottom w:val="nil"/>
                    <w:right w:val="nil"/>
                  </w:tcBorders>
                </w:tcPr>
                <w:p w14:paraId="17669BF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acq_assets_lastyear_ln</w:t>
                  </w:r>
                </w:p>
              </w:tc>
              <w:tc>
                <w:tcPr>
                  <w:tcW w:w="3231" w:type="dxa"/>
                  <w:tcBorders>
                    <w:top w:val="nil"/>
                    <w:left w:val="nil"/>
                    <w:bottom w:val="nil"/>
                    <w:right w:val="nil"/>
                  </w:tcBorders>
                </w:tcPr>
                <w:p w14:paraId="567B3F1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-.085***</w:t>
                  </w:r>
                </w:p>
              </w:tc>
              <w:tc>
                <w:tcPr>
                  <w:tcW w:w="3231" w:type="dxa"/>
                  <w:tcBorders>
                    <w:top w:val="nil"/>
                    <w:left w:val="nil"/>
                    <w:bottom w:val="nil"/>
                    <w:right w:val="nil"/>
                  </w:tcBorders>
                </w:tcPr>
                <w:p w14:paraId="5130D4D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-.057***</w:t>
                  </w:r>
                </w:p>
              </w:tc>
            </w:tr>
            <w:tr w:rsidR="00694090" w:rsidRPr="00F60760" w14:paraId="7AD0386E" w14:textId="77777777" w:rsidTr="001D491F">
              <w:trPr>
                <w:jc w:val="center"/>
              </w:trPr>
              <w:tc>
                <w:tcPr>
                  <w:tcW w:w="3231" w:type="dxa"/>
                  <w:tcBorders>
                    <w:top w:val="nil"/>
                    <w:left w:val="nil"/>
                    <w:bottom w:val="nil"/>
                    <w:right w:val="nil"/>
                  </w:tcBorders>
                </w:tcPr>
                <w:p w14:paraId="41F41163"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4B4BE7E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(-3.445)</w:t>
                  </w:r>
                </w:p>
              </w:tc>
              <w:tc>
                <w:tcPr>
                  <w:tcW w:w="3231" w:type="dxa"/>
                  <w:tcBorders>
                    <w:top w:val="nil"/>
                    <w:left w:val="nil"/>
                    <w:bottom w:val="nil"/>
                    <w:right w:val="nil"/>
                  </w:tcBorders>
                </w:tcPr>
                <w:p w14:paraId="3A0C095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(-3.231)</w:t>
                  </w:r>
                </w:p>
              </w:tc>
            </w:tr>
            <w:tr w:rsidR="00694090" w:rsidRPr="00F60760" w14:paraId="30A80F39" w14:textId="77777777" w:rsidTr="001D491F">
              <w:trPr>
                <w:jc w:val="center"/>
              </w:trPr>
              <w:tc>
                <w:tcPr>
                  <w:tcW w:w="3231" w:type="dxa"/>
                  <w:tcBorders>
                    <w:top w:val="nil"/>
                    <w:left w:val="nil"/>
                    <w:bottom w:val="nil"/>
                    <w:right w:val="nil"/>
                  </w:tcBorders>
                </w:tcPr>
                <w:p w14:paraId="2111D9A3"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acq_roa_lastyear</w:t>
                  </w:r>
                </w:p>
              </w:tc>
              <w:tc>
                <w:tcPr>
                  <w:tcW w:w="3231" w:type="dxa"/>
                  <w:tcBorders>
                    <w:top w:val="nil"/>
                    <w:left w:val="nil"/>
                    <w:bottom w:val="nil"/>
                    <w:right w:val="nil"/>
                  </w:tcBorders>
                </w:tcPr>
                <w:p w14:paraId="44D6F77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.091</w:t>
                  </w:r>
                </w:p>
              </w:tc>
              <w:tc>
                <w:tcPr>
                  <w:tcW w:w="3231" w:type="dxa"/>
                  <w:tcBorders>
                    <w:top w:val="nil"/>
                    <w:left w:val="nil"/>
                    <w:bottom w:val="nil"/>
                    <w:right w:val="nil"/>
                  </w:tcBorders>
                </w:tcPr>
                <w:p w14:paraId="05E155D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.007</w:t>
                  </w:r>
                </w:p>
              </w:tc>
            </w:tr>
            <w:tr w:rsidR="00694090" w:rsidRPr="00F60760" w14:paraId="4757DA3D" w14:textId="77777777" w:rsidTr="001D491F">
              <w:trPr>
                <w:jc w:val="center"/>
              </w:trPr>
              <w:tc>
                <w:tcPr>
                  <w:tcW w:w="3231" w:type="dxa"/>
                  <w:tcBorders>
                    <w:top w:val="nil"/>
                    <w:left w:val="nil"/>
                    <w:bottom w:val="nil"/>
                    <w:right w:val="nil"/>
                  </w:tcBorders>
                </w:tcPr>
                <w:p w14:paraId="3A5CD4ED"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16614C0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(1.171)</w:t>
                  </w:r>
                </w:p>
              </w:tc>
              <w:tc>
                <w:tcPr>
                  <w:tcW w:w="3231" w:type="dxa"/>
                  <w:tcBorders>
                    <w:top w:val="nil"/>
                    <w:left w:val="nil"/>
                    <w:bottom w:val="nil"/>
                    <w:right w:val="nil"/>
                  </w:tcBorders>
                </w:tcPr>
                <w:p w14:paraId="2DAFABA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(.207)</w:t>
                  </w:r>
                </w:p>
              </w:tc>
            </w:tr>
            <w:tr w:rsidR="00694090" w:rsidRPr="00F60760" w14:paraId="38ED6B95" w14:textId="77777777" w:rsidTr="001D491F">
              <w:trPr>
                <w:jc w:val="center"/>
              </w:trPr>
              <w:tc>
                <w:tcPr>
                  <w:tcW w:w="3231" w:type="dxa"/>
                  <w:tcBorders>
                    <w:top w:val="nil"/>
                    <w:left w:val="nil"/>
                    <w:bottom w:val="nil"/>
                    <w:right w:val="nil"/>
                  </w:tcBorders>
                </w:tcPr>
                <w:p w14:paraId="105C2A15"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acq_industrygrowth</w:t>
                  </w:r>
                </w:p>
              </w:tc>
              <w:tc>
                <w:tcPr>
                  <w:tcW w:w="3231" w:type="dxa"/>
                  <w:tcBorders>
                    <w:top w:val="nil"/>
                    <w:left w:val="nil"/>
                    <w:bottom w:val="nil"/>
                    <w:right w:val="nil"/>
                  </w:tcBorders>
                </w:tcPr>
                <w:p w14:paraId="3AC72BE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1.031**</w:t>
                  </w:r>
                </w:p>
              </w:tc>
              <w:tc>
                <w:tcPr>
                  <w:tcW w:w="3231" w:type="dxa"/>
                  <w:tcBorders>
                    <w:top w:val="nil"/>
                    <w:left w:val="nil"/>
                    <w:bottom w:val="nil"/>
                    <w:right w:val="nil"/>
                  </w:tcBorders>
                </w:tcPr>
                <w:p w14:paraId="05EB8F8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.688**</w:t>
                  </w:r>
                </w:p>
              </w:tc>
            </w:tr>
            <w:tr w:rsidR="00694090" w:rsidRPr="00F60760" w14:paraId="7A79C0A1" w14:textId="77777777" w:rsidTr="001D491F">
              <w:trPr>
                <w:jc w:val="center"/>
              </w:trPr>
              <w:tc>
                <w:tcPr>
                  <w:tcW w:w="3231" w:type="dxa"/>
                  <w:tcBorders>
                    <w:top w:val="nil"/>
                    <w:left w:val="nil"/>
                    <w:bottom w:val="nil"/>
                    <w:right w:val="nil"/>
                  </w:tcBorders>
                </w:tcPr>
                <w:p w14:paraId="0745088D"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7E65BF6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(2.030)</w:t>
                  </w:r>
                </w:p>
              </w:tc>
              <w:tc>
                <w:tcPr>
                  <w:tcW w:w="3231" w:type="dxa"/>
                  <w:tcBorders>
                    <w:top w:val="nil"/>
                    <w:left w:val="nil"/>
                    <w:bottom w:val="nil"/>
                    <w:right w:val="nil"/>
                  </w:tcBorders>
                </w:tcPr>
                <w:p w14:paraId="206C6C0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(2.407)</w:t>
                  </w:r>
                </w:p>
              </w:tc>
            </w:tr>
            <w:tr w:rsidR="00694090" w:rsidRPr="00F60760" w14:paraId="12CC6DCF" w14:textId="77777777" w:rsidTr="001D491F">
              <w:trPr>
                <w:jc w:val="center"/>
              </w:trPr>
              <w:tc>
                <w:tcPr>
                  <w:tcW w:w="3231" w:type="dxa"/>
                  <w:tcBorders>
                    <w:top w:val="nil"/>
                    <w:left w:val="nil"/>
                    <w:bottom w:val="nil"/>
                    <w:right w:val="nil"/>
                  </w:tcBorders>
                </w:tcPr>
                <w:p w14:paraId="2BDFCA24"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acq_dealexperience</w:t>
                  </w:r>
                </w:p>
              </w:tc>
              <w:tc>
                <w:tcPr>
                  <w:tcW w:w="3231" w:type="dxa"/>
                  <w:tcBorders>
                    <w:top w:val="nil"/>
                    <w:left w:val="nil"/>
                    <w:bottom w:val="nil"/>
                    <w:right w:val="nil"/>
                  </w:tcBorders>
                </w:tcPr>
                <w:p w14:paraId="435A7F0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.005</w:t>
                  </w:r>
                </w:p>
              </w:tc>
              <w:tc>
                <w:tcPr>
                  <w:tcW w:w="3231" w:type="dxa"/>
                  <w:tcBorders>
                    <w:top w:val="nil"/>
                    <w:left w:val="nil"/>
                    <w:bottom w:val="nil"/>
                    <w:right w:val="nil"/>
                  </w:tcBorders>
                </w:tcPr>
                <w:p w14:paraId="01C8E38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.002</w:t>
                  </w:r>
                </w:p>
              </w:tc>
            </w:tr>
            <w:tr w:rsidR="00694090" w:rsidRPr="00F60760" w14:paraId="2E5065E4" w14:textId="77777777" w:rsidTr="001D491F">
              <w:trPr>
                <w:jc w:val="center"/>
              </w:trPr>
              <w:tc>
                <w:tcPr>
                  <w:tcW w:w="3231" w:type="dxa"/>
                  <w:tcBorders>
                    <w:top w:val="nil"/>
                    <w:left w:val="nil"/>
                    <w:bottom w:val="nil"/>
                    <w:right w:val="nil"/>
                  </w:tcBorders>
                </w:tcPr>
                <w:p w14:paraId="479D5C8B"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7AF40FC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(.184)</w:t>
                  </w:r>
                </w:p>
              </w:tc>
              <w:tc>
                <w:tcPr>
                  <w:tcW w:w="3231" w:type="dxa"/>
                  <w:tcBorders>
                    <w:top w:val="nil"/>
                    <w:left w:val="nil"/>
                    <w:bottom w:val="nil"/>
                    <w:right w:val="nil"/>
                  </w:tcBorders>
                </w:tcPr>
                <w:p w14:paraId="000DD92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(.101)</w:t>
                  </w:r>
                </w:p>
              </w:tc>
            </w:tr>
            <w:tr w:rsidR="00694090" w:rsidRPr="00F60760" w14:paraId="5BFFC455" w14:textId="77777777" w:rsidTr="001D491F">
              <w:trPr>
                <w:jc w:val="center"/>
              </w:trPr>
              <w:tc>
                <w:tcPr>
                  <w:tcW w:w="3231" w:type="dxa"/>
                  <w:tcBorders>
                    <w:top w:val="nil"/>
                    <w:left w:val="nil"/>
                    <w:bottom w:val="nil"/>
                    <w:right w:val="nil"/>
                  </w:tcBorders>
                  <w:vAlign w:val="center"/>
                </w:tcPr>
                <w:p w14:paraId="5D61A28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acq_rd_intensity</w:t>
                  </w:r>
                </w:p>
              </w:tc>
              <w:tc>
                <w:tcPr>
                  <w:tcW w:w="3231" w:type="dxa"/>
                  <w:tcBorders>
                    <w:top w:val="nil"/>
                    <w:left w:val="nil"/>
                    <w:bottom w:val="nil"/>
                    <w:right w:val="nil"/>
                  </w:tcBorders>
                </w:tcPr>
                <w:p w14:paraId="05A6416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.396</w:t>
                  </w:r>
                </w:p>
              </w:tc>
              <w:tc>
                <w:tcPr>
                  <w:tcW w:w="3231" w:type="dxa"/>
                  <w:tcBorders>
                    <w:top w:val="nil"/>
                    <w:left w:val="nil"/>
                    <w:bottom w:val="nil"/>
                    <w:right w:val="nil"/>
                  </w:tcBorders>
                </w:tcPr>
                <w:p w14:paraId="56281D7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-.179</w:t>
                  </w:r>
                </w:p>
              </w:tc>
            </w:tr>
            <w:tr w:rsidR="00694090" w:rsidRPr="00F60760" w14:paraId="1EAA1607" w14:textId="77777777" w:rsidTr="001D491F">
              <w:trPr>
                <w:jc w:val="center"/>
              </w:trPr>
              <w:tc>
                <w:tcPr>
                  <w:tcW w:w="3231" w:type="dxa"/>
                  <w:tcBorders>
                    <w:top w:val="nil"/>
                    <w:left w:val="nil"/>
                    <w:bottom w:val="nil"/>
                    <w:right w:val="nil"/>
                  </w:tcBorders>
                  <w:vAlign w:val="center"/>
                </w:tcPr>
                <w:p w14:paraId="7E1BEA1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p>
              </w:tc>
              <w:tc>
                <w:tcPr>
                  <w:tcW w:w="3231" w:type="dxa"/>
                  <w:tcBorders>
                    <w:top w:val="nil"/>
                    <w:left w:val="nil"/>
                    <w:bottom w:val="nil"/>
                    <w:right w:val="nil"/>
                  </w:tcBorders>
                </w:tcPr>
                <w:p w14:paraId="0FF1305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(1.377)</w:t>
                  </w:r>
                </w:p>
              </w:tc>
              <w:tc>
                <w:tcPr>
                  <w:tcW w:w="3231" w:type="dxa"/>
                  <w:tcBorders>
                    <w:top w:val="nil"/>
                    <w:left w:val="nil"/>
                    <w:bottom w:val="nil"/>
                    <w:right w:val="nil"/>
                  </w:tcBorders>
                </w:tcPr>
                <w:p w14:paraId="32D7DF9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(-.697)</w:t>
                  </w:r>
                </w:p>
              </w:tc>
            </w:tr>
            <w:tr w:rsidR="00694090" w:rsidRPr="00F60760" w14:paraId="3CDA9FEE" w14:textId="77777777" w:rsidTr="001D491F">
              <w:trPr>
                <w:jc w:val="center"/>
              </w:trPr>
              <w:tc>
                <w:tcPr>
                  <w:tcW w:w="3231" w:type="dxa"/>
                  <w:tcBorders>
                    <w:top w:val="nil"/>
                    <w:left w:val="nil"/>
                    <w:bottom w:val="nil"/>
                    <w:right w:val="nil"/>
                  </w:tcBorders>
                </w:tcPr>
                <w:p w14:paraId="7E1BC06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tar_age</w:t>
                  </w:r>
                </w:p>
              </w:tc>
              <w:tc>
                <w:tcPr>
                  <w:tcW w:w="3231" w:type="dxa"/>
                  <w:tcBorders>
                    <w:top w:val="nil"/>
                    <w:left w:val="nil"/>
                    <w:bottom w:val="nil"/>
                    <w:right w:val="nil"/>
                  </w:tcBorders>
                </w:tcPr>
                <w:p w14:paraId="09B1935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c>
                <w:tcPr>
                  <w:tcW w:w="3231" w:type="dxa"/>
                  <w:tcBorders>
                    <w:top w:val="nil"/>
                    <w:left w:val="nil"/>
                    <w:bottom w:val="nil"/>
                    <w:right w:val="nil"/>
                  </w:tcBorders>
                </w:tcPr>
                <w:p w14:paraId="7C6EAC7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-.0004</w:t>
                  </w:r>
                </w:p>
              </w:tc>
            </w:tr>
            <w:tr w:rsidR="00694090" w:rsidRPr="00F60760" w14:paraId="0AB512A7" w14:textId="77777777" w:rsidTr="001D491F">
              <w:trPr>
                <w:jc w:val="center"/>
              </w:trPr>
              <w:tc>
                <w:tcPr>
                  <w:tcW w:w="3231" w:type="dxa"/>
                  <w:tcBorders>
                    <w:top w:val="nil"/>
                    <w:left w:val="nil"/>
                    <w:bottom w:val="nil"/>
                    <w:right w:val="nil"/>
                  </w:tcBorders>
                </w:tcPr>
                <w:p w14:paraId="2A363385"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7C6348C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(-.740)</w:t>
                  </w:r>
                </w:p>
              </w:tc>
              <w:tc>
                <w:tcPr>
                  <w:tcW w:w="3231" w:type="dxa"/>
                  <w:tcBorders>
                    <w:top w:val="nil"/>
                    <w:left w:val="nil"/>
                    <w:bottom w:val="nil"/>
                    <w:right w:val="nil"/>
                  </w:tcBorders>
                </w:tcPr>
                <w:p w14:paraId="07EC2E3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(-.447)</w:t>
                  </w:r>
                </w:p>
              </w:tc>
            </w:tr>
            <w:tr w:rsidR="00694090" w:rsidRPr="00F60760" w14:paraId="2A5B4D65" w14:textId="77777777" w:rsidTr="001D491F">
              <w:trPr>
                <w:jc w:val="center"/>
              </w:trPr>
              <w:tc>
                <w:tcPr>
                  <w:tcW w:w="3231" w:type="dxa"/>
                  <w:tcBorders>
                    <w:top w:val="nil"/>
                    <w:left w:val="nil"/>
                    <w:bottom w:val="nil"/>
                    <w:right w:val="nil"/>
                  </w:tcBorders>
                </w:tcPr>
                <w:p w14:paraId="5F994604"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tar_assets_lastyear_ln</w:t>
                  </w:r>
                </w:p>
              </w:tc>
              <w:tc>
                <w:tcPr>
                  <w:tcW w:w="3231" w:type="dxa"/>
                  <w:tcBorders>
                    <w:top w:val="nil"/>
                    <w:left w:val="nil"/>
                    <w:bottom w:val="nil"/>
                    <w:right w:val="nil"/>
                  </w:tcBorders>
                </w:tcPr>
                <w:p w14:paraId="161FEDE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.098**</w:t>
                  </w:r>
                </w:p>
              </w:tc>
              <w:tc>
                <w:tcPr>
                  <w:tcW w:w="3231" w:type="dxa"/>
                  <w:tcBorders>
                    <w:top w:val="nil"/>
                    <w:left w:val="nil"/>
                    <w:bottom w:val="nil"/>
                    <w:right w:val="nil"/>
                  </w:tcBorders>
                </w:tcPr>
                <w:p w14:paraId="61F5B63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.039</w:t>
                  </w:r>
                </w:p>
              </w:tc>
            </w:tr>
            <w:tr w:rsidR="00694090" w:rsidRPr="00F60760" w14:paraId="51921285" w14:textId="77777777" w:rsidTr="001D491F">
              <w:trPr>
                <w:jc w:val="center"/>
              </w:trPr>
              <w:tc>
                <w:tcPr>
                  <w:tcW w:w="3231" w:type="dxa"/>
                  <w:tcBorders>
                    <w:top w:val="nil"/>
                    <w:left w:val="nil"/>
                    <w:bottom w:val="nil"/>
                    <w:right w:val="nil"/>
                  </w:tcBorders>
                </w:tcPr>
                <w:p w14:paraId="0BB4DC2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346DBFE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(2.369)</w:t>
                  </w:r>
                </w:p>
              </w:tc>
              <w:tc>
                <w:tcPr>
                  <w:tcW w:w="3231" w:type="dxa"/>
                  <w:tcBorders>
                    <w:top w:val="nil"/>
                    <w:left w:val="nil"/>
                    <w:bottom w:val="nil"/>
                    <w:right w:val="nil"/>
                  </w:tcBorders>
                </w:tcPr>
                <w:p w14:paraId="716883B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(1.371)</w:t>
                  </w:r>
                </w:p>
              </w:tc>
            </w:tr>
            <w:tr w:rsidR="00694090" w:rsidRPr="00F60760" w14:paraId="51179CD5" w14:textId="77777777" w:rsidTr="001D491F">
              <w:trPr>
                <w:jc w:val="center"/>
              </w:trPr>
              <w:tc>
                <w:tcPr>
                  <w:tcW w:w="3231" w:type="dxa"/>
                  <w:tcBorders>
                    <w:top w:val="nil"/>
                    <w:left w:val="nil"/>
                    <w:bottom w:val="nil"/>
                    <w:right w:val="nil"/>
                  </w:tcBorders>
                </w:tcPr>
                <w:p w14:paraId="6BDD48B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tar_roa_lastyear</w:t>
                  </w:r>
                </w:p>
              </w:tc>
              <w:tc>
                <w:tcPr>
                  <w:tcW w:w="3231" w:type="dxa"/>
                  <w:tcBorders>
                    <w:top w:val="nil"/>
                    <w:left w:val="nil"/>
                    <w:bottom w:val="nil"/>
                    <w:right w:val="nil"/>
                  </w:tcBorders>
                </w:tcPr>
                <w:p w14:paraId="233B6A8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-.073</w:t>
                  </w:r>
                </w:p>
              </w:tc>
              <w:tc>
                <w:tcPr>
                  <w:tcW w:w="3231" w:type="dxa"/>
                  <w:tcBorders>
                    <w:top w:val="nil"/>
                    <w:left w:val="nil"/>
                    <w:bottom w:val="nil"/>
                    <w:right w:val="nil"/>
                  </w:tcBorders>
                </w:tcPr>
                <w:p w14:paraId="3971780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-.527***</w:t>
                  </w:r>
                </w:p>
              </w:tc>
            </w:tr>
            <w:tr w:rsidR="00694090" w:rsidRPr="00F60760" w14:paraId="09BB2661" w14:textId="77777777" w:rsidTr="001D491F">
              <w:trPr>
                <w:jc w:val="center"/>
              </w:trPr>
              <w:tc>
                <w:tcPr>
                  <w:tcW w:w="3231" w:type="dxa"/>
                  <w:tcBorders>
                    <w:top w:val="nil"/>
                    <w:left w:val="nil"/>
                    <w:bottom w:val="nil"/>
                    <w:right w:val="nil"/>
                  </w:tcBorders>
                </w:tcPr>
                <w:p w14:paraId="11E878DD"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1E7175D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(-.177)</w:t>
                  </w:r>
                </w:p>
              </w:tc>
              <w:tc>
                <w:tcPr>
                  <w:tcW w:w="3231" w:type="dxa"/>
                  <w:tcBorders>
                    <w:top w:val="nil"/>
                    <w:left w:val="nil"/>
                    <w:bottom w:val="nil"/>
                    <w:right w:val="nil"/>
                  </w:tcBorders>
                </w:tcPr>
                <w:p w14:paraId="01C1FAB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(-3.888)</w:t>
                  </w:r>
                </w:p>
              </w:tc>
            </w:tr>
            <w:tr w:rsidR="00694090" w:rsidRPr="00F60760" w14:paraId="39DAA046" w14:textId="77777777" w:rsidTr="001D491F">
              <w:trPr>
                <w:jc w:val="center"/>
              </w:trPr>
              <w:tc>
                <w:tcPr>
                  <w:tcW w:w="3231" w:type="dxa"/>
                  <w:tcBorders>
                    <w:top w:val="nil"/>
                    <w:left w:val="nil"/>
                    <w:bottom w:val="nil"/>
                    <w:right w:val="nil"/>
                  </w:tcBorders>
                </w:tcPr>
                <w:p w14:paraId="6BBC150E"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tar_mbratio</w:t>
                  </w:r>
                </w:p>
              </w:tc>
              <w:tc>
                <w:tcPr>
                  <w:tcW w:w="3231" w:type="dxa"/>
                  <w:tcBorders>
                    <w:top w:val="nil"/>
                    <w:left w:val="nil"/>
                    <w:bottom w:val="nil"/>
                    <w:right w:val="nil"/>
                  </w:tcBorders>
                </w:tcPr>
                <w:p w14:paraId="2980A54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.004**</w:t>
                  </w:r>
                </w:p>
              </w:tc>
              <w:tc>
                <w:tcPr>
                  <w:tcW w:w="3231" w:type="dxa"/>
                  <w:tcBorders>
                    <w:top w:val="nil"/>
                    <w:left w:val="nil"/>
                    <w:bottom w:val="nil"/>
                    <w:right w:val="nil"/>
                  </w:tcBorders>
                </w:tcPr>
                <w:p w14:paraId="475242D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.003***</w:t>
                  </w:r>
                </w:p>
              </w:tc>
            </w:tr>
            <w:tr w:rsidR="00694090" w:rsidRPr="00F60760" w14:paraId="705E8005" w14:textId="77777777" w:rsidTr="001D491F">
              <w:trPr>
                <w:jc w:val="center"/>
              </w:trPr>
              <w:tc>
                <w:tcPr>
                  <w:tcW w:w="3231" w:type="dxa"/>
                  <w:tcBorders>
                    <w:top w:val="nil"/>
                    <w:left w:val="nil"/>
                    <w:bottom w:val="nil"/>
                    <w:right w:val="nil"/>
                  </w:tcBorders>
                </w:tcPr>
                <w:p w14:paraId="13436E6E"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1CF0330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(2.147)</w:t>
                  </w:r>
                </w:p>
              </w:tc>
              <w:tc>
                <w:tcPr>
                  <w:tcW w:w="3231" w:type="dxa"/>
                  <w:tcBorders>
                    <w:top w:val="nil"/>
                    <w:left w:val="nil"/>
                    <w:bottom w:val="nil"/>
                    <w:right w:val="nil"/>
                  </w:tcBorders>
                </w:tcPr>
                <w:p w14:paraId="45E153F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(2.865)</w:t>
                  </w:r>
                </w:p>
              </w:tc>
            </w:tr>
            <w:tr w:rsidR="00694090" w:rsidRPr="00F60760" w14:paraId="44D6D5FA" w14:textId="77777777" w:rsidTr="001D491F">
              <w:trPr>
                <w:jc w:val="center"/>
              </w:trPr>
              <w:tc>
                <w:tcPr>
                  <w:tcW w:w="3231" w:type="dxa"/>
                  <w:tcBorders>
                    <w:top w:val="nil"/>
                    <w:left w:val="nil"/>
                    <w:bottom w:val="nil"/>
                    <w:right w:val="nil"/>
                  </w:tcBorders>
                </w:tcPr>
                <w:p w14:paraId="74622B7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Observations</w:t>
                  </w:r>
                </w:p>
              </w:tc>
              <w:tc>
                <w:tcPr>
                  <w:tcW w:w="3231" w:type="dxa"/>
                  <w:tcBorders>
                    <w:top w:val="nil"/>
                    <w:left w:val="nil"/>
                    <w:bottom w:val="nil"/>
                    <w:right w:val="nil"/>
                  </w:tcBorders>
                  <w:vAlign w:val="center"/>
                </w:tcPr>
                <w:p w14:paraId="752B34F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170</w:t>
                  </w:r>
                </w:p>
              </w:tc>
              <w:tc>
                <w:tcPr>
                  <w:tcW w:w="3231" w:type="dxa"/>
                  <w:tcBorders>
                    <w:top w:val="nil"/>
                    <w:left w:val="nil"/>
                    <w:bottom w:val="nil"/>
                    <w:right w:val="nil"/>
                  </w:tcBorders>
                  <w:vAlign w:val="center"/>
                </w:tcPr>
                <w:p w14:paraId="159D0BB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122</w:t>
                  </w:r>
                </w:p>
              </w:tc>
            </w:tr>
            <w:tr w:rsidR="00694090" w:rsidRPr="00F60760" w14:paraId="7A95C9CF" w14:textId="77777777" w:rsidTr="001D491F">
              <w:trPr>
                <w:jc w:val="center"/>
              </w:trPr>
              <w:tc>
                <w:tcPr>
                  <w:tcW w:w="3231" w:type="dxa"/>
                  <w:tcBorders>
                    <w:top w:val="nil"/>
                    <w:left w:val="nil"/>
                    <w:bottom w:val="nil"/>
                    <w:right w:val="nil"/>
                  </w:tcBorders>
                </w:tcPr>
                <w:p w14:paraId="00DBACA5"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Adj R2</w:t>
                  </w:r>
                </w:p>
              </w:tc>
              <w:tc>
                <w:tcPr>
                  <w:tcW w:w="3231" w:type="dxa"/>
                  <w:tcBorders>
                    <w:top w:val="nil"/>
                    <w:left w:val="nil"/>
                    <w:bottom w:val="nil"/>
                    <w:right w:val="nil"/>
                  </w:tcBorders>
                </w:tcPr>
                <w:p w14:paraId="067ADAB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.418</w:t>
                  </w:r>
                </w:p>
              </w:tc>
              <w:tc>
                <w:tcPr>
                  <w:tcW w:w="3231" w:type="dxa"/>
                  <w:tcBorders>
                    <w:top w:val="nil"/>
                    <w:left w:val="nil"/>
                    <w:bottom w:val="nil"/>
                    <w:right w:val="nil"/>
                  </w:tcBorders>
                </w:tcPr>
                <w:p w14:paraId="322618E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.289</w:t>
                  </w:r>
                </w:p>
              </w:tc>
            </w:tr>
            <w:tr w:rsidR="00694090" w:rsidRPr="00F60760" w14:paraId="3FBAA102" w14:textId="77777777" w:rsidTr="001D491F">
              <w:trPr>
                <w:jc w:val="center"/>
              </w:trPr>
              <w:tc>
                <w:tcPr>
                  <w:tcW w:w="3231" w:type="dxa"/>
                  <w:tcBorders>
                    <w:top w:val="nil"/>
                    <w:left w:val="nil"/>
                    <w:bottom w:val="nil"/>
                    <w:right w:val="nil"/>
                  </w:tcBorders>
                </w:tcPr>
                <w:p w14:paraId="5F6C091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Industry FE</w:t>
                  </w:r>
                </w:p>
              </w:tc>
              <w:tc>
                <w:tcPr>
                  <w:tcW w:w="3231" w:type="dxa"/>
                  <w:tcBorders>
                    <w:top w:val="nil"/>
                    <w:left w:val="nil"/>
                    <w:bottom w:val="nil"/>
                    <w:right w:val="nil"/>
                  </w:tcBorders>
                </w:tcPr>
                <w:p w14:paraId="4EA5956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3231" w:type="dxa"/>
                  <w:tcBorders>
                    <w:top w:val="nil"/>
                    <w:left w:val="nil"/>
                    <w:bottom w:val="nil"/>
                    <w:right w:val="nil"/>
                  </w:tcBorders>
                </w:tcPr>
                <w:p w14:paraId="4160F59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r>
            <w:tr w:rsidR="00694090" w:rsidRPr="00F60760" w14:paraId="137DBEA7" w14:textId="77777777" w:rsidTr="001D491F">
              <w:trPr>
                <w:jc w:val="center"/>
              </w:trPr>
              <w:tc>
                <w:tcPr>
                  <w:tcW w:w="3231" w:type="dxa"/>
                  <w:tcBorders>
                    <w:top w:val="nil"/>
                    <w:left w:val="nil"/>
                    <w:bottom w:val="nil"/>
                    <w:right w:val="nil"/>
                  </w:tcBorders>
                </w:tcPr>
                <w:p w14:paraId="75BFACEE"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Year FE</w:t>
                  </w:r>
                </w:p>
              </w:tc>
              <w:tc>
                <w:tcPr>
                  <w:tcW w:w="3231" w:type="dxa"/>
                  <w:tcBorders>
                    <w:top w:val="nil"/>
                    <w:left w:val="nil"/>
                    <w:bottom w:val="nil"/>
                    <w:right w:val="nil"/>
                  </w:tcBorders>
                </w:tcPr>
                <w:p w14:paraId="555A132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3231" w:type="dxa"/>
                  <w:tcBorders>
                    <w:top w:val="nil"/>
                    <w:left w:val="nil"/>
                    <w:bottom w:val="nil"/>
                    <w:right w:val="nil"/>
                  </w:tcBorders>
                </w:tcPr>
                <w:p w14:paraId="7B9EBB2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r>
          </w:tbl>
          <w:p w14:paraId="5A07C23E" w14:textId="77777777" w:rsidR="00694090" w:rsidRPr="00F60760" w:rsidRDefault="00694090" w:rsidP="00AB066F">
            <w:pPr>
              <w:rPr>
                <w:color w:val="000000" w:themeColor="text1"/>
                <w:sz w:val="22"/>
                <w:lang w:val="en-US"/>
              </w:rPr>
            </w:pPr>
          </w:p>
        </w:tc>
      </w:tr>
      <w:tr w:rsidR="00694090" w:rsidRPr="00BE5632" w14:paraId="1D48AA14" w14:textId="77777777" w:rsidTr="001D491F">
        <w:trPr>
          <w:trHeight w:val="397"/>
        </w:trPr>
        <w:tc>
          <w:tcPr>
            <w:tcW w:w="5000" w:type="pct"/>
            <w:tcBorders>
              <w:top w:val="single" w:sz="4" w:space="0" w:color="auto"/>
              <w:left w:val="nil"/>
              <w:right w:val="nil"/>
            </w:tcBorders>
            <w:shd w:val="clear" w:color="auto" w:fill="auto"/>
            <w:noWrap/>
          </w:tcPr>
          <w:p w14:paraId="63144FDD" w14:textId="77777777" w:rsidR="00694090" w:rsidRPr="00F60760" w:rsidRDefault="00694090" w:rsidP="00E74508">
            <w:pPr>
              <w:spacing w:before="120" w:line="240" w:lineRule="auto"/>
              <w:rPr>
                <w:color w:val="000000" w:themeColor="text1"/>
                <w:sz w:val="22"/>
                <w:lang w:val="en-US"/>
              </w:rPr>
            </w:pPr>
            <w:r w:rsidRPr="00F60760">
              <w:rPr>
                <w:i/>
                <w:iCs/>
                <w:color w:val="000000" w:themeColor="text1"/>
                <w:sz w:val="22"/>
                <w:lang w:val="en-US"/>
              </w:rPr>
              <w:t>Note</w:t>
            </w:r>
            <w:r w:rsidRPr="00F60760">
              <w:rPr>
                <w:color w:val="000000" w:themeColor="text1"/>
                <w:sz w:val="22"/>
                <w:lang w:val="en-US"/>
              </w:rPr>
              <w:t xml:space="preserve">. This table reports fixed effects linear OLS regression results predicting the effect of organizational cultural distance between acquirers and targets on long-term synergy gains. The dependent variable for Model 1 is the acquirer’s growth in return on sales two years after deal completion. The dependent variable for Model 2 is the acquirer’s growth in return on sales four years after deal completion. The main independent variable in Model 1 and 2 is </w:t>
            </w:r>
            <w:r w:rsidRPr="00F60760">
              <w:rPr>
                <w:i/>
                <w:color w:val="000000" w:themeColor="text1"/>
                <w:sz w:val="22"/>
                <w:lang w:val="en-US"/>
              </w:rPr>
              <w:t>deal_culturaldistance</w:t>
            </w:r>
            <w:r w:rsidRPr="00F60760">
              <w:rPr>
                <w:color w:val="000000" w:themeColor="text1"/>
                <w:sz w:val="22"/>
                <w:lang w:val="en-US"/>
              </w:rPr>
              <w:t xml:space="preserve">, with higher values indicating higher cultural dissimilarities between the acquirer and target. A detailed variable description can be found in Appendix B. Constant terms are estimated but not reported. We </w:t>
            </w:r>
            <w:r w:rsidRPr="00F60760">
              <w:rPr>
                <w:color w:val="000000" w:themeColor="text1"/>
                <w:sz w:val="22"/>
                <w:lang w:val="en-US"/>
              </w:rPr>
              <w:lastRenderedPageBreak/>
              <w:t>include the acquirer’s industry and year fixed effects in all models. We cluster standard errors at the 2-digit SIC industry level. t-statistics are reported in parentheses below the coefficients. *, **, *** denote statistical significance at the .10, .05, and .01 levels (using two-tailed tests).</w:t>
            </w:r>
          </w:p>
        </w:tc>
      </w:tr>
    </w:tbl>
    <w:p w14:paraId="4EC0EF04" w14:textId="77777777" w:rsidR="00895F66" w:rsidRDefault="00895F66">
      <w:pPr>
        <w:spacing w:after="160" w:line="259" w:lineRule="auto"/>
        <w:jc w:val="left"/>
        <w:rPr>
          <w:rStyle w:val="SchwacherVerweis"/>
          <w:rFonts w:eastAsiaTheme="majorEastAsia" w:cstheme="majorBidi"/>
          <w:b/>
          <w:caps/>
          <w:smallCaps w:val="0"/>
          <w:color w:val="auto"/>
          <w:szCs w:val="32"/>
          <w:lang w:val="en-US"/>
        </w:rPr>
      </w:pPr>
      <w:r w:rsidRPr="00932F58">
        <w:rPr>
          <w:rStyle w:val="SchwacherVerweis"/>
          <w:smallCaps w:val="0"/>
          <w:color w:val="auto"/>
          <w:lang w:val="en-US"/>
        </w:rPr>
        <w:lastRenderedPageBreak/>
        <w:br w:type="page"/>
      </w:r>
    </w:p>
    <w:p w14:paraId="15C28BAC" w14:textId="65CEEF58" w:rsidR="00442048" w:rsidRPr="00947673" w:rsidRDefault="00442048" w:rsidP="00442048">
      <w:pPr>
        <w:pStyle w:val="1fake"/>
        <w:rPr>
          <w:rStyle w:val="SchwacherVerweis"/>
          <w:smallCaps w:val="0"/>
          <w:color w:val="auto"/>
        </w:rPr>
      </w:pPr>
      <w:r w:rsidRPr="00947673">
        <w:rPr>
          <w:rStyle w:val="SchwacherVerweis"/>
          <w:smallCaps w:val="0"/>
          <w:color w:val="auto"/>
        </w:rPr>
        <w:lastRenderedPageBreak/>
        <w:t xml:space="preserve">Online Supplement </w:t>
      </w:r>
      <w:r>
        <w:rPr>
          <w:rStyle w:val="SchwacherVerweis"/>
          <w:smallCaps w:val="0"/>
          <w:color w:val="auto"/>
        </w:rPr>
        <w:t>19</w:t>
      </w:r>
    </w:p>
    <w:p w14:paraId="0F2B69CB" w14:textId="36ACE81F" w:rsidR="00011AF5" w:rsidRPr="00442048" w:rsidRDefault="00011AF5" w:rsidP="00011AF5">
      <w:pPr>
        <w:pStyle w:val="Beschriftung"/>
      </w:pPr>
      <w:bookmarkStart w:id="638" w:name="_Toc180594865"/>
      <w:r>
        <w:t xml:space="preserve">T - III - </w:t>
      </w:r>
      <w:r>
        <w:fldChar w:fldCharType="begin"/>
      </w:r>
      <w:r>
        <w:instrText xml:space="preserve"> SEQ T_-_III_- \* ARABIC </w:instrText>
      </w:r>
      <w:r>
        <w:fldChar w:fldCharType="separate"/>
      </w:r>
      <w:r w:rsidR="00E91088">
        <w:rPr>
          <w:noProof/>
        </w:rPr>
        <w:t>29</w:t>
      </w:r>
      <w:r>
        <w:fldChar w:fldCharType="end"/>
      </w:r>
      <w:r>
        <w:t xml:space="preserve">: </w:t>
      </w:r>
      <w:r w:rsidRPr="00EB49DF">
        <w:t>H3: Innovation – Acquisition premium</w:t>
      </w:r>
      <w:bookmarkEnd w:id="638"/>
    </w:p>
    <w:tbl>
      <w:tblPr>
        <w:tblW w:w="9072" w:type="dxa"/>
        <w:tblLayout w:type="fixed"/>
        <w:tblLook w:val="04A0" w:firstRow="1" w:lastRow="0" w:firstColumn="1" w:lastColumn="0" w:noHBand="0" w:noVBand="1"/>
      </w:tblPr>
      <w:tblGrid>
        <w:gridCol w:w="9072"/>
      </w:tblGrid>
      <w:tr w:rsidR="00694090" w:rsidRPr="00F60760" w14:paraId="7D7DEBCF" w14:textId="77777777" w:rsidTr="001D491F">
        <w:trPr>
          <w:trHeight w:val="611"/>
        </w:trPr>
        <w:tc>
          <w:tcPr>
            <w:tcW w:w="5000" w:type="pct"/>
            <w:tcBorders>
              <w:left w:val="nil"/>
              <w:bottom w:val="single" w:sz="4" w:space="0" w:color="auto"/>
              <w:right w:val="nil"/>
            </w:tcBorders>
            <w:shd w:val="clear" w:color="auto" w:fill="auto"/>
          </w:tcPr>
          <w:tbl>
            <w:tblPr>
              <w:tblW w:w="9072" w:type="dxa"/>
              <w:jc w:val="center"/>
              <w:tblLayout w:type="fixed"/>
              <w:tblLook w:val="0000" w:firstRow="0" w:lastRow="0" w:firstColumn="0" w:lastColumn="0" w:noHBand="0" w:noVBand="0"/>
            </w:tblPr>
            <w:tblGrid>
              <w:gridCol w:w="3024"/>
              <w:gridCol w:w="3024"/>
              <w:gridCol w:w="3024"/>
            </w:tblGrid>
            <w:tr w:rsidR="00694090" w:rsidRPr="00F60760" w14:paraId="322CD261" w14:textId="77777777" w:rsidTr="001D491F">
              <w:trPr>
                <w:jc w:val="center"/>
              </w:trPr>
              <w:tc>
                <w:tcPr>
                  <w:tcW w:w="3231" w:type="dxa"/>
                  <w:tcBorders>
                    <w:top w:val="single" w:sz="4" w:space="0" w:color="auto"/>
                    <w:left w:val="nil"/>
                    <w:right w:val="nil"/>
                  </w:tcBorders>
                </w:tcPr>
                <w:p w14:paraId="517638F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w:t>
                  </w:r>
                </w:p>
              </w:tc>
              <w:tc>
                <w:tcPr>
                  <w:tcW w:w="3231" w:type="dxa"/>
                  <w:tcBorders>
                    <w:top w:val="single" w:sz="4" w:space="0" w:color="auto"/>
                    <w:left w:val="nil"/>
                    <w:right w:val="nil"/>
                  </w:tcBorders>
                </w:tcPr>
                <w:p w14:paraId="3F733C35"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(1)</w:t>
                  </w:r>
                </w:p>
              </w:tc>
              <w:tc>
                <w:tcPr>
                  <w:tcW w:w="3231" w:type="dxa"/>
                  <w:tcBorders>
                    <w:top w:val="single" w:sz="4" w:space="0" w:color="auto"/>
                    <w:left w:val="nil"/>
                    <w:right w:val="nil"/>
                  </w:tcBorders>
                </w:tcPr>
                <w:p w14:paraId="42D9A21C"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(2)</w:t>
                  </w:r>
                </w:p>
              </w:tc>
            </w:tr>
            <w:tr w:rsidR="00694090" w:rsidRPr="00F60760" w14:paraId="68CDC157" w14:textId="77777777" w:rsidTr="001D491F">
              <w:trPr>
                <w:jc w:val="center"/>
              </w:trPr>
              <w:tc>
                <w:tcPr>
                  <w:tcW w:w="3231" w:type="dxa"/>
                  <w:tcBorders>
                    <w:top w:val="nil"/>
                    <w:left w:val="nil"/>
                    <w:bottom w:val="single" w:sz="4" w:space="0" w:color="auto"/>
                    <w:right w:val="nil"/>
                  </w:tcBorders>
                </w:tcPr>
                <w:p w14:paraId="7C8FB4A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single" w:sz="4" w:space="0" w:color="auto"/>
                    <w:right w:val="nil"/>
                  </w:tcBorders>
                </w:tcPr>
                <w:p w14:paraId="3011FCE0"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acq_2yr_patent_growth</w:t>
                  </w:r>
                </w:p>
              </w:tc>
              <w:tc>
                <w:tcPr>
                  <w:tcW w:w="3231" w:type="dxa"/>
                  <w:tcBorders>
                    <w:top w:val="nil"/>
                    <w:left w:val="nil"/>
                    <w:bottom w:val="single" w:sz="4" w:space="0" w:color="auto"/>
                    <w:right w:val="nil"/>
                  </w:tcBorders>
                </w:tcPr>
                <w:p w14:paraId="3D1EFC9C"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acq_2yr_npd_growth</w:t>
                  </w:r>
                </w:p>
              </w:tc>
            </w:tr>
            <w:tr w:rsidR="00694090" w:rsidRPr="00F60760" w14:paraId="0BB80844" w14:textId="77777777" w:rsidTr="001D491F">
              <w:trPr>
                <w:jc w:val="center"/>
              </w:trPr>
              <w:tc>
                <w:tcPr>
                  <w:tcW w:w="3231" w:type="dxa"/>
                  <w:tcBorders>
                    <w:top w:val="single" w:sz="4" w:space="0" w:color="auto"/>
                    <w:left w:val="nil"/>
                    <w:bottom w:val="nil"/>
                    <w:right w:val="nil"/>
                  </w:tcBorders>
                </w:tcPr>
                <w:p w14:paraId="387F0A30"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deal_culturaldistance</w:t>
                  </w:r>
                </w:p>
              </w:tc>
              <w:tc>
                <w:tcPr>
                  <w:tcW w:w="3231" w:type="dxa"/>
                  <w:tcBorders>
                    <w:top w:val="single" w:sz="4" w:space="0" w:color="auto"/>
                    <w:left w:val="nil"/>
                    <w:bottom w:val="nil"/>
                    <w:right w:val="nil"/>
                  </w:tcBorders>
                </w:tcPr>
                <w:p w14:paraId="7CB6964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-.047***</w:t>
                  </w:r>
                </w:p>
              </w:tc>
              <w:tc>
                <w:tcPr>
                  <w:tcW w:w="3231" w:type="dxa"/>
                  <w:tcBorders>
                    <w:top w:val="single" w:sz="4" w:space="0" w:color="auto"/>
                    <w:left w:val="nil"/>
                    <w:bottom w:val="nil"/>
                    <w:right w:val="nil"/>
                  </w:tcBorders>
                </w:tcPr>
                <w:p w14:paraId="03AFD62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-.052**</w:t>
                  </w:r>
                </w:p>
              </w:tc>
            </w:tr>
            <w:tr w:rsidR="00694090" w:rsidRPr="00F60760" w14:paraId="4D150C21" w14:textId="77777777" w:rsidTr="001D491F">
              <w:trPr>
                <w:jc w:val="center"/>
              </w:trPr>
              <w:tc>
                <w:tcPr>
                  <w:tcW w:w="3231" w:type="dxa"/>
                  <w:tcBorders>
                    <w:top w:val="nil"/>
                    <w:left w:val="nil"/>
                    <w:bottom w:val="nil"/>
                    <w:right w:val="nil"/>
                  </w:tcBorders>
                </w:tcPr>
                <w:p w14:paraId="2E21C79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60F37A4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(-2.674)</w:t>
                  </w:r>
                </w:p>
              </w:tc>
              <w:tc>
                <w:tcPr>
                  <w:tcW w:w="3231" w:type="dxa"/>
                  <w:tcBorders>
                    <w:top w:val="nil"/>
                    <w:left w:val="nil"/>
                    <w:bottom w:val="nil"/>
                    <w:right w:val="nil"/>
                  </w:tcBorders>
                </w:tcPr>
                <w:p w14:paraId="77A697A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(-2.078)</w:t>
                  </w:r>
                </w:p>
              </w:tc>
            </w:tr>
            <w:tr w:rsidR="00694090" w:rsidRPr="00F60760" w14:paraId="26483B13" w14:textId="77777777" w:rsidTr="001D491F">
              <w:trPr>
                <w:jc w:val="center"/>
              </w:trPr>
              <w:tc>
                <w:tcPr>
                  <w:tcW w:w="3231" w:type="dxa"/>
                  <w:tcBorders>
                    <w:top w:val="nil"/>
                    <w:left w:val="nil"/>
                    <w:bottom w:val="nil"/>
                    <w:right w:val="nil"/>
                  </w:tcBorders>
                </w:tcPr>
                <w:p w14:paraId="3B7F30D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deal_premium_1week</w:t>
                  </w:r>
                </w:p>
              </w:tc>
              <w:tc>
                <w:tcPr>
                  <w:tcW w:w="3231" w:type="dxa"/>
                  <w:tcBorders>
                    <w:top w:val="nil"/>
                    <w:left w:val="nil"/>
                    <w:bottom w:val="nil"/>
                    <w:right w:val="nil"/>
                  </w:tcBorders>
                </w:tcPr>
                <w:p w14:paraId="1980B22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-.209</w:t>
                  </w:r>
                </w:p>
              </w:tc>
              <w:tc>
                <w:tcPr>
                  <w:tcW w:w="3231" w:type="dxa"/>
                  <w:tcBorders>
                    <w:top w:val="nil"/>
                    <w:left w:val="nil"/>
                    <w:bottom w:val="nil"/>
                    <w:right w:val="nil"/>
                  </w:tcBorders>
                </w:tcPr>
                <w:p w14:paraId="793FF93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.062</w:t>
                  </w:r>
                </w:p>
              </w:tc>
            </w:tr>
            <w:tr w:rsidR="00694090" w:rsidRPr="00F60760" w14:paraId="0601EC93" w14:textId="77777777" w:rsidTr="001D491F">
              <w:trPr>
                <w:jc w:val="center"/>
              </w:trPr>
              <w:tc>
                <w:tcPr>
                  <w:tcW w:w="3231" w:type="dxa"/>
                  <w:tcBorders>
                    <w:top w:val="nil"/>
                    <w:left w:val="nil"/>
                    <w:bottom w:val="nil"/>
                    <w:right w:val="nil"/>
                  </w:tcBorders>
                </w:tcPr>
                <w:p w14:paraId="3C0F130E"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p>
              </w:tc>
              <w:tc>
                <w:tcPr>
                  <w:tcW w:w="3231" w:type="dxa"/>
                  <w:tcBorders>
                    <w:top w:val="nil"/>
                    <w:left w:val="nil"/>
                    <w:bottom w:val="nil"/>
                    <w:right w:val="nil"/>
                  </w:tcBorders>
                </w:tcPr>
                <w:p w14:paraId="295AE10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(-.800)</w:t>
                  </w:r>
                </w:p>
              </w:tc>
              <w:tc>
                <w:tcPr>
                  <w:tcW w:w="3231" w:type="dxa"/>
                  <w:tcBorders>
                    <w:top w:val="nil"/>
                    <w:left w:val="nil"/>
                    <w:bottom w:val="nil"/>
                    <w:right w:val="nil"/>
                  </w:tcBorders>
                </w:tcPr>
                <w:p w14:paraId="1E783E7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(.109)</w:t>
                  </w:r>
                </w:p>
              </w:tc>
            </w:tr>
            <w:tr w:rsidR="00694090" w:rsidRPr="00F60760" w14:paraId="47972F10" w14:textId="77777777" w:rsidTr="001D491F">
              <w:trPr>
                <w:jc w:val="center"/>
              </w:trPr>
              <w:tc>
                <w:tcPr>
                  <w:tcW w:w="3231" w:type="dxa"/>
                  <w:tcBorders>
                    <w:top w:val="nil"/>
                    <w:left w:val="nil"/>
                    <w:bottom w:val="nil"/>
                    <w:right w:val="nil"/>
                  </w:tcBorders>
                </w:tcPr>
                <w:p w14:paraId="12DD687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deal_value_ln</w:t>
                  </w:r>
                </w:p>
              </w:tc>
              <w:tc>
                <w:tcPr>
                  <w:tcW w:w="3231" w:type="dxa"/>
                  <w:tcBorders>
                    <w:top w:val="nil"/>
                    <w:left w:val="nil"/>
                    <w:bottom w:val="nil"/>
                    <w:right w:val="nil"/>
                  </w:tcBorders>
                </w:tcPr>
                <w:p w14:paraId="52FE803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-.074</w:t>
                  </w:r>
                </w:p>
              </w:tc>
              <w:tc>
                <w:tcPr>
                  <w:tcW w:w="3231" w:type="dxa"/>
                  <w:tcBorders>
                    <w:top w:val="nil"/>
                    <w:left w:val="nil"/>
                    <w:bottom w:val="nil"/>
                    <w:right w:val="nil"/>
                  </w:tcBorders>
                </w:tcPr>
                <w:p w14:paraId="088A958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.048</w:t>
                  </w:r>
                </w:p>
              </w:tc>
            </w:tr>
            <w:tr w:rsidR="00694090" w:rsidRPr="00F60760" w14:paraId="6B88ABA0" w14:textId="77777777" w:rsidTr="001D491F">
              <w:trPr>
                <w:jc w:val="center"/>
              </w:trPr>
              <w:tc>
                <w:tcPr>
                  <w:tcW w:w="3231" w:type="dxa"/>
                  <w:tcBorders>
                    <w:top w:val="nil"/>
                    <w:left w:val="nil"/>
                    <w:bottom w:val="nil"/>
                    <w:right w:val="nil"/>
                  </w:tcBorders>
                </w:tcPr>
                <w:p w14:paraId="0DF55C8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18EC114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(-.731)</w:t>
                  </w:r>
                </w:p>
              </w:tc>
              <w:tc>
                <w:tcPr>
                  <w:tcW w:w="3231" w:type="dxa"/>
                  <w:tcBorders>
                    <w:top w:val="nil"/>
                    <w:left w:val="nil"/>
                    <w:bottom w:val="nil"/>
                    <w:right w:val="nil"/>
                  </w:tcBorders>
                </w:tcPr>
                <w:p w14:paraId="335F569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(.217)</w:t>
                  </w:r>
                </w:p>
              </w:tc>
            </w:tr>
            <w:tr w:rsidR="00694090" w:rsidRPr="00F60760" w14:paraId="686FF1B7" w14:textId="77777777" w:rsidTr="001D491F">
              <w:trPr>
                <w:jc w:val="center"/>
              </w:trPr>
              <w:tc>
                <w:tcPr>
                  <w:tcW w:w="3231" w:type="dxa"/>
                  <w:tcBorders>
                    <w:top w:val="nil"/>
                    <w:left w:val="nil"/>
                    <w:bottom w:val="nil"/>
                    <w:right w:val="nil"/>
                  </w:tcBorders>
                </w:tcPr>
                <w:p w14:paraId="752D06BE"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deal_hofstede_distance</w:t>
                  </w:r>
                </w:p>
              </w:tc>
              <w:tc>
                <w:tcPr>
                  <w:tcW w:w="3231" w:type="dxa"/>
                  <w:tcBorders>
                    <w:top w:val="nil"/>
                    <w:left w:val="nil"/>
                    <w:bottom w:val="nil"/>
                    <w:right w:val="nil"/>
                  </w:tcBorders>
                </w:tcPr>
                <w:p w14:paraId="5B689D5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-.456</w:t>
                  </w:r>
                </w:p>
              </w:tc>
              <w:tc>
                <w:tcPr>
                  <w:tcW w:w="3231" w:type="dxa"/>
                  <w:tcBorders>
                    <w:top w:val="nil"/>
                    <w:left w:val="nil"/>
                    <w:bottom w:val="nil"/>
                    <w:right w:val="nil"/>
                  </w:tcBorders>
                </w:tcPr>
                <w:p w14:paraId="5768BEE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-3.063**</w:t>
                  </w:r>
                </w:p>
              </w:tc>
            </w:tr>
            <w:tr w:rsidR="00694090" w:rsidRPr="00F60760" w14:paraId="0BBFAB6E" w14:textId="77777777" w:rsidTr="001D491F">
              <w:trPr>
                <w:jc w:val="center"/>
              </w:trPr>
              <w:tc>
                <w:tcPr>
                  <w:tcW w:w="3231" w:type="dxa"/>
                  <w:tcBorders>
                    <w:top w:val="nil"/>
                    <w:left w:val="nil"/>
                    <w:bottom w:val="nil"/>
                    <w:right w:val="nil"/>
                  </w:tcBorders>
                </w:tcPr>
                <w:p w14:paraId="2998DED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68AA6E8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(-.366)</w:t>
                  </w:r>
                </w:p>
              </w:tc>
              <w:tc>
                <w:tcPr>
                  <w:tcW w:w="3231" w:type="dxa"/>
                  <w:tcBorders>
                    <w:top w:val="nil"/>
                    <w:left w:val="nil"/>
                    <w:bottom w:val="nil"/>
                    <w:right w:val="nil"/>
                  </w:tcBorders>
                </w:tcPr>
                <w:p w14:paraId="6D5FB56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(-2.210)</w:t>
                  </w:r>
                </w:p>
              </w:tc>
            </w:tr>
            <w:tr w:rsidR="00694090" w:rsidRPr="00F60760" w14:paraId="65B677B2" w14:textId="77777777" w:rsidTr="001D491F">
              <w:trPr>
                <w:jc w:val="center"/>
              </w:trPr>
              <w:tc>
                <w:tcPr>
                  <w:tcW w:w="3231" w:type="dxa"/>
                  <w:tcBorders>
                    <w:top w:val="nil"/>
                    <w:left w:val="nil"/>
                    <w:bottom w:val="nil"/>
                    <w:right w:val="nil"/>
                  </w:tcBorders>
                </w:tcPr>
                <w:p w14:paraId="5320619E"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deal_all_cash_dummy</w:t>
                  </w:r>
                </w:p>
              </w:tc>
              <w:tc>
                <w:tcPr>
                  <w:tcW w:w="3231" w:type="dxa"/>
                  <w:tcBorders>
                    <w:top w:val="nil"/>
                    <w:left w:val="nil"/>
                    <w:bottom w:val="nil"/>
                    <w:right w:val="nil"/>
                  </w:tcBorders>
                </w:tcPr>
                <w:p w14:paraId="1C4DCF4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.017</w:t>
                  </w:r>
                </w:p>
              </w:tc>
              <w:tc>
                <w:tcPr>
                  <w:tcW w:w="3231" w:type="dxa"/>
                  <w:tcBorders>
                    <w:top w:val="nil"/>
                    <w:left w:val="nil"/>
                    <w:bottom w:val="nil"/>
                    <w:right w:val="nil"/>
                  </w:tcBorders>
                </w:tcPr>
                <w:p w14:paraId="7014B6D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-.273</w:t>
                  </w:r>
                </w:p>
              </w:tc>
            </w:tr>
            <w:tr w:rsidR="00694090" w:rsidRPr="00F60760" w14:paraId="5B7818E8" w14:textId="77777777" w:rsidTr="001D491F">
              <w:trPr>
                <w:jc w:val="center"/>
              </w:trPr>
              <w:tc>
                <w:tcPr>
                  <w:tcW w:w="3231" w:type="dxa"/>
                  <w:tcBorders>
                    <w:top w:val="nil"/>
                    <w:left w:val="nil"/>
                    <w:bottom w:val="nil"/>
                    <w:right w:val="nil"/>
                  </w:tcBorders>
                </w:tcPr>
                <w:p w14:paraId="241AC69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3241BAB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(.067)</w:t>
                  </w:r>
                </w:p>
              </w:tc>
              <w:tc>
                <w:tcPr>
                  <w:tcW w:w="3231" w:type="dxa"/>
                  <w:tcBorders>
                    <w:top w:val="nil"/>
                    <w:left w:val="nil"/>
                    <w:bottom w:val="nil"/>
                    <w:right w:val="nil"/>
                  </w:tcBorders>
                </w:tcPr>
                <w:p w14:paraId="1EA5D8B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(-.982)</w:t>
                  </w:r>
                </w:p>
              </w:tc>
            </w:tr>
            <w:tr w:rsidR="00694090" w:rsidRPr="00F60760" w14:paraId="6B82CAD5" w14:textId="77777777" w:rsidTr="001D491F">
              <w:trPr>
                <w:jc w:val="center"/>
              </w:trPr>
              <w:tc>
                <w:tcPr>
                  <w:tcW w:w="3231" w:type="dxa"/>
                  <w:tcBorders>
                    <w:top w:val="nil"/>
                    <w:left w:val="nil"/>
                    <w:bottom w:val="nil"/>
                    <w:right w:val="nil"/>
                  </w:tcBorders>
                </w:tcPr>
                <w:p w14:paraId="2960651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deal_all_stock_dummy</w:t>
                  </w:r>
                </w:p>
              </w:tc>
              <w:tc>
                <w:tcPr>
                  <w:tcW w:w="3231" w:type="dxa"/>
                  <w:tcBorders>
                    <w:top w:val="nil"/>
                    <w:left w:val="nil"/>
                    <w:bottom w:val="nil"/>
                    <w:right w:val="nil"/>
                  </w:tcBorders>
                </w:tcPr>
                <w:p w14:paraId="72139B1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-.329</w:t>
                  </w:r>
                </w:p>
              </w:tc>
              <w:tc>
                <w:tcPr>
                  <w:tcW w:w="3231" w:type="dxa"/>
                  <w:tcBorders>
                    <w:top w:val="nil"/>
                    <w:left w:val="nil"/>
                    <w:bottom w:val="nil"/>
                    <w:right w:val="nil"/>
                  </w:tcBorders>
                </w:tcPr>
                <w:p w14:paraId="7530C85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-.157</w:t>
                  </w:r>
                </w:p>
              </w:tc>
            </w:tr>
            <w:tr w:rsidR="00694090" w:rsidRPr="00F60760" w14:paraId="1C5D7909" w14:textId="77777777" w:rsidTr="001D491F">
              <w:trPr>
                <w:jc w:val="center"/>
              </w:trPr>
              <w:tc>
                <w:tcPr>
                  <w:tcW w:w="3231" w:type="dxa"/>
                  <w:tcBorders>
                    <w:top w:val="nil"/>
                    <w:left w:val="nil"/>
                    <w:bottom w:val="nil"/>
                    <w:right w:val="nil"/>
                  </w:tcBorders>
                </w:tcPr>
                <w:p w14:paraId="13AC38C1"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510A02D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(-.884)</w:t>
                  </w:r>
                </w:p>
              </w:tc>
              <w:tc>
                <w:tcPr>
                  <w:tcW w:w="3231" w:type="dxa"/>
                  <w:tcBorders>
                    <w:top w:val="nil"/>
                    <w:left w:val="nil"/>
                    <w:bottom w:val="nil"/>
                    <w:right w:val="nil"/>
                  </w:tcBorders>
                </w:tcPr>
                <w:p w14:paraId="081B5A2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(-.412)</w:t>
                  </w:r>
                </w:p>
              </w:tc>
            </w:tr>
            <w:tr w:rsidR="00694090" w:rsidRPr="00F60760" w14:paraId="42927D29" w14:textId="77777777" w:rsidTr="001D491F">
              <w:trPr>
                <w:jc w:val="center"/>
              </w:trPr>
              <w:tc>
                <w:tcPr>
                  <w:tcW w:w="3231" w:type="dxa"/>
                  <w:tcBorders>
                    <w:top w:val="nil"/>
                    <w:left w:val="nil"/>
                    <w:bottom w:val="nil"/>
                    <w:right w:val="nil"/>
                  </w:tcBorders>
                </w:tcPr>
                <w:p w14:paraId="48F907F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deal_tenderoffer_dummy</w:t>
                  </w:r>
                </w:p>
              </w:tc>
              <w:tc>
                <w:tcPr>
                  <w:tcW w:w="3231" w:type="dxa"/>
                  <w:tcBorders>
                    <w:top w:val="nil"/>
                    <w:left w:val="nil"/>
                    <w:bottom w:val="nil"/>
                    <w:right w:val="nil"/>
                  </w:tcBorders>
                </w:tcPr>
                <w:p w14:paraId="14B3635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-.133</w:t>
                  </w:r>
                </w:p>
              </w:tc>
              <w:tc>
                <w:tcPr>
                  <w:tcW w:w="3231" w:type="dxa"/>
                  <w:tcBorders>
                    <w:top w:val="nil"/>
                    <w:left w:val="nil"/>
                    <w:bottom w:val="nil"/>
                    <w:right w:val="nil"/>
                  </w:tcBorders>
                </w:tcPr>
                <w:p w14:paraId="40F643C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.685***</w:t>
                  </w:r>
                </w:p>
              </w:tc>
            </w:tr>
            <w:tr w:rsidR="00694090" w:rsidRPr="00F60760" w14:paraId="7A7C53B0" w14:textId="77777777" w:rsidTr="001D491F">
              <w:trPr>
                <w:jc w:val="center"/>
              </w:trPr>
              <w:tc>
                <w:tcPr>
                  <w:tcW w:w="3231" w:type="dxa"/>
                  <w:tcBorders>
                    <w:top w:val="nil"/>
                    <w:left w:val="nil"/>
                    <w:bottom w:val="nil"/>
                    <w:right w:val="nil"/>
                  </w:tcBorders>
                </w:tcPr>
                <w:p w14:paraId="08D86843"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7124881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(-.570)</w:t>
                  </w:r>
                </w:p>
              </w:tc>
              <w:tc>
                <w:tcPr>
                  <w:tcW w:w="3231" w:type="dxa"/>
                  <w:tcBorders>
                    <w:top w:val="nil"/>
                    <w:left w:val="nil"/>
                    <w:bottom w:val="nil"/>
                    <w:right w:val="nil"/>
                  </w:tcBorders>
                </w:tcPr>
                <w:p w14:paraId="2184B0B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(3.251)</w:t>
                  </w:r>
                </w:p>
              </w:tc>
            </w:tr>
            <w:tr w:rsidR="00694090" w:rsidRPr="00F60760" w14:paraId="3FAE4212" w14:textId="77777777" w:rsidTr="001D491F">
              <w:trPr>
                <w:jc w:val="center"/>
              </w:trPr>
              <w:tc>
                <w:tcPr>
                  <w:tcW w:w="3231" w:type="dxa"/>
                  <w:tcBorders>
                    <w:top w:val="nil"/>
                    <w:left w:val="nil"/>
                    <w:bottom w:val="nil"/>
                    <w:right w:val="nil"/>
                  </w:tcBorders>
                </w:tcPr>
                <w:p w14:paraId="0EA386C5"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deal_friendly_dummy</w:t>
                  </w:r>
                </w:p>
              </w:tc>
              <w:tc>
                <w:tcPr>
                  <w:tcW w:w="3231" w:type="dxa"/>
                  <w:tcBorders>
                    <w:top w:val="nil"/>
                    <w:left w:val="nil"/>
                    <w:bottom w:val="nil"/>
                    <w:right w:val="nil"/>
                  </w:tcBorders>
                </w:tcPr>
                <w:p w14:paraId="3275E28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-4.601***</w:t>
                  </w:r>
                </w:p>
              </w:tc>
              <w:tc>
                <w:tcPr>
                  <w:tcW w:w="3231" w:type="dxa"/>
                  <w:tcBorders>
                    <w:top w:val="nil"/>
                    <w:left w:val="nil"/>
                    <w:bottom w:val="nil"/>
                    <w:right w:val="nil"/>
                  </w:tcBorders>
                </w:tcPr>
                <w:p w14:paraId="6F80EA6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w:t>
                  </w:r>
                </w:p>
              </w:tc>
            </w:tr>
            <w:tr w:rsidR="00694090" w:rsidRPr="00F60760" w14:paraId="5C35CF41" w14:textId="77777777" w:rsidTr="001D491F">
              <w:trPr>
                <w:jc w:val="center"/>
              </w:trPr>
              <w:tc>
                <w:tcPr>
                  <w:tcW w:w="3231" w:type="dxa"/>
                  <w:tcBorders>
                    <w:top w:val="nil"/>
                    <w:left w:val="nil"/>
                    <w:bottom w:val="nil"/>
                    <w:right w:val="nil"/>
                  </w:tcBorders>
                </w:tcPr>
                <w:p w14:paraId="1B298AB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23BBC16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(-4.891)</w:t>
                  </w:r>
                </w:p>
              </w:tc>
              <w:tc>
                <w:tcPr>
                  <w:tcW w:w="3231" w:type="dxa"/>
                  <w:tcBorders>
                    <w:top w:val="nil"/>
                    <w:left w:val="nil"/>
                    <w:bottom w:val="nil"/>
                    <w:right w:val="nil"/>
                  </w:tcBorders>
                </w:tcPr>
                <w:p w14:paraId="74F7A9B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w:t>
                  </w:r>
                </w:p>
              </w:tc>
            </w:tr>
            <w:tr w:rsidR="00694090" w:rsidRPr="00F60760" w14:paraId="2675F04F" w14:textId="77777777" w:rsidTr="001D491F">
              <w:trPr>
                <w:jc w:val="center"/>
              </w:trPr>
              <w:tc>
                <w:tcPr>
                  <w:tcW w:w="3231" w:type="dxa"/>
                  <w:tcBorders>
                    <w:top w:val="nil"/>
                    <w:left w:val="nil"/>
                    <w:bottom w:val="nil"/>
                    <w:right w:val="nil"/>
                  </w:tcBorders>
                </w:tcPr>
                <w:p w14:paraId="175CD67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deal_relatedness_dummy</w:t>
                  </w:r>
                </w:p>
              </w:tc>
              <w:tc>
                <w:tcPr>
                  <w:tcW w:w="3231" w:type="dxa"/>
                  <w:tcBorders>
                    <w:top w:val="nil"/>
                    <w:left w:val="nil"/>
                    <w:bottom w:val="nil"/>
                    <w:right w:val="nil"/>
                  </w:tcBorders>
                </w:tcPr>
                <w:p w14:paraId="5F9B811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-.131</w:t>
                  </w:r>
                </w:p>
              </w:tc>
              <w:tc>
                <w:tcPr>
                  <w:tcW w:w="3231" w:type="dxa"/>
                  <w:tcBorders>
                    <w:top w:val="nil"/>
                    <w:left w:val="nil"/>
                    <w:bottom w:val="nil"/>
                    <w:right w:val="nil"/>
                  </w:tcBorders>
                </w:tcPr>
                <w:p w14:paraId="6BB5547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.321*</w:t>
                  </w:r>
                </w:p>
              </w:tc>
            </w:tr>
            <w:tr w:rsidR="00694090" w:rsidRPr="00F60760" w14:paraId="1ED2A8B2" w14:textId="77777777" w:rsidTr="001D491F">
              <w:trPr>
                <w:jc w:val="center"/>
              </w:trPr>
              <w:tc>
                <w:tcPr>
                  <w:tcW w:w="3231" w:type="dxa"/>
                  <w:tcBorders>
                    <w:top w:val="nil"/>
                    <w:left w:val="nil"/>
                    <w:bottom w:val="nil"/>
                    <w:right w:val="nil"/>
                  </w:tcBorders>
                </w:tcPr>
                <w:p w14:paraId="1590DE71"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71B2636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(-.697)</w:t>
                  </w:r>
                </w:p>
              </w:tc>
              <w:tc>
                <w:tcPr>
                  <w:tcW w:w="3231" w:type="dxa"/>
                  <w:tcBorders>
                    <w:top w:val="nil"/>
                    <w:left w:val="nil"/>
                    <w:bottom w:val="nil"/>
                    <w:right w:val="nil"/>
                  </w:tcBorders>
                </w:tcPr>
                <w:p w14:paraId="639D264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(1.709)</w:t>
                  </w:r>
                </w:p>
              </w:tc>
            </w:tr>
            <w:tr w:rsidR="00694090" w:rsidRPr="00F60760" w14:paraId="04071C41" w14:textId="77777777" w:rsidTr="001D491F">
              <w:trPr>
                <w:jc w:val="center"/>
              </w:trPr>
              <w:tc>
                <w:tcPr>
                  <w:tcW w:w="3231" w:type="dxa"/>
                  <w:tcBorders>
                    <w:top w:val="nil"/>
                    <w:left w:val="nil"/>
                    <w:bottom w:val="nil"/>
                    <w:right w:val="nil"/>
                  </w:tcBorders>
                </w:tcPr>
                <w:p w14:paraId="129E76E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acq_age</w:t>
                  </w:r>
                </w:p>
              </w:tc>
              <w:tc>
                <w:tcPr>
                  <w:tcW w:w="3231" w:type="dxa"/>
                  <w:tcBorders>
                    <w:top w:val="nil"/>
                    <w:left w:val="nil"/>
                    <w:bottom w:val="nil"/>
                    <w:right w:val="nil"/>
                  </w:tcBorders>
                </w:tcPr>
                <w:p w14:paraId="6444454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c>
                <w:tcPr>
                  <w:tcW w:w="3231" w:type="dxa"/>
                  <w:tcBorders>
                    <w:top w:val="nil"/>
                    <w:left w:val="nil"/>
                    <w:bottom w:val="nil"/>
                    <w:right w:val="nil"/>
                  </w:tcBorders>
                </w:tcPr>
                <w:p w14:paraId="2A22619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r>
            <w:tr w:rsidR="00694090" w:rsidRPr="00F60760" w14:paraId="5C21E635" w14:textId="77777777" w:rsidTr="001D491F">
              <w:trPr>
                <w:jc w:val="center"/>
              </w:trPr>
              <w:tc>
                <w:tcPr>
                  <w:tcW w:w="3231" w:type="dxa"/>
                  <w:tcBorders>
                    <w:top w:val="nil"/>
                    <w:left w:val="nil"/>
                    <w:bottom w:val="nil"/>
                    <w:right w:val="nil"/>
                  </w:tcBorders>
                </w:tcPr>
                <w:p w14:paraId="1FD38BC8"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11A64AE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(-.337)</w:t>
                  </w:r>
                </w:p>
              </w:tc>
              <w:tc>
                <w:tcPr>
                  <w:tcW w:w="3231" w:type="dxa"/>
                  <w:tcBorders>
                    <w:top w:val="nil"/>
                    <w:left w:val="nil"/>
                    <w:bottom w:val="nil"/>
                    <w:right w:val="nil"/>
                  </w:tcBorders>
                </w:tcPr>
                <w:p w14:paraId="3394523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(-.344)</w:t>
                  </w:r>
                </w:p>
              </w:tc>
            </w:tr>
            <w:tr w:rsidR="00694090" w:rsidRPr="00F60760" w14:paraId="4321200E" w14:textId="77777777" w:rsidTr="001D491F">
              <w:trPr>
                <w:jc w:val="center"/>
              </w:trPr>
              <w:tc>
                <w:tcPr>
                  <w:tcW w:w="3231" w:type="dxa"/>
                  <w:tcBorders>
                    <w:top w:val="nil"/>
                    <w:left w:val="nil"/>
                    <w:bottom w:val="nil"/>
                    <w:right w:val="nil"/>
                  </w:tcBorders>
                </w:tcPr>
                <w:p w14:paraId="1B89793D"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acq_assets_lastyear_ln</w:t>
                  </w:r>
                </w:p>
              </w:tc>
              <w:tc>
                <w:tcPr>
                  <w:tcW w:w="3231" w:type="dxa"/>
                  <w:tcBorders>
                    <w:top w:val="nil"/>
                    <w:left w:val="nil"/>
                    <w:bottom w:val="nil"/>
                    <w:right w:val="nil"/>
                  </w:tcBorders>
                </w:tcPr>
                <w:p w14:paraId="03FCE7E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.136</w:t>
                  </w:r>
                </w:p>
              </w:tc>
              <w:tc>
                <w:tcPr>
                  <w:tcW w:w="3231" w:type="dxa"/>
                  <w:tcBorders>
                    <w:top w:val="nil"/>
                    <w:left w:val="nil"/>
                    <w:bottom w:val="nil"/>
                    <w:right w:val="nil"/>
                  </w:tcBorders>
                </w:tcPr>
                <w:p w14:paraId="1859ABD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-.140</w:t>
                  </w:r>
                </w:p>
              </w:tc>
            </w:tr>
            <w:tr w:rsidR="00694090" w:rsidRPr="00F60760" w14:paraId="2BF7AC63" w14:textId="77777777" w:rsidTr="001D491F">
              <w:trPr>
                <w:jc w:val="center"/>
              </w:trPr>
              <w:tc>
                <w:tcPr>
                  <w:tcW w:w="3231" w:type="dxa"/>
                  <w:tcBorders>
                    <w:top w:val="nil"/>
                    <w:left w:val="nil"/>
                    <w:bottom w:val="nil"/>
                    <w:right w:val="nil"/>
                  </w:tcBorders>
                </w:tcPr>
                <w:p w14:paraId="68D79C9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329F2F1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(1.231)</w:t>
                  </w:r>
                </w:p>
              </w:tc>
              <w:tc>
                <w:tcPr>
                  <w:tcW w:w="3231" w:type="dxa"/>
                  <w:tcBorders>
                    <w:top w:val="nil"/>
                    <w:left w:val="nil"/>
                    <w:bottom w:val="nil"/>
                    <w:right w:val="nil"/>
                  </w:tcBorders>
                </w:tcPr>
                <w:p w14:paraId="1FDE3DD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(-1.000)</w:t>
                  </w:r>
                </w:p>
              </w:tc>
            </w:tr>
            <w:tr w:rsidR="00694090" w:rsidRPr="00F60760" w14:paraId="385C80EE" w14:textId="77777777" w:rsidTr="001D491F">
              <w:trPr>
                <w:jc w:val="center"/>
              </w:trPr>
              <w:tc>
                <w:tcPr>
                  <w:tcW w:w="3231" w:type="dxa"/>
                  <w:tcBorders>
                    <w:top w:val="nil"/>
                    <w:left w:val="nil"/>
                    <w:bottom w:val="nil"/>
                    <w:right w:val="nil"/>
                  </w:tcBorders>
                </w:tcPr>
                <w:p w14:paraId="579D23C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acq_roa_lastyear</w:t>
                  </w:r>
                </w:p>
              </w:tc>
              <w:tc>
                <w:tcPr>
                  <w:tcW w:w="3231" w:type="dxa"/>
                  <w:tcBorders>
                    <w:top w:val="nil"/>
                    <w:left w:val="nil"/>
                    <w:bottom w:val="nil"/>
                    <w:right w:val="nil"/>
                  </w:tcBorders>
                </w:tcPr>
                <w:p w14:paraId="4272BD5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.347***</w:t>
                  </w:r>
                </w:p>
              </w:tc>
              <w:tc>
                <w:tcPr>
                  <w:tcW w:w="3231" w:type="dxa"/>
                  <w:tcBorders>
                    <w:top w:val="nil"/>
                    <w:left w:val="nil"/>
                    <w:bottom w:val="nil"/>
                    <w:right w:val="nil"/>
                  </w:tcBorders>
                </w:tcPr>
                <w:p w14:paraId="46D6C55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-.116</w:t>
                  </w:r>
                </w:p>
              </w:tc>
            </w:tr>
            <w:tr w:rsidR="00694090" w:rsidRPr="00F60760" w14:paraId="0FCC1089" w14:textId="77777777" w:rsidTr="001D491F">
              <w:trPr>
                <w:jc w:val="center"/>
              </w:trPr>
              <w:tc>
                <w:tcPr>
                  <w:tcW w:w="3231" w:type="dxa"/>
                  <w:tcBorders>
                    <w:top w:val="nil"/>
                    <w:left w:val="nil"/>
                    <w:bottom w:val="nil"/>
                    <w:right w:val="nil"/>
                  </w:tcBorders>
                </w:tcPr>
                <w:p w14:paraId="4FCAEF65"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374ED3B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(3.249)</w:t>
                  </w:r>
                </w:p>
              </w:tc>
              <w:tc>
                <w:tcPr>
                  <w:tcW w:w="3231" w:type="dxa"/>
                  <w:tcBorders>
                    <w:top w:val="nil"/>
                    <w:left w:val="nil"/>
                    <w:bottom w:val="nil"/>
                    <w:right w:val="nil"/>
                  </w:tcBorders>
                </w:tcPr>
                <w:p w14:paraId="661D5ED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(-1.505)</w:t>
                  </w:r>
                </w:p>
              </w:tc>
            </w:tr>
            <w:tr w:rsidR="00694090" w:rsidRPr="00F60760" w14:paraId="3955D52D" w14:textId="77777777" w:rsidTr="001D491F">
              <w:trPr>
                <w:jc w:val="center"/>
              </w:trPr>
              <w:tc>
                <w:tcPr>
                  <w:tcW w:w="3231" w:type="dxa"/>
                  <w:tcBorders>
                    <w:top w:val="nil"/>
                    <w:left w:val="nil"/>
                    <w:bottom w:val="nil"/>
                    <w:right w:val="nil"/>
                  </w:tcBorders>
                </w:tcPr>
                <w:p w14:paraId="22A3149D"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acq_industrygrowth</w:t>
                  </w:r>
                </w:p>
              </w:tc>
              <w:tc>
                <w:tcPr>
                  <w:tcW w:w="3231" w:type="dxa"/>
                  <w:tcBorders>
                    <w:top w:val="nil"/>
                    <w:left w:val="nil"/>
                    <w:bottom w:val="nil"/>
                    <w:right w:val="nil"/>
                  </w:tcBorders>
                </w:tcPr>
                <w:p w14:paraId="655A916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-29.657**</w:t>
                  </w:r>
                </w:p>
              </w:tc>
              <w:tc>
                <w:tcPr>
                  <w:tcW w:w="3231" w:type="dxa"/>
                  <w:tcBorders>
                    <w:top w:val="nil"/>
                    <w:left w:val="nil"/>
                    <w:bottom w:val="nil"/>
                    <w:right w:val="nil"/>
                  </w:tcBorders>
                </w:tcPr>
                <w:p w14:paraId="5E8898A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26.455**</w:t>
                  </w:r>
                </w:p>
              </w:tc>
            </w:tr>
            <w:tr w:rsidR="00694090" w:rsidRPr="00F60760" w14:paraId="5EEFF9F6" w14:textId="77777777" w:rsidTr="001D491F">
              <w:trPr>
                <w:jc w:val="center"/>
              </w:trPr>
              <w:tc>
                <w:tcPr>
                  <w:tcW w:w="3231" w:type="dxa"/>
                  <w:tcBorders>
                    <w:top w:val="nil"/>
                    <w:left w:val="nil"/>
                    <w:bottom w:val="nil"/>
                    <w:right w:val="nil"/>
                  </w:tcBorders>
                </w:tcPr>
                <w:p w14:paraId="2CDFFF4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28504DA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(-2.091)</w:t>
                  </w:r>
                </w:p>
              </w:tc>
              <w:tc>
                <w:tcPr>
                  <w:tcW w:w="3231" w:type="dxa"/>
                  <w:tcBorders>
                    <w:top w:val="nil"/>
                    <w:left w:val="nil"/>
                    <w:bottom w:val="nil"/>
                    <w:right w:val="nil"/>
                  </w:tcBorders>
                </w:tcPr>
                <w:p w14:paraId="2BBF24B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(2.392)</w:t>
                  </w:r>
                </w:p>
              </w:tc>
            </w:tr>
            <w:tr w:rsidR="00694090" w:rsidRPr="00F60760" w14:paraId="2E2B251E" w14:textId="77777777" w:rsidTr="001D491F">
              <w:trPr>
                <w:jc w:val="center"/>
              </w:trPr>
              <w:tc>
                <w:tcPr>
                  <w:tcW w:w="3231" w:type="dxa"/>
                  <w:tcBorders>
                    <w:top w:val="nil"/>
                    <w:left w:val="nil"/>
                    <w:bottom w:val="nil"/>
                    <w:right w:val="nil"/>
                  </w:tcBorders>
                </w:tcPr>
                <w:p w14:paraId="375533C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acq_dealexperience</w:t>
                  </w:r>
                </w:p>
              </w:tc>
              <w:tc>
                <w:tcPr>
                  <w:tcW w:w="3231" w:type="dxa"/>
                  <w:tcBorders>
                    <w:top w:val="nil"/>
                    <w:left w:val="nil"/>
                    <w:bottom w:val="nil"/>
                    <w:right w:val="nil"/>
                  </w:tcBorders>
                </w:tcPr>
                <w:p w14:paraId="5AB011D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-.258*</w:t>
                  </w:r>
                </w:p>
              </w:tc>
              <w:tc>
                <w:tcPr>
                  <w:tcW w:w="3231" w:type="dxa"/>
                  <w:tcBorders>
                    <w:top w:val="nil"/>
                    <w:left w:val="nil"/>
                    <w:bottom w:val="nil"/>
                    <w:right w:val="nil"/>
                  </w:tcBorders>
                </w:tcPr>
                <w:p w14:paraId="2FAA2A7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-.119</w:t>
                  </w:r>
                </w:p>
              </w:tc>
            </w:tr>
            <w:tr w:rsidR="00694090" w:rsidRPr="00F60760" w14:paraId="614061FC" w14:textId="77777777" w:rsidTr="001D491F">
              <w:trPr>
                <w:jc w:val="center"/>
              </w:trPr>
              <w:tc>
                <w:tcPr>
                  <w:tcW w:w="3231" w:type="dxa"/>
                  <w:tcBorders>
                    <w:top w:val="nil"/>
                    <w:left w:val="nil"/>
                    <w:bottom w:val="nil"/>
                    <w:right w:val="nil"/>
                  </w:tcBorders>
                </w:tcPr>
                <w:p w14:paraId="483BB13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tcPr>
                <w:p w14:paraId="350B339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-.047***</w:t>
                  </w:r>
                </w:p>
              </w:tc>
              <w:tc>
                <w:tcPr>
                  <w:tcW w:w="3231" w:type="dxa"/>
                  <w:tcBorders>
                    <w:top w:val="nil"/>
                    <w:left w:val="nil"/>
                    <w:bottom w:val="nil"/>
                    <w:right w:val="nil"/>
                  </w:tcBorders>
                </w:tcPr>
                <w:p w14:paraId="09C8390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-.052**</w:t>
                  </w:r>
                </w:p>
              </w:tc>
            </w:tr>
            <w:tr w:rsidR="00694090" w:rsidRPr="00F60760" w14:paraId="7C960AEC" w14:textId="77777777" w:rsidTr="001D491F">
              <w:trPr>
                <w:jc w:val="center"/>
              </w:trPr>
              <w:tc>
                <w:tcPr>
                  <w:tcW w:w="3231" w:type="dxa"/>
                  <w:tcBorders>
                    <w:top w:val="nil"/>
                    <w:left w:val="nil"/>
                    <w:bottom w:val="nil"/>
                    <w:right w:val="nil"/>
                  </w:tcBorders>
                </w:tcPr>
                <w:p w14:paraId="7DFBF355"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acq_rd_intensity</w:t>
                  </w:r>
                </w:p>
              </w:tc>
              <w:tc>
                <w:tcPr>
                  <w:tcW w:w="3231" w:type="dxa"/>
                  <w:tcBorders>
                    <w:top w:val="nil"/>
                    <w:left w:val="nil"/>
                    <w:bottom w:val="nil"/>
                    <w:right w:val="nil"/>
                  </w:tcBorders>
                  <w:vAlign w:val="center"/>
                </w:tcPr>
                <w:p w14:paraId="45B30E9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-1.269</w:t>
                  </w:r>
                </w:p>
              </w:tc>
              <w:tc>
                <w:tcPr>
                  <w:tcW w:w="3231" w:type="dxa"/>
                  <w:tcBorders>
                    <w:top w:val="nil"/>
                    <w:left w:val="nil"/>
                    <w:bottom w:val="nil"/>
                    <w:right w:val="nil"/>
                  </w:tcBorders>
                  <w:vAlign w:val="center"/>
                </w:tcPr>
                <w:p w14:paraId="0142D94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.987</w:t>
                  </w:r>
                </w:p>
              </w:tc>
            </w:tr>
            <w:tr w:rsidR="00694090" w:rsidRPr="00F60760" w14:paraId="24E9F3E2" w14:textId="77777777" w:rsidTr="001D491F">
              <w:trPr>
                <w:jc w:val="center"/>
              </w:trPr>
              <w:tc>
                <w:tcPr>
                  <w:tcW w:w="3231" w:type="dxa"/>
                  <w:tcBorders>
                    <w:top w:val="nil"/>
                    <w:left w:val="nil"/>
                    <w:bottom w:val="nil"/>
                    <w:right w:val="nil"/>
                  </w:tcBorders>
                </w:tcPr>
                <w:p w14:paraId="232DFE4B"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p>
              </w:tc>
              <w:tc>
                <w:tcPr>
                  <w:tcW w:w="3231" w:type="dxa"/>
                  <w:tcBorders>
                    <w:top w:val="nil"/>
                    <w:left w:val="nil"/>
                    <w:bottom w:val="nil"/>
                    <w:right w:val="nil"/>
                  </w:tcBorders>
                  <w:vAlign w:val="center"/>
                </w:tcPr>
                <w:p w14:paraId="36813A5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(-.851)</w:t>
                  </w:r>
                </w:p>
              </w:tc>
              <w:tc>
                <w:tcPr>
                  <w:tcW w:w="3231" w:type="dxa"/>
                  <w:tcBorders>
                    <w:top w:val="nil"/>
                    <w:left w:val="nil"/>
                    <w:bottom w:val="nil"/>
                    <w:right w:val="nil"/>
                  </w:tcBorders>
                  <w:vAlign w:val="center"/>
                </w:tcPr>
                <w:p w14:paraId="16A722A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(.556)</w:t>
                  </w:r>
                </w:p>
              </w:tc>
            </w:tr>
            <w:tr w:rsidR="00694090" w:rsidRPr="00F60760" w14:paraId="68E8B7B9" w14:textId="77777777" w:rsidTr="001D491F">
              <w:trPr>
                <w:jc w:val="center"/>
              </w:trPr>
              <w:tc>
                <w:tcPr>
                  <w:tcW w:w="3231" w:type="dxa"/>
                  <w:tcBorders>
                    <w:top w:val="nil"/>
                    <w:left w:val="nil"/>
                    <w:bottom w:val="nil"/>
                    <w:right w:val="nil"/>
                  </w:tcBorders>
                </w:tcPr>
                <w:p w14:paraId="3E3DDEF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tar_age</w:t>
                  </w:r>
                </w:p>
              </w:tc>
              <w:tc>
                <w:tcPr>
                  <w:tcW w:w="3231" w:type="dxa"/>
                  <w:tcBorders>
                    <w:top w:val="nil"/>
                    <w:left w:val="nil"/>
                    <w:bottom w:val="nil"/>
                    <w:right w:val="nil"/>
                  </w:tcBorders>
                  <w:vAlign w:val="center"/>
                </w:tcPr>
                <w:p w14:paraId="669ECC7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-.002</w:t>
                  </w:r>
                </w:p>
              </w:tc>
              <w:tc>
                <w:tcPr>
                  <w:tcW w:w="3231" w:type="dxa"/>
                  <w:tcBorders>
                    <w:top w:val="nil"/>
                    <w:left w:val="nil"/>
                    <w:bottom w:val="nil"/>
                    <w:right w:val="nil"/>
                  </w:tcBorders>
                  <w:vAlign w:val="center"/>
                </w:tcPr>
                <w:p w14:paraId="751605C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-.004</w:t>
                  </w:r>
                </w:p>
              </w:tc>
            </w:tr>
            <w:tr w:rsidR="00694090" w:rsidRPr="00F60760" w14:paraId="78595836" w14:textId="77777777" w:rsidTr="001D491F">
              <w:trPr>
                <w:jc w:val="center"/>
              </w:trPr>
              <w:tc>
                <w:tcPr>
                  <w:tcW w:w="3231" w:type="dxa"/>
                  <w:tcBorders>
                    <w:top w:val="nil"/>
                    <w:left w:val="nil"/>
                    <w:bottom w:val="nil"/>
                    <w:right w:val="nil"/>
                  </w:tcBorders>
                </w:tcPr>
                <w:p w14:paraId="42DD2DF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3A393CF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(-.576)</w:t>
                  </w:r>
                </w:p>
              </w:tc>
              <w:tc>
                <w:tcPr>
                  <w:tcW w:w="3231" w:type="dxa"/>
                  <w:tcBorders>
                    <w:top w:val="nil"/>
                    <w:left w:val="nil"/>
                    <w:bottom w:val="nil"/>
                    <w:right w:val="nil"/>
                  </w:tcBorders>
                  <w:vAlign w:val="center"/>
                </w:tcPr>
                <w:p w14:paraId="40E3A5B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(-1.374)</w:t>
                  </w:r>
                </w:p>
              </w:tc>
            </w:tr>
            <w:tr w:rsidR="00694090" w:rsidRPr="00F60760" w14:paraId="55C43386" w14:textId="77777777" w:rsidTr="001D491F">
              <w:trPr>
                <w:jc w:val="center"/>
              </w:trPr>
              <w:tc>
                <w:tcPr>
                  <w:tcW w:w="3231" w:type="dxa"/>
                  <w:tcBorders>
                    <w:top w:val="nil"/>
                    <w:left w:val="nil"/>
                    <w:bottom w:val="nil"/>
                    <w:right w:val="nil"/>
                  </w:tcBorders>
                </w:tcPr>
                <w:p w14:paraId="1699FDB1"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tar_assets_lastyear_ln</w:t>
                  </w:r>
                </w:p>
              </w:tc>
              <w:tc>
                <w:tcPr>
                  <w:tcW w:w="3231" w:type="dxa"/>
                  <w:tcBorders>
                    <w:top w:val="nil"/>
                    <w:left w:val="nil"/>
                    <w:bottom w:val="nil"/>
                    <w:right w:val="nil"/>
                  </w:tcBorders>
                  <w:vAlign w:val="center"/>
                </w:tcPr>
                <w:p w14:paraId="2CA61C5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.127</w:t>
                  </w:r>
                </w:p>
              </w:tc>
              <w:tc>
                <w:tcPr>
                  <w:tcW w:w="3231" w:type="dxa"/>
                  <w:tcBorders>
                    <w:top w:val="nil"/>
                    <w:left w:val="nil"/>
                    <w:bottom w:val="nil"/>
                    <w:right w:val="nil"/>
                  </w:tcBorders>
                  <w:vAlign w:val="center"/>
                </w:tcPr>
                <w:p w14:paraId="7B99C91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-.028</w:t>
                  </w:r>
                </w:p>
              </w:tc>
            </w:tr>
            <w:tr w:rsidR="00694090" w:rsidRPr="00F60760" w14:paraId="5404E099" w14:textId="77777777" w:rsidTr="001D491F">
              <w:trPr>
                <w:jc w:val="center"/>
              </w:trPr>
              <w:tc>
                <w:tcPr>
                  <w:tcW w:w="3231" w:type="dxa"/>
                  <w:tcBorders>
                    <w:top w:val="nil"/>
                    <w:left w:val="nil"/>
                    <w:bottom w:val="nil"/>
                    <w:right w:val="nil"/>
                  </w:tcBorders>
                </w:tcPr>
                <w:p w14:paraId="62F9701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164F4A4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(.944)</w:t>
                  </w:r>
                </w:p>
              </w:tc>
              <w:tc>
                <w:tcPr>
                  <w:tcW w:w="3231" w:type="dxa"/>
                  <w:tcBorders>
                    <w:top w:val="nil"/>
                    <w:left w:val="nil"/>
                    <w:bottom w:val="nil"/>
                    <w:right w:val="nil"/>
                  </w:tcBorders>
                  <w:vAlign w:val="center"/>
                </w:tcPr>
                <w:p w14:paraId="7AE23B2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(-.171)</w:t>
                  </w:r>
                </w:p>
              </w:tc>
            </w:tr>
            <w:tr w:rsidR="00694090" w:rsidRPr="00F60760" w14:paraId="66C239ED" w14:textId="77777777" w:rsidTr="001D491F">
              <w:trPr>
                <w:jc w:val="center"/>
              </w:trPr>
              <w:tc>
                <w:tcPr>
                  <w:tcW w:w="3231" w:type="dxa"/>
                  <w:tcBorders>
                    <w:top w:val="nil"/>
                    <w:left w:val="nil"/>
                    <w:bottom w:val="nil"/>
                    <w:right w:val="nil"/>
                  </w:tcBorders>
                </w:tcPr>
                <w:p w14:paraId="5A2930B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tar_roa_lastyear</w:t>
                  </w:r>
                </w:p>
              </w:tc>
              <w:tc>
                <w:tcPr>
                  <w:tcW w:w="3231" w:type="dxa"/>
                  <w:tcBorders>
                    <w:top w:val="nil"/>
                    <w:left w:val="nil"/>
                    <w:bottom w:val="nil"/>
                    <w:right w:val="nil"/>
                  </w:tcBorders>
                  <w:vAlign w:val="center"/>
                </w:tcPr>
                <w:p w14:paraId="793E9BD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-2.239</w:t>
                  </w:r>
                </w:p>
              </w:tc>
              <w:tc>
                <w:tcPr>
                  <w:tcW w:w="3231" w:type="dxa"/>
                  <w:tcBorders>
                    <w:top w:val="nil"/>
                    <w:left w:val="nil"/>
                    <w:bottom w:val="nil"/>
                    <w:right w:val="nil"/>
                  </w:tcBorders>
                  <w:vAlign w:val="center"/>
                </w:tcPr>
                <w:p w14:paraId="71EE871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.413</w:t>
                  </w:r>
                </w:p>
              </w:tc>
            </w:tr>
            <w:tr w:rsidR="00694090" w:rsidRPr="00F60760" w14:paraId="59FFA74D" w14:textId="77777777" w:rsidTr="001D491F">
              <w:trPr>
                <w:jc w:val="center"/>
              </w:trPr>
              <w:tc>
                <w:tcPr>
                  <w:tcW w:w="3231" w:type="dxa"/>
                  <w:tcBorders>
                    <w:top w:val="nil"/>
                    <w:left w:val="nil"/>
                    <w:bottom w:val="nil"/>
                    <w:right w:val="nil"/>
                  </w:tcBorders>
                </w:tcPr>
                <w:p w14:paraId="4435239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45A2762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(-1.571)</w:t>
                  </w:r>
                </w:p>
              </w:tc>
              <w:tc>
                <w:tcPr>
                  <w:tcW w:w="3231" w:type="dxa"/>
                  <w:tcBorders>
                    <w:top w:val="nil"/>
                    <w:left w:val="nil"/>
                    <w:bottom w:val="nil"/>
                    <w:right w:val="nil"/>
                  </w:tcBorders>
                  <w:vAlign w:val="center"/>
                </w:tcPr>
                <w:p w14:paraId="049B6F0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(.352)</w:t>
                  </w:r>
                </w:p>
              </w:tc>
            </w:tr>
            <w:tr w:rsidR="00694090" w:rsidRPr="00F60760" w14:paraId="52BAC005" w14:textId="77777777" w:rsidTr="001D491F">
              <w:trPr>
                <w:jc w:val="center"/>
              </w:trPr>
              <w:tc>
                <w:tcPr>
                  <w:tcW w:w="3231" w:type="dxa"/>
                  <w:tcBorders>
                    <w:top w:val="nil"/>
                    <w:left w:val="nil"/>
                    <w:bottom w:val="nil"/>
                    <w:right w:val="nil"/>
                  </w:tcBorders>
                </w:tcPr>
                <w:p w14:paraId="3FC2188D"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tar_mbratio</w:t>
                  </w:r>
                </w:p>
              </w:tc>
              <w:tc>
                <w:tcPr>
                  <w:tcW w:w="3231" w:type="dxa"/>
                  <w:tcBorders>
                    <w:top w:val="nil"/>
                    <w:left w:val="nil"/>
                    <w:bottom w:val="nil"/>
                    <w:right w:val="nil"/>
                  </w:tcBorders>
                  <w:vAlign w:val="center"/>
                </w:tcPr>
                <w:p w14:paraId="1434C26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.022**</w:t>
                  </w:r>
                </w:p>
              </w:tc>
              <w:tc>
                <w:tcPr>
                  <w:tcW w:w="3231" w:type="dxa"/>
                  <w:tcBorders>
                    <w:top w:val="nil"/>
                    <w:left w:val="nil"/>
                    <w:bottom w:val="nil"/>
                    <w:right w:val="nil"/>
                  </w:tcBorders>
                  <w:vAlign w:val="center"/>
                </w:tcPr>
                <w:p w14:paraId="471383F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.019</w:t>
                  </w:r>
                </w:p>
              </w:tc>
            </w:tr>
            <w:tr w:rsidR="00694090" w:rsidRPr="00F60760" w14:paraId="4D636479" w14:textId="77777777" w:rsidTr="001D491F">
              <w:trPr>
                <w:jc w:val="center"/>
              </w:trPr>
              <w:tc>
                <w:tcPr>
                  <w:tcW w:w="3231" w:type="dxa"/>
                  <w:tcBorders>
                    <w:top w:val="nil"/>
                    <w:left w:val="nil"/>
                    <w:bottom w:val="nil"/>
                    <w:right w:val="nil"/>
                  </w:tcBorders>
                </w:tcPr>
                <w:p w14:paraId="6165747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3231" w:type="dxa"/>
                  <w:tcBorders>
                    <w:top w:val="nil"/>
                    <w:left w:val="nil"/>
                    <w:bottom w:val="nil"/>
                    <w:right w:val="nil"/>
                  </w:tcBorders>
                  <w:vAlign w:val="center"/>
                </w:tcPr>
                <w:p w14:paraId="0C32656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(2.449)</w:t>
                  </w:r>
                </w:p>
              </w:tc>
              <w:tc>
                <w:tcPr>
                  <w:tcW w:w="3231" w:type="dxa"/>
                  <w:tcBorders>
                    <w:top w:val="nil"/>
                    <w:left w:val="nil"/>
                    <w:bottom w:val="nil"/>
                    <w:right w:val="nil"/>
                  </w:tcBorders>
                  <w:vAlign w:val="center"/>
                </w:tcPr>
                <w:p w14:paraId="04690EA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(1.461)</w:t>
                  </w:r>
                </w:p>
              </w:tc>
            </w:tr>
            <w:tr w:rsidR="00694090" w:rsidRPr="00F60760" w14:paraId="51D732A8" w14:textId="77777777" w:rsidTr="001D491F">
              <w:trPr>
                <w:jc w:val="center"/>
              </w:trPr>
              <w:tc>
                <w:tcPr>
                  <w:tcW w:w="3231" w:type="dxa"/>
                  <w:tcBorders>
                    <w:top w:val="nil"/>
                    <w:left w:val="nil"/>
                    <w:bottom w:val="nil"/>
                    <w:right w:val="nil"/>
                  </w:tcBorders>
                </w:tcPr>
                <w:p w14:paraId="791246F4"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Observations</w:t>
                  </w:r>
                </w:p>
              </w:tc>
              <w:tc>
                <w:tcPr>
                  <w:tcW w:w="3231" w:type="dxa"/>
                  <w:tcBorders>
                    <w:top w:val="nil"/>
                    <w:left w:val="nil"/>
                    <w:bottom w:val="nil"/>
                    <w:right w:val="nil"/>
                  </w:tcBorders>
                </w:tcPr>
                <w:p w14:paraId="4D38E60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175</w:t>
                  </w:r>
                </w:p>
              </w:tc>
              <w:tc>
                <w:tcPr>
                  <w:tcW w:w="3231" w:type="dxa"/>
                  <w:tcBorders>
                    <w:top w:val="nil"/>
                    <w:left w:val="nil"/>
                    <w:bottom w:val="nil"/>
                    <w:right w:val="nil"/>
                  </w:tcBorders>
                </w:tcPr>
                <w:p w14:paraId="1ADE00F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146</w:t>
                  </w:r>
                </w:p>
              </w:tc>
            </w:tr>
            <w:tr w:rsidR="00694090" w:rsidRPr="00F60760" w14:paraId="67D6F836" w14:textId="77777777" w:rsidTr="001D491F">
              <w:trPr>
                <w:jc w:val="center"/>
              </w:trPr>
              <w:tc>
                <w:tcPr>
                  <w:tcW w:w="3231" w:type="dxa"/>
                  <w:tcBorders>
                    <w:top w:val="nil"/>
                    <w:left w:val="nil"/>
                    <w:bottom w:val="nil"/>
                    <w:right w:val="nil"/>
                  </w:tcBorders>
                </w:tcPr>
                <w:p w14:paraId="47BF42B4"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Adj R2</w:t>
                  </w:r>
                </w:p>
              </w:tc>
              <w:tc>
                <w:tcPr>
                  <w:tcW w:w="3231" w:type="dxa"/>
                  <w:tcBorders>
                    <w:top w:val="nil"/>
                    <w:left w:val="nil"/>
                    <w:bottom w:val="nil"/>
                    <w:right w:val="nil"/>
                  </w:tcBorders>
                </w:tcPr>
                <w:p w14:paraId="0F6ECDE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.179</w:t>
                  </w:r>
                </w:p>
              </w:tc>
              <w:tc>
                <w:tcPr>
                  <w:tcW w:w="3231" w:type="dxa"/>
                  <w:tcBorders>
                    <w:top w:val="nil"/>
                    <w:left w:val="nil"/>
                    <w:bottom w:val="nil"/>
                    <w:right w:val="nil"/>
                  </w:tcBorders>
                </w:tcPr>
                <w:p w14:paraId="28DE00F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.101</w:t>
                  </w:r>
                </w:p>
              </w:tc>
            </w:tr>
            <w:tr w:rsidR="00694090" w:rsidRPr="00F60760" w14:paraId="2BC6C466" w14:textId="77777777" w:rsidTr="001D491F">
              <w:trPr>
                <w:jc w:val="center"/>
              </w:trPr>
              <w:tc>
                <w:tcPr>
                  <w:tcW w:w="3231" w:type="dxa"/>
                  <w:tcBorders>
                    <w:top w:val="nil"/>
                    <w:left w:val="nil"/>
                    <w:bottom w:val="nil"/>
                    <w:right w:val="nil"/>
                  </w:tcBorders>
                </w:tcPr>
                <w:p w14:paraId="3CFD2794"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Industry FE</w:t>
                  </w:r>
                </w:p>
              </w:tc>
              <w:tc>
                <w:tcPr>
                  <w:tcW w:w="3231" w:type="dxa"/>
                  <w:tcBorders>
                    <w:top w:val="nil"/>
                    <w:left w:val="nil"/>
                    <w:bottom w:val="nil"/>
                    <w:right w:val="nil"/>
                  </w:tcBorders>
                </w:tcPr>
                <w:p w14:paraId="56E42B3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3231" w:type="dxa"/>
                  <w:tcBorders>
                    <w:top w:val="nil"/>
                    <w:left w:val="nil"/>
                    <w:bottom w:val="nil"/>
                    <w:right w:val="nil"/>
                  </w:tcBorders>
                </w:tcPr>
                <w:p w14:paraId="0A59A2C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r>
            <w:tr w:rsidR="00694090" w:rsidRPr="00F60760" w14:paraId="46BA9A2A" w14:textId="77777777" w:rsidTr="001D491F">
              <w:trPr>
                <w:jc w:val="center"/>
              </w:trPr>
              <w:tc>
                <w:tcPr>
                  <w:tcW w:w="3231" w:type="dxa"/>
                  <w:tcBorders>
                    <w:top w:val="nil"/>
                    <w:left w:val="nil"/>
                    <w:bottom w:val="nil"/>
                    <w:right w:val="nil"/>
                  </w:tcBorders>
                </w:tcPr>
                <w:p w14:paraId="03694C8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Year FE</w:t>
                  </w:r>
                </w:p>
              </w:tc>
              <w:tc>
                <w:tcPr>
                  <w:tcW w:w="3231" w:type="dxa"/>
                  <w:tcBorders>
                    <w:top w:val="nil"/>
                    <w:left w:val="nil"/>
                    <w:bottom w:val="nil"/>
                    <w:right w:val="nil"/>
                  </w:tcBorders>
                </w:tcPr>
                <w:p w14:paraId="79AAB2B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3231" w:type="dxa"/>
                  <w:tcBorders>
                    <w:top w:val="nil"/>
                    <w:left w:val="nil"/>
                    <w:bottom w:val="nil"/>
                    <w:right w:val="nil"/>
                  </w:tcBorders>
                </w:tcPr>
                <w:p w14:paraId="2496C2C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Yes</w:t>
                  </w:r>
                </w:p>
              </w:tc>
            </w:tr>
          </w:tbl>
          <w:p w14:paraId="7FB9299A" w14:textId="77777777" w:rsidR="00694090" w:rsidRPr="00F60760" w:rsidRDefault="00694090" w:rsidP="00AB066F">
            <w:pPr>
              <w:tabs>
                <w:tab w:val="left" w:pos="2710"/>
              </w:tabs>
              <w:rPr>
                <w:color w:val="000000" w:themeColor="text1"/>
                <w:sz w:val="22"/>
                <w:lang w:val="en-US"/>
              </w:rPr>
            </w:pPr>
          </w:p>
        </w:tc>
      </w:tr>
      <w:tr w:rsidR="00694090" w:rsidRPr="00BE5632" w14:paraId="5315791E" w14:textId="77777777" w:rsidTr="001D491F">
        <w:trPr>
          <w:trHeight w:val="2514"/>
        </w:trPr>
        <w:tc>
          <w:tcPr>
            <w:tcW w:w="5000" w:type="pct"/>
            <w:tcBorders>
              <w:top w:val="single" w:sz="4" w:space="0" w:color="auto"/>
              <w:left w:val="nil"/>
              <w:right w:val="nil"/>
            </w:tcBorders>
            <w:shd w:val="clear" w:color="auto" w:fill="auto"/>
            <w:noWrap/>
          </w:tcPr>
          <w:p w14:paraId="62CC4F92" w14:textId="77777777" w:rsidR="00694090" w:rsidRPr="00F60760" w:rsidRDefault="00694090" w:rsidP="00E74508">
            <w:pPr>
              <w:spacing w:before="120" w:line="240" w:lineRule="auto"/>
              <w:rPr>
                <w:color w:val="000000" w:themeColor="text1"/>
                <w:sz w:val="22"/>
                <w:lang w:val="en-US"/>
              </w:rPr>
            </w:pPr>
            <w:r w:rsidRPr="00AF3D3A">
              <w:rPr>
                <w:i/>
                <w:iCs/>
                <w:color w:val="000000" w:themeColor="text1"/>
                <w:sz w:val="22"/>
                <w:lang w:val="en-US"/>
              </w:rPr>
              <w:lastRenderedPageBreak/>
              <w:t>Note</w:t>
            </w:r>
            <w:r w:rsidRPr="00F60760">
              <w:rPr>
                <w:color w:val="000000" w:themeColor="text1"/>
                <w:sz w:val="22"/>
                <w:lang w:val="en-US"/>
              </w:rPr>
              <w:t xml:space="preserve">. This table reports fixed effects negative binomial regression results predicting the effect of organizational cultural distance between acquirers and targets on innovation. The dependent variable for Model 1 is the acquirer’s patent growth two years after deal completion compared to one year prior the deal. The dependent variable for Model 2 is the acquirer’s new product development growth two years after deal completion compared to one year prior the deal. The main independent variable in Models 1 and 2 is </w:t>
            </w:r>
            <w:r w:rsidRPr="00F60760">
              <w:rPr>
                <w:i/>
                <w:iCs/>
                <w:color w:val="000000" w:themeColor="text1"/>
                <w:sz w:val="22"/>
                <w:lang w:val="en-US"/>
              </w:rPr>
              <w:t>deal_culturaldistance</w:t>
            </w:r>
            <w:r w:rsidRPr="00F60760">
              <w:rPr>
                <w:color w:val="000000" w:themeColor="text1"/>
                <w:sz w:val="22"/>
                <w:lang w:val="en-US"/>
              </w:rPr>
              <w:t>, with higher values indicating higher cultural dissimilarities between the acquirer and target. A detailed variable description can be found in Appendix B. Constant terms are estimated but not reported. We include the acquirer’s industry and year fixed effects in all models. We cluster standard errors at the 2-digit SIC industry level. t-statistics are reported in parentheses below the coefficients. *, **, *** denote statistical significance at the .10, .05, and .01 levels (using two-tailed tests).</w:t>
            </w:r>
          </w:p>
        </w:tc>
      </w:tr>
    </w:tbl>
    <w:p w14:paraId="7E63D5FE" w14:textId="77777777" w:rsidR="000F4B60" w:rsidRDefault="000F4B60">
      <w:pPr>
        <w:spacing w:after="160" w:line="259" w:lineRule="auto"/>
        <w:jc w:val="left"/>
        <w:rPr>
          <w:rFonts w:eastAsiaTheme="majorEastAsia" w:cstheme="majorBidi"/>
          <w:b/>
          <w:caps/>
          <w:szCs w:val="32"/>
          <w:lang w:val="en-US"/>
        </w:rPr>
      </w:pPr>
      <w:r w:rsidRPr="00B1627F">
        <w:rPr>
          <w:lang w:val="en-US"/>
        </w:rPr>
        <w:br w:type="page"/>
      </w:r>
    </w:p>
    <w:p w14:paraId="41F11EA1" w14:textId="12CDDB54" w:rsidR="00442048" w:rsidRPr="00442048" w:rsidRDefault="00442048" w:rsidP="00442048">
      <w:pPr>
        <w:pStyle w:val="1fake"/>
      </w:pPr>
      <w:r w:rsidRPr="00442048">
        <w:lastRenderedPageBreak/>
        <w:t xml:space="preserve">ONLINE SUPPLEMENT </w:t>
      </w:r>
      <w:r>
        <w:t>20</w:t>
      </w:r>
    </w:p>
    <w:p w14:paraId="2D70B484" w14:textId="33C763BC" w:rsidR="00011AF5" w:rsidRDefault="00011AF5" w:rsidP="00011AF5">
      <w:pPr>
        <w:pStyle w:val="Beschriftung"/>
      </w:pPr>
      <w:bookmarkStart w:id="639" w:name="_Toc180594866"/>
      <w:r>
        <w:t xml:space="preserve">T - III - </w:t>
      </w:r>
      <w:r>
        <w:fldChar w:fldCharType="begin"/>
      </w:r>
      <w:r>
        <w:instrText xml:space="preserve"> SEQ T_-_III_- \* ARABIC </w:instrText>
      </w:r>
      <w:r>
        <w:fldChar w:fldCharType="separate"/>
      </w:r>
      <w:r w:rsidR="00E91088">
        <w:rPr>
          <w:noProof/>
        </w:rPr>
        <w:t>30</w:t>
      </w:r>
      <w:r>
        <w:fldChar w:fldCharType="end"/>
      </w:r>
      <w:r>
        <w:t xml:space="preserve">: </w:t>
      </w:r>
      <w:r w:rsidRPr="008F4339">
        <w:t>H1a: Capital market reactions (CARs) - Alternative distance measures</w:t>
      </w:r>
      <w:bookmarkEnd w:id="639"/>
    </w:p>
    <w:tbl>
      <w:tblPr>
        <w:tblW w:w="800" w:type="pct"/>
        <w:tblLook w:val="04A0" w:firstRow="1" w:lastRow="0" w:firstColumn="1" w:lastColumn="0" w:noHBand="0" w:noVBand="1"/>
      </w:tblPr>
      <w:tblGrid>
        <w:gridCol w:w="9072"/>
      </w:tblGrid>
      <w:tr w:rsidR="00694090" w:rsidRPr="00F60760" w14:paraId="07D2B215" w14:textId="77777777" w:rsidTr="00902176">
        <w:trPr>
          <w:trHeight w:val="340"/>
        </w:trPr>
        <w:tc>
          <w:tcPr>
            <w:tcW w:w="9924" w:type="dxa"/>
            <w:tcBorders>
              <w:left w:val="nil"/>
              <w:bottom w:val="single" w:sz="4" w:space="0" w:color="auto"/>
              <w:right w:val="nil"/>
            </w:tcBorders>
            <w:shd w:val="clear" w:color="auto" w:fill="auto"/>
          </w:tcPr>
          <w:tbl>
            <w:tblPr>
              <w:tblW w:w="8290" w:type="dxa"/>
              <w:tblLook w:val="0000" w:firstRow="0" w:lastRow="0" w:firstColumn="0" w:lastColumn="0" w:noHBand="0" w:noVBand="0"/>
            </w:tblPr>
            <w:tblGrid>
              <w:gridCol w:w="2418"/>
              <w:gridCol w:w="950"/>
              <w:gridCol w:w="950"/>
              <w:gridCol w:w="1119"/>
              <w:gridCol w:w="276"/>
              <w:gridCol w:w="950"/>
              <w:gridCol w:w="1028"/>
              <w:gridCol w:w="1119"/>
            </w:tblGrid>
            <w:tr w:rsidR="00902176" w:rsidRPr="00F60760" w14:paraId="6CEAE115" w14:textId="77777777" w:rsidTr="00902176">
              <w:tc>
                <w:tcPr>
                  <w:tcW w:w="1231" w:type="pct"/>
                  <w:tcBorders>
                    <w:top w:val="single" w:sz="4" w:space="0" w:color="auto"/>
                    <w:left w:val="nil"/>
                    <w:right w:val="nil"/>
                  </w:tcBorders>
                </w:tcPr>
                <w:p w14:paraId="358B7A97"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 xml:space="preserve">   </w:t>
                  </w:r>
                </w:p>
              </w:tc>
              <w:tc>
                <w:tcPr>
                  <w:tcW w:w="560" w:type="pct"/>
                  <w:tcBorders>
                    <w:top w:val="single" w:sz="4" w:space="0" w:color="auto"/>
                    <w:left w:val="nil"/>
                    <w:right w:val="nil"/>
                  </w:tcBorders>
                </w:tcPr>
                <w:p w14:paraId="42EAC9B3"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(1)</w:t>
                  </w:r>
                </w:p>
              </w:tc>
              <w:tc>
                <w:tcPr>
                  <w:tcW w:w="560" w:type="pct"/>
                  <w:tcBorders>
                    <w:top w:val="single" w:sz="4" w:space="0" w:color="auto"/>
                    <w:left w:val="nil"/>
                    <w:right w:val="nil"/>
                  </w:tcBorders>
                </w:tcPr>
                <w:p w14:paraId="44489F82"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(2)</w:t>
                  </w:r>
                </w:p>
              </w:tc>
              <w:tc>
                <w:tcPr>
                  <w:tcW w:w="659" w:type="pct"/>
                  <w:tcBorders>
                    <w:top w:val="single" w:sz="4" w:space="0" w:color="auto"/>
                    <w:left w:val="nil"/>
                    <w:right w:val="nil"/>
                  </w:tcBorders>
                </w:tcPr>
                <w:p w14:paraId="311C2302"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(3)</w:t>
                  </w:r>
                </w:p>
              </w:tc>
              <w:tc>
                <w:tcPr>
                  <w:tcW w:w="165" w:type="pct"/>
                  <w:tcBorders>
                    <w:top w:val="single" w:sz="4" w:space="0" w:color="auto"/>
                    <w:left w:val="nil"/>
                    <w:right w:val="nil"/>
                  </w:tcBorders>
                </w:tcPr>
                <w:p w14:paraId="1F77C2F8"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p>
              </w:tc>
              <w:tc>
                <w:tcPr>
                  <w:tcW w:w="560" w:type="pct"/>
                  <w:tcBorders>
                    <w:top w:val="single" w:sz="4" w:space="0" w:color="auto"/>
                    <w:left w:val="nil"/>
                    <w:right w:val="nil"/>
                  </w:tcBorders>
                </w:tcPr>
                <w:p w14:paraId="507F6342"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(4)</w:t>
                  </w:r>
                </w:p>
              </w:tc>
              <w:tc>
                <w:tcPr>
                  <w:tcW w:w="606" w:type="pct"/>
                  <w:tcBorders>
                    <w:top w:val="single" w:sz="4" w:space="0" w:color="auto"/>
                    <w:left w:val="nil"/>
                    <w:right w:val="nil"/>
                  </w:tcBorders>
                </w:tcPr>
                <w:p w14:paraId="420FB989"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(5)</w:t>
                  </w:r>
                </w:p>
              </w:tc>
              <w:tc>
                <w:tcPr>
                  <w:tcW w:w="659" w:type="pct"/>
                  <w:tcBorders>
                    <w:top w:val="single" w:sz="4" w:space="0" w:color="auto"/>
                    <w:left w:val="nil"/>
                    <w:right w:val="nil"/>
                  </w:tcBorders>
                </w:tcPr>
                <w:p w14:paraId="704D9F73"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(6)</w:t>
                  </w:r>
                </w:p>
              </w:tc>
            </w:tr>
            <w:tr w:rsidR="00902176" w:rsidRPr="00F60760" w14:paraId="4E10223B" w14:textId="77777777" w:rsidTr="00902176">
              <w:tc>
                <w:tcPr>
                  <w:tcW w:w="1231" w:type="pct"/>
                  <w:tcBorders>
                    <w:top w:val="nil"/>
                    <w:left w:val="nil"/>
                    <w:bottom w:val="single" w:sz="4" w:space="0" w:color="auto"/>
                    <w:right w:val="nil"/>
                  </w:tcBorders>
                </w:tcPr>
                <w:p w14:paraId="09C9C876"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 xml:space="preserve">   </w:t>
                  </w:r>
                </w:p>
              </w:tc>
              <w:tc>
                <w:tcPr>
                  <w:tcW w:w="560" w:type="pct"/>
                  <w:tcBorders>
                    <w:left w:val="nil"/>
                    <w:bottom w:val="single" w:sz="4" w:space="0" w:color="auto"/>
                    <w:right w:val="nil"/>
                  </w:tcBorders>
                </w:tcPr>
                <w:p w14:paraId="1D1C04A7"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acq_car</w:t>
                  </w:r>
                  <w:r w:rsidRPr="00F60760">
                    <w:rPr>
                      <w:b/>
                      <w:bCs/>
                      <w:color w:val="000000" w:themeColor="text1"/>
                      <w:sz w:val="22"/>
                      <w:lang w:val="en-US"/>
                    </w:rPr>
                    <w:br/>
                    <w:t>[-10,10]</w:t>
                  </w:r>
                </w:p>
              </w:tc>
              <w:tc>
                <w:tcPr>
                  <w:tcW w:w="560" w:type="pct"/>
                  <w:tcBorders>
                    <w:left w:val="nil"/>
                    <w:bottom w:val="single" w:sz="4" w:space="0" w:color="auto"/>
                    <w:right w:val="nil"/>
                  </w:tcBorders>
                </w:tcPr>
                <w:p w14:paraId="56EB2D78"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acq_car</w:t>
                  </w:r>
                  <w:r w:rsidRPr="00F60760">
                    <w:rPr>
                      <w:b/>
                      <w:bCs/>
                      <w:color w:val="000000" w:themeColor="text1"/>
                      <w:sz w:val="22"/>
                      <w:lang w:val="en-US"/>
                    </w:rPr>
                    <w:br/>
                    <w:t>[-5,5]</w:t>
                  </w:r>
                </w:p>
              </w:tc>
              <w:tc>
                <w:tcPr>
                  <w:tcW w:w="659" w:type="pct"/>
                  <w:tcBorders>
                    <w:left w:val="nil"/>
                    <w:bottom w:val="single" w:sz="4" w:space="0" w:color="auto"/>
                    <w:right w:val="nil"/>
                  </w:tcBorders>
                </w:tcPr>
                <w:p w14:paraId="173C3448"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deal_car_</w:t>
                  </w:r>
                  <w:r w:rsidRPr="00F60760">
                    <w:rPr>
                      <w:b/>
                      <w:bCs/>
                      <w:color w:val="000000" w:themeColor="text1"/>
                      <w:sz w:val="22"/>
                      <w:lang w:val="en-US"/>
                    </w:rPr>
                    <w:br/>
                    <w:t>weighted</w:t>
                  </w:r>
                  <w:r w:rsidRPr="00F60760">
                    <w:rPr>
                      <w:b/>
                      <w:bCs/>
                      <w:color w:val="000000" w:themeColor="text1"/>
                      <w:sz w:val="22"/>
                      <w:lang w:val="en-US"/>
                    </w:rPr>
                    <w:br/>
                    <w:t>[-5,5]</w:t>
                  </w:r>
                </w:p>
              </w:tc>
              <w:tc>
                <w:tcPr>
                  <w:tcW w:w="165" w:type="pct"/>
                  <w:tcBorders>
                    <w:left w:val="nil"/>
                    <w:bottom w:val="single" w:sz="4" w:space="0" w:color="auto"/>
                    <w:right w:val="nil"/>
                  </w:tcBorders>
                </w:tcPr>
                <w:p w14:paraId="7BAE5FE8"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p>
              </w:tc>
              <w:tc>
                <w:tcPr>
                  <w:tcW w:w="560" w:type="pct"/>
                  <w:tcBorders>
                    <w:left w:val="nil"/>
                    <w:bottom w:val="single" w:sz="4" w:space="0" w:color="auto"/>
                    <w:right w:val="nil"/>
                  </w:tcBorders>
                </w:tcPr>
                <w:p w14:paraId="6BA2387F"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acq_car</w:t>
                  </w:r>
                  <w:r w:rsidRPr="00F60760">
                    <w:rPr>
                      <w:b/>
                      <w:bCs/>
                      <w:color w:val="000000" w:themeColor="text1"/>
                      <w:sz w:val="22"/>
                      <w:lang w:val="en-US"/>
                    </w:rPr>
                    <w:br/>
                    <w:t>[-10,10]</w:t>
                  </w:r>
                </w:p>
              </w:tc>
              <w:tc>
                <w:tcPr>
                  <w:tcW w:w="606" w:type="pct"/>
                  <w:tcBorders>
                    <w:left w:val="nil"/>
                    <w:bottom w:val="single" w:sz="4" w:space="0" w:color="auto"/>
                    <w:right w:val="nil"/>
                  </w:tcBorders>
                </w:tcPr>
                <w:p w14:paraId="495E4BA9"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acq_car</w:t>
                  </w:r>
                  <w:r w:rsidRPr="00F60760">
                    <w:rPr>
                      <w:b/>
                      <w:bCs/>
                      <w:color w:val="000000" w:themeColor="text1"/>
                      <w:sz w:val="22"/>
                      <w:lang w:val="en-US"/>
                    </w:rPr>
                    <w:br/>
                    <w:t>[-5,5]</w:t>
                  </w:r>
                </w:p>
              </w:tc>
              <w:tc>
                <w:tcPr>
                  <w:tcW w:w="659" w:type="pct"/>
                  <w:tcBorders>
                    <w:left w:val="nil"/>
                    <w:bottom w:val="single" w:sz="4" w:space="0" w:color="auto"/>
                    <w:right w:val="nil"/>
                  </w:tcBorders>
                </w:tcPr>
                <w:p w14:paraId="41895F0C"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deal_car_</w:t>
                  </w:r>
                  <w:r w:rsidRPr="00F60760">
                    <w:rPr>
                      <w:b/>
                      <w:bCs/>
                      <w:color w:val="000000" w:themeColor="text1"/>
                      <w:sz w:val="22"/>
                      <w:lang w:val="en-US"/>
                    </w:rPr>
                    <w:br/>
                    <w:t>weighted</w:t>
                  </w:r>
                  <w:r w:rsidRPr="00F60760">
                    <w:rPr>
                      <w:b/>
                      <w:bCs/>
                      <w:color w:val="000000" w:themeColor="text1"/>
                      <w:sz w:val="22"/>
                      <w:lang w:val="en-US"/>
                    </w:rPr>
                    <w:br/>
                    <w:t>[-5,5]</w:t>
                  </w:r>
                </w:p>
              </w:tc>
            </w:tr>
            <w:tr w:rsidR="00902176" w:rsidRPr="00F60760" w14:paraId="675CC291" w14:textId="77777777" w:rsidTr="00902176">
              <w:tc>
                <w:tcPr>
                  <w:tcW w:w="1231" w:type="pct"/>
                  <w:tcBorders>
                    <w:top w:val="single" w:sz="4" w:space="0" w:color="auto"/>
                    <w:left w:val="nil"/>
                    <w:bottom w:val="nil"/>
                    <w:right w:val="nil"/>
                  </w:tcBorders>
                </w:tcPr>
                <w:p w14:paraId="5BFE073A" w14:textId="0E0C7E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deal_culturaldistance</w:t>
                  </w:r>
                  <w:r w:rsidR="00902176">
                    <w:rPr>
                      <w:color w:val="000000" w:themeColor="text1"/>
                      <w:sz w:val="22"/>
                      <w:lang w:val="en-US"/>
                    </w:rPr>
                    <w:br/>
                  </w:r>
                  <w:r w:rsidRPr="00F60760">
                    <w:rPr>
                      <w:color w:val="000000" w:themeColor="text1"/>
                      <w:sz w:val="22"/>
                      <w:lang w:val="en-US"/>
                    </w:rPr>
                    <w:t>_eucl</w:t>
                  </w:r>
                </w:p>
              </w:tc>
              <w:tc>
                <w:tcPr>
                  <w:tcW w:w="560" w:type="pct"/>
                  <w:tcBorders>
                    <w:top w:val="single" w:sz="4" w:space="0" w:color="auto"/>
                    <w:left w:val="nil"/>
                    <w:right w:val="nil"/>
                  </w:tcBorders>
                  <w:vAlign w:val="center"/>
                </w:tcPr>
                <w:p w14:paraId="3B68151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-.900**</w:t>
                  </w:r>
                </w:p>
              </w:tc>
              <w:tc>
                <w:tcPr>
                  <w:tcW w:w="560" w:type="pct"/>
                  <w:tcBorders>
                    <w:top w:val="single" w:sz="4" w:space="0" w:color="auto"/>
                    <w:left w:val="nil"/>
                    <w:right w:val="nil"/>
                  </w:tcBorders>
                  <w:vAlign w:val="center"/>
                </w:tcPr>
                <w:p w14:paraId="22FDBEB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-.436**</w:t>
                  </w:r>
                </w:p>
              </w:tc>
              <w:tc>
                <w:tcPr>
                  <w:tcW w:w="659" w:type="pct"/>
                  <w:tcBorders>
                    <w:top w:val="single" w:sz="4" w:space="0" w:color="auto"/>
                    <w:left w:val="nil"/>
                    <w:right w:val="nil"/>
                  </w:tcBorders>
                  <w:vAlign w:val="center"/>
                </w:tcPr>
                <w:p w14:paraId="7B8B390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-.138*</w:t>
                  </w:r>
                </w:p>
              </w:tc>
              <w:tc>
                <w:tcPr>
                  <w:tcW w:w="165" w:type="pct"/>
                  <w:tcBorders>
                    <w:top w:val="single" w:sz="4" w:space="0" w:color="auto"/>
                    <w:left w:val="nil"/>
                    <w:right w:val="nil"/>
                  </w:tcBorders>
                </w:tcPr>
                <w:p w14:paraId="27173EE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top w:val="single" w:sz="4" w:space="0" w:color="auto"/>
                    <w:left w:val="nil"/>
                    <w:right w:val="nil"/>
                  </w:tcBorders>
                  <w:vAlign w:val="center"/>
                </w:tcPr>
                <w:p w14:paraId="41D5AFF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606" w:type="pct"/>
                  <w:tcBorders>
                    <w:top w:val="single" w:sz="4" w:space="0" w:color="auto"/>
                    <w:left w:val="nil"/>
                    <w:right w:val="nil"/>
                  </w:tcBorders>
                  <w:vAlign w:val="center"/>
                </w:tcPr>
                <w:p w14:paraId="3DCB599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659" w:type="pct"/>
                  <w:tcBorders>
                    <w:top w:val="single" w:sz="4" w:space="0" w:color="auto"/>
                    <w:left w:val="nil"/>
                    <w:right w:val="nil"/>
                  </w:tcBorders>
                  <w:vAlign w:val="center"/>
                </w:tcPr>
                <w:p w14:paraId="3D39A43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r>
            <w:tr w:rsidR="00902176" w:rsidRPr="00F60760" w14:paraId="0302B92C" w14:textId="77777777" w:rsidTr="00902176">
              <w:tc>
                <w:tcPr>
                  <w:tcW w:w="1231" w:type="pct"/>
                  <w:tcBorders>
                    <w:top w:val="nil"/>
                    <w:left w:val="nil"/>
                    <w:bottom w:val="nil"/>
                    <w:right w:val="nil"/>
                  </w:tcBorders>
                </w:tcPr>
                <w:p w14:paraId="6CA11B8D"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560" w:type="pct"/>
                  <w:tcBorders>
                    <w:left w:val="nil"/>
                    <w:right w:val="nil"/>
                  </w:tcBorders>
                  <w:vAlign w:val="center"/>
                </w:tcPr>
                <w:p w14:paraId="7BAAD91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(-2.278)</w:t>
                  </w:r>
                </w:p>
              </w:tc>
              <w:tc>
                <w:tcPr>
                  <w:tcW w:w="560" w:type="pct"/>
                  <w:tcBorders>
                    <w:left w:val="nil"/>
                    <w:right w:val="nil"/>
                  </w:tcBorders>
                  <w:vAlign w:val="center"/>
                </w:tcPr>
                <w:p w14:paraId="64585F7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(-2.081)</w:t>
                  </w:r>
                </w:p>
              </w:tc>
              <w:tc>
                <w:tcPr>
                  <w:tcW w:w="659" w:type="pct"/>
                  <w:tcBorders>
                    <w:left w:val="nil"/>
                    <w:right w:val="nil"/>
                  </w:tcBorders>
                  <w:vAlign w:val="center"/>
                </w:tcPr>
                <w:p w14:paraId="2D54278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(-1.718)</w:t>
                  </w:r>
                </w:p>
              </w:tc>
              <w:tc>
                <w:tcPr>
                  <w:tcW w:w="165" w:type="pct"/>
                  <w:tcBorders>
                    <w:left w:val="nil"/>
                    <w:right w:val="nil"/>
                  </w:tcBorders>
                </w:tcPr>
                <w:p w14:paraId="107D868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3A9F38D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606" w:type="pct"/>
                  <w:tcBorders>
                    <w:left w:val="nil"/>
                    <w:right w:val="nil"/>
                  </w:tcBorders>
                  <w:vAlign w:val="center"/>
                </w:tcPr>
                <w:p w14:paraId="09539E3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659" w:type="pct"/>
                  <w:tcBorders>
                    <w:left w:val="nil"/>
                    <w:right w:val="nil"/>
                  </w:tcBorders>
                  <w:vAlign w:val="center"/>
                </w:tcPr>
                <w:p w14:paraId="67E97A3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r>
            <w:tr w:rsidR="00902176" w:rsidRPr="00F60760" w14:paraId="3768D276" w14:textId="77777777" w:rsidTr="00902176">
              <w:tc>
                <w:tcPr>
                  <w:tcW w:w="1231" w:type="pct"/>
                  <w:tcBorders>
                    <w:top w:val="nil"/>
                    <w:left w:val="nil"/>
                    <w:bottom w:val="nil"/>
                    <w:right w:val="nil"/>
                  </w:tcBorders>
                </w:tcPr>
                <w:p w14:paraId="1A868602" w14:textId="105C4678"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deal_culturaldistance</w:t>
                  </w:r>
                  <w:r w:rsidR="00902176">
                    <w:rPr>
                      <w:color w:val="000000" w:themeColor="text1"/>
                      <w:sz w:val="22"/>
                      <w:lang w:val="en-US"/>
                    </w:rPr>
                    <w:br/>
                  </w:r>
                  <w:r w:rsidRPr="00F60760">
                    <w:rPr>
                      <w:color w:val="000000" w:themeColor="text1"/>
                      <w:sz w:val="22"/>
                      <w:lang w:val="en-US"/>
                    </w:rPr>
                    <w:t>_maha</w:t>
                  </w:r>
                </w:p>
              </w:tc>
              <w:tc>
                <w:tcPr>
                  <w:tcW w:w="560" w:type="pct"/>
                  <w:tcBorders>
                    <w:left w:val="nil"/>
                    <w:right w:val="nil"/>
                  </w:tcBorders>
                  <w:vAlign w:val="center"/>
                </w:tcPr>
                <w:p w14:paraId="35CFB6F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7CAB3A6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659" w:type="pct"/>
                  <w:tcBorders>
                    <w:left w:val="nil"/>
                    <w:right w:val="nil"/>
                  </w:tcBorders>
                  <w:vAlign w:val="center"/>
                </w:tcPr>
                <w:p w14:paraId="4FED953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5" w:type="pct"/>
                  <w:tcBorders>
                    <w:left w:val="nil"/>
                    <w:right w:val="nil"/>
                  </w:tcBorders>
                </w:tcPr>
                <w:p w14:paraId="6881E6D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5A81EF7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-.361**</w:t>
                  </w:r>
                </w:p>
              </w:tc>
              <w:tc>
                <w:tcPr>
                  <w:tcW w:w="606" w:type="pct"/>
                  <w:tcBorders>
                    <w:left w:val="nil"/>
                    <w:right w:val="nil"/>
                  </w:tcBorders>
                  <w:vAlign w:val="center"/>
                </w:tcPr>
                <w:p w14:paraId="45CBAF5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-.186**</w:t>
                  </w:r>
                </w:p>
              </w:tc>
              <w:tc>
                <w:tcPr>
                  <w:tcW w:w="659" w:type="pct"/>
                  <w:tcBorders>
                    <w:left w:val="nil"/>
                    <w:right w:val="nil"/>
                  </w:tcBorders>
                  <w:vAlign w:val="center"/>
                </w:tcPr>
                <w:p w14:paraId="3213A9E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-.068**</w:t>
                  </w:r>
                </w:p>
              </w:tc>
            </w:tr>
            <w:tr w:rsidR="00902176" w:rsidRPr="00F60760" w14:paraId="064B9DDF" w14:textId="77777777" w:rsidTr="00902176">
              <w:tc>
                <w:tcPr>
                  <w:tcW w:w="1231" w:type="pct"/>
                  <w:tcBorders>
                    <w:top w:val="nil"/>
                    <w:left w:val="nil"/>
                    <w:bottom w:val="nil"/>
                    <w:right w:val="nil"/>
                  </w:tcBorders>
                </w:tcPr>
                <w:p w14:paraId="4B5EDBC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p>
              </w:tc>
              <w:tc>
                <w:tcPr>
                  <w:tcW w:w="560" w:type="pct"/>
                  <w:tcBorders>
                    <w:left w:val="nil"/>
                    <w:right w:val="nil"/>
                  </w:tcBorders>
                  <w:vAlign w:val="center"/>
                </w:tcPr>
                <w:p w14:paraId="11220BC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622AAAC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659" w:type="pct"/>
                  <w:tcBorders>
                    <w:left w:val="nil"/>
                    <w:right w:val="nil"/>
                  </w:tcBorders>
                  <w:vAlign w:val="center"/>
                </w:tcPr>
                <w:p w14:paraId="19E5A9A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5" w:type="pct"/>
                  <w:tcBorders>
                    <w:left w:val="nil"/>
                    <w:right w:val="nil"/>
                  </w:tcBorders>
                </w:tcPr>
                <w:p w14:paraId="1AAAF31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2B3D924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(-2.385)</w:t>
                  </w:r>
                </w:p>
              </w:tc>
              <w:tc>
                <w:tcPr>
                  <w:tcW w:w="606" w:type="pct"/>
                  <w:tcBorders>
                    <w:left w:val="nil"/>
                    <w:right w:val="nil"/>
                  </w:tcBorders>
                  <w:vAlign w:val="center"/>
                </w:tcPr>
                <w:p w14:paraId="74207E9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(-2.367)</w:t>
                  </w:r>
                </w:p>
              </w:tc>
              <w:tc>
                <w:tcPr>
                  <w:tcW w:w="659" w:type="pct"/>
                  <w:tcBorders>
                    <w:left w:val="nil"/>
                    <w:right w:val="nil"/>
                  </w:tcBorders>
                  <w:vAlign w:val="center"/>
                </w:tcPr>
                <w:p w14:paraId="1DA60CF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(-2.055)</w:t>
                  </w:r>
                </w:p>
              </w:tc>
            </w:tr>
            <w:tr w:rsidR="00902176" w:rsidRPr="00F60760" w14:paraId="1A255D11" w14:textId="77777777" w:rsidTr="00902176">
              <w:tc>
                <w:tcPr>
                  <w:tcW w:w="1231" w:type="pct"/>
                  <w:tcBorders>
                    <w:top w:val="nil"/>
                    <w:left w:val="nil"/>
                    <w:bottom w:val="nil"/>
                    <w:right w:val="nil"/>
                  </w:tcBorders>
                </w:tcPr>
                <w:p w14:paraId="1DF43474"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deal_value_ln</w:t>
                  </w:r>
                </w:p>
              </w:tc>
              <w:tc>
                <w:tcPr>
                  <w:tcW w:w="560" w:type="pct"/>
                  <w:tcBorders>
                    <w:left w:val="nil"/>
                    <w:right w:val="nil"/>
                  </w:tcBorders>
                  <w:vAlign w:val="center"/>
                </w:tcPr>
                <w:p w14:paraId="3C8D01B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.139**</w:t>
                  </w:r>
                </w:p>
              </w:tc>
              <w:tc>
                <w:tcPr>
                  <w:tcW w:w="560" w:type="pct"/>
                  <w:tcBorders>
                    <w:left w:val="nil"/>
                    <w:right w:val="nil"/>
                  </w:tcBorders>
                  <w:vAlign w:val="center"/>
                </w:tcPr>
                <w:p w14:paraId="0887661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.079**</w:t>
                  </w:r>
                </w:p>
              </w:tc>
              <w:tc>
                <w:tcPr>
                  <w:tcW w:w="659" w:type="pct"/>
                  <w:tcBorders>
                    <w:left w:val="nil"/>
                    <w:right w:val="nil"/>
                  </w:tcBorders>
                  <w:vAlign w:val="center"/>
                </w:tcPr>
                <w:p w14:paraId="4D64DC1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.034**</w:t>
                  </w:r>
                </w:p>
              </w:tc>
              <w:tc>
                <w:tcPr>
                  <w:tcW w:w="165" w:type="pct"/>
                  <w:tcBorders>
                    <w:left w:val="nil"/>
                    <w:right w:val="nil"/>
                  </w:tcBorders>
                </w:tcPr>
                <w:p w14:paraId="315D619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6675868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.152***</w:t>
                  </w:r>
                </w:p>
              </w:tc>
              <w:tc>
                <w:tcPr>
                  <w:tcW w:w="606" w:type="pct"/>
                  <w:tcBorders>
                    <w:left w:val="nil"/>
                    <w:right w:val="nil"/>
                  </w:tcBorders>
                  <w:vAlign w:val="center"/>
                </w:tcPr>
                <w:p w14:paraId="45B74E2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.085***</w:t>
                  </w:r>
                </w:p>
              </w:tc>
              <w:tc>
                <w:tcPr>
                  <w:tcW w:w="659" w:type="pct"/>
                  <w:tcBorders>
                    <w:left w:val="nil"/>
                    <w:right w:val="nil"/>
                  </w:tcBorders>
                  <w:vAlign w:val="center"/>
                </w:tcPr>
                <w:p w14:paraId="243ED95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.036**</w:t>
                  </w:r>
                </w:p>
              </w:tc>
            </w:tr>
            <w:tr w:rsidR="00902176" w:rsidRPr="00F60760" w14:paraId="2147E4D2" w14:textId="77777777" w:rsidTr="00902176">
              <w:tc>
                <w:tcPr>
                  <w:tcW w:w="1231" w:type="pct"/>
                  <w:tcBorders>
                    <w:top w:val="nil"/>
                    <w:left w:val="nil"/>
                    <w:bottom w:val="nil"/>
                    <w:right w:val="nil"/>
                  </w:tcBorders>
                </w:tcPr>
                <w:p w14:paraId="267002F5"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560" w:type="pct"/>
                  <w:tcBorders>
                    <w:left w:val="nil"/>
                    <w:right w:val="nil"/>
                  </w:tcBorders>
                  <w:vAlign w:val="center"/>
                </w:tcPr>
                <w:p w14:paraId="322E4A2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(2.425)</w:t>
                  </w:r>
                </w:p>
              </w:tc>
              <w:tc>
                <w:tcPr>
                  <w:tcW w:w="560" w:type="pct"/>
                  <w:tcBorders>
                    <w:left w:val="nil"/>
                    <w:right w:val="nil"/>
                  </w:tcBorders>
                  <w:vAlign w:val="center"/>
                </w:tcPr>
                <w:p w14:paraId="34E0334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(2.406)</w:t>
                  </w:r>
                </w:p>
              </w:tc>
              <w:tc>
                <w:tcPr>
                  <w:tcW w:w="659" w:type="pct"/>
                  <w:tcBorders>
                    <w:left w:val="nil"/>
                    <w:right w:val="nil"/>
                  </w:tcBorders>
                  <w:vAlign w:val="center"/>
                </w:tcPr>
                <w:p w14:paraId="181D0F7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(2.116)</w:t>
                  </w:r>
                </w:p>
              </w:tc>
              <w:tc>
                <w:tcPr>
                  <w:tcW w:w="165" w:type="pct"/>
                  <w:tcBorders>
                    <w:left w:val="nil"/>
                    <w:right w:val="nil"/>
                  </w:tcBorders>
                </w:tcPr>
                <w:p w14:paraId="2DE69FF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0394BEB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(2.810)</w:t>
                  </w:r>
                </w:p>
              </w:tc>
              <w:tc>
                <w:tcPr>
                  <w:tcW w:w="606" w:type="pct"/>
                  <w:tcBorders>
                    <w:left w:val="nil"/>
                    <w:right w:val="nil"/>
                  </w:tcBorders>
                  <w:vAlign w:val="center"/>
                </w:tcPr>
                <w:p w14:paraId="7C6584D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(2.769)</w:t>
                  </w:r>
                </w:p>
              </w:tc>
              <w:tc>
                <w:tcPr>
                  <w:tcW w:w="659" w:type="pct"/>
                  <w:tcBorders>
                    <w:left w:val="nil"/>
                    <w:right w:val="nil"/>
                  </w:tcBorders>
                  <w:vAlign w:val="center"/>
                </w:tcPr>
                <w:p w14:paraId="5DA515F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(2.333)</w:t>
                  </w:r>
                </w:p>
              </w:tc>
            </w:tr>
            <w:tr w:rsidR="00902176" w:rsidRPr="00F60760" w14:paraId="6B9DD27F" w14:textId="77777777" w:rsidTr="00902176">
              <w:tc>
                <w:tcPr>
                  <w:tcW w:w="1231" w:type="pct"/>
                  <w:tcBorders>
                    <w:top w:val="nil"/>
                    <w:left w:val="nil"/>
                    <w:bottom w:val="nil"/>
                    <w:right w:val="nil"/>
                  </w:tcBorders>
                </w:tcPr>
                <w:p w14:paraId="5E22021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deal_hofstede_distance</w:t>
                  </w:r>
                </w:p>
              </w:tc>
              <w:tc>
                <w:tcPr>
                  <w:tcW w:w="560" w:type="pct"/>
                  <w:tcBorders>
                    <w:left w:val="nil"/>
                    <w:right w:val="nil"/>
                  </w:tcBorders>
                  <w:vAlign w:val="center"/>
                </w:tcPr>
                <w:p w14:paraId="59B6EFD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.221</w:t>
                  </w:r>
                </w:p>
              </w:tc>
              <w:tc>
                <w:tcPr>
                  <w:tcW w:w="560" w:type="pct"/>
                  <w:tcBorders>
                    <w:left w:val="nil"/>
                    <w:right w:val="nil"/>
                  </w:tcBorders>
                  <w:vAlign w:val="center"/>
                </w:tcPr>
                <w:p w14:paraId="5A1CE46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.051</w:t>
                  </w:r>
                </w:p>
              </w:tc>
              <w:tc>
                <w:tcPr>
                  <w:tcW w:w="659" w:type="pct"/>
                  <w:tcBorders>
                    <w:left w:val="nil"/>
                    <w:right w:val="nil"/>
                  </w:tcBorders>
                  <w:vAlign w:val="center"/>
                </w:tcPr>
                <w:p w14:paraId="217210B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-.042</w:t>
                  </w:r>
                </w:p>
              </w:tc>
              <w:tc>
                <w:tcPr>
                  <w:tcW w:w="165" w:type="pct"/>
                  <w:tcBorders>
                    <w:left w:val="nil"/>
                    <w:right w:val="nil"/>
                  </w:tcBorders>
                </w:tcPr>
                <w:p w14:paraId="2FF80E2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5A43C78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.290 </w:t>
                  </w:r>
                </w:p>
              </w:tc>
              <w:tc>
                <w:tcPr>
                  <w:tcW w:w="606" w:type="pct"/>
                  <w:tcBorders>
                    <w:left w:val="nil"/>
                    <w:right w:val="nil"/>
                  </w:tcBorders>
                  <w:vAlign w:val="center"/>
                </w:tcPr>
                <w:p w14:paraId="754B872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.085</w:t>
                  </w:r>
                </w:p>
              </w:tc>
              <w:tc>
                <w:tcPr>
                  <w:tcW w:w="659" w:type="pct"/>
                  <w:tcBorders>
                    <w:left w:val="nil"/>
                    <w:right w:val="nil"/>
                  </w:tcBorders>
                  <w:vAlign w:val="center"/>
                </w:tcPr>
                <w:p w14:paraId="6D8D951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-.030</w:t>
                  </w:r>
                </w:p>
              </w:tc>
            </w:tr>
            <w:tr w:rsidR="00902176" w:rsidRPr="00F60760" w14:paraId="2FBA8B4F" w14:textId="77777777" w:rsidTr="00902176">
              <w:tc>
                <w:tcPr>
                  <w:tcW w:w="1231" w:type="pct"/>
                  <w:tcBorders>
                    <w:top w:val="nil"/>
                    <w:left w:val="nil"/>
                    <w:bottom w:val="nil"/>
                    <w:right w:val="nil"/>
                  </w:tcBorders>
                </w:tcPr>
                <w:p w14:paraId="20A13A11"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560" w:type="pct"/>
                  <w:tcBorders>
                    <w:left w:val="nil"/>
                    <w:right w:val="nil"/>
                  </w:tcBorders>
                  <w:vAlign w:val="center"/>
                </w:tcPr>
                <w:p w14:paraId="643D4F4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(.619)</w:t>
                  </w:r>
                </w:p>
              </w:tc>
              <w:tc>
                <w:tcPr>
                  <w:tcW w:w="560" w:type="pct"/>
                  <w:tcBorders>
                    <w:left w:val="nil"/>
                    <w:right w:val="nil"/>
                  </w:tcBorders>
                  <w:vAlign w:val="center"/>
                </w:tcPr>
                <w:p w14:paraId="1F16497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(.293)</w:t>
                  </w:r>
                </w:p>
              </w:tc>
              <w:tc>
                <w:tcPr>
                  <w:tcW w:w="659" w:type="pct"/>
                  <w:tcBorders>
                    <w:left w:val="nil"/>
                    <w:right w:val="nil"/>
                  </w:tcBorders>
                  <w:vAlign w:val="center"/>
                </w:tcPr>
                <w:p w14:paraId="350DB77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(-.467)</w:t>
                  </w:r>
                </w:p>
              </w:tc>
              <w:tc>
                <w:tcPr>
                  <w:tcW w:w="165" w:type="pct"/>
                  <w:tcBorders>
                    <w:left w:val="nil"/>
                    <w:right w:val="nil"/>
                  </w:tcBorders>
                </w:tcPr>
                <w:p w14:paraId="6A45455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7E833D3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(.802)</w:t>
                  </w:r>
                </w:p>
              </w:tc>
              <w:tc>
                <w:tcPr>
                  <w:tcW w:w="606" w:type="pct"/>
                  <w:tcBorders>
                    <w:left w:val="nil"/>
                    <w:right w:val="nil"/>
                  </w:tcBorders>
                  <w:vAlign w:val="center"/>
                </w:tcPr>
                <w:p w14:paraId="0BD0D39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(.489)</w:t>
                  </w:r>
                </w:p>
              </w:tc>
              <w:tc>
                <w:tcPr>
                  <w:tcW w:w="659" w:type="pct"/>
                  <w:tcBorders>
                    <w:left w:val="nil"/>
                    <w:right w:val="nil"/>
                  </w:tcBorders>
                  <w:vAlign w:val="center"/>
                </w:tcPr>
                <w:p w14:paraId="6552ACC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(-.338)</w:t>
                  </w:r>
                </w:p>
              </w:tc>
            </w:tr>
            <w:tr w:rsidR="00902176" w:rsidRPr="00F60760" w14:paraId="366D0E6B" w14:textId="77777777" w:rsidTr="00902176">
              <w:tc>
                <w:tcPr>
                  <w:tcW w:w="1231" w:type="pct"/>
                  <w:tcBorders>
                    <w:top w:val="nil"/>
                    <w:left w:val="nil"/>
                    <w:bottom w:val="nil"/>
                    <w:right w:val="nil"/>
                  </w:tcBorders>
                </w:tcPr>
                <w:p w14:paraId="227F20B4"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deal_all_cash_dummy</w:t>
                  </w:r>
                </w:p>
              </w:tc>
              <w:tc>
                <w:tcPr>
                  <w:tcW w:w="560" w:type="pct"/>
                  <w:tcBorders>
                    <w:left w:val="nil"/>
                    <w:right w:val="nil"/>
                  </w:tcBorders>
                  <w:vAlign w:val="center"/>
                </w:tcPr>
                <w:p w14:paraId="02166C6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.030</w:t>
                  </w:r>
                </w:p>
              </w:tc>
              <w:tc>
                <w:tcPr>
                  <w:tcW w:w="560" w:type="pct"/>
                  <w:tcBorders>
                    <w:left w:val="nil"/>
                    <w:right w:val="nil"/>
                  </w:tcBorders>
                  <w:vAlign w:val="center"/>
                </w:tcPr>
                <w:p w14:paraId="3149DBE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.029</w:t>
                  </w:r>
                </w:p>
              </w:tc>
              <w:tc>
                <w:tcPr>
                  <w:tcW w:w="659" w:type="pct"/>
                  <w:tcBorders>
                    <w:left w:val="nil"/>
                    <w:right w:val="nil"/>
                  </w:tcBorders>
                  <w:vAlign w:val="center"/>
                </w:tcPr>
                <w:p w14:paraId="7984F12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.007</w:t>
                  </w:r>
                </w:p>
              </w:tc>
              <w:tc>
                <w:tcPr>
                  <w:tcW w:w="165" w:type="pct"/>
                  <w:tcBorders>
                    <w:left w:val="nil"/>
                    <w:right w:val="nil"/>
                  </w:tcBorders>
                </w:tcPr>
                <w:p w14:paraId="7C24284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122B089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-.010</w:t>
                  </w:r>
                </w:p>
              </w:tc>
              <w:tc>
                <w:tcPr>
                  <w:tcW w:w="606" w:type="pct"/>
                  <w:tcBorders>
                    <w:left w:val="nil"/>
                    <w:right w:val="nil"/>
                  </w:tcBorders>
                  <w:vAlign w:val="center"/>
                </w:tcPr>
                <w:p w14:paraId="17F52AA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.009</w:t>
                  </w:r>
                </w:p>
              </w:tc>
              <w:tc>
                <w:tcPr>
                  <w:tcW w:w="659" w:type="pct"/>
                  <w:tcBorders>
                    <w:left w:val="nil"/>
                    <w:right w:val="nil"/>
                  </w:tcBorders>
                  <w:vAlign w:val="center"/>
                </w:tcPr>
                <w:p w14:paraId="3371F91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.0003</w:t>
                  </w:r>
                </w:p>
              </w:tc>
            </w:tr>
            <w:tr w:rsidR="00902176" w:rsidRPr="00F60760" w14:paraId="21E6F0F2" w14:textId="77777777" w:rsidTr="00902176">
              <w:tc>
                <w:tcPr>
                  <w:tcW w:w="1231" w:type="pct"/>
                  <w:tcBorders>
                    <w:top w:val="nil"/>
                    <w:left w:val="nil"/>
                    <w:bottom w:val="nil"/>
                    <w:right w:val="nil"/>
                  </w:tcBorders>
                </w:tcPr>
                <w:p w14:paraId="10CEE16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560" w:type="pct"/>
                  <w:tcBorders>
                    <w:left w:val="nil"/>
                    <w:right w:val="nil"/>
                  </w:tcBorders>
                  <w:vAlign w:val="center"/>
                </w:tcPr>
                <w:p w14:paraId="6BAA380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(.336)</w:t>
                  </w:r>
                </w:p>
              </w:tc>
              <w:tc>
                <w:tcPr>
                  <w:tcW w:w="560" w:type="pct"/>
                  <w:tcBorders>
                    <w:left w:val="nil"/>
                    <w:right w:val="nil"/>
                  </w:tcBorders>
                  <w:vAlign w:val="center"/>
                </w:tcPr>
                <w:p w14:paraId="7C338DC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(.548)</w:t>
                  </w:r>
                </w:p>
              </w:tc>
              <w:tc>
                <w:tcPr>
                  <w:tcW w:w="659" w:type="pct"/>
                  <w:tcBorders>
                    <w:left w:val="nil"/>
                    <w:right w:val="nil"/>
                  </w:tcBorders>
                  <w:vAlign w:val="center"/>
                </w:tcPr>
                <w:p w14:paraId="60D2D83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(.326)</w:t>
                  </w:r>
                </w:p>
              </w:tc>
              <w:tc>
                <w:tcPr>
                  <w:tcW w:w="165" w:type="pct"/>
                  <w:tcBorders>
                    <w:left w:val="nil"/>
                    <w:right w:val="nil"/>
                  </w:tcBorders>
                </w:tcPr>
                <w:p w14:paraId="13BEB15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15A6494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(-.107)</w:t>
                  </w:r>
                </w:p>
              </w:tc>
              <w:tc>
                <w:tcPr>
                  <w:tcW w:w="606" w:type="pct"/>
                  <w:tcBorders>
                    <w:left w:val="nil"/>
                    <w:right w:val="nil"/>
                  </w:tcBorders>
                  <w:vAlign w:val="center"/>
                </w:tcPr>
                <w:p w14:paraId="2754CC4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(.156)</w:t>
                  </w:r>
                </w:p>
              </w:tc>
              <w:tc>
                <w:tcPr>
                  <w:tcW w:w="659" w:type="pct"/>
                  <w:tcBorders>
                    <w:left w:val="nil"/>
                    <w:right w:val="nil"/>
                  </w:tcBorders>
                  <w:vAlign w:val="center"/>
                </w:tcPr>
                <w:p w14:paraId="7B2DAA3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(.011)</w:t>
                  </w:r>
                </w:p>
              </w:tc>
            </w:tr>
            <w:tr w:rsidR="00902176" w:rsidRPr="00F60760" w14:paraId="57B97D62" w14:textId="77777777" w:rsidTr="00902176">
              <w:tc>
                <w:tcPr>
                  <w:tcW w:w="1231" w:type="pct"/>
                  <w:tcBorders>
                    <w:top w:val="nil"/>
                    <w:left w:val="nil"/>
                    <w:bottom w:val="nil"/>
                    <w:right w:val="nil"/>
                  </w:tcBorders>
                </w:tcPr>
                <w:p w14:paraId="33B630FB"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deal_all_stock_dummy</w:t>
                  </w:r>
                </w:p>
              </w:tc>
              <w:tc>
                <w:tcPr>
                  <w:tcW w:w="560" w:type="pct"/>
                  <w:tcBorders>
                    <w:left w:val="nil"/>
                    <w:right w:val="nil"/>
                  </w:tcBorders>
                  <w:vAlign w:val="center"/>
                </w:tcPr>
                <w:p w14:paraId="6F81E87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-.121</w:t>
                  </w:r>
                </w:p>
              </w:tc>
              <w:tc>
                <w:tcPr>
                  <w:tcW w:w="560" w:type="pct"/>
                  <w:tcBorders>
                    <w:left w:val="nil"/>
                    <w:right w:val="nil"/>
                  </w:tcBorders>
                  <w:vAlign w:val="center"/>
                </w:tcPr>
                <w:p w14:paraId="65BF406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-.068</w:t>
                  </w:r>
                </w:p>
              </w:tc>
              <w:tc>
                <w:tcPr>
                  <w:tcW w:w="659" w:type="pct"/>
                  <w:tcBorders>
                    <w:left w:val="nil"/>
                    <w:right w:val="nil"/>
                  </w:tcBorders>
                  <w:vAlign w:val="center"/>
                </w:tcPr>
                <w:p w14:paraId="75163A9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-.028</w:t>
                  </w:r>
                </w:p>
              </w:tc>
              <w:tc>
                <w:tcPr>
                  <w:tcW w:w="165" w:type="pct"/>
                  <w:tcBorders>
                    <w:left w:val="nil"/>
                    <w:right w:val="nil"/>
                  </w:tcBorders>
                </w:tcPr>
                <w:p w14:paraId="70D2427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4D4BBA7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-.064</w:t>
                  </w:r>
                </w:p>
              </w:tc>
              <w:tc>
                <w:tcPr>
                  <w:tcW w:w="606" w:type="pct"/>
                  <w:tcBorders>
                    <w:left w:val="nil"/>
                    <w:right w:val="nil"/>
                  </w:tcBorders>
                  <w:vAlign w:val="center"/>
                </w:tcPr>
                <w:p w14:paraId="6D3E850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-.039</w:t>
                  </w:r>
                </w:p>
              </w:tc>
              <w:tc>
                <w:tcPr>
                  <w:tcW w:w="659" w:type="pct"/>
                  <w:tcBorders>
                    <w:left w:val="nil"/>
                    <w:right w:val="nil"/>
                  </w:tcBorders>
                  <w:vAlign w:val="center"/>
                </w:tcPr>
                <w:p w14:paraId="1283720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-.018</w:t>
                  </w:r>
                </w:p>
              </w:tc>
            </w:tr>
            <w:tr w:rsidR="00902176" w:rsidRPr="00F60760" w14:paraId="1460C60D" w14:textId="77777777" w:rsidTr="00902176">
              <w:tc>
                <w:tcPr>
                  <w:tcW w:w="1231" w:type="pct"/>
                  <w:tcBorders>
                    <w:top w:val="nil"/>
                    <w:left w:val="nil"/>
                    <w:bottom w:val="nil"/>
                    <w:right w:val="nil"/>
                  </w:tcBorders>
                </w:tcPr>
                <w:p w14:paraId="020BFD7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560" w:type="pct"/>
                  <w:tcBorders>
                    <w:left w:val="nil"/>
                    <w:right w:val="nil"/>
                  </w:tcBorders>
                  <w:vAlign w:val="center"/>
                </w:tcPr>
                <w:p w14:paraId="210737B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(-.991)</w:t>
                  </w:r>
                </w:p>
              </w:tc>
              <w:tc>
                <w:tcPr>
                  <w:tcW w:w="560" w:type="pct"/>
                  <w:tcBorders>
                    <w:left w:val="nil"/>
                    <w:right w:val="nil"/>
                  </w:tcBorders>
                  <w:vAlign w:val="center"/>
                </w:tcPr>
                <w:p w14:paraId="2CF1228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(-1.098)</w:t>
                  </w:r>
                </w:p>
              </w:tc>
              <w:tc>
                <w:tcPr>
                  <w:tcW w:w="659" w:type="pct"/>
                  <w:tcBorders>
                    <w:left w:val="nil"/>
                    <w:right w:val="nil"/>
                  </w:tcBorders>
                  <w:vAlign w:val="center"/>
                </w:tcPr>
                <w:p w14:paraId="39C6649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(-1.114)</w:t>
                  </w:r>
                </w:p>
              </w:tc>
              <w:tc>
                <w:tcPr>
                  <w:tcW w:w="165" w:type="pct"/>
                  <w:tcBorders>
                    <w:left w:val="nil"/>
                    <w:right w:val="nil"/>
                  </w:tcBorders>
                </w:tcPr>
                <w:p w14:paraId="0B0ED77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536DCB4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(-.536)</w:t>
                  </w:r>
                </w:p>
              </w:tc>
              <w:tc>
                <w:tcPr>
                  <w:tcW w:w="606" w:type="pct"/>
                  <w:tcBorders>
                    <w:left w:val="nil"/>
                    <w:right w:val="nil"/>
                  </w:tcBorders>
                  <w:vAlign w:val="center"/>
                </w:tcPr>
                <w:p w14:paraId="361D0A3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(-.621)</w:t>
                  </w:r>
                </w:p>
              </w:tc>
              <w:tc>
                <w:tcPr>
                  <w:tcW w:w="659" w:type="pct"/>
                  <w:tcBorders>
                    <w:left w:val="nil"/>
                    <w:right w:val="nil"/>
                  </w:tcBorders>
                  <w:vAlign w:val="center"/>
                </w:tcPr>
                <w:p w14:paraId="131E81A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(-.711)</w:t>
                  </w:r>
                </w:p>
              </w:tc>
            </w:tr>
            <w:tr w:rsidR="00902176" w:rsidRPr="00F60760" w14:paraId="41D71B59" w14:textId="77777777" w:rsidTr="00902176">
              <w:tc>
                <w:tcPr>
                  <w:tcW w:w="1231" w:type="pct"/>
                  <w:tcBorders>
                    <w:top w:val="nil"/>
                    <w:left w:val="nil"/>
                    <w:bottom w:val="nil"/>
                    <w:right w:val="nil"/>
                  </w:tcBorders>
                </w:tcPr>
                <w:p w14:paraId="5F9AA72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deal_tenderoffer_dummy</w:t>
                  </w:r>
                </w:p>
              </w:tc>
              <w:tc>
                <w:tcPr>
                  <w:tcW w:w="560" w:type="pct"/>
                  <w:tcBorders>
                    <w:left w:val="nil"/>
                    <w:right w:val="nil"/>
                  </w:tcBorders>
                  <w:vAlign w:val="center"/>
                </w:tcPr>
                <w:p w14:paraId="4B0B797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-.071</w:t>
                  </w:r>
                </w:p>
              </w:tc>
              <w:tc>
                <w:tcPr>
                  <w:tcW w:w="560" w:type="pct"/>
                  <w:tcBorders>
                    <w:left w:val="nil"/>
                    <w:right w:val="nil"/>
                  </w:tcBorders>
                  <w:vAlign w:val="center"/>
                </w:tcPr>
                <w:p w14:paraId="1240364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-.033</w:t>
                  </w:r>
                </w:p>
              </w:tc>
              <w:tc>
                <w:tcPr>
                  <w:tcW w:w="659" w:type="pct"/>
                  <w:tcBorders>
                    <w:left w:val="nil"/>
                    <w:right w:val="nil"/>
                  </w:tcBorders>
                  <w:vAlign w:val="center"/>
                </w:tcPr>
                <w:p w14:paraId="446E3BE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-.018</w:t>
                  </w:r>
                </w:p>
              </w:tc>
              <w:tc>
                <w:tcPr>
                  <w:tcW w:w="165" w:type="pct"/>
                  <w:tcBorders>
                    <w:left w:val="nil"/>
                    <w:right w:val="nil"/>
                  </w:tcBorders>
                </w:tcPr>
                <w:p w14:paraId="53FCA9B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1F06BB8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-.077</w:t>
                  </w:r>
                </w:p>
              </w:tc>
              <w:tc>
                <w:tcPr>
                  <w:tcW w:w="606" w:type="pct"/>
                  <w:tcBorders>
                    <w:left w:val="nil"/>
                    <w:right w:val="nil"/>
                  </w:tcBorders>
                  <w:vAlign w:val="center"/>
                </w:tcPr>
                <w:p w14:paraId="6055D84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-.035</w:t>
                  </w:r>
                </w:p>
              </w:tc>
              <w:tc>
                <w:tcPr>
                  <w:tcW w:w="659" w:type="pct"/>
                  <w:tcBorders>
                    <w:left w:val="nil"/>
                    <w:right w:val="nil"/>
                  </w:tcBorders>
                  <w:vAlign w:val="center"/>
                </w:tcPr>
                <w:p w14:paraId="5857F82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-.018</w:t>
                  </w:r>
                </w:p>
              </w:tc>
            </w:tr>
            <w:tr w:rsidR="00902176" w:rsidRPr="00F60760" w14:paraId="523412AF" w14:textId="77777777" w:rsidTr="00902176">
              <w:tc>
                <w:tcPr>
                  <w:tcW w:w="1231" w:type="pct"/>
                  <w:tcBorders>
                    <w:top w:val="nil"/>
                    <w:left w:val="nil"/>
                    <w:bottom w:val="nil"/>
                    <w:right w:val="nil"/>
                  </w:tcBorders>
                </w:tcPr>
                <w:p w14:paraId="74410DDB"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560" w:type="pct"/>
                  <w:tcBorders>
                    <w:left w:val="nil"/>
                    <w:right w:val="nil"/>
                  </w:tcBorders>
                  <w:vAlign w:val="center"/>
                </w:tcPr>
                <w:p w14:paraId="7EBD734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(-.866)</w:t>
                  </w:r>
                </w:p>
              </w:tc>
              <w:tc>
                <w:tcPr>
                  <w:tcW w:w="560" w:type="pct"/>
                  <w:tcBorders>
                    <w:left w:val="nil"/>
                    <w:right w:val="nil"/>
                  </w:tcBorders>
                  <w:vAlign w:val="center"/>
                </w:tcPr>
                <w:p w14:paraId="44FD752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(-.672)</w:t>
                  </w:r>
                </w:p>
              </w:tc>
              <w:tc>
                <w:tcPr>
                  <w:tcW w:w="659" w:type="pct"/>
                  <w:tcBorders>
                    <w:left w:val="nil"/>
                    <w:right w:val="nil"/>
                  </w:tcBorders>
                  <w:vAlign w:val="center"/>
                </w:tcPr>
                <w:p w14:paraId="4A83BF0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(-.798)</w:t>
                  </w:r>
                </w:p>
              </w:tc>
              <w:tc>
                <w:tcPr>
                  <w:tcW w:w="165" w:type="pct"/>
                  <w:tcBorders>
                    <w:left w:val="nil"/>
                    <w:right w:val="nil"/>
                  </w:tcBorders>
                </w:tcPr>
                <w:p w14:paraId="3B43ED9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37FEC4B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(-.895)</w:t>
                  </w:r>
                </w:p>
              </w:tc>
              <w:tc>
                <w:tcPr>
                  <w:tcW w:w="606" w:type="pct"/>
                  <w:tcBorders>
                    <w:left w:val="nil"/>
                    <w:right w:val="nil"/>
                  </w:tcBorders>
                  <w:vAlign w:val="center"/>
                </w:tcPr>
                <w:p w14:paraId="43CCD0C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(-.690)</w:t>
                  </w:r>
                </w:p>
              </w:tc>
              <w:tc>
                <w:tcPr>
                  <w:tcW w:w="659" w:type="pct"/>
                  <w:tcBorders>
                    <w:left w:val="nil"/>
                    <w:right w:val="nil"/>
                  </w:tcBorders>
                  <w:vAlign w:val="center"/>
                </w:tcPr>
                <w:p w14:paraId="2371722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(-.762)</w:t>
                  </w:r>
                </w:p>
              </w:tc>
            </w:tr>
            <w:tr w:rsidR="00902176" w:rsidRPr="00F60760" w14:paraId="104290F7" w14:textId="77777777" w:rsidTr="00902176">
              <w:tc>
                <w:tcPr>
                  <w:tcW w:w="1231" w:type="pct"/>
                  <w:tcBorders>
                    <w:top w:val="nil"/>
                    <w:left w:val="nil"/>
                    <w:bottom w:val="nil"/>
                    <w:right w:val="nil"/>
                  </w:tcBorders>
                </w:tcPr>
                <w:p w14:paraId="32BDB458"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deal_friendly_dummy</w:t>
                  </w:r>
                </w:p>
              </w:tc>
              <w:tc>
                <w:tcPr>
                  <w:tcW w:w="560" w:type="pct"/>
                  <w:tcBorders>
                    <w:left w:val="nil"/>
                    <w:right w:val="nil"/>
                  </w:tcBorders>
                  <w:vAlign w:val="center"/>
                </w:tcPr>
                <w:p w14:paraId="32BC559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-.186</w:t>
                  </w:r>
                </w:p>
              </w:tc>
              <w:tc>
                <w:tcPr>
                  <w:tcW w:w="560" w:type="pct"/>
                  <w:tcBorders>
                    <w:left w:val="nil"/>
                    <w:right w:val="nil"/>
                  </w:tcBorders>
                  <w:vAlign w:val="center"/>
                </w:tcPr>
                <w:p w14:paraId="7E2CF9A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-.081</w:t>
                  </w:r>
                </w:p>
              </w:tc>
              <w:tc>
                <w:tcPr>
                  <w:tcW w:w="659" w:type="pct"/>
                  <w:tcBorders>
                    <w:left w:val="nil"/>
                    <w:right w:val="nil"/>
                  </w:tcBorders>
                  <w:vAlign w:val="center"/>
                </w:tcPr>
                <w:p w14:paraId="1E71FCB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-.028</w:t>
                  </w:r>
                </w:p>
              </w:tc>
              <w:tc>
                <w:tcPr>
                  <w:tcW w:w="165" w:type="pct"/>
                  <w:tcBorders>
                    <w:left w:val="nil"/>
                    <w:right w:val="nil"/>
                  </w:tcBorders>
                </w:tcPr>
                <w:p w14:paraId="15F8E74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08CE414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-.190</w:t>
                  </w:r>
                </w:p>
              </w:tc>
              <w:tc>
                <w:tcPr>
                  <w:tcW w:w="606" w:type="pct"/>
                  <w:tcBorders>
                    <w:left w:val="nil"/>
                    <w:right w:val="nil"/>
                  </w:tcBorders>
                  <w:vAlign w:val="center"/>
                </w:tcPr>
                <w:p w14:paraId="6BAA0AA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-.089</w:t>
                  </w:r>
                </w:p>
              </w:tc>
              <w:tc>
                <w:tcPr>
                  <w:tcW w:w="659" w:type="pct"/>
                  <w:tcBorders>
                    <w:left w:val="nil"/>
                    <w:right w:val="nil"/>
                  </w:tcBorders>
                  <w:vAlign w:val="center"/>
                </w:tcPr>
                <w:p w14:paraId="75671FF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-.035</w:t>
                  </w:r>
                </w:p>
              </w:tc>
            </w:tr>
            <w:tr w:rsidR="00902176" w:rsidRPr="00F60760" w14:paraId="4850BEA9" w14:textId="77777777" w:rsidTr="00902176">
              <w:tc>
                <w:tcPr>
                  <w:tcW w:w="1231" w:type="pct"/>
                  <w:tcBorders>
                    <w:top w:val="nil"/>
                    <w:left w:val="nil"/>
                    <w:bottom w:val="nil"/>
                    <w:right w:val="nil"/>
                  </w:tcBorders>
                </w:tcPr>
                <w:p w14:paraId="64C010C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560" w:type="pct"/>
                  <w:tcBorders>
                    <w:left w:val="nil"/>
                    <w:right w:val="nil"/>
                  </w:tcBorders>
                  <w:vAlign w:val="center"/>
                </w:tcPr>
                <w:p w14:paraId="37513D5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(-.926)</w:t>
                  </w:r>
                </w:p>
              </w:tc>
              <w:tc>
                <w:tcPr>
                  <w:tcW w:w="560" w:type="pct"/>
                  <w:tcBorders>
                    <w:left w:val="nil"/>
                    <w:right w:val="nil"/>
                  </w:tcBorders>
                  <w:vAlign w:val="center"/>
                </w:tcPr>
                <w:p w14:paraId="42AC487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(-.672)</w:t>
                  </w:r>
                </w:p>
              </w:tc>
              <w:tc>
                <w:tcPr>
                  <w:tcW w:w="659" w:type="pct"/>
                  <w:tcBorders>
                    <w:left w:val="nil"/>
                    <w:right w:val="nil"/>
                  </w:tcBorders>
                  <w:vAlign w:val="center"/>
                </w:tcPr>
                <w:p w14:paraId="6665E19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(-.597)</w:t>
                  </w:r>
                </w:p>
              </w:tc>
              <w:tc>
                <w:tcPr>
                  <w:tcW w:w="165" w:type="pct"/>
                  <w:tcBorders>
                    <w:left w:val="nil"/>
                    <w:right w:val="nil"/>
                  </w:tcBorders>
                </w:tcPr>
                <w:p w14:paraId="6D8C333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3695011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(-1.090)</w:t>
                  </w:r>
                </w:p>
              </w:tc>
              <w:tc>
                <w:tcPr>
                  <w:tcW w:w="606" w:type="pct"/>
                  <w:tcBorders>
                    <w:left w:val="nil"/>
                    <w:right w:val="nil"/>
                  </w:tcBorders>
                  <w:vAlign w:val="center"/>
                </w:tcPr>
                <w:p w14:paraId="0D57E05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(-.835)</w:t>
                  </w:r>
                </w:p>
              </w:tc>
              <w:tc>
                <w:tcPr>
                  <w:tcW w:w="659" w:type="pct"/>
                  <w:tcBorders>
                    <w:left w:val="nil"/>
                    <w:right w:val="nil"/>
                  </w:tcBorders>
                  <w:vAlign w:val="center"/>
                </w:tcPr>
                <w:p w14:paraId="7F4655A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(-.840)</w:t>
                  </w:r>
                </w:p>
              </w:tc>
            </w:tr>
            <w:tr w:rsidR="00902176" w:rsidRPr="00F60760" w14:paraId="1A476CC2" w14:textId="77777777" w:rsidTr="00902176">
              <w:tc>
                <w:tcPr>
                  <w:tcW w:w="1231" w:type="pct"/>
                  <w:tcBorders>
                    <w:top w:val="nil"/>
                    <w:left w:val="nil"/>
                    <w:bottom w:val="nil"/>
                    <w:right w:val="nil"/>
                  </w:tcBorders>
                </w:tcPr>
                <w:p w14:paraId="5CAF2EE3" w14:textId="3F0815A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deal_relatedness</w:t>
                  </w:r>
                  <w:r w:rsidR="00902176">
                    <w:rPr>
                      <w:color w:val="000000" w:themeColor="text1"/>
                      <w:sz w:val="22"/>
                      <w:lang w:val="en-US"/>
                    </w:rPr>
                    <w:br/>
                  </w:r>
                  <w:r w:rsidRPr="00F60760">
                    <w:rPr>
                      <w:color w:val="000000" w:themeColor="text1"/>
                      <w:sz w:val="22"/>
                      <w:lang w:val="en-US"/>
                    </w:rPr>
                    <w:t>_dummy</w:t>
                  </w:r>
                </w:p>
              </w:tc>
              <w:tc>
                <w:tcPr>
                  <w:tcW w:w="560" w:type="pct"/>
                  <w:tcBorders>
                    <w:left w:val="nil"/>
                    <w:right w:val="nil"/>
                  </w:tcBorders>
                  <w:vAlign w:val="center"/>
                </w:tcPr>
                <w:p w14:paraId="47A69DF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.020</w:t>
                  </w:r>
                </w:p>
              </w:tc>
              <w:tc>
                <w:tcPr>
                  <w:tcW w:w="560" w:type="pct"/>
                  <w:tcBorders>
                    <w:left w:val="nil"/>
                    <w:right w:val="nil"/>
                  </w:tcBorders>
                  <w:vAlign w:val="center"/>
                </w:tcPr>
                <w:p w14:paraId="5E07155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c>
                <w:tcPr>
                  <w:tcW w:w="659" w:type="pct"/>
                  <w:tcBorders>
                    <w:left w:val="nil"/>
                    <w:right w:val="nil"/>
                  </w:tcBorders>
                  <w:vAlign w:val="center"/>
                </w:tcPr>
                <w:p w14:paraId="50C9F00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-.003</w:t>
                  </w:r>
                </w:p>
              </w:tc>
              <w:tc>
                <w:tcPr>
                  <w:tcW w:w="165" w:type="pct"/>
                  <w:tcBorders>
                    <w:left w:val="nil"/>
                    <w:right w:val="nil"/>
                  </w:tcBorders>
                </w:tcPr>
                <w:p w14:paraId="6E097B4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7CCB4AF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.035</w:t>
                  </w:r>
                </w:p>
              </w:tc>
              <w:tc>
                <w:tcPr>
                  <w:tcW w:w="606" w:type="pct"/>
                  <w:tcBorders>
                    <w:left w:val="nil"/>
                    <w:right w:val="nil"/>
                  </w:tcBorders>
                  <w:vAlign w:val="center"/>
                </w:tcPr>
                <w:p w14:paraId="1E08402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.009</w:t>
                  </w:r>
                </w:p>
              </w:tc>
              <w:tc>
                <w:tcPr>
                  <w:tcW w:w="659" w:type="pct"/>
                  <w:tcBorders>
                    <w:left w:val="nil"/>
                    <w:right w:val="nil"/>
                  </w:tcBorders>
                  <w:vAlign w:val="center"/>
                </w:tcPr>
                <w:p w14:paraId="3D91B7D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r>
            <w:tr w:rsidR="00902176" w:rsidRPr="00F60760" w14:paraId="5B902969" w14:textId="77777777" w:rsidTr="00902176">
              <w:tc>
                <w:tcPr>
                  <w:tcW w:w="1231" w:type="pct"/>
                  <w:tcBorders>
                    <w:top w:val="nil"/>
                    <w:left w:val="nil"/>
                    <w:bottom w:val="nil"/>
                    <w:right w:val="nil"/>
                  </w:tcBorders>
                </w:tcPr>
                <w:p w14:paraId="41240F4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560" w:type="pct"/>
                  <w:tcBorders>
                    <w:left w:val="nil"/>
                    <w:right w:val="nil"/>
                  </w:tcBorders>
                  <w:vAlign w:val="center"/>
                </w:tcPr>
                <w:p w14:paraId="1F6B684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(.240)</w:t>
                  </w:r>
                </w:p>
              </w:tc>
              <w:tc>
                <w:tcPr>
                  <w:tcW w:w="560" w:type="pct"/>
                  <w:tcBorders>
                    <w:left w:val="nil"/>
                    <w:right w:val="nil"/>
                  </w:tcBorders>
                  <w:vAlign w:val="center"/>
                </w:tcPr>
                <w:p w14:paraId="768CD9F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(.023)</w:t>
                  </w:r>
                </w:p>
              </w:tc>
              <w:tc>
                <w:tcPr>
                  <w:tcW w:w="659" w:type="pct"/>
                  <w:tcBorders>
                    <w:left w:val="nil"/>
                    <w:right w:val="nil"/>
                  </w:tcBorders>
                  <w:vAlign w:val="center"/>
                </w:tcPr>
                <w:p w14:paraId="1493A97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(-.167)</w:t>
                  </w:r>
                </w:p>
              </w:tc>
              <w:tc>
                <w:tcPr>
                  <w:tcW w:w="165" w:type="pct"/>
                  <w:tcBorders>
                    <w:left w:val="nil"/>
                    <w:right w:val="nil"/>
                  </w:tcBorders>
                </w:tcPr>
                <w:p w14:paraId="7FD8D2B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3C1938F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(.474)</w:t>
                  </w:r>
                </w:p>
              </w:tc>
              <w:tc>
                <w:tcPr>
                  <w:tcW w:w="606" w:type="pct"/>
                  <w:tcBorders>
                    <w:left w:val="nil"/>
                    <w:right w:val="nil"/>
                  </w:tcBorders>
                  <w:vAlign w:val="center"/>
                </w:tcPr>
                <w:p w14:paraId="2EABE88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(.210)</w:t>
                  </w:r>
                </w:p>
              </w:tc>
              <w:tc>
                <w:tcPr>
                  <w:tcW w:w="659" w:type="pct"/>
                  <w:tcBorders>
                    <w:left w:val="nil"/>
                    <w:right w:val="nil"/>
                  </w:tcBorders>
                  <w:vAlign w:val="center"/>
                </w:tcPr>
                <w:p w14:paraId="14033EE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(-.031)</w:t>
                  </w:r>
                </w:p>
              </w:tc>
            </w:tr>
            <w:tr w:rsidR="00902176" w:rsidRPr="00F60760" w14:paraId="6E2DD116" w14:textId="77777777" w:rsidTr="00902176">
              <w:tc>
                <w:tcPr>
                  <w:tcW w:w="1231" w:type="pct"/>
                  <w:tcBorders>
                    <w:top w:val="nil"/>
                    <w:left w:val="nil"/>
                    <w:bottom w:val="nil"/>
                    <w:right w:val="nil"/>
                  </w:tcBorders>
                </w:tcPr>
                <w:p w14:paraId="44917BA8"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acq_age</w:t>
                  </w:r>
                </w:p>
              </w:tc>
              <w:tc>
                <w:tcPr>
                  <w:tcW w:w="560" w:type="pct"/>
                  <w:tcBorders>
                    <w:left w:val="nil"/>
                    <w:right w:val="nil"/>
                  </w:tcBorders>
                  <w:vAlign w:val="center"/>
                </w:tcPr>
                <w:p w14:paraId="1C41C60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c>
                <w:tcPr>
                  <w:tcW w:w="560" w:type="pct"/>
                  <w:tcBorders>
                    <w:left w:val="nil"/>
                    <w:right w:val="nil"/>
                  </w:tcBorders>
                  <w:vAlign w:val="center"/>
                </w:tcPr>
                <w:p w14:paraId="2257E1C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c>
                <w:tcPr>
                  <w:tcW w:w="659" w:type="pct"/>
                  <w:tcBorders>
                    <w:left w:val="nil"/>
                    <w:right w:val="nil"/>
                  </w:tcBorders>
                  <w:vAlign w:val="center"/>
                </w:tcPr>
                <w:p w14:paraId="207C545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.0003</w:t>
                  </w:r>
                </w:p>
              </w:tc>
              <w:tc>
                <w:tcPr>
                  <w:tcW w:w="165" w:type="pct"/>
                  <w:tcBorders>
                    <w:left w:val="nil"/>
                    <w:right w:val="nil"/>
                  </w:tcBorders>
                </w:tcPr>
                <w:p w14:paraId="5CBCACC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4D3C3A7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c>
                <w:tcPr>
                  <w:tcW w:w="606" w:type="pct"/>
                  <w:tcBorders>
                    <w:left w:val="nil"/>
                    <w:right w:val="nil"/>
                  </w:tcBorders>
                  <w:vAlign w:val="center"/>
                </w:tcPr>
                <w:p w14:paraId="1A9B8C3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.0005</w:t>
                  </w:r>
                </w:p>
              </w:tc>
              <w:tc>
                <w:tcPr>
                  <w:tcW w:w="659" w:type="pct"/>
                  <w:tcBorders>
                    <w:left w:val="nil"/>
                    <w:right w:val="nil"/>
                  </w:tcBorders>
                  <w:vAlign w:val="center"/>
                </w:tcPr>
                <w:p w14:paraId="5C601C6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.0003</w:t>
                  </w:r>
                </w:p>
              </w:tc>
            </w:tr>
            <w:tr w:rsidR="00902176" w:rsidRPr="00F60760" w14:paraId="21087D90" w14:textId="77777777" w:rsidTr="00902176">
              <w:tc>
                <w:tcPr>
                  <w:tcW w:w="1231" w:type="pct"/>
                  <w:tcBorders>
                    <w:top w:val="nil"/>
                    <w:left w:val="nil"/>
                    <w:bottom w:val="nil"/>
                    <w:right w:val="nil"/>
                  </w:tcBorders>
                </w:tcPr>
                <w:p w14:paraId="6EBB3200"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560" w:type="pct"/>
                  <w:tcBorders>
                    <w:left w:val="nil"/>
                    <w:right w:val="nil"/>
                  </w:tcBorders>
                  <w:vAlign w:val="center"/>
                </w:tcPr>
                <w:p w14:paraId="1E7A115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(1.371)</w:t>
                  </w:r>
                </w:p>
              </w:tc>
              <w:tc>
                <w:tcPr>
                  <w:tcW w:w="560" w:type="pct"/>
                  <w:tcBorders>
                    <w:left w:val="nil"/>
                    <w:right w:val="nil"/>
                  </w:tcBorders>
                  <w:vAlign w:val="center"/>
                </w:tcPr>
                <w:p w14:paraId="4BF7899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(1.421)</w:t>
                  </w:r>
                </w:p>
              </w:tc>
              <w:tc>
                <w:tcPr>
                  <w:tcW w:w="659" w:type="pct"/>
                  <w:tcBorders>
                    <w:left w:val="nil"/>
                    <w:right w:val="nil"/>
                  </w:tcBorders>
                  <w:vAlign w:val="center"/>
                </w:tcPr>
                <w:p w14:paraId="72659FD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(1.507)</w:t>
                  </w:r>
                </w:p>
              </w:tc>
              <w:tc>
                <w:tcPr>
                  <w:tcW w:w="165" w:type="pct"/>
                  <w:tcBorders>
                    <w:left w:val="nil"/>
                    <w:right w:val="nil"/>
                  </w:tcBorders>
                </w:tcPr>
                <w:p w14:paraId="3FB3153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5440B0E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(1.121)</w:t>
                  </w:r>
                </w:p>
              </w:tc>
              <w:tc>
                <w:tcPr>
                  <w:tcW w:w="606" w:type="pct"/>
                  <w:tcBorders>
                    <w:left w:val="nil"/>
                    <w:right w:val="nil"/>
                  </w:tcBorders>
                  <w:vAlign w:val="center"/>
                </w:tcPr>
                <w:p w14:paraId="50D0297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(1.239)</w:t>
                  </w:r>
                </w:p>
              </w:tc>
              <w:tc>
                <w:tcPr>
                  <w:tcW w:w="659" w:type="pct"/>
                  <w:tcBorders>
                    <w:left w:val="nil"/>
                    <w:right w:val="nil"/>
                  </w:tcBorders>
                  <w:vAlign w:val="center"/>
                </w:tcPr>
                <w:p w14:paraId="5CD2E0D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(1.385)</w:t>
                  </w:r>
                </w:p>
              </w:tc>
            </w:tr>
            <w:tr w:rsidR="00902176" w:rsidRPr="00F60760" w14:paraId="45E07587" w14:textId="77777777" w:rsidTr="00902176">
              <w:tc>
                <w:tcPr>
                  <w:tcW w:w="1231" w:type="pct"/>
                  <w:tcBorders>
                    <w:top w:val="nil"/>
                    <w:left w:val="nil"/>
                    <w:bottom w:val="nil"/>
                    <w:right w:val="nil"/>
                  </w:tcBorders>
                </w:tcPr>
                <w:p w14:paraId="5DC5AE8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acq_assets_lastyear_ln</w:t>
                  </w:r>
                </w:p>
              </w:tc>
              <w:tc>
                <w:tcPr>
                  <w:tcW w:w="560" w:type="pct"/>
                  <w:tcBorders>
                    <w:left w:val="nil"/>
                    <w:right w:val="nil"/>
                  </w:tcBorders>
                  <w:vAlign w:val="center"/>
                </w:tcPr>
                <w:p w14:paraId="03C5CAF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c>
                <w:tcPr>
                  <w:tcW w:w="560" w:type="pct"/>
                  <w:tcBorders>
                    <w:left w:val="nil"/>
                    <w:right w:val="nil"/>
                  </w:tcBorders>
                  <w:vAlign w:val="center"/>
                </w:tcPr>
                <w:p w14:paraId="560714C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c>
                <w:tcPr>
                  <w:tcW w:w="659" w:type="pct"/>
                  <w:tcBorders>
                    <w:left w:val="nil"/>
                    <w:right w:val="nil"/>
                  </w:tcBorders>
                  <w:vAlign w:val="center"/>
                </w:tcPr>
                <w:p w14:paraId="68B4197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-.005</w:t>
                  </w:r>
                </w:p>
              </w:tc>
              <w:tc>
                <w:tcPr>
                  <w:tcW w:w="165" w:type="pct"/>
                  <w:tcBorders>
                    <w:left w:val="nil"/>
                    <w:right w:val="nil"/>
                  </w:tcBorders>
                </w:tcPr>
                <w:p w14:paraId="6041AC8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528520D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-.004</w:t>
                  </w:r>
                </w:p>
              </w:tc>
              <w:tc>
                <w:tcPr>
                  <w:tcW w:w="606" w:type="pct"/>
                  <w:tcBorders>
                    <w:left w:val="nil"/>
                    <w:right w:val="nil"/>
                  </w:tcBorders>
                  <w:vAlign w:val="center"/>
                </w:tcPr>
                <w:p w14:paraId="5848E75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-.002</w:t>
                  </w:r>
                </w:p>
              </w:tc>
              <w:tc>
                <w:tcPr>
                  <w:tcW w:w="659" w:type="pct"/>
                  <w:tcBorders>
                    <w:left w:val="nil"/>
                    <w:right w:val="nil"/>
                  </w:tcBorders>
                  <w:vAlign w:val="center"/>
                </w:tcPr>
                <w:p w14:paraId="7FDFC04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-.005</w:t>
                  </w:r>
                </w:p>
              </w:tc>
            </w:tr>
            <w:tr w:rsidR="00902176" w:rsidRPr="00F60760" w14:paraId="7CD5AD6E" w14:textId="77777777" w:rsidTr="00902176">
              <w:tc>
                <w:tcPr>
                  <w:tcW w:w="1231" w:type="pct"/>
                  <w:tcBorders>
                    <w:top w:val="nil"/>
                    <w:left w:val="nil"/>
                    <w:bottom w:val="nil"/>
                    <w:right w:val="nil"/>
                  </w:tcBorders>
                </w:tcPr>
                <w:p w14:paraId="4F09A11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560" w:type="pct"/>
                  <w:tcBorders>
                    <w:left w:val="nil"/>
                    <w:right w:val="nil"/>
                  </w:tcBorders>
                  <w:vAlign w:val="center"/>
                </w:tcPr>
                <w:p w14:paraId="3F76FD6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(-.031)</w:t>
                  </w:r>
                </w:p>
              </w:tc>
              <w:tc>
                <w:tcPr>
                  <w:tcW w:w="560" w:type="pct"/>
                  <w:tcBorders>
                    <w:left w:val="nil"/>
                    <w:right w:val="nil"/>
                  </w:tcBorders>
                  <w:vAlign w:val="center"/>
                </w:tcPr>
                <w:p w14:paraId="52E320E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(-.044)</w:t>
                  </w:r>
                </w:p>
              </w:tc>
              <w:tc>
                <w:tcPr>
                  <w:tcW w:w="659" w:type="pct"/>
                  <w:tcBorders>
                    <w:left w:val="nil"/>
                    <w:right w:val="nil"/>
                  </w:tcBorders>
                  <w:vAlign w:val="center"/>
                </w:tcPr>
                <w:p w14:paraId="6E72B76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(-.748)</w:t>
                  </w:r>
                </w:p>
              </w:tc>
              <w:tc>
                <w:tcPr>
                  <w:tcW w:w="165" w:type="pct"/>
                  <w:tcBorders>
                    <w:left w:val="nil"/>
                    <w:right w:val="nil"/>
                  </w:tcBorders>
                </w:tcPr>
                <w:p w14:paraId="41F3CB8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40D4E34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(-.144)</w:t>
                  </w:r>
                </w:p>
              </w:tc>
              <w:tc>
                <w:tcPr>
                  <w:tcW w:w="606" w:type="pct"/>
                  <w:tcBorders>
                    <w:left w:val="nil"/>
                    <w:right w:val="nil"/>
                  </w:tcBorders>
                  <w:vAlign w:val="center"/>
                </w:tcPr>
                <w:p w14:paraId="421FC25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(-.143)</w:t>
                  </w:r>
                </w:p>
              </w:tc>
              <w:tc>
                <w:tcPr>
                  <w:tcW w:w="659" w:type="pct"/>
                  <w:tcBorders>
                    <w:left w:val="nil"/>
                    <w:right w:val="nil"/>
                  </w:tcBorders>
                  <w:vAlign w:val="center"/>
                </w:tcPr>
                <w:p w14:paraId="576FF34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(-.785)</w:t>
                  </w:r>
                </w:p>
              </w:tc>
            </w:tr>
            <w:tr w:rsidR="00902176" w:rsidRPr="00F60760" w14:paraId="74EADDCC" w14:textId="77777777" w:rsidTr="00902176">
              <w:tc>
                <w:tcPr>
                  <w:tcW w:w="1231" w:type="pct"/>
                  <w:tcBorders>
                    <w:top w:val="nil"/>
                    <w:left w:val="nil"/>
                    <w:bottom w:val="nil"/>
                    <w:right w:val="nil"/>
                  </w:tcBorders>
                </w:tcPr>
                <w:p w14:paraId="2C6B5AB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acq_roa_lastyear</w:t>
                  </w:r>
                </w:p>
              </w:tc>
              <w:tc>
                <w:tcPr>
                  <w:tcW w:w="560" w:type="pct"/>
                  <w:tcBorders>
                    <w:left w:val="nil"/>
                    <w:right w:val="nil"/>
                  </w:tcBorders>
                  <w:vAlign w:val="center"/>
                </w:tcPr>
                <w:p w14:paraId="2D83B47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-.078</w:t>
                  </w:r>
                </w:p>
              </w:tc>
              <w:tc>
                <w:tcPr>
                  <w:tcW w:w="560" w:type="pct"/>
                  <w:tcBorders>
                    <w:left w:val="nil"/>
                    <w:right w:val="nil"/>
                  </w:tcBorders>
                  <w:vAlign w:val="center"/>
                </w:tcPr>
                <w:p w14:paraId="30ADE8A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-.043</w:t>
                  </w:r>
                </w:p>
              </w:tc>
              <w:tc>
                <w:tcPr>
                  <w:tcW w:w="659" w:type="pct"/>
                  <w:tcBorders>
                    <w:left w:val="nil"/>
                    <w:right w:val="nil"/>
                  </w:tcBorders>
                  <w:vAlign w:val="center"/>
                </w:tcPr>
                <w:p w14:paraId="1AC24E5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-.020</w:t>
                  </w:r>
                </w:p>
              </w:tc>
              <w:tc>
                <w:tcPr>
                  <w:tcW w:w="165" w:type="pct"/>
                  <w:tcBorders>
                    <w:left w:val="nil"/>
                    <w:right w:val="nil"/>
                  </w:tcBorders>
                </w:tcPr>
                <w:p w14:paraId="2B434D7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5000D35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-.080</w:t>
                  </w:r>
                </w:p>
              </w:tc>
              <w:tc>
                <w:tcPr>
                  <w:tcW w:w="606" w:type="pct"/>
                  <w:tcBorders>
                    <w:left w:val="nil"/>
                    <w:right w:val="nil"/>
                  </w:tcBorders>
                  <w:vAlign w:val="center"/>
                </w:tcPr>
                <w:p w14:paraId="4AB847A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-.044</w:t>
                  </w:r>
                </w:p>
              </w:tc>
              <w:tc>
                <w:tcPr>
                  <w:tcW w:w="659" w:type="pct"/>
                  <w:tcBorders>
                    <w:left w:val="nil"/>
                    <w:right w:val="nil"/>
                  </w:tcBorders>
                  <w:vAlign w:val="center"/>
                </w:tcPr>
                <w:p w14:paraId="1AA2DC5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-.019</w:t>
                  </w:r>
                </w:p>
              </w:tc>
            </w:tr>
            <w:tr w:rsidR="00902176" w:rsidRPr="00F60760" w14:paraId="3405D338" w14:textId="77777777" w:rsidTr="00902176">
              <w:tc>
                <w:tcPr>
                  <w:tcW w:w="1231" w:type="pct"/>
                  <w:tcBorders>
                    <w:top w:val="nil"/>
                    <w:left w:val="nil"/>
                    <w:bottom w:val="nil"/>
                    <w:right w:val="nil"/>
                  </w:tcBorders>
                </w:tcPr>
                <w:p w14:paraId="714BDB2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560" w:type="pct"/>
                  <w:tcBorders>
                    <w:left w:val="nil"/>
                    <w:right w:val="nil"/>
                  </w:tcBorders>
                  <w:vAlign w:val="center"/>
                </w:tcPr>
                <w:p w14:paraId="06239E1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(-1.366)</w:t>
                  </w:r>
                </w:p>
              </w:tc>
              <w:tc>
                <w:tcPr>
                  <w:tcW w:w="560" w:type="pct"/>
                  <w:tcBorders>
                    <w:left w:val="nil"/>
                    <w:right w:val="nil"/>
                  </w:tcBorders>
                  <w:vAlign w:val="center"/>
                </w:tcPr>
                <w:p w14:paraId="1F73DAD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(-1.307)</w:t>
                  </w:r>
                </w:p>
              </w:tc>
              <w:tc>
                <w:tcPr>
                  <w:tcW w:w="659" w:type="pct"/>
                  <w:tcBorders>
                    <w:left w:val="nil"/>
                    <w:right w:val="nil"/>
                  </w:tcBorders>
                  <w:vAlign w:val="center"/>
                </w:tcPr>
                <w:p w14:paraId="3A9FAD8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(-1.343)</w:t>
                  </w:r>
                </w:p>
              </w:tc>
              <w:tc>
                <w:tcPr>
                  <w:tcW w:w="165" w:type="pct"/>
                  <w:tcBorders>
                    <w:left w:val="nil"/>
                    <w:right w:val="nil"/>
                  </w:tcBorders>
                </w:tcPr>
                <w:p w14:paraId="1AD0965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4F255FD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(-1.397)</w:t>
                  </w:r>
                </w:p>
              </w:tc>
              <w:tc>
                <w:tcPr>
                  <w:tcW w:w="606" w:type="pct"/>
                  <w:tcBorders>
                    <w:left w:val="nil"/>
                    <w:right w:val="nil"/>
                  </w:tcBorders>
                  <w:vAlign w:val="center"/>
                </w:tcPr>
                <w:p w14:paraId="67DA0D0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(-1.331)</w:t>
                  </w:r>
                </w:p>
              </w:tc>
              <w:tc>
                <w:tcPr>
                  <w:tcW w:w="659" w:type="pct"/>
                  <w:tcBorders>
                    <w:left w:val="nil"/>
                    <w:right w:val="nil"/>
                  </w:tcBorders>
                  <w:vAlign w:val="center"/>
                </w:tcPr>
                <w:p w14:paraId="3332842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(-1.351)</w:t>
                  </w:r>
                </w:p>
              </w:tc>
            </w:tr>
            <w:tr w:rsidR="00902176" w:rsidRPr="00F60760" w14:paraId="0AAA1B36" w14:textId="77777777" w:rsidTr="00902176">
              <w:tc>
                <w:tcPr>
                  <w:tcW w:w="1231" w:type="pct"/>
                  <w:tcBorders>
                    <w:top w:val="nil"/>
                    <w:left w:val="nil"/>
                    <w:bottom w:val="nil"/>
                    <w:right w:val="nil"/>
                  </w:tcBorders>
                </w:tcPr>
                <w:p w14:paraId="5E84E48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acq_industrygrowth</w:t>
                  </w:r>
                </w:p>
              </w:tc>
              <w:tc>
                <w:tcPr>
                  <w:tcW w:w="560" w:type="pct"/>
                  <w:tcBorders>
                    <w:left w:val="nil"/>
                    <w:right w:val="nil"/>
                  </w:tcBorders>
                  <w:vAlign w:val="center"/>
                </w:tcPr>
                <w:p w14:paraId="2B3F2EE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2.717**</w:t>
                  </w:r>
                </w:p>
              </w:tc>
              <w:tc>
                <w:tcPr>
                  <w:tcW w:w="560" w:type="pct"/>
                  <w:tcBorders>
                    <w:left w:val="nil"/>
                    <w:right w:val="nil"/>
                  </w:tcBorders>
                  <w:vAlign w:val="center"/>
                </w:tcPr>
                <w:p w14:paraId="31F778C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1.623**</w:t>
                  </w:r>
                </w:p>
              </w:tc>
              <w:tc>
                <w:tcPr>
                  <w:tcW w:w="659" w:type="pct"/>
                  <w:tcBorders>
                    <w:left w:val="nil"/>
                    <w:right w:val="nil"/>
                  </w:tcBorders>
                  <w:vAlign w:val="center"/>
                </w:tcPr>
                <w:p w14:paraId="7DE09BB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.729**</w:t>
                  </w:r>
                </w:p>
              </w:tc>
              <w:tc>
                <w:tcPr>
                  <w:tcW w:w="165" w:type="pct"/>
                  <w:tcBorders>
                    <w:left w:val="nil"/>
                    <w:right w:val="nil"/>
                  </w:tcBorders>
                </w:tcPr>
                <w:p w14:paraId="2CC1C0C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200C4B8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2.657**</w:t>
                  </w:r>
                </w:p>
              </w:tc>
              <w:tc>
                <w:tcPr>
                  <w:tcW w:w="606" w:type="pct"/>
                  <w:tcBorders>
                    <w:left w:val="nil"/>
                    <w:right w:val="nil"/>
                  </w:tcBorders>
                  <w:vAlign w:val="center"/>
                </w:tcPr>
                <w:p w14:paraId="12B9983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1.609***</w:t>
                  </w:r>
                </w:p>
              </w:tc>
              <w:tc>
                <w:tcPr>
                  <w:tcW w:w="659" w:type="pct"/>
                  <w:tcBorders>
                    <w:left w:val="nil"/>
                    <w:right w:val="nil"/>
                  </w:tcBorders>
                  <w:vAlign w:val="center"/>
                </w:tcPr>
                <w:p w14:paraId="75103AB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.738**</w:t>
                  </w:r>
                </w:p>
              </w:tc>
            </w:tr>
            <w:tr w:rsidR="00902176" w:rsidRPr="00F60760" w14:paraId="0E75A543" w14:textId="77777777" w:rsidTr="00902176">
              <w:tc>
                <w:tcPr>
                  <w:tcW w:w="1231" w:type="pct"/>
                  <w:tcBorders>
                    <w:top w:val="nil"/>
                    <w:left w:val="nil"/>
                    <w:bottom w:val="nil"/>
                    <w:right w:val="nil"/>
                  </w:tcBorders>
                </w:tcPr>
                <w:p w14:paraId="3AE2A31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560" w:type="pct"/>
                  <w:tcBorders>
                    <w:left w:val="nil"/>
                    <w:right w:val="nil"/>
                  </w:tcBorders>
                  <w:vAlign w:val="center"/>
                </w:tcPr>
                <w:p w14:paraId="23974CE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(2.330)</w:t>
                  </w:r>
                </w:p>
              </w:tc>
              <w:tc>
                <w:tcPr>
                  <w:tcW w:w="560" w:type="pct"/>
                  <w:tcBorders>
                    <w:left w:val="nil"/>
                    <w:right w:val="nil"/>
                  </w:tcBorders>
                  <w:vAlign w:val="center"/>
                </w:tcPr>
                <w:p w14:paraId="7E6CE49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(2.632)</w:t>
                  </w:r>
                </w:p>
              </w:tc>
              <w:tc>
                <w:tcPr>
                  <w:tcW w:w="659" w:type="pct"/>
                  <w:tcBorders>
                    <w:left w:val="nil"/>
                    <w:right w:val="nil"/>
                  </w:tcBorders>
                  <w:vAlign w:val="center"/>
                </w:tcPr>
                <w:p w14:paraId="328A966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(2.644)</w:t>
                  </w:r>
                </w:p>
              </w:tc>
              <w:tc>
                <w:tcPr>
                  <w:tcW w:w="165" w:type="pct"/>
                  <w:tcBorders>
                    <w:left w:val="nil"/>
                    <w:right w:val="nil"/>
                  </w:tcBorders>
                </w:tcPr>
                <w:p w14:paraId="09B8B89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0E8D9A0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(2.399)</w:t>
                  </w:r>
                </w:p>
              </w:tc>
              <w:tc>
                <w:tcPr>
                  <w:tcW w:w="606" w:type="pct"/>
                  <w:tcBorders>
                    <w:left w:val="nil"/>
                    <w:right w:val="nil"/>
                  </w:tcBorders>
                  <w:vAlign w:val="center"/>
                </w:tcPr>
                <w:p w14:paraId="6959A71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(2.754)</w:t>
                  </w:r>
                </w:p>
              </w:tc>
              <w:tc>
                <w:tcPr>
                  <w:tcW w:w="659" w:type="pct"/>
                  <w:tcBorders>
                    <w:left w:val="nil"/>
                    <w:right w:val="nil"/>
                  </w:tcBorders>
                  <w:vAlign w:val="center"/>
                </w:tcPr>
                <w:p w14:paraId="2F6D482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(2.661)</w:t>
                  </w:r>
                </w:p>
              </w:tc>
            </w:tr>
            <w:tr w:rsidR="00902176" w:rsidRPr="00F60760" w14:paraId="6C3EA8F6" w14:textId="77777777" w:rsidTr="00902176">
              <w:tc>
                <w:tcPr>
                  <w:tcW w:w="1231" w:type="pct"/>
                  <w:tcBorders>
                    <w:top w:val="nil"/>
                    <w:left w:val="nil"/>
                    <w:bottom w:val="nil"/>
                    <w:right w:val="nil"/>
                  </w:tcBorders>
                </w:tcPr>
                <w:p w14:paraId="5251AB71"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acq_dealexperience</w:t>
                  </w:r>
                </w:p>
              </w:tc>
              <w:tc>
                <w:tcPr>
                  <w:tcW w:w="560" w:type="pct"/>
                  <w:tcBorders>
                    <w:left w:val="nil"/>
                    <w:right w:val="nil"/>
                  </w:tcBorders>
                  <w:vAlign w:val="center"/>
                </w:tcPr>
                <w:p w14:paraId="222AFF6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-.0003</w:t>
                  </w:r>
                </w:p>
              </w:tc>
              <w:tc>
                <w:tcPr>
                  <w:tcW w:w="560" w:type="pct"/>
                  <w:tcBorders>
                    <w:left w:val="nil"/>
                    <w:right w:val="nil"/>
                  </w:tcBorders>
                  <w:vAlign w:val="center"/>
                </w:tcPr>
                <w:p w14:paraId="66957EE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-.006</w:t>
                  </w:r>
                </w:p>
              </w:tc>
              <w:tc>
                <w:tcPr>
                  <w:tcW w:w="659" w:type="pct"/>
                  <w:tcBorders>
                    <w:left w:val="nil"/>
                    <w:right w:val="nil"/>
                  </w:tcBorders>
                  <w:vAlign w:val="center"/>
                </w:tcPr>
                <w:p w14:paraId="1031D49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.005</w:t>
                  </w:r>
                </w:p>
              </w:tc>
              <w:tc>
                <w:tcPr>
                  <w:tcW w:w="165" w:type="pct"/>
                  <w:tcBorders>
                    <w:left w:val="nil"/>
                    <w:right w:val="nil"/>
                  </w:tcBorders>
                </w:tcPr>
                <w:p w14:paraId="62B442B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387085B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.007</w:t>
                  </w:r>
                </w:p>
              </w:tc>
              <w:tc>
                <w:tcPr>
                  <w:tcW w:w="606" w:type="pct"/>
                  <w:tcBorders>
                    <w:left w:val="nil"/>
                    <w:right w:val="nil"/>
                  </w:tcBorders>
                  <w:vAlign w:val="center"/>
                </w:tcPr>
                <w:p w14:paraId="4FC623B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-.003</w:t>
                  </w:r>
                </w:p>
              </w:tc>
              <w:tc>
                <w:tcPr>
                  <w:tcW w:w="659" w:type="pct"/>
                  <w:tcBorders>
                    <w:left w:val="nil"/>
                    <w:right w:val="nil"/>
                  </w:tcBorders>
                  <w:vAlign w:val="center"/>
                </w:tcPr>
                <w:p w14:paraId="7F549E0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.006</w:t>
                  </w:r>
                </w:p>
              </w:tc>
            </w:tr>
            <w:tr w:rsidR="00902176" w:rsidRPr="00F60760" w14:paraId="0F17C611" w14:textId="77777777" w:rsidTr="00902176">
              <w:tc>
                <w:tcPr>
                  <w:tcW w:w="1231" w:type="pct"/>
                  <w:tcBorders>
                    <w:top w:val="nil"/>
                    <w:left w:val="nil"/>
                    <w:bottom w:val="nil"/>
                    <w:right w:val="nil"/>
                  </w:tcBorders>
                </w:tcPr>
                <w:p w14:paraId="3AE4D77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560" w:type="pct"/>
                  <w:tcBorders>
                    <w:left w:val="nil"/>
                    <w:right w:val="nil"/>
                  </w:tcBorders>
                  <w:vAlign w:val="center"/>
                </w:tcPr>
                <w:p w14:paraId="782B7C1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(-.008)</w:t>
                  </w:r>
                </w:p>
              </w:tc>
              <w:tc>
                <w:tcPr>
                  <w:tcW w:w="560" w:type="pct"/>
                  <w:tcBorders>
                    <w:left w:val="nil"/>
                    <w:right w:val="nil"/>
                  </w:tcBorders>
                  <w:vAlign w:val="center"/>
                </w:tcPr>
                <w:p w14:paraId="3744B2E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(-.252)</w:t>
                  </w:r>
                </w:p>
              </w:tc>
              <w:tc>
                <w:tcPr>
                  <w:tcW w:w="659" w:type="pct"/>
                  <w:tcBorders>
                    <w:left w:val="nil"/>
                    <w:right w:val="nil"/>
                  </w:tcBorders>
                  <w:vAlign w:val="center"/>
                </w:tcPr>
                <w:p w14:paraId="61914B5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(.524)</w:t>
                  </w:r>
                </w:p>
              </w:tc>
              <w:tc>
                <w:tcPr>
                  <w:tcW w:w="165" w:type="pct"/>
                  <w:tcBorders>
                    <w:left w:val="nil"/>
                    <w:right w:val="nil"/>
                  </w:tcBorders>
                </w:tcPr>
                <w:p w14:paraId="1E055F7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4F2C3DE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(.155)</w:t>
                  </w:r>
                </w:p>
              </w:tc>
              <w:tc>
                <w:tcPr>
                  <w:tcW w:w="606" w:type="pct"/>
                  <w:tcBorders>
                    <w:left w:val="nil"/>
                    <w:right w:val="nil"/>
                  </w:tcBorders>
                  <w:vAlign w:val="center"/>
                </w:tcPr>
                <w:p w14:paraId="6F4FD9C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(-.103)</w:t>
                  </w:r>
                </w:p>
              </w:tc>
              <w:tc>
                <w:tcPr>
                  <w:tcW w:w="659" w:type="pct"/>
                  <w:tcBorders>
                    <w:left w:val="nil"/>
                    <w:right w:val="nil"/>
                  </w:tcBorders>
                  <w:vAlign w:val="center"/>
                </w:tcPr>
                <w:p w14:paraId="656281B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(.593)</w:t>
                  </w:r>
                </w:p>
              </w:tc>
            </w:tr>
            <w:tr w:rsidR="00902176" w:rsidRPr="00F60760" w14:paraId="388A8633" w14:textId="77777777" w:rsidTr="00902176">
              <w:tc>
                <w:tcPr>
                  <w:tcW w:w="1231" w:type="pct"/>
                  <w:tcBorders>
                    <w:top w:val="nil"/>
                    <w:left w:val="nil"/>
                    <w:bottom w:val="nil"/>
                    <w:right w:val="nil"/>
                  </w:tcBorders>
                </w:tcPr>
                <w:p w14:paraId="1E163991"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acq_rd_intensity</w:t>
                  </w:r>
                </w:p>
              </w:tc>
              <w:tc>
                <w:tcPr>
                  <w:tcW w:w="560" w:type="pct"/>
                  <w:tcBorders>
                    <w:left w:val="nil"/>
                    <w:right w:val="nil"/>
                  </w:tcBorders>
                  <w:vAlign w:val="center"/>
                </w:tcPr>
                <w:p w14:paraId="55AB3CC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-.580*</w:t>
                  </w:r>
                </w:p>
              </w:tc>
              <w:tc>
                <w:tcPr>
                  <w:tcW w:w="560" w:type="pct"/>
                  <w:tcBorders>
                    <w:left w:val="nil"/>
                    <w:right w:val="nil"/>
                  </w:tcBorders>
                  <w:vAlign w:val="center"/>
                </w:tcPr>
                <w:p w14:paraId="2547749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-.336**</w:t>
                  </w:r>
                </w:p>
              </w:tc>
              <w:tc>
                <w:tcPr>
                  <w:tcW w:w="659" w:type="pct"/>
                  <w:tcBorders>
                    <w:left w:val="nil"/>
                    <w:right w:val="nil"/>
                  </w:tcBorders>
                  <w:vAlign w:val="center"/>
                </w:tcPr>
                <w:p w14:paraId="4151681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-.149***</w:t>
                  </w:r>
                </w:p>
              </w:tc>
              <w:tc>
                <w:tcPr>
                  <w:tcW w:w="165" w:type="pct"/>
                  <w:tcBorders>
                    <w:left w:val="nil"/>
                    <w:right w:val="nil"/>
                  </w:tcBorders>
                </w:tcPr>
                <w:p w14:paraId="6B1388B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67706AB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-.473</w:t>
                  </w:r>
                </w:p>
              </w:tc>
              <w:tc>
                <w:tcPr>
                  <w:tcW w:w="606" w:type="pct"/>
                  <w:tcBorders>
                    <w:left w:val="nil"/>
                    <w:right w:val="nil"/>
                  </w:tcBorders>
                  <w:vAlign w:val="center"/>
                </w:tcPr>
                <w:p w14:paraId="5EBB863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-.282**</w:t>
                  </w:r>
                </w:p>
              </w:tc>
              <w:tc>
                <w:tcPr>
                  <w:tcW w:w="659" w:type="pct"/>
                  <w:tcBorders>
                    <w:left w:val="nil"/>
                    <w:right w:val="nil"/>
                  </w:tcBorders>
                  <w:vAlign w:val="center"/>
                </w:tcPr>
                <w:p w14:paraId="5B17BBB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-.130***</w:t>
                  </w:r>
                </w:p>
              </w:tc>
            </w:tr>
            <w:tr w:rsidR="00902176" w:rsidRPr="00F60760" w14:paraId="0F03272A" w14:textId="77777777" w:rsidTr="00902176">
              <w:tc>
                <w:tcPr>
                  <w:tcW w:w="1231" w:type="pct"/>
                  <w:tcBorders>
                    <w:top w:val="nil"/>
                    <w:left w:val="nil"/>
                    <w:bottom w:val="nil"/>
                    <w:right w:val="nil"/>
                  </w:tcBorders>
                </w:tcPr>
                <w:p w14:paraId="354B1703"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p>
              </w:tc>
              <w:tc>
                <w:tcPr>
                  <w:tcW w:w="560" w:type="pct"/>
                  <w:tcBorders>
                    <w:left w:val="nil"/>
                    <w:right w:val="nil"/>
                  </w:tcBorders>
                  <w:vAlign w:val="center"/>
                </w:tcPr>
                <w:p w14:paraId="1CBEA8A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(-1.783)</w:t>
                  </w:r>
                </w:p>
              </w:tc>
              <w:tc>
                <w:tcPr>
                  <w:tcW w:w="560" w:type="pct"/>
                  <w:tcBorders>
                    <w:left w:val="nil"/>
                    <w:right w:val="nil"/>
                  </w:tcBorders>
                  <w:vAlign w:val="center"/>
                </w:tcPr>
                <w:p w14:paraId="5959E5D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(-2.188)</w:t>
                  </w:r>
                </w:p>
              </w:tc>
              <w:tc>
                <w:tcPr>
                  <w:tcW w:w="659" w:type="pct"/>
                  <w:tcBorders>
                    <w:left w:val="nil"/>
                    <w:right w:val="nil"/>
                  </w:tcBorders>
                  <w:vAlign w:val="center"/>
                </w:tcPr>
                <w:p w14:paraId="68D33FA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(-2.875)</w:t>
                  </w:r>
                </w:p>
              </w:tc>
              <w:tc>
                <w:tcPr>
                  <w:tcW w:w="165" w:type="pct"/>
                  <w:tcBorders>
                    <w:left w:val="nil"/>
                    <w:right w:val="nil"/>
                  </w:tcBorders>
                </w:tcPr>
                <w:p w14:paraId="0B3D954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549493B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(-1.536)</w:t>
                  </w:r>
                </w:p>
              </w:tc>
              <w:tc>
                <w:tcPr>
                  <w:tcW w:w="606" w:type="pct"/>
                  <w:tcBorders>
                    <w:left w:val="nil"/>
                    <w:right w:val="nil"/>
                  </w:tcBorders>
                  <w:vAlign w:val="center"/>
                </w:tcPr>
                <w:p w14:paraId="62F2D16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(-2.022)</w:t>
                  </w:r>
                </w:p>
              </w:tc>
              <w:tc>
                <w:tcPr>
                  <w:tcW w:w="659" w:type="pct"/>
                  <w:tcBorders>
                    <w:left w:val="nil"/>
                    <w:right w:val="nil"/>
                  </w:tcBorders>
                  <w:vAlign w:val="center"/>
                </w:tcPr>
                <w:p w14:paraId="1858500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(-2.796)</w:t>
                  </w:r>
                </w:p>
              </w:tc>
            </w:tr>
            <w:tr w:rsidR="00902176" w:rsidRPr="00F60760" w14:paraId="7588E64B" w14:textId="77777777" w:rsidTr="00902176">
              <w:tc>
                <w:tcPr>
                  <w:tcW w:w="1231" w:type="pct"/>
                  <w:tcBorders>
                    <w:top w:val="nil"/>
                    <w:left w:val="nil"/>
                    <w:bottom w:val="nil"/>
                    <w:right w:val="nil"/>
                  </w:tcBorders>
                </w:tcPr>
                <w:p w14:paraId="07022B1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tar_age</w:t>
                  </w:r>
                </w:p>
              </w:tc>
              <w:tc>
                <w:tcPr>
                  <w:tcW w:w="560" w:type="pct"/>
                  <w:tcBorders>
                    <w:left w:val="nil"/>
                    <w:right w:val="nil"/>
                  </w:tcBorders>
                  <w:vAlign w:val="center"/>
                </w:tcPr>
                <w:p w14:paraId="793BA0A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-.002*</w:t>
                  </w:r>
                </w:p>
              </w:tc>
              <w:tc>
                <w:tcPr>
                  <w:tcW w:w="560" w:type="pct"/>
                  <w:tcBorders>
                    <w:left w:val="nil"/>
                    <w:right w:val="nil"/>
                  </w:tcBorders>
                  <w:vAlign w:val="center"/>
                </w:tcPr>
                <w:p w14:paraId="7F8E8F8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c>
                <w:tcPr>
                  <w:tcW w:w="659" w:type="pct"/>
                  <w:tcBorders>
                    <w:left w:val="nil"/>
                    <w:right w:val="nil"/>
                  </w:tcBorders>
                  <w:vAlign w:val="center"/>
                </w:tcPr>
                <w:p w14:paraId="1B24900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c>
                <w:tcPr>
                  <w:tcW w:w="165" w:type="pct"/>
                  <w:tcBorders>
                    <w:left w:val="nil"/>
                    <w:right w:val="nil"/>
                  </w:tcBorders>
                </w:tcPr>
                <w:p w14:paraId="64B509C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1044A62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-.002*</w:t>
                  </w:r>
                </w:p>
              </w:tc>
              <w:tc>
                <w:tcPr>
                  <w:tcW w:w="606" w:type="pct"/>
                  <w:tcBorders>
                    <w:left w:val="nil"/>
                    <w:right w:val="nil"/>
                  </w:tcBorders>
                  <w:vAlign w:val="center"/>
                </w:tcPr>
                <w:p w14:paraId="34A6187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c>
                <w:tcPr>
                  <w:tcW w:w="659" w:type="pct"/>
                  <w:tcBorders>
                    <w:left w:val="nil"/>
                    <w:right w:val="nil"/>
                  </w:tcBorders>
                  <w:vAlign w:val="center"/>
                </w:tcPr>
                <w:p w14:paraId="6305EE0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r>
            <w:tr w:rsidR="00902176" w:rsidRPr="00F60760" w14:paraId="1A89B2F1" w14:textId="77777777" w:rsidTr="00902176">
              <w:tc>
                <w:tcPr>
                  <w:tcW w:w="1231" w:type="pct"/>
                  <w:tcBorders>
                    <w:top w:val="nil"/>
                    <w:left w:val="nil"/>
                    <w:bottom w:val="nil"/>
                    <w:right w:val="nil"/>
                  </w:tcBorders>
                </w:tcPr>
                <w:p w14:paraId="1FF7B918"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560" w:type="pct"/>
                  <w:tcBorders>
                    <w:left w:val="nil"/>
                    <w:right w:val="nil"/>
                  </w:tcBorders>
                  <w:vAlign w:val="center"/>
                </w:tcPr>
                <w:p w14:paraId="7D848C4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(-1.912)</w:t>
                  </w:r>
                </w:p>
              </w:tc>
              <w:tc>
                <w:tcPr>
                  <w:tcW w:w="560" w:type="pct"/>
                  <w:tcBorders>
                    <w:left w:val="nil"/>
                    <w:right w:val="nil"/>
                  </w:tcBorders>
                  <w:vAlign w:val="center"/>
                </w:tcPr>
                <w:p w14:paraId="610699B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(-2.012)</w:t>
                  </w:r>
                </w:p>
              </w:tc>
              <w:tc>
                <w:tcPr>
                  <w:tcW w:w="659" w:type="pct"/>
                  <w:tcBorders>
                    <w:left w:val="nil"/>
                    <w:right w:val="nil"/>
                  </w:tcBorders>
                  <w:vAlign w:val="center"/>
                </w:tcPr>
                <w:p w14:paraId="55431F1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(-2.036)</w:t>
                  </w:r>
                </w:p>
              </w:tc>
              <w:tc>
                <w:tcPr>
                  <w:tcW w:w="165" w:type="pct"/>
                  <w:tcBorders>
                    <w:left w:val="nil"/>
                    <w:right w:val="nil"/>
                  </w:tcBorders>
                </w:tcPr>
                <w:p w14:paraId="0B0CEF5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0A463CE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(-1.760)</w:t>
                  </w:r>
                </w:p>
              </w:tc>
              <w:tc>
                <w:tcPr>
                  <w:tcW w:w="606" w:type="pct"/>
                  <w:tcBorders>
                    <w:left w:val="nil"/>
                    <w:right w:val="nil"/>
                  </w:tcBorders>
                  <w:vAlign w:val="center"/>
                </w:tcPr>
                <w:p w14:paraId="439B96D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(-1.918)</w:t>
                  </w:r>
                </w:p>
              </w:tc>
              <w:tc>
                <w:tcPr>
                  <w:tcW w:w="659" w:type="pct"/>
                  <w:tcBorders>
                    <w:left w:val="nil"/>
                    <w:right w:val="nil"/>
                  </w:tcBorders>
                  <w:vAlign w:val="center"/>
                </w:tcPr>
                <w:p w14:paraId="42F70BB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(-1.988)</w:t>
                  </w:r>
                </w:p>
              </w:tc>
            </w:tr>
            <w:tr w:rsidR="00902176" w:rsidRPr="00F60760" w14:paraId="353FEBC3" w14:textId="77777777" w:rsidTr="00902176">
              <w:tc>
                <w:tcPr>
                  <w:tcW w:w="1231" w:type="pct"/>
                  <w:tcBorders>
                    <w:top w:val="nil"/>
                    <w:left w:val="nil"/>
                    <w:bottom w:val="nil"/>
                    <w:right w:val="nil"/>
                  </w:tcBorders>
                </w:tcPr>
                <w:p w14:paraId="2FA28F4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tar_assets_lastyear_ln</w:t>
                  </w:r>
                </w:p>
              </w:tc>
              <w:tc>
                <w:tcPr>
                  <w:tcW w:w="560" w:type="pct"/>
                  <w:tcBorders>
                    <w:left w:val="nil"/>
                    <w:right w:val="nil"/>
                  </w:tcBorders>
                  <w:vAlign w:val="center"/>
                </w:tcPr>
                <w:p w14:paraId="0A5EAA4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-.148*</w:t>
                  </w:r>
                </w:p>
              </w:tc>
              <w:tc>
                <w:tcPr>
                  <w:tcW w:w="560" w:type="pct"/>
                  <w:tcBorders>
                    <w:left w:val="nil"/>
                    <w:right w:val="nil"/>
                  </w:tcBorders>
                  <w:vAlign w:val="center"/>
                </w:tcPr>
                <w:p w14:paraId="6CB7FED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-.079*</w:t>
                  </w:r>
                </w:p>
              </w:tc>
              <w:tc>
                <w:tcPr>
                  <w:tcW w:w="659" w:type="pct"/>
                  <w:tcBorders>
                    <w:left w:val="nil"/>
                    <w:right w:val="nil"/>
                  </w:tcBorders>
                  <w:vAlign w:val="center"/>
                </w:tcPr>
                <w:p w14:paraId="69B8B17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-.031</w:t>
                  </w:r>
                </w:p>
              </w:tc>
              <w:tc>
                <w:tcPr>
                  <w:tcW w:w="165" w:type="pct"/>
                  <w:tcBorders>
                    <w:left w:val="nil"/>
                    <w:right w:val="nil"/>
                  </w:tcBorders>
                </w:tcPr>
                <w:p w14:paraId="6D7DB63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0AC34EF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-.164**</w:t>
                  </w:r>
                </w:p>
              </w:tc>
              <w:tc>
                <w:tcPr>
                  <w:tcW w:w="606" w:type="pct"/>
                  <w:tcBorders>
                    <w:left w:val="nil"/>
                    <w:right w:val="nil"/>
                  </w:tcBorders>
                  <w:vAlign w:val="center"/>
                </w:tcPr>
                <w:p w14:paraId="01B9399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-.088*</w:t>
                  </w:r>
                </w:p>
              </w:tc>
              <w:tc>
                <w:tcPr>
                  <w:tcW w:w="659" w:type="pct"/>
                  <w:tcBorders>
                    <w:left w:val="nil"/>
                    <w:right w:val="nil"/>
                  </w:tcBorders>
                  <w:vAlign w:val="center"/>
                </w:tcPr>
                <w:p w14:paraId="39E22F5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-.035</w:t>
                  </w:r>
                </w:p>
              </w:tc>
            </w:tr>
            <w:tr w:rsidR="00902176" w:rsidRPr="00F60760" w14:paraId="326E29D1" w14:textId="77777777" w:rsidTr="00902176">
              <w:tc>
                <w:tcPr>
                  <w:tcW w:w="1231" w:type="pct"/>
                  <w:tcBorders>
                    <w:top w:val="nil"/>
                    <w:left w:val="nil"/>
                    <w:bottom w:val="nil"/>
                    <w:right w:val="nil"/>
                  </w:tcBorders>
                </w:tcPr>
                <w:p w14:paraId="704474A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560" w:type="pct"/>
                  <w:tcBorders>
                    <w:left w:val="nil"/>
                    <w:right w:val="nil"/>
                  </w:tcBorders>
                  <w:vAlign w:val="center"/>
                </w:tcPr>
                <w:p w14:paraId="0D3CECB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(-1.786)</w:t>
                  </w:r>
                </w:p>
              </w:tc>
              <w:tc>
                <w:tcPr>
                  <w:tcW w:w="560" w:type="pct"/>
                  <w:tcBorders>
                    <w:left w:val="nil"/>
                    <w:right w:val="nil"/>
                  </w:tcBorders>
                  <w:vAlign w:val="center"/>
                </w:tcPr>
                <w:p w14:paraId="7551D04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(-1.708)</w:t>
                  </w:r>
                </w:p>
              </w:tc>
              <w:tc>
                <w:tcPr>
                  <w:tcW w:w="659" w:type="pct"/>
                  <w:tcBorders>
                    <w:left w:val="nil"/>
                    <w:right w:val="nil"/>
                  </w:tcBorders>
                  <w:vAlign w:val="center"/>
                </w:tcPr>
                <w:p w14:paraId="5EAFABD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(-1.436)</w:t>
                  </w:r>
                </w:p>
              </w:tc>
              <w:tc>
                <w:tcPr>
                  <w:tcW w:w="165" w:type="pct"/>
                  <w:tcBorders>
                    <w:left w:val="nil"/>
                    <w:right w:val="nil"/>
                  </w:tcBorders>
                </w:tcPr>
                <w:p w14:paraId="14609A7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5911CF7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(-2.093)</w:t>
                  </w:r>
                </w:p>
              </w:tc>
              <w:tc>
                <w:tcPr>
                  <w:tcW w:w="606" w:type="pct"/>
                  <w:tcBorders>
                    <w:left w:val="nil"/>
                    <w:right w:val="nil"/>
                  </w:tcBorders>
                  <w:vAlign w:val="center"/>
                </w:tcPr>
                <w:p w14:paraId="1B520AF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(-1.997)</w:t>
                  </w:r>
                </w:p>
              </w:tc>
              <w:tc>
                <w:tcPr>
                  <w:tcW w:w="659" w:type="pct"/>
                  <w:tcBorders>
                    <w:left w:val="nil"/>
                    <w:right w:val="nil"/>
                  </w:tcBorders>
                  <w:vAlign w:val="center"/>
                </w:tcPr>
                <w:p w14:paraId="357A5DD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(-1.627)</w:t>
                  </w:r>
                </w:p>
              </w:tc>
            </w:tr>
            <w:tr w:rsidR="00902176" w:rsidRPr="00F60760" w14:paraId="7E70B8F7" w14:textId="77777777" w:rsidTr="00902176">
              <w:tc>
                <w:tcPr>
                  <w:tcW w:w="1231" w:type="pct"/>
                  <w:tcBorders>
                    <w:top w:val="nil"/>
                    <w:left w:val="nil"/>
                    <w:bottom w:val="nil"/>
                    <w:right w:val="nil"/>
                  </w:tcBorders>
                </w:tcPr>
                <w:p w14:paraId="4746F950"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tar_roa_lastyear</w:t>
                  </w:r>
                </w:p>
              </w:tc>
              <w:tc>
                <w:tcPr>
                  <w:tcW w:w="560" w:type="pct"/>
                  <w:tcBorders>
                    <w:left w:val="nil"/>
                    <w:right w:val="nil"/>
                  </w:tcBorders>
                  <w:vAlign w:val="center"/>
                </w:tcPr>
                <w:p w14:paraId="08D7495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-.377</w:t>
                  </w:r>
                </w:p>
              </w:tc>
              <w:tc>
                <w:tcPr>
                  <w:tcW w:w="560" w:type="pct"/>
                  <w:tcBorders>
                    <w:left w:val="nil"/>
                    <w:right w:val="nil"/>
                  </w:tcBorders>
                  <w:vAlign w:val="center"/>
                </w:tcPr>
                <w:p w14:paraId="4625F2F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-.245</w:t>
                  </w:r>
                </w:p>
              </w:tc>
              <w:tc>
                <w:tcPr>
                  <w:tcW w:w="659" w:type="pct"/>
                  <w:tcBorders>
                    <w:left w:val="nil"/>
                    <w:right w:val="nil"/>
                  </w:tcBorders>
                  <w:vAlign w:val="center"/>
                </w:tcPr>
                <w:p w14:paraId="38E79FF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-.108</w:t>
                  </w:r>
                </w:p>
              </w:tc>
              <w:tc>
                <w:tcPr>
                  <w:tcW w:w="165" w:type="pct"/>
                  <w:tcBorders>
                    <w:left w:val="nil"/>
                    <w:right w:val="nil"/>
                  </w:tcBorders>
                </w:tcPr>
                <w:p w14:paraId="28F0883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2EA69CB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-.398</w:t>
                  </w:r>
                </w:p>
              </w:tc>
              <w:tc>
                <w:tcPr>
                  <w:tcW w:w="606" w:type="pct"/>
                  <w:tcBorders>
                    <w:left w:val="nil"/>
                    <w:right w:val="nil"/>
                  </w:tcBorders>
                  <w:vAlign w:val="center"/>
                </w:tcPr>
                <w:p w14:paraId="48D7FB0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-.258</w:t>
                  </w:r>
                </w:p>
              </w:tc>
              <w:tc>
                <w:tcPr>
                  <w:tcW w:w="659" w:type="pct"/>
                  <w:tcBorders>
                    <w:left w:val="nil"/>
                    <w:right w:val="nil"/>
                  </w:tcBorders>
                  <w:vAlign w:val="center"/>
                </w:tcPr>
                <w:p w14:paraId="20C69C8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-.115</w:t>
                  </w:r>
                </w:p>
              </w:tc>
            </w:tr>
            <w:tr w:rsidR="00902176" w:rsidRPr="00F60760" w14:paraId="1D44FA1D" w14:textId="77777777" w:rsidTr="00902176">
              <w:tc>
                <w:tcPr>
                  <w:tcW w:w="1231" w:type="pct"/>
                  <w:tcBorders>
                    <w:top w:val="nil"/>
                    <w:left w:val="nil"/>
                    <w:bottom w:val="nil"/>
                    <w:right w:val="nil"/>
                  </w:tcBorders>
                </w:tcPr>
                <w:p w14:paraId="4574E393"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560" w:type="pct"/>
                  <w:tcBorders>
                    <w:left w:val="nil"/>
                    <w:right w:val="nil"/>
                  </w:tcBorders>
                  <w:vAlign w:val="center"/>
                </w:tcPr>
                <w:p w14:paraId="304B646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(-1.216)</w:t>
                  </w:r>
                </w:p>
              </w:tc>
              <w:tc>
                <w:tcPr>
                  <w:tcW w:w="560" w:type="pct"/>
                  <w:tcBorders>
                    <w:left w:val="nil"/>
                    <w:right w:val="nil"/>
                  </w:tcBorders>
                  <w:vAlign w:val="center"/>
                </w:tcPr>
                <w:p w14:paraId="5756BF3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(-1.376)</w:t>
                  </w:r>
                </w:p>
              </w:tc>
              <w:tc>
                <w:tcPr>
                  <w:tcW w:w="659" w:type="pct"/>
                  <w:tcBorders>
                    <w:left w:val="nil"/>
                    <w:right w:val="nil"/>
                  </w:tcBorders>
                  <w:vAlign w:val="center"/>
                </w:tcPr>
                <w:p w14:paraId="35F39DD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(-1.425)</w:t>
                  </w:r>
                </w:p>
              </w:tc>
              <w:tc>
                <w:tcPr>
                  <w:tcW w:w="165" w:type="pct"/>
                  <w:tcBorders>
                    <w:left w:val="nil"/>
                    <w:right w:val="nil"/>
                  </w:tcBorders>
                </w:tcPr>
                <w:p w14:paraId="5DFB25A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06E0951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(-1.329)</w:t>
                  </w:r>
                </w:p>
              </w:tc>
              <w:tc>
                <w:tcPr>
                  <w:tcW w:w="606" w:type="pct"/>
                  <w:tcBorders>
                    <w:left w:val="nil"/>
                    <w:right w:val="nil"/>
                  </w:tcBorders>
                  <w:vAlign w:val="center"/>
                </w:tcPr>
                <w:p w14:paraId="70C4853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(-1.490)</w:t>
                  </w:r>
                </w:p>
              </w:tc>
              <w:tc>
                <w:tcPr>
                  <w:tcW w:w="659" w:type="pct"/>
                  <w:tcBorders>
                    <w:left w:val="nil"/>
                    <w:right w:val="nil"/>
                  </w:tcBorders>
                  <w:vAlign w:val="center"/>
                </w:tcPr>
                <w:p w14:paraId="3E389F5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(-1.582)</w:t>
                  </w:r>
                </w:p>
              </w:tc>
            </w:tr>
            <w:tr w:rsidR="00902176" w:rsidRPr="00F60760" w14:paraId="02ADF50E" w14:textId="77777777" w:rsidTr="00902176">
              <w:tc>
                <w:tcPr>
                  <w:tcW w:w="1231" w:type="pct"/>
                  <w:tcBorders>
                    <w:top w:val="nil"/>
                    <w:left w:val="nil"/>
                    <w:bottom w:val="nil"/>
                    <w:right w:val="nil"/>
                  </w:tcBorders>
                </w:tcPr>
                <w:p w14:paraId="7A3BDE88"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tar_mbratio</w:t>
                  </w:r>
                </w:p>
              </w:tc>
              <w:tc>
                <w:tcPr>
                  <w:tcW w:w="560" w:type="pct"/>
                  <w:tcBorders>
                    <w:left w:val="nil"/>
                    <w:right w:val="nil"/>
                  </w:tcBorders>
                  <w:vAlign w:val="center"/>
                </w:tcPr>
                <w:p w14:paraId="65D509D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-.008</w:t>
                  </w:r>
                </w:p>
              </w:tc>
              <w:tc>
                <w:tcPr>
                  <w:tcW w:w="560" w:type="pct"/>
                  <w:tcBorders>
                    <w:left w:val="nil"/>
                    <w:right w:val="nil"/>
                  </w:tcBorders>
                  <w:vAlign w:val="center"/>
                </w:tcPr>
                <w:p w14:paraId="38E7F98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-.005</w:t>
                  </w:r>
                </w:p>
              </w:tc>
              <w:tc>
                <w:tcPr>
                  <w:tcW w:w="659" w:type="pct"/>
                  <w:tcBorders>
                    <w:left w:val="nil"/>
                    <w:right w:val="nil"/>
                  </w:tcBorders>
                  <w:vAlign w:val="center"/>
                </w:tcPr>
                <w:p w14:paraId="365CFAF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-.002</w:t>
                  </w:r>
                </w:p>
              </w:tc>
              <w:tc>
                <w:tcPr>
                  <w:tcW w:w="165" w:type="pct"/>
                  <w:tcBorders>
                    <w:left w:val="nil"/>
                    <w:right w:val="nil"/>
                  </w:tcBorders>
                </w:tcPr>
                <w:p w14:paraId="2814119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24F4D65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-.009</w:t>
                  </w:r>
                </w:p>
              </w:tc>
              <w:tc>
                <w:tcPr>
                  <w:tcW w:w="606" w:type="pct"/>
                  <w:tcBorders>
                    <w:left w:val="nil"/>
                    <w:right w:val="nil"/>
                  </w:tcBorders>
                  <w:vAlign w:val="center"/>
                </w:tcPr>
                <w:p w14:paraId="5FCF3EF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-.005</w:t>
                  </w:r>
                </w:p>
              </w:tc>
              <w:tc>
                <w:tcPr>
                  <w:tcW w:w="659" w:type="pct"/>
                  <w:tcBorders>
                    <w:left w:val="nil"/>
                    <w:right w:val="nil"/>
                  </w:tcBorders>
                  <w:vAlign w:val="center"/>
                </w:tcPr>
                <w:p w14:paraId="2CB04E0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-.002</w:t>
                  </w:r>
                </w:p>
              </w:tc>
            </w:tr>
            <w:tr w:rsidR="00902176" w:rsidRPr="00F60760" w14:paraId="2DAA4E43" w14:textId="77777777" w:rsidTr="00902176">
              <w:tc>
                <w:tcPr>
                  <w:tcW w:w="1231" w:type="pct"/>
                  <w:tcBorders>
                    <w:top w:val="nil"/>
                    <w:left w:val="nil"/>
                    <w:bottom w:val="nil"/>
                    <w:right w:val="nil"/>
                  </w:tcBorders>
                </w:tcPr>
                <w:p w14:paraId="669EC864"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560" w:type="pct"/>
                  <w:tcBorders>
                    <w:left w:val="nil"/>
                    <w:right w:val="nil"/>
                  </w:tcBorders>
                  <w:vAlign w:val="center"/>
                </w:tcPr>
                <w:p w14:paraId="747A87E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(-1.376)</w:t>
                  </w:r>
                </w:p>
              </w:tc>
              <w:tc>
                <w:tcPr>
                  <w:tcW w:w="560" w:type="pct"/>
                  <w:tcBorders>
                    <w:left w:val="nil"/>
                    <w:right w:val="nil"/>
                  </w:tcBorders>
                  <w:vAlign w:val="center"/>
                </w:tcPr>
                <w:p w14:paraId="1BBCCF7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(-1.237)</w:t>
                  </w:r>
                </w:p>
              </w:tc>
              <w:tc>
                <w:tcPr>
                  <w:tcW w:w="659" w:type="pct"/>
                  <w:tcBorders>
                    <w:left w:val="nil"/>
                    <w:right w:val="nil"/>
                  </w:tcBorders>
                  <w:vAlign w:val="center"/>
                </w:tcPr>
                <w:p w14:paraId="357099C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(-1.239)</w:t>
                  </w:r>
                </w:p>
              </w:tc>
              <w:tc>
                <w:tcPr>
                  <w:tcW w:w="165" w:type="pct"/>
                  <w:tcBorders>
                    <w:left w:val="nil"/>
                    <w:right w:val="nil"/>
                  </w:tcBorders>
                </w:tcPr>
                <w:p w14:paraId="3BC8E11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247092E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(-1.572)</w:t>
                  </w:r>
                </w:p>
              </w:tc>
              <w:tc>
                <w:tcPr>
                  <w:tcW w:w="606" w:type="pct"/>
                  <w:tcBorders>
                    <w:left w:val="nil"/>
                    <w:right w:val="nil"/>
                  </w:tcBorders>
                  <w:vAlign w:val="center"/>
                </w:tcPr>
                <w:p w14:paraId="0DC0E72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(-1.406)</w:t>
                  </w:r>
                </w:p>
              </w:tc>
              <w:tc>
                <w:tcPr>
                  <w:tcW w:w="659" w:type="pct"/>
                  <w:tcBorders>
                    <w:left w:val="nil"/>
                    <w:right w:val="nil"/>
                  </w:tcBorders>
                  <w:vAlign w:val="center"/>
                </w:tcPr>
                <w:p w14:paraId="3C6FF22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(-1.373)</w:t>
                  </w:r>
                </w:p>
              </w:tc>
            </w:tr>
            <w:tr w:rsidR="00902176" w:rsidRPr="00F60760" w14:paraId="150830DC" w14:textId="77777777" w:rsidTr="00902176">
              <w:tc>
                <w:tcPr>
                  <w:tcW w:w="1231" w:type="pct"/>
                  <w:tcBorders>
                    <w:top w:val="nil"/>
                    <w:left w:val="nil"/>
                    <w:bottom w:val="nil"/>
                    <w:right w:val="nil"/>
                  </w:tcBorders>
                </w:tcPr>
                <w:p w14:paraId="798936BB"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Observations</w:t>
                  </w:r>
                </w:p>
              </w:tc>
              <w:tc>
                <w:tcPr>
                  <w:tcW w:w="560" w:type="pct"/>
                  <w:tcBorders>
                    <w:left w:val="nil"/>
                    <w:right w:val="nil"/>
                  </w:tcBorders>
                  <w:vAlign w:val="center"/>
                </w:tcPr>
                <w:p w14:paraId="20058E5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243</w:t>
                  </w:r>
                </w:p>
              </w:tc>
              <w:tc>
                <w:tcPr>
                  <w:tcW w:w="560" w:type="pct"/>
                  <w:tcBorders>
                    <w:left w:val="nil"/>
                    <w:right w:val="nil"/>
                  </w:tcBorders>
                  <w:vAlign w:val="center"/>
                </w:tcPr>
                <w:p w14:paraId="10322A0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243</w:t>
                  </w:r>
                </w:p>
              </w:tc>
              <w:tc>
                <w:tcPr>
                  <w:tcW w:w="659" w:type="pct"/>
                  <w:tcBorders>
                    <w:left w:val="nil"/>
                    <w:right w:val="nil"/>
                  </w:tcBorders>
                  <w:vAlign w:val="center"/>
                </w:tcPr>
                <w:p w14:paraId="6F82E52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243</w:t>
                  </w:r>
                </w:p>
              </w:tc>
              <w:tc>
                <w:tcPr>
                  <w:tcW w:w="165" w:type="pct"/>
                  <w:tcBorders>
                    <w:left w:val="nil"/>
                    <w:right w:val="nil"/>
                  </w:tcBorders>
                </w:tcPr>
                <w:p w14:paraId="0B9E9D4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5F0493F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243</w:t>
                  </w:r>
                </w:p>
              </w:tc>
              <w:tc>
                <w:tcPr>
                  <w:tcW w:w="606" w:type="pct"/>
                  <w:tcBorders>
                    <w:left w:val="nil"/>
                    <w:right w:val="nil"/>
                  </w:tcBorders>
                  <w:vAlign w:val="center"/>
                </w:tcPr>
                <w:p w14:paraId="4DAD6F8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243</w:t>
                  </w:r>
                </w:p>
              </w:tc>
              <w:tc>
                <w:tcPr>
                  <w:tcW w:w="659" w:type="pct"/>
                  <w:tcBorders>
                    <w:left w:val="nil"/>
                    <w:right w:val="nil"/>
                  </w:tcBorders>
                  <w:vAlign w:val="center"/>
                </w:tcPr>
                <w:p w14:paraId="119B7C9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243</w:t>
                  </w:r>
                </w:p>
              </w:tc>
            </w:tr>
            <w:tr w:rsidR="00902176" w:rsidRPr="00F60760" w14:paraId="7A120572" w14:textId="77777777" w:rsidTr="00902176">
              <w:tc>
                <w:tcPr>
                  <w:tcW w:w="1231" w:type="pct"/>
                  <w:tcBorders>
                    <w:top w:val="nil"/>
                    <w:left w:val="nil"/>
                    <w:bottom w:val="nil"/>
                    <w:right w:val="nil"/>
                  </w:tcBorders>
                </w:tcPr>
                <w:p w14:paraId="764726A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Adj R2</w:t>
                  </w:r>
                </w:p>
              </w:tc>
              <w:tc>
                <w:tcPr>
                  <w:tcW w:w="560" w:type="pct"/>
                  <w:tcBorders>
                    <w:left w:val="nil"/>
                    <w:right w:val="nil"/>
                  </w:tcBorders>
                  <w:vAlign w:val="center"/>
                </w:tcPr>
                <w:p w14:paraId="22A2165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.179</w:t>
                  </w:r>
                </w:p>
              </w:tc>
              <w:tc>
                <w:tcPr>
                  <w:tcW w:w="560" w:type="pct"/>
                  <w:tcBorders>
                    <w:left w:val="nil"/>
                    <w:right w:val="nil"/>
                  </w:tcBorders>
                  <w:vAlign w:val="center"/>
                </w:tcPr>
                <w:p w14:paraId="3F3F698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.191</w:t>
                  </w:r>
                </w:p>
              </w:tc>
              <w:tc>
                <w:tcPr>
                  <w:tcW w:w="659" w:type="pct"/>
                  <w:tcBorders>
                    <w:left w:val="nil"/>
                    <w:right w:val="nil"/>
                  </w:tcBorders>
                  <w:vAlign w:val="center"/>
                </w:tcPr>
                <w:p w14:paraId="7EC1730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.207</w:t>
                  </w:r>
                </w:p>
              </w:tc>
              <w:tc>
                <w:tcPr>
                  <w:tcW w:w="165" w:type="pct"/>
                  <w:tcBorders>
                    <w:left w:val="nil"/>
                    <w:right w:val="nil"/>
                  </w:tcBorders>
                </w:tcPr>
                <w:p w14:paraId="5E65E85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vAlign w:val="center"/>
                </w:tcPr>
                <w:p w14:paraId="068E6E7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.176</w:t>
                  </w:r>
                </w:p>
              </w:tc>
              <w:tc>
                <w:tcPr>
                  <w:tcW w:w="606" w:type="pct"/>
                  <w:tcBorders>
                    <w:left w:val="nil"/>
                    <w:right w:val="nil"/>
                  </w:tcBorders>
                  <w:vAlign w:val="center"/>
                </w:tcPr>
                <w:p w14:paraId="21310C3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.191</w:t>
                  </w:r>
                </w:p>
              </w:tc>
              <w:tc>
                <w:tcPr>
                  <w:tcW w:w="659" w:type="pct"/>
                  <w:tcBorders>
                    <w:left w:val="nil"/>
                    <w:right w:val="nil"/>
                  </w:tcBorders>
                  <w:vAlign w:val="center"/>
                </w:tcPr>
                <w:p w14:paraId="71AFA32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.210</w:t>
                  </w:r>
                </w:p>
              </w:tc>
            </w:tr>
            <w:tr w:rsidR="00902176" w:rsidRPr="00F60760" w14:paraId="4F8A0359" w14:textId="77777777" w:rsidTr="00902176">
              <w:tc>
                <w:tcPr>
                  <w:tcW w:w="1231" w:type="pct"/>
                  <w:tcBorders>
                    <w:top w:val="nil"/>
                    <w:left w:val="nil"/>
                    <w:bottom w:val="nil"/>
                    <w:right w:val="nil"/>
                  </w:tcBorders>
                </w:tcPr>
                <w:p w14:paraId="2067EC50"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lastRenderedPageBreak/>
                    <w:t xml:space="preserve"> Industry FE</w:t>
                  </w:r>
                </w:p>
              </w:tc>
              <w:tc>
                <w:tcPr>
                  <w:tcW w:w="560" w:type="pct"/>
                  <w:tcBorders>
                    <w:left w:val="nil"/>
                    <w:right w:val="nil"/>
                  </w:tcBorders>
                </w:tcPr>
                <w:p w14:paraId="4DE1835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560" w:type="pct"/>
                  <w:tcBorders>
                    <w:left w:val="nil"/>
                    <w:right w:val="nil"/>
                  </w:tcBorders>
                </w:tcPr>
                <w:p w14:paraId="5F77947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659" w:type="pct"/>
                  <w:tcBorders>
                    <w:left w:val="nil"/>
                    <w:right w:val="nil"/>
                  </w:tcBorders>
                </w:tcPr>
                <w:p w14:paraId="098865F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165" w:type="pct"/>
                  <w:tcBorders>
                    <w:left w:val="nil"/>
                    <w:right w:val="nil"/>
                  </w:tcBorders>
                </w:tcPr>
                <w:p w14:paraId="50BD67F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right w:val="nil"/>
                  </w:tcBorders>
                </w:tcPr>
                <w:p w14:paraId="0D49318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606" w:type="pct"/>
                  <w:tcBorders>
                    <w:left w:val="nil"/>
                    <w:right w:val="nil"/>
                  </w:tcBorders>
                </w:tcPr>
                <w:p w14:paraId="4BFE3C5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659" w:type="pct"/>
                  <w:tcBorders>
                    <w:left w:val="nil"/>
                    <w:right w:val="nil"/>
                  </w:tcBorders>
                </w:tcPr>
                <w:p w14:paraId="735CF0A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r>
            <w:tr w:rsidR="00902176" w:rsidRPr="00F60760" w14:paraId="2DCEDF8B" w14:textId="77777777" w:rsidTr="00902176">
              <w:tc>
                <w:tcPr>
                  <w:tcW w:w="1231" w:type="pct"/>
                  <w:tcBorders>
                    <w:top w:val="nil"/>
                    <w:left w:val="nil"/>
                    <w:bottom w:val="nil"/>
                    <w:right w:val="nil"/>
                  </w:tcBorders>
                </w:tcPr>
                <w:p w14:paraId="7CAF59C0"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Year FE</w:t>
                  </w:r>
                </w:p>
              </w:tc>
              <w:tc>
                <w:tcPr>
                  <w:tcW w:w="560" w:type="pct"/>
                  <w:tcBorders>
                    <w:left w:val="nil"/>
                    <w:bottom w:val="nil"/>
                    <w:right w:val="nil"/>
                  </w:tcBorders>
                </w:tcPr>
                <w:p w14:paraId="6E13149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Yes</w:t>
                  </w:r>
                </w:p>
              </w:tc>
              <w:tc>
                <w:tcPr>
                  <w:tcW w:w="560" w:type="pct"/>
                  <w:tcBorders>
                    <w:left w:val="nil"/>
                    <w:bottom w:val="nil"/>
                    <w:right w:val="nil"/>
                  </w:tcBorders>
                </w:tcPr>
                <w:p w14:paraId="6D097F7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Yes</w:t>
                  </w:r>
                </w:p>
              </w:tc>
              <w:tc>
                <w:tcPr>
                  <w:tcW w:w="659" w:type="pct"/>
                  <w:tcBorders>
                    <w:left w:val="nil"/>
                    <w:bottom w:val="nil"/>
                    <w:right w:val="nil"/>
                  </w:tcBorders>
                </w:tcPr>
                <w:p w14:paraId="206B719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Yes</w:t>
                  </w:r>
                </w:p>
              </w:tc>
              <w:tc>
                <w:tcPr>
                  <w:tcW w:w="165" w:type="pct"/>
                  <w:tcBorders>
                    <w:left w:val="nil"/>
                    <w:bottom w:val="nil"/>
                    <w:right w:val="nil"/>
                  </w:tcBorders>
                </w:tcPr>
                <w:p w14:paraId="54F074D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560" w:type="pct"/>
                  <w:tcBorders>
                    <w:left w:val="nil"/>
                    <w:bottom w:val="nil"/>
                    <w:right w:val="nil"/>
                  </w:tcBorders>
                </w:tcPr>
                <w:p w14:paraId="27BFE3B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Yes</w:t>
                  </w:r>
                </w:p>
              </w:tc>
              <w:tc>
                <w:tcPr>
                  <w:tcW w:w="606" w:type="pct"/>
                  <w:tcBorders>
                    <w:left w:val="nil"/>
                    <w:bottom w:val="nil"/>
                    <w:right w:val="nil"/>
                  </w:tcBorders>
                </w:tcPr>
                <w:p w14:paraId="078F4AA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Yes</w:t>
                  </w:r>
                </w:p>
              </w:tc>
              <w:tc>
                <w:tcPr>
                  <w:tcW w:w="659" w:type="pct"/>
                  <w:tcBorders>
                    <w:left w:val="nil"/>
                    <w:bottom w:val="nil"/>
                    <w:right w:val="nil"/>
                  </w:tcBorders>
                </w:tcPr>
                <w:p w14:paraId="1F30CA5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Yes</w:t>
                  </w:r>
                </w:p>
              </w:tc>
            </w:tr>
          </w:tbl>
          <w:p w14:paraId="7462A7F7" w14:textId="77777777" w:rsidR="00694090" w:rsidRPr="00F60760" w:rsidRDefault="00694090" w:rsidP="00AB066F">
            <w:pPr>
              <w:jc w:val="left"/>
              <w:rPr>
                <w:color w:val="000000" w:themeColor="text1"/>
                <w:sz w:val="22"/>
                <w:lang w:val="en-US"/>
              </w:rPr>
            </w:pPr>
          </w:p>
        </w:tc>
      </w:tr>
      <w:tr w:rsidR="00694090" w:rsidRPr="00BE5632" w14:paraId="4C4798CE" w14:textId="77777777" w:rsidTr="001D491F">
        <w:trPr>
          <w:trHeight w:val="978"/>
        </w:trPr>
        <w:tc>
          <w:tcPr>
            <w:tcW w:w="9924" w:type="dxa"/>
            <w:tcBorders>
              <w:top w:val="single" w:sz="4" w:space="0" w:color="auto"/>
              <w:left w:val="nil"/>
              <w:right w:val="nil"/>
            </w:tcBorders>
            <w:shd w:val="clear" w:color="auto" w:fill="auto"/>
            <w:noWrap/>
          </w:tcPr>
          <w:p w14:paraId="39069324" w14:textId="77777777" w:rsidR="00694090" w:rsidRPr="00F60760" w:rsidRDefault="00694090" w:rsidP="00E74508">
            <w:pPr>
              <w:spacing w:before="120" w:line="240" w:lineRule="auto"/>
              <w:rPr>
                <w:color w:val="000000" w:themeColor="text1"/>
                <w:sz w:val="22"/>
                <w:lang w:val="en-US"/>
              </w:rPr>
            </w:pPr>
            <w:r w:rsidRPr="00F60760">
              <w:rPr>
                <w:i/>
                <w:iCs/>
                <w:color w:val="000000" w:themeColor="text1"/>
                <w:sz w:val="22"/>
                <w:lang w:val="en-US"/>
              </w:rPr>
              <w:lastRenderedPageBreak/>
              <w:t>Note</w:t>
            </w:r>
            <w:r w:rsidRPr="00F60760">
              <w:rPr>
                <w:color w:val="000000" w:themeColor="text1"/>
                <w:sz w:val="22"/>
                <w:lang w:val="en-US"/>
              </w:rPr>
              <w:t xml:space="preserve">. This table reports fixed effects linear OLS regression results predicting the effect of organizational cultural distance between acquirers and targets on deal announcement cumulative abnormal returns (CARs). The dependent variable for Models 1, 2, 4, and 5 is the acquirer’s cumulative abnormal return, with the day range being centered around announcement given in brackets. The dependent variable for Models 3 and 6 is the market value-weighted cumulative abnormal return of the acquirer and target. The main independent variable in Models 1-3 is </w:t>
            </w:r>
            <w:r w:rsidRPr="00F60760">
              <w:rPr>
                <w:i/>
                <w:iCs/>
                <w:color w:val="000000" w:themeColor="text1"/>
                <w:sz w:val="22"/>
                <w:lang w:val="en-US"/>
              </w:rPr>
              <w:t>deal_culturaldistance_eucl</w:t>
            </w:r>
            <w:r w:rsidRPr="00F60760">
              <w:rPr>
                <w:color w:val="000000" w:themeColor="text1"/>
                <w:sz w:val="22"/>
                <w:lang w:val="en-US"/>
              </w:rPr>
              <w:t xml:space="preserve">, measured as the Euclidian distance between the acquirer and the target organizational cultural distance, with higher values indicating higher cultural dissimilarities between the acquirer and the target. The main independent variable in Models 4-6 is </w:t>
            </w:r>
            <w:r w:rsidRPr="00F60760">
              <w:rPr>
                <w:i/>
                <w:iCs/>
                <w:color w:val="000000" w:themeColor="text1"/>
                <w:sz w:val="22"/>
                <w:lang w:val="en-US"/>
              </w:rPr>
              <w:t>deal_culturaldistance_maha</w:t>
            </w:r>
            <w:r w:rsidRPr="00F60760">
              <w:rPr>
                <w:color w:val="000000" w:themeColor="text1"/>
                <w:sz w:val="22"/>
                <w:lang w:val="en-US"/>
              </w:rPr>
              <w:t>, measured as the Mahalanobis distance between the acquirer and the target organizational cultural distance, with higher values indicating higher cultural dissimilarities between the acquirer and the target. A detailed variable description can be found in Appendix B. Constant terms are estimated but not reported. We include the acquirer’s industry and year fixed effects in all models. We cluster standard errors at the 2-digit SIC industry level. t-statistics are reported in parentheses below the coefficients. *, **, *** denote statistical significance at the .10, .05, and .01 levels (using two-tailed tests).</w:t>
            </w:r>
          </w:p>
        </w:tc>
      </w:tr>
    </w:tbl>
    <w:p w14:paraId="6660F125" w14:textId="77777777" w:rsidR="000F4B60" w:rsidRDefault="000F4B60">
      <w:pPr>
        <w:spacing w:after="160" w:line="259" w:lineRule="auto"/>
        <w:jc w:val="left"/>
        <w:rPr>
          <w:rFonts w:eastAsiaTheme="majorEastAsia" w:cstheme="majorBidi"/>
          <w:b/>
          <w:caps/>
          <w:szCs w:val="32"/>
          <w:lang w:val="en-US"/>
        </w:rPr>
      </w:pPr>
      <w:r w:rsidRPr="00B1627F">
        <w:rPr>
          <w:lang w:val="en-US"/>
        </w:rPr>
        <w:br w:type="page"/>
      </w:r>
    </w:p>
    <w:p w14:paraId="03E02491" w14:textId="560DB18A" w:rsidR="000F4B60" w:rsidRPr="00442048" w:rsidRDefault="000F4B60" w:rsidP="000F4B60">
      <w:pPr>
        <w:pStyle w:val="1fake"/>
      </w:pPr>
      <w:r w:rsidRPr="00442048">
        <w:lastRenderedPageBreak/>
        <w:t xml:space="preserve">ONLINE SUPPLEMENT </w:t>
      </w:r>
      <w:r>
        <w:t>21</w:t>
      </w:r>
    </w:p>
    <w:p w14:paraId="67638980" w14:textId="319AFA22" w:rsidR="00011AF5" w:rsidRPr="000F4B60" w:rsidRDefault="00011AF5" w:rsidP="00011AF5">
      <w:pPr>
        <w:pStyle w:val="Beschriftung"/>
      </w:pPr>
      <w:bookmarkStart w:id="640" w:name="_Toc180594867"/>
      <w:r>
        <w:t xml:space="preserve">T - III - </w:t>
      </w:r>
      <w:r>
        <w:fldChar w:fldCharType="begin"/>
      </w:r>
      <w:r>
        <w:instrText xml:space="preserve"> SEQ T_-_III_- \* ARABIC </w:instrText>
      </w:r>
      <w:r>
        <w:fldChar w:fldCharType="separate"/>
      </w:r>
      <w:r w:rsidR="00E91088">
        <w:rPr>
          <w:noProof/>
        </w:rPr>
        <w:t>31</w:t>
      </w:r>
      <w:r>
        <w:fldChar w:fldCharType="end"/>
      </w:r>
      <w:r>
        <w:t xml:space="preserve">: </w:t>
      </w:r>
      <w:r w:rsidRPr="002B0C68">
        <w:t>H1b: Long-term operating synergies - Alternative distance measures</w:t>
      </w:r>
      <w:bookmarkEnd w:id="640"/>
    </w:p>
    <w:tbl>
      <w:tblPr>
        <w:tblW w:w="9072" w:type="dxa"/>
        <w:tblLayout w:type="fixed"/>
        <w:tblLook w:val="04A0" w:firstRow="1" w:lastRow="0" w:firstColumn="1" w:lastColumn="0" w:noHBand="0" w:noVBand="1"/>
      </w:tblPr>
      <w:tblGrid>
        <w:gridCol w:w="9072"/>
      </w:tblGrid>
      <w:tr w:rsidR="00694090" w:rsidRPr="00CC0559" w14:paraId="3FDE3DCB" w14:textId="77777777" w:rsidTr="00BE7E1E">
        <w:trPr>
          <w:trHeight w:val="909"/>
        </w:trPr>
        <w:tc>
          <w:tcPr>
            <w:tcW w:w="5000" w:type="pct"/>
            <w:tcBorders>
              <w:left w:val="nil"/>
              <w:bottom w:val="single" w:sz="4" w:space="0" w:color="auto"/>
              <w:right w:val="nil"/>
            </w:tcBorders>
            <w:shd w:val="clear" w:color="auto" w:fill="auto"/>
          </w:tcPr>
          <w:tbl>
            <w:tblPr>
              <w:tblW w:w="8856" w:type="dxa"/>
              <w:tblLayout w:type="fixed"/>
              <w:tblLook w:val="0000" w:firstRow="0" w:lastRow="0" w:firstColumn="0" w:lastColumn="0" w:noHBand="0" w:noVBand="0"/>
            </w:tblPr>
            <w:tblGrid>
              <w:gridCol w:w="2019"/>
              <w:gridCol w:w="1582"/>
              <w:gridCol w:w="1673"/>
              <w:gridCol w:w="236"/>
              <w:gridCol w:w="1673"/>
              <w:gridCol w:w="1673"/>
            </w:tblGrid>
            <w:tr w:rsidR="00694090" w:rsidRPr="00F60760" w14:paraId="32D6FC76" w14:textId="77777777" w:rsidTr="00E8448F">
              <w:tc>
                <w:tcPr>
                  <w:tcW w:w="2019" w:type="dxa"/>
                  <w:tcBorders>
                    <w:top w:val="single" w:sz="4" w:space="0" w:color="auto"/>
                    <w:left w:val="nil"/>
                    <w:right w:val="nil"/>
                  </w:tcBorders>
                </w:tcPr>
                <w:p w14:paraId="302171A6"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 xml:space="preserve">   </w:t>
                  </w:r>
                </w:p>
              </w:tc>
              <w:tc>
                <w:tcPr>
                  <w:tcW w:w="1582" w:type="dxa"/>
                  <w:tcBorders>
                    <w:top w:val="single" w:sz="4" w:space="0" w:color="auto"/>
                    <w:left w:val="nil"/>
                    <w:right w:val="nil"/>
                  </w:tcBorders>
                </w:tcPr>
                <w:p w14:paraId="0E11A7C1"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(1)</w:t>
                  </w:r>
                </w:p>
              </w:tc>
              <w:tc>
                <w:tcPr>
                  <w:tcW w:w="1673" w:type="dxa"/>
                  <w:tcBorders>
                    <w:top w:val="single" w:sz="4" w:space="0" w:color="auto"/>
                    <w:left w:val="nil"/>
                    <w:right w:val="nil"/>
                  </w:tcBorders>
                </w:tcPr>
                <w:p w14:paraId="565D3E4D"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(2)</w:t>
                  </w:r>
                </w:p>
              </w:tc>
              <w:tc>
                <w:tcPr>
                  <w:tcW w:w="236" w:type="dxa"/>
                  <w:tcBorders>
                    <w:top w:val="single" w:sz="4" w:space="0" w:color="auto"/>
                    <w:left w:val="nil"/>
                    <w:right w:val="nil"/>
                  </w:tcBorders>
                </w:tcPr>
                <w:p w14:paraId="522BE9BC"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p>
              </w:tc>
              <w:tc>
                <w:tcPr>
                  <w:tcW w:w="1673" w:type="dxa"/>
                  <w:tcBorders>
                    <w:top w:val="single" w:sz="4" w:space="0" w:color="auto"/>
                    <w:left w:val="nil"/>
                    <w:right w:val="nil"/>
                  </w:tcBorders>
                </w:tcPr>
                <w:p w14:paraId="79B2C25C"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(3)</w:t>
                  </w:r>
                </w:p>
              </w:tc>
              <w:tc>
                <w:tcPr>
                  <w:tcW w:w="1673" w:type="dxa"/>
                  <w:tcBorders>
                    <w:top w:val="single" w:sz="4" w:space="0" w:color="auto"/>
                    <w:left w:val="nil"/>
                    <w:right w:val="nil"/>
                  </w:tcBorders>
                </w:tcPr>
                <w:p w14:paraId="59D7474B"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(4)</w:t>
                  </w:r>
                </w:p>
              </w:tc>
            </w:tr>
            <w:tr w:rsidR="00694090" w:rsidRPr="00F60760" w14:paraId="22841FAA" w14:textId="77777777" w:rsidTr="00E8448F">
              <w:tc>
                <w:tcPr>
                  <w:tcW w:w="2019" w:type="dxa"/>
                  <w:tcBorders>
                    <w:top w:val="nil"/>
                    <w:left w:val="nil"/>
                    <w:bottom w:val="single" w:sz="4" w:space="0" w:color="auto"/>
                    <w:right w:val="nil"/>
                  </w:tcBorders>
                </w:tcPr>
                <w:p w14:paraId="7CA00A23"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 xml:space="preserve">   </w:t>
                  </w:r>
                </w:p>
              </w:tc>
              <w:tc>
                <w:tcPr>
                  <w:tcW w:w="1582" w:type="dxa"/>
                  <w:tcBorders>
                    <w:left w:val="nil"/>
                    <w:bottom w:val="single" w:sz="4" w:space="0" w:color="auto"/>
                    <w:right w:val="nil"/>
                  </w:tcBorders>
                </w:tcPr>
                <w:p w14:paraId="22B1E7AA"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acq_sales_2yr_growth</w:t>
                  </w:r>
                </w:p>
              </w:tc>
              <w:tc>
                <w:tcPr>
                  <w:tcW w:w="1673" w:type="dxa"/>
                  <w:tcBorders>
                    <w:left w:val="nil"/>
                    <w:bottom w:val="single" w:sz="4" w:space="0" w:color="auto"/>
                    <w:right w:val="nil"/>
                  </w:tcBorders>
                </w:tcPr>
                <w:p w14:paraId="1E111D7B"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acq_sales_4yr_growth</w:t>
                  </w:r>
                </w:p>
              </w:tc>
              <w:tc>
                <w:tcPr>
                  <w:tcW w:w="236" w:type="dxa"/>
                  <w:tcBorders>
                    <w:left w:val="nil"/>
                    <w:bottom w:val="single" w:sz="4" w:space="0" w:color="auto"/>
                    <w:right w:val="nil"/>
                  </w:tcBorders>
                </w:tcPr>
                <w:p w14:paraId="11A4BE6B"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p>
              </w:tc>
              <w:tc>
                <w:tcPr>
                  <w:tcW w:w="1673" w:type="dxa"/>
                  <w:tcBorders>
                    <w:left w:val="nil"/>
                    <w:bottom w:val="single" w:sz="4" w:space="0" w:color="auto"/>
                    <w:right w:val="nil"/>
                  </w:tcBorders>
                </w:tcPr>
                <w:p w14:paraId="7829D454"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acq_sales_2yr_growth</w:t>
                  </w:r>
                </w:p>
              </w:tc>
              <w:tc>
                <w:tcPr>
                  <w:tcW w:w="1673" w:type="dxa"/>
                  <w:tcBorders>
                    <w:left w:val="nil"/>
                    <w:bottom w:val="single" w:sz="4" w:space="0" w:color="auto"/>
                    <w:right w:val="nil"/>
                  </w:tcBorders>
                </w:tcPr>
                <w:p w14:paraId="77C382F6"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acq_sales_4yr_growth</w:t>
                  </w:r>
                </w:p>
              </w:tc>
            </w:tr>
            <w:tr w:rsidR="00694090" w:rsidRPr="00F60760" w14:paraId="42BDDE62" w14:textId="77777777" w:rsidTr="00E8448F">
              <w:trPr>
                <w:trHeight w:val="224"/>
              </w:trPr>
              <w:tc>
                <w:tcPr>
                  <w:tcW w:w="2019" w:type="dxa"/>
                  <w:tcBorders>
                    <w:top w:val="single" w:sz="4" w:space="0" w:color="auto"/>
                    <w:left w:val="nil"/>
                    <w:bottom w:val="nil"/>
                    <w:right w:val="nil"/>
                  </w:tcBorders>
                </w:tcPr>
                <w:p w14:paraId="41BF7FD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deal_culturaldistance_eucl</w:t>
                  </w:r>
                </w:p>
              </w:tc>
              <w:tc>
                <w:tcPr>
                  <w:tcW w:w="1582" w:type="dxa"/>
                  <w:tcBorders>
                    <w:top w:val="single" w:sz="4" w:space="0" w:color="auto"/>
                    <w:left w:val="nil"/>
                    <w:right w:val="nil"/>
                  </w:tcBorders>
                  <w:vAlign w:val="center"/>
                </w:tcPr>
                <w:p w14:paraId="6A97649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-.321*</w:t>
                  </w:r>
                </w:p>
              </w:tc>
              <w:tc>
                <w:tcPr>
                  <w:tcW w:w="1673" w:type="dxa"/>
                  <w:tcBorders>
                    <w:top w:val="single" w:sz="4" w:space="0" w:color="auto"/>
                    <w:left w:val="nil"/>
                    <w:right w:val="nil"/>
                  </w:tcBorders>
                  <w:vAlign w:val="center"/>
                </w:tcPr>
                <w:p w14:paraId="4CFA013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-.349***</w:t>
                  </w:r>
                </w:p>
              </w:tc>
              <w:tc>
                <w:tcPr>
                  <w:tcW w:w="236" w:type="dxa"/>
                  <w:tcBorders>
                    <w:top w:val="single" w:sz="4" w:space="0" w:color="auto"/>
                    <w:left w:val="nil"/>
                    <w:right w:val="nil"/>
                  </w:tcBorders>
                  <w:vAlign w:val="center"/>
                </w:tcPr>
                <w:p w14:paraId="2E0E76F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top w:val="single" w:sz="4" w:space="0" w:color="auto"/>
                    <w:left w:val="nil"/>
                    <w:right w:val="nil"/>
                  </w:tcBorders>
                  <w:vAlign w:val="center"/>
                </w:tcPr>
                <w:p w14:paraId="7BF6106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top w:val="single" w:sz="4" w:space="0" w:color="auto"/>
                    <w:left w:val="nil"/>
                    <w:right w:val="nil"/>
                  </w:tcBorders>
                  <w:vAlign w:val="center"/>
                </w:tcPr>
                <w:p w14:paraId="29E1491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r>
            <w:tr w:rsidR="00694090" w:rsidRPr="00F60760" w14:paraId="0B20F0BD" w14:textId="77777777" w:rsidTr="00E8448F">
              <w:tc>
                <w:tcPr>
                  <w:tcW w:w="2019" w:type="dxa"/>
                  <w:tcBorders>
                    <w:top w:val="nil"/>
                    <w:left w:val="nil"/>
                    <w:bottom w:val="nil"/>
                    <w:right w:val="nil"/>
                  </w:tcBorders>
                </w:tcPr>
                <w:p w14:paraId="09092614"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582" w:type="dxa"/>
                  <w:tcBorders>
                    <w:left w:val="nil"/>
                    <w:right w:val="nil"/>
                  </w:tcBorders>
                  <w:vAlign w:val="center"/>
                </w:tcPr>
                <w:p w14:paraId="3F0683E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(-1.892)</w:t>
                  </w:r>
                </w:p>
              </w:tc>
              <w:tc>
                <w:tcPr>
                  <w:tcW w:w="1673" w:type="dxa"/>
                  <w:tcBorders>
                    <w:left w:val="nil"/>
                    <w:right w:val="nil"/>
                  </w:tcBorders>
                  <w:vAlign w:val="center"/>
                </w:tcPr>
                <w:p w14:paraId="77FE854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(-2.972</w:t>
                  </w:r>
                </w:p>
              </w:tc>
              <w:tc>
                <w:tcPr>
                  <w:tcW w:w="236" w:type="dxa"/>
                  <w:tcBorders>
                    <w:left w:val="nil"/>
                    <w:right w:val="nil"/>
                  </w:tcBorders>
                  <w:vAlign w:val="center"/>
                </w:tcPr>
                <w:p w14:paraId="7A4B477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350157E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0F96114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r>
            <w:tr w:rsidR="00694090" w:rsidRPr="00F60760" w14:paraId="77704C79" w14:textId="77777777" w:rsidTr="00E8448F">
              <w:tc>
                <w:tcPr>
                  <w:tcW w:w="2019" w:type="dxa"/>
                  <w:tcBorders>
                    <w:top w:val="nil"/>
                    <w:left w:val="nil"/>
                    <w:bottom w:val="nil"/>
                    <w:right w:val="nil"/>
                  </w:tcBorders>
                </w:tcPr>
                <w:p w14:paraId="09C03B6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deal_culturaldistance_maha</w:t>
                  </w:r>
                </w:p>
              </w:tc>
              <w:tc>
                <w:tcPr>
                  <w:tcW w:w="1582" w:type="dxa"/>
                  <w:tcBorders>
                    <w:left w:val="nil"/>
                    <w:right w:val="nil"/>
                  </w:tcBorders>
                  <w:vAlign w:val="center"/>
                </w:tcPr>
                <w:p w14:paraId="2EB2E55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2014D9B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236" w:type="dxa"/>
                  <w:tcBorders>
                    <w:left w:val="nil"/>
                    <w:right w:val="nil"/>
                  </w:tcBorders>
                  <w:vAlign w:val="center"/>
                </w:tcPr>
                <w:p w14:paraId="5AF0907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59E37A1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-.102</w:t>
                  </w:r>
                </w:p>
              </w:tc>
              <w:tc>
                <w:tcPr>
                  <w:tcW w:w="1673" w:type="dxa"/>
                  <w:tcBorders>
                    <w:left w:val="nil"/>
                    <w:right w:val="nil"/>
                  </w:tcBorders>
                  <w:vAlign w:val="center"/>
                </w:tcPr>
                <w:p w14:paraId="06D012D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-.118</w:t>
                  </w:r>
                </w:p>
              </w:tc>
            </w:tr>
            <w:tr w:rsidR="00694090" w:rsidRPr="00F60760" w14:paraId="35E03B4F" w14:textId="77777777" w:rsidTr="00E8448F">
              <w:tc>
                <w:tcPr>
                  <w:tcW w:w="2019" w:type="dxa"/>
                  <w:tcBorders>
                    <w:top w:val="nil"/>
                    <w:left w:val="nil"/>
                    <w:bottom w:val="nil"/>
                    <w:right w:val="nil"/>
                  </w:tcBorders>
                </w:tcPr>
                <w:p w14:paraId="2A32B3E5"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p>
              </w:tc>
              <w:tc>
                <w:tcPr>
                  <w:tcW w:w="1582" w:type="dxa"/>
                  <w:tcBorders>
                    <w:left w:val="nil"/>
                    <w:right w:val="nil"/>
                  </w:tcBorders>
                  <w:vAlign w:val="center"/>
                </w:tcPr>
                <w:p w14:paraId="762C2E6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17FE34C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236" w:type="dxa"/>
                  <w:tcBorders>
                    <w:left w:val="nil"/>
                    <w:right w:val="nil"/>
                  </w:tcBorders>
                  <w:vAlign w:val="center"/>
                </w:tcPr>
                <w:p w14:paraId="0E3BE28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2A6F2BC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(-1.003)</w:t>
                  </w:r>
                </w:p>
              </w:tc>
              <w:tc>
                <w:tcPr>
                  <w:tcW w:w="1673" w:type="dxa"/>
                  <w:tcBorders>
                    <w:left w:val="nil"/>
                    <w:right w:val="nil"/>
                  </w:tcBorders>
                  <w:vAlign w:val="center"/>
                </w:tcPr>
                <w:p w14:paraId="05EED14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(-1.551)</w:t>
                  </w:r>
                </w:p>
              </w:tc>
            </w:tr>
            <w:tr w:rsidR="00694090" w:rsidRPr="00F60760" w14:paraId="2047E039" w14:textId="77777777" w:rsidTr="00E8448F">
              <w:tc>
                <w:tcPr>
                  <w:tcW w:w="2019" w:type="dxa"/>
                  <w:tcBorders>
                    <w:top w:val="nil"/>
                    <w:left w:val="nil"/>
                    <w:bottom w:val="nil"/>
                    <w:right w:val="nil"/>
                  </w:tcBorders>
                </w:tcPr>
                <w:p w14:paraId="7650125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deal_value_ln</w:t>
                  </w:r>
                </w:p>
              </w:tc>
              <w:tc>
                <w:tcPr>
                  <w:tcW w:w="1582" w:type="dxa"/>
                  <w:tcBorders>
                    <w:left w:val="nil"/>
                    <w:right w:val="nil"/>
                  </w:tcBorders>
                  <w:vAlign w:val="center"/>
                </w:tcPr>
                <w:p w14:paraId="78DCD99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-.037</w:t>
                  </w:r>
                </w:p>
              </w:tc>
              <w:tc>
                <w:tcPr>
                  <w:tcW w:w="1673" w:type="dxa"/>
                  <w:tcBorders>
                    <w:left w:val="nil"/>
                    <w:right w:val="nil"/>
                  </w:tcBorders>
                  <w:vAlign w:val="center"/>
                </w:tcPr>
                <w:p w14:paraId="4B93659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-.017</w:t>
                  </w:r>
                </w:p>
              </w:tc>
              <w:tc>
                <w:tcPr>
                  <w:tcW w:w="236" w:type="dxa"/>
                  <w:tcBorders>
                    <w:left w:val="nil"/>
                    <w:right w:val="nil"/>
                  </w:tcBorders>
                  <w:vAlign w:val="center"/>
                </w:tcPr>
                <w:p w14:paraId="70AE456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68AA371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-.031</w:t>
                  </w:r>
                </w:p>
              </w:tc>
              <w:tc>
                <w:tcPr>
                  <w:tcW w:w="1673" w:type="dxa"/>
                  <w:tcBorders>
                    <w:left w:val="nil"/>
                    <w:right w:val="nil"/>
                  </w:tcBorders>
                  <w:vAlign w:val="center"/>
                </w:tcPr>
                <w:p w14:paraId="650F8AA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-.009</w:t>
                  </w:r>
                </w:p>
              </w:tc>
            </w:tr>
            <w:tr w:rsidR="00694090" w:rsidRPr="00F60760" w14:paraId="19D821CA" w14:textId="77777777" w:rsidTr="00E8448F">
              <w:tc>
                <w:tcPr>
                  <w:tcW w:w="2019" w:type="dxa"/>
                  <w:tcBorders>
                    <w:top w:val="nil"/>
                    <w:left w:val="nil"/>
                    <w:bottom w:val="nil"/>
                    <w:right w:val="nil"/>
                  </w:tcBorders>
                </w:tcPr>
                <w:p w14:paraId="0071A83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582" w:type="dxa"/>
                  <w:tcBorders>
                    <w:left w:val="nil"/>
                    <w:right w:val="nil"/>
                  </w:tcBorders>
                  <w:vAlign w:val="center"/>
                </w:tcPr>
                <w:p w14:paraId="234F716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(-1.052)</w:t>
                  </w:r>
                </w:p>
              </w:tc>
              <w:tc>
                <w:tcPr>
                  <w:tcW w:w="1673" w:type="dxa"/>
                  <w:tcBorders>
                    <w:left w:val="nil"/>
                    <w:right w:val="nil"/>
                  </w:tcBorders>
                  <w:vAlign w:val="center"/>
                </w:tcPr>
                <w:p w14:paraId="39BEE02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(-.716)</w:t>
                  </w:r>
                </w:p>
              </w:tc>
              <w:tc>
                <w:tcPr>
                  <w:tcW w:w="236" w:type="dxa"/>
                  <w:tcBorders>
                    <w:left w:val="nil"/>
                    <w:right w:val="nil"/>
                  </w:tcBorders>
                  <w:vAlign w:val="center"/>
                </w:tcPr>
                <w:p w14:paraId="6AA9113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7305539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(-.852)</w:t>
                  </w:r>
                </w:p>
              </w:tc>
              <w:tc>
                <w:tcPr>
                  <w:tcW w:w="1673" w:type="dxa"/>
                  <w:tcBorders>
                    <w:left w:val="nil"/>
                    <w:right w:val="nil"/>
                  </w:tcBorders>
                  <w:vAlign w:val="center"/>
                </w:tcPr>
                <w:p w14:paraId="2E65FE4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(-.415)</w:t>
                  </w:r>
                </w:p>
              </w:tc>
            </w:tr>
            <w:tr w:rsidR="00694090" w:rsidRPr="00F60760" w14:paraId="4BD9ED88" w14:textId="77777777" w:rsidTr="00E8448F">
              <w:tc>
                <w:tcPr>
                  <w:tcW w:w="2019" w:type="dxa"/>
                  <w:tcBorders>
                    <w:top w:val="nil"/>
                    <w:left w:val="nil"/>
                    <w:bottom w:val="nil"/>
                    <w:right w:val="nil"/>
                  </w:tcBorders>
                </w:tcPr>
                <w:p w14:paraId="139506D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deal_hofstede_distance</w:t>
                  </w:r>
                </w:p>
              </w:tc>
              <w:tc>
                <w:tcPr>
                  <w:tcW w:w="1582" w:type="dxa"/>
                  <w:tcBorders>
                    <w:left w:val="nil"/>
                    <w:right w:val="nil"/>
                  </w:tcBorders>
                  <w:vAlign w:val="center"/>
                </w:tcPr>
                <w:p w14:paraId="57354D3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-.065</w:t>
                  </w:r>
                </w:p>
              </w:tc>
              <w:tc>
                <w:tcPr>
                  <w:tcW w:w="1673" w:type="dxa"/>
                  <w:tcBorders>
                    <w:left w:val="nil"/>
                    <w:right w:val="nil"/>
                  </w:tcBorders>
                  <w:vAlign w:val="center"/>
                </w:tcPr>
                <w:p w14:paraId="32E0E7C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-.152</w:t>
                  </w:r>
                </w:p>
              </w:tc>
              <w:tc>
                <w:tcPr>
                  <w:tcW w:w="236" w:type="dxa"/>
                  <w:tcBorders>
                    <w:left w:val="nil"/>
                    <w:right w:val="nil"/>
                  </w:tcBorders>
                  <w:vAlign w:val="center"/>
                </w:tcPr>
                <w:p w14:paraId="792906E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35FB841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-.049</w:t>
                  </w:r>
                </w:p>
              </w:tc>
              <w:tc>
                <w:tcPr>
                  <w:tcW w:w="1673" w:type="dxa"/>
                  <w:tcBorders>
                    <w:left w:val="nil"/>
                    <w:right w:val="nil"/>
                  </w:tcBorders>
                  <w:vAlign w:val="center"/>
                </w:tcPr>
                <w:p w14:paraId="0D06759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-.109</w:t>
                  </w:r>
                </w:p>
              </w:tc>
            </w:tr>
            <w:tr w:rsidR="00694090" w:rsidRPr="00F60760" w14:paraId="2AB5AEAF" w14:textId="77777777" w:rsidTr="00E8448F">
              <w:tc>
                <w:tcPr>
                  <w:tcW w:w="2019" w:type="dxa"/>
                  <w:tcBorders>
                    <w:top w:val="nil"/>
                    <w:left w:val="nil"/>
                    <w:bottom w:val="nil"/>
                    <w:right w:val="nil"/>
                  </w:tcBorders>
                </w:tcPr>
                <w:p w14:paraId="027A65C8"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582" w:type="dxa"/>
                  <w:tcBorders>
                    <w:left w:val="nil"/>
                    <w:right w:val="nil"/>
                  </w:tcBorders>
                  <w:vAlign w:val="center"/>
                </w:tcPr>
                <w:p w14:paraId="2C9F684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(-.305)</w:t>
                  </w:r>
                </w:p>
              </w:tc>
              <w:tc>
                <w:tcPr>
                  <w:tcW w:w="1673" w:type="dxa"/>
                  <w:tcBorders>
                    <w:left w:val="nil"/>
                    <w:right w:val="nil"/>
                  </w:tcBorders>
                  <w:vAlign w:val="center"/>
                </w:tcPr>
                <w:p w14:paraId="7A70FFC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(-.657)</w:t>
                  </w:r>
                </w:p>
              </w:tc>
              <w:tc>
                <w:tcPr>
                  <w:tcW w:w="236" w:type="dxa"/>
                  <w:tcBorders>
                    <w:left w:val="nil"/>
                    <w:right w:val="nil"/>
                  </w:tcBorders>
                  <w:vAlign w:val="center"/>
                </w:tcPr>
                <w:p w14:paraId="5C107F4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7FEFC3D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(-.232)</w:t>
                  </w:r>
                </w:p>
              </w:tc>
              <w:tc>
                <w:tcPr>
                  <w:tcW w:w="1673" w:type="dxa"/>
                  <w:tcBorders>
                    <w:left w:val="nil"/>
                    <w:right w:val="nil"/>
                  </w:tcBorders>
                  <w:vAlign w:val="center"/>
                </w:tcPr>
                <w:p w14:paraId="2C393BB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(-.481)</w:t>
                  </w:r>
                </w:p>
              </w:tc>
            </w:tr>
            <w:tr w:rsidR="00694090" w:rsidRPr="00F60760" w14:paraId="357F5B39" w14:textId="77777777" w:rsidTr="00E8448F">
              <w:tc>
                <w:tcPr>
                  <w:tcW w:w="2019" w:type="dxa"/>
                  <w:tcBorders>
                    <w:top w:val="nil"/>
                    <w:left w:val="nil"/>
                    <w:bottom w:val="nil"/>
                    <w:right w:val="nil"/>
                  </w:tcBorders>
                </w:tcPr>
                <w:p w14:paraId="16FB2E11"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deal_all_cash_dummy</w:t>
                  </w:r>
                </w:p>
              </w:tc>
              <w:tc>
                <w:tcPr>
                  <w:tcW w:w="1582" w:type="dxa"/>
                  <w:tcBorders>
                    <w:left w:val="nil"/>
                    <w:right w:val="nil"/>
                  </w:tcBorders>
                  <w:vAlign w:val="center"/>
                </w:tcPr>
                <w:p w14:paraId="3D23086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-.019</w:t>
                  </w:r>
                </w:p>
              </w:tc>
              <w:tc>
                <w:tcPr>
                  <w:tcW w:w="1673" w:type="dxa"/>
                  <w:tcBorders>
                    <w:left w:val="nil"/>
                    <w:right w:val="nil"/>
                  </w:tcBorders>
                  <w:vAlign w:val="center"/>
                </w:tcPr>
                <w:p w14:paraId="0405790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-.069**</w:t>
                  </w:r>
                </w:p>
              </w:tc>
              <w:tc>
                <w:tcPr>
                  <w:tcW w:w="236" w:type="dxa"/>
                  <w:tcBorders>
                    <w:left w:val="nil"/>
                    <w:right w:val="nil"/>
                  </w:tcBorders>
                  <w:vAlign w:val="center"/>
                </w:tcPr>
                <w:p w14:paraId="610020A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5CF1D28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-.031</w:t>
                  </w:r>
                </w:p>
              </w:tc>
              <w:tc>
                <w:tcPr>
                  <w:tcW w:w="1673" w:type="dxa"/>
                  <w:tcBorders>
                    <w:left w:val="nil"/>
                    <w:right w:val="nil"/>
                  </w:tcBorders>
                  <w:vAlign w:val="center"/>
                </w:tcPr>
                <w:p w14:paraId="44275F4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-.067*</w:t>
                  </w:r>
                </w:p>
              </w:tc>
            </w:tr>
            <w:tr w:rsidR="00694090" w:rsidRPr="00F60760" w14:paraId="3BD68F78" w14:textId="77777777" w:rsidTr="00E8448F">
              <w:tc>
                <w:tcPr>
                  <w:tcW w:w="2019" w:type="dxa"/>
                  <w:tcBorders>
                    <w:top w:val="nil"/>
                    <w:left w:val="nil"/>
                    <w:bottom w:val="nil"/>
                    <w:right w:val="nil"/>
                  </w:tcBorders>
                </w:tcPr>
                <w:p w14:paraId="71DB5C2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582" w:type="dxa"/>
                  <w:tcBorders>
                    <w:left w:val="nil"/>
                    <w:right w:val="nil"/>
                  </w:tcBorders>
                  <w:vAlign w:val="center"/>
                </w:tcPr>
                <w:p w14:paraId="076BBBE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(-.360)</w:t>
                  </w:r>
                </w:p>
              </w:tc>
              <w:tc>
                <w:tcPr>
                  <w:tcW w:w="1673" w:type="dxa"/>
                  <w:tcBorders>
                    <w:left w:val="nil"/>
                    <w:right w:val="nil"/>
                  </w:tcBorders>
                  <w:vAlign w:val="center"/>
                </w:tcPr>
                <w:p w14:paraId="4B13940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(-2.042)</w:t>
                  </w:r>
                </w:p>
              </w:tc>
              <w:tc>
                <w:tcPr>
                  <w:tcW w:w="236" w:type="dxa"/>
                  <w:tcBorders>
                    <w:left w:val="nil"/>
                    <w:right w:val="nil"/>
                  </w:tcBorders>
                  <w:vAlign w:val="center"/>
                </w:tcPr>
                <w:p w14:paraId="4923DDD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000150A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(-.563)</w:t>
                  </w:r>
                </w:p>
              </w:tc>
              <w:tc>
                <w:tcPr>
                  <w:tcW w:w="1673" w:type="dxa"/>
                  <w:tcBorders>
                    <w:left w:val="nil"/>
                    <w:right w:val="nil"/>
                  </w:tcBorders>
                  <w:vAlign w:val="center"/>
                </w:tcPr>
                <w:p w14:paraId="4D7FD33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(-2.006)</w:t>
                  </w:r>
                </w:p>
              </w:tc>
            </w:tr>
            <w:tr w:rsidR="00694090" w:rsidRPr="00F60760" w14:paraId="35BC97CE" w14:textId="77777777" w:rsidTr="00E8448F">
              <w:tc>
                <w:tcPr>
                  <w:tcW w:w="2019" w:type="dxa"/>
                  <w:tcBorders>
                    <w:top w:val="nil"/>
                    <w:left w:val="nil"/>
                    <w:bottom w:val="nil"/>
                    <w:right w:val="nil"/>
                  </w:tcBorders>
                </w:tcPr>
                <w:p w14:paraId="314AAF8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deal_all_stock_dummy</w:t>
                  </w:r>
                </w:p>
              </w:tc>
              <w:tc>
                <w:tcPr>
                  <w:tcW w:w="1582" w:type="dxa"/>
                  <w:tcBorders>
                    <w:left w:val="nil"/>
                    <w:right w:val="nil"/>
                  </w:tcBorders>
                  <w:vAlign w:val="center"/>
                </w:tcPr>
                <w:p w14:paraId="193DC6E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.009</w:t>
                  </w:r>
                </w:p>
              </w:tc>
              <w:tc>
                <w:tcPr>
                  <w:tcW w:w="1673" w:type="dxa"/>
                  <w:tcBorders>
                    <w:left w:val="nil"/>
                    <w:right w:val="nil"/>
                  </w:tcBorders>
                  <w:vAlign w:val="center"/>
                </w:tcPr>
                <w:p w14:paraId="72058B5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-.010</w:t>
                  </w:r>
                </w:p>
              </w:tc>
              <w:tc>
                <w:tcPr>
                  <w:tcW w:w="236" w:type="dxa"/>
                  <w:tcBorders>
                    <w:left w:val="nil"/>
                    <w:right w:val="nil"/>
                  </w:tcBorders>
                  <w:vAlign w:val="center"/>
                </w:tcPr>
                <w:p w14:paraId="59BEDA7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09CF4BD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.025</w:t>
                  </w:r>
                </w:p>
              </w:tc>
              <w:tc>
                <w:tcPr>
                  <w:tcW w:w="1673" w:type="dxa"/>
                  <w:tcBorders>
                    <w:left w:val="nil"/>
                    <w:right w:val="nil"/>
                  </w:tcBorders>
                  <w:vAlign w:val="center"/>
                </w:tcPr>
                <w:p w14:paraId="709C42D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.020</w:t>
                  </w:r>
                </w:p>
              </w:tc>
            </w:tr>
            <w:tr w:rsidR="00694090" w:rsidRPr="00F60760" w14:paraId="564D979A" w14:textId="77777777" w:rsidTr="00E8448F">
              <w:tc>
                <w:tcPr>
                  <w:tcW w:w="2019" w:type="dxa"/>
                  <w:tcBorders>
                    <w:top w:val="nil"/>
                    <w:left w:val="nil"/>
                    <w:bottom w:val="nil"/>
                    <w:right w:val="nil"/>
                  </w:tcBorders>
                </w:tcPr>
                <w:p w14:paraId="1F189D1E"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582" w:type="dxa"/>
                  <w:tcBorders>
                    <w:left w:val="nil"/>
                    <w:right w:val="nil"/>
                  </w:tcBorders>
                  <w:vAlign w:val="center"/>
                </w:tcPr>
                <w:p w14:paraId="0E50553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(.071)</w:t>
                  </w:r>
                </w:p>
              </w:tc>
              <w:tc>
                <w:tcPr>
                  <w:tcW w:w="1673" w:type="dxa"/>
                  <w:tcBorders>
                    <w:left w:val="nil"/>
                    <w:right w:val="nil"/>
                  </w:tcBorders>
                  <w:vAlign w:val="center"/>
                </w:tcPr>
                <w:p w14:paraId="3AE256E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(-.131)</w:t>
                  </w:r>
                </w:p>
              </w:tc>
              <w:tc>
                <w:tcPr>
                  <w:tcW w:w="236" w:type="dxa"/>
                  <w:tcBorders>
                    <w:left w:val="nil"/>
                    <w:right w:val="nil"/>
                  </w:tcBorders>
                  <w:vAlign w:val="center"/>
                </w:tcPr>
                <w:p w14:paraId="182DBF8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2E197A6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(.209)</w:t>
                  </w:r>
                </w:p>
              </w:tc>
              <w:tc>
                <w:tcPr>
                  <w:tcW w:w="1673" w:type="dxa"/>
                  <w:tcBorders>
                    <w:left w:val="nil"/>
                    <w:right w:val="nil"/>
                  </w:tcBorders>
                  <w:vAlign w:val="center"/>
                </w:tcPr>
                <w:p w14:paraId="227AA66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(.285)</w:t>
                  </w:r>
                </w:p>
              </w:tc>
            </w:tr>
            <w:tr w:rsidR="00694090" w:rsidRPr="00F60760" w14:paraId="63D956D4" w14:textId="77777777" w:rsidTr="00E8448F">
              <w:tc>
                <w:tcPr>
                  <w:tcW w:w="2019" w:type="dxa"/>
                  <w:tcBorders>
                    <w:top w:val="nil"/>
                    <w:left w:val="nil"/>
                    <w:bottom w:val="nil"/>
                    <w:right w:val="nil"/>
                  </w:tcBorders>
                </w:tcPr>
                <w:p w14:paraId="79BDC9E8"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deal_tenderoffer_dummy</w:t>
                  </w:r>
                </w:p>
              </w:tc>
              <w:tc>
                <w:tcPr>
                  <w:tcW w:w="1582" w:type="dxa"/>
                  <w:tcBorders>
                    <w:left w:val="nil"/>
                    <w:right w:val="nil"/>
                  </w:tcBorders>
                  <w:vAlign w:val="center"/>
                </w:tcPr>
                <w:p w14:paraId="00F7B6C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-.037</w:t>
                  </w:r>
                </w:p>
              </w:tc>
              <w:tc>
                <w:tcPr>
                  <w:tcW w:w="1673" w:type="dxa"/>
                  <w:tcBorders>
                    <w:left w:val="nil"/>
                    <w:right w:val="nil"/>
                  </w:tcBorders>
                  <w:vAlign w:val="center"/>
                </w:tcPr>
                <w:p w14:paraId="3A2ACC2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.007</w:t>
                  </w:r>
                </w:p>
              </w:tc>
              <w:tc>
                <w:tcPr>
                  <w:tcW w:w="236" w:type="dxa"/>
                  <w:tcBorders>
                    <w:left w:val="nil"/>
                    <w:right w:val="nil"/>
                  </w:tcBorders>
                  <w:vAlign w:val="center"/>
                </w:tcPr>
                <w:p w14:paraId="16E5C27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07612DB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-.042</w:t>
                  </w:r>
                </w:p>
              </w:tc>
              <w:tc>
                <w:tcPr>
                  <w:tcW w:w="1673" w:type="dxa"/>
                  <w:tcBorders>
                    <w:left w:val="nil"/>
                    <w:right w:val="nil"/>
                  </w:tcBorders>
                  <w:vAlign w:val="center"/>
                </w:tcPr>
                <w:p w14:paraId="36227B1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-.007</w:t>
                  </w:r>
                </w:p>
              </w:tc>
            </w:tr>
            <w:tr w:rsidR="00694090" w:rsidRPr="00F60760" w14:paraId="0FB12766" w14:textId="77777777" w:rsidTr="00E8448F">
              <w:tc>
                <w:tcPr>
                  <w:tcW w:w="2019" w:type="dxa"/>
                  <w:tcBorders>
                    <w:top w:val="nil"/>
                    <w:left w:val="nil"/>
                    <w:bottom w:val="nil"/>
                    <w:right w:val="nil"/>
                  </w:tcBorders>
                </w:tcPr>
                <w:p w14:paraId="23E500A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582" w:type="dxa"/>
                  <w:tcBorders>
                    <w:left w:val="nil"/>
                    <w:right w:val="nil"/>
                  </w:tcBorders>
                  <w:vAlign w:val="center"/>
                </w:tcPr>
                <w:p w14:paraId="2357916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(-.625)</w:t>
                  </w:r>
                </w:p>
              </w:tc>
              <w:tc>
                <w:tcPr>
                  <w:tcW w:w="1673" w:type="dxa"/>
                  <w:tcBorders>
                    <w:left w:val="nil"/>
                    <w:right w:val="nil"/>
                  </w:tcBorders>
                  <w:vAlign w:val="center"/>
                </w:tcPr>
                <w:p w14:paraId="71725B8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(.188)</w:t>
                  </w:r>
                </w:p>
              </w:tc>
              <w:tc>
                <w:tcPr>
                  <w:tcW w:w="236" w:type="dxa"/>
                  <w:tcBorders>
                    <w:left w:val="nil"/>
                    <w:right w:val="nil"/>
                  </w:tcBorders>
                  <w:vAlign w:val="center"/>
                </w:tcPr>
                <w:p w14:paraId="4B2F64C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743ADD0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(-.715)</w:t>
                  </w:r>
                </w:p>
              </w:tc>
              <w:tc>
                <w:tcPr>
                  <w:tcW w:w="1673" w:type="dxa"/>
                  <w:tcBorders>
                    <w:left w:val="nil"/>
                    <w:right w:val="nil"/>
                  </w:tcBorders>
                  <w:vAlign w:val="center"/>
                </w:tcPr>
                <w:p w14:paraId="113DECC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(-.189)</w:t>
                  </w:r>
                </w:p>
              </w:tc>
            </w:tr>
            <w:tr w:rsidR="00694090" w:rsidRPr="00F60760" w14:paraId="10B898A3" w14:textId="77777777" w:rsidTr="00E8448F">
              <w:tc>
                <w:tcPr>
                  <w:tcW w:w="2019" w:type="dxa"/>
                  <w:tcBorders>
                    <w:top w:val="nil"/>
                    <w:left w:val="nil"/>
                    <w:bottom w:val="nil"/>
                    <w:right w:val="nil"/>
                  </w:tcBorders>
                </w:tcPr>
                <w:p w14:paraId="1A4121C3"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deal_friendly_dummy</w:t>
                  </w:r>
                </w:p>
              </w:tc>
              <w:tc>
                <w:tcPr>
                  <w:tcW w:w="1582" w:type="dxa"/>
                  <w:tcBorders>
                    <w:left w:val="nil"/>
                    <w:right w:val="nil"/>
                  </w:tcBorders>
                  <w:vAlign w:val="center"/>
                </w:tcPr>
                <w:p w14:paraId="4FB9080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.174*</w:t>
                  </w:r>
                </w:p>
              </w:tc>
              <w:tc>
                <w:tcPr>
                  <w:tcW w:w="1673" w:type="dxa"/>
                  <w:tcBorders>
                    <w:left w:val="nil"/>
                    <w:right w:val="nil"/>
                  </w:tcBorders>
                  <w:vAlign w:val="center"/>
                </w:tcPr>
                <w:p w14:paraId="0876251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w:t>
                  </w:r>
                </w:p>
              </w:tc>
              <w:tc>
                <w:tcPr>
                  <w:tcW w:w="236" w:type="dxa"/>
                  <w:tcBorders>
                    <w:left w:val="nil"/>
                    <w:right w:val="nil"/>
                  </w:tcBorders>
                  <w:vAlign w:val="center"/>
                </w:tcPr>
                <w:p w14:paraId="377921A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3D0C855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.179*</w:t>
                  </w:r>
                </w:p>
              </w:tc>
              <w:tc>
                <w:tcPr>
                  <w:tcW w:w="1673" w:type="dxa"/>
                  <w:tcBorders>
                    <w:left w:val="nil"/>
                    <w:right w:val="nil"/>
                  </w:tcBorders>
                  <w:vAlign w:val="center"/>
                </w:tcPr>
                <w:p w14:paraId="24634E1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w:t>
                  </w:r>
                </w:p>
              </w:tc>
            </w:tr>
            <w:tr w:rsidR="00694090" w:rsidRPr="00F60760" w14:paraId="5B729198" w14:textId="77777777" w:rsidTr="00E8448F">
              <w:tc>
                <w:tcPr>
                  <w:tcW w:w="2019" w:type="dxa"/>
                  <w:tcBorders>
                    <w:top w:val="nil"/>
                    <w:left w:val="nil"/>
                    <w:bottom w:val="nil"/>
                    <w:right w:val="nil"/>
                  </w:tcBorders>
                </w:tcPr>
                <w:p w14:paraId="14C4607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582" w:type="dxa"/>
                  <w:tcBorders>
                    <w:left w:val="nil"/>
                    <w:right w:val="nil"/>
                  </w:tcBorders>
                  <w:vAlign w:val="center"/>
                </w:tcPr>
                <w:p w14:paraId="4CB6428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(1.886)</w:t>
                  </w:r>
                </w:p>
              </w:tc>
              <w:tc>
                <w:tcPr>
                  <w:tcW w:w="1673" w:type="dxa"/>
                  <w:tcBorders>
                    <w:left w:val="nil"/>
                    <w:right w:val="nil"/>
                  </w:tcBorders>
                  <w:vAlign w:val="center"/>
                </w:tcPr>
                <w:p w14:paraId="0722E17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w:t>
                  </w:r>
                </w:p>
              </w:tc>
              <w:tc>
                <w:tcPr>
                  <w:tcW w:w="236" w:type="dxa"/>
                  <w:tcBorders>
                    <w:left w:val="nil"/>
                    <w:right w:val="nil"/>
                  </w:tcBorders>
                  <w:vAlign w:val="center"/>
                </w:tcPr>
                <w:p w14:paraId="6030D42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4C476C9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(1.807)</w:t>
                  </w:r>
                </w:p>
              </w:tc>
              <w:tc>
                <w:tcPr>
                  <w:tcW w:w="1673" w:type="dxa"/>
                  <w:tcBorders>
                    <w:left w:val="nil"/>
                    <w:right w:val="nil"/>
                  </w:tcBorders>
                  <w:vAlign w:val="center"/>
                </w:tcPr>
                <w:p w14:paraId="6B1D3B2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w:t>
                  </w:r>
                </w:p>
              </w:tc>
            </w:tr>
            <w:tr w:rsidR="00694090" w:rsidRPr="00F60760" w14:paraId="7C7361E7" w14:textId="77777777" w:rsidTr="00E8448F">
              <w:tc>
                <w:tcPr>
                  <w:tcW w:w="2019" w:type="dxa"/>
                  <w:tcBorders>
                    <w:top w:val="nil"/>
                    <w:left w:val="nil"/>
                    <w:bottom w:val="nil"/>
                    <w:right w:val="nil"/>
                  </w:tcBorders>
                </w:tcPr>
                <w:p w14:paraId="55485301"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deal_relatedness_dummy</w:t>
                  </w:r>
                </w:p>
              </w:tc>
              <w:tc>
                <w:tcPr>
                  <w:tcW w:w="1582" w:type="dxa"/>
                  <w:tcBorders>
                    <w:left w:val="nil"/>
                    <w:right w:val="nil"/>
                  </w:tcBorders>
                  <w:vAlign w:val="center"/>
                </w:tcPr>
                <w:p w14:paraId="52A51E9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-.168***</w:t>
                  </w:r>
                </w:p>
              </w:tc>
              <w:tc>
                <w:tcPr>
                  <w:tcW w:w="1673" w:type="dxa"/>
                  <w:tcBorders>
                    <w:left w:val="nil"/>
                    <w:right w:val="nil"/>
                  </w:tcBorders>
                  <w:vAlign w:val="center"/>
                </w:tcPr>
                <w:p w14:paraId="2393367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-.090**</w:t>
                  </w:r>
                </w:p>
              </w:tc>
              <w:tc>
                <w:tcPr>
                  <w:tcW w:w="236" w:type="dxa"/>
                  <w:tcBorders>
                    <w:left w:val="nil"/>
                    <w:right w:val="nil"/>
                  </w:tcBorders>
                  <w:vAlign w:val="center"/>
                </w:tcPr>
                <w:p w14:paraId="619C274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3E9B984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-.162***</w:t>
                  </w:r>
                </w:p>
              </w:tc>
              <w:tc>
                <w:tcPr>
                  <w:tcW w:w="1673" w:type="dxa"/>
                  <w:tcBorders>
                    <w:left w:val="nil"/>
                    <w:right w:val="nil"/>
                  </w:tcBorders>
                  <w:vAlign w:val="center"/>
                </w:tcPr>
                <w:p w14:paraId="722E7CB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-.084**</w:t>
                  </w:r>
                </w:p>
              </w:tc>
            </w:tr>
            <w:tr w:rsidR="00694090" w:rsidRPr="00F60760" w14:paraId="37A59692" w14:textId="77777777" w:rsidTr="00E8448F">
              <w:tc>
                <w:tcPr>
                  <w:tcW w:w="2019" w:type="dxa"/>
                  <w:tcBorders>
                    <w:top w:val="nil"/>
                    <w:left w:val="nil"/>
                    <w:bottom w:val="nil"/>
                    <w:right w:val="nil"/>
                  </w:tcBorders>
                </w:tcPr>
                <w:p w14:paraId="717FCAA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582" w:type="dxa"/>
                  <w:tcBorders>
                    <w:left w:val="nil"/>
                    <w:right w:val="nil"/>
                  </w:tcBorders>
                  <w:vAlign w:val="center"/>
                </w:tcPr>
                <w:p w14:paraId="4E8DA27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(-2.879)</w:t>
                  </w:r>
                </w:p>
              </w:tc>
              <w:tc>
                <w:tcPr>
                  <w:tcW w:w="1673" w:type="dxa"/>
                  <w:tcBorders>
                    <w:left w:val="nil"/>
                    <w:right w:val="nil"/>
                  </w:tcBorders>
                  <w:vAlign w:val="center"/>
                </w:tcPr>
                <w:p w14:paraId="2A9E5B3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(-2.243)</w:t>
                  </w:r>
                </w:p>
              </w:tc>
              <w:tc>
                <w:tcPr>
                  <w:tcW w:w="236" w:type="dxa"/>
                  <w:tcBorders>
                    <w:left w:val="nil"/>
                    <w:right w:val="nil"/>
                  </w:tcBorders>
                  <w:vAlign w:val="center"/>
                </w:tcPr>
                <w:p w14:paraId="181E185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559950E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(-2.789)</w:t>
                  </w:r>
                </w:p>
              </w:tc>
              <w:tc>
                <w:tcPr>
                  <w:tcW w:w="1673" w:type="dxa"/>
                  <w:tcBorders>
                    <w:left w:val="nil"/>
                    <w:right w:val="nil"/>
                  </w:tcBorders>
                  <w:vAlign w:val="center"/>
                </w:tcPr>
                <w:p w14:paraId="75C23CD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(-2.246)</w:t>
                  </w:r>
                </w:p>
              </w:tc>
            </w:tr>
            <w:tr w:rsidR="00694090" w:rsidRPr="00F60760" w14:paraId="7B358323" w14:textId="77777777" w:rsidTr="00E8448F">
              <w:tc>
                <w:tcPr>
                  <w:tcW w:w="2019" w:type="dxa"/>
                  <w:tcBorders>
                    <w:top w:val="nil"/>
                    <w:left w:val="nil"/>
                    <w:bottom w:val="nil"/>
                    <w:right w:val="nil"/>
                  </w:tcBorders>
                </w:tcPr>
                <w:p w14:paraId="668E2000"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acq_age</w:t>
                  </w:r>
                </w:p>
              </w:tc>
              <w:tc>
                <w:tcPr>
                  <w:tcW w:w="1582" w:type="dxa"/>
                  <w:tcBorders>
                    <w:left w:val="nil"/>
                    <w:right w:val="nil"/>
                  </w:tcBorders>
                  <w:vAlign w:val="center"/>
                </w:tcPr>
                <w:p w14:paraId="756E8C5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c>
                <w:tcPr>
                  <w:tcW w:w="1673" w:type="dxa"/>
                  <w:tcBorders>
                    <w:left w:val="nil"/>
                    <w:right w:val="nil"/>
                  </w:tcBorders>
                  <w:vAlign w:val="center"/>
                </w:tcPr>
                <w:p w14:paraId="2D0AFED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c>
                <w:tcPr>
                  <w:tcW w:w="236" w:type="dxa"/>
                  <w:tcBorders>
                    <w:left w:val="nil"/>
                    <w:right w:val="nil"/>
                  </w:tcBorders>
                  <w:vAlign w:val="center"/>
                </w:tcPr>
                <w:p w14:paraId="19DF1CC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1F5ED6C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c>
                <w:tcPr>
                  <w:tcW w:w="1673" w:type="dxa"/>
                  <w:tcBorders>
                    <w:left w:val="nil"/>
                    <w:right w:val="nil"/>
                  </w:tcBorders>
                  <w:vAlign w:val="center"/>
                </w:tcPr>
                <w:p w14:paraId="14617E4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r>
            <w:tr w:rsidR="00694090" w:rsidRPr="00F60760" w14:paraId="7F606AE3" w14:textId="77777777" w:rsidTr="00E8448F">
              <w:tc>
                <w:tcPr>
                  <w:tcW w:w="2019" w:type="dxa"/>
                  <w:tcBorders>
                    <w:top w:val="nil"/>
                    <w:left w:val="nil"/>
                    <w:bottom w:val="nil"/>
                    <w:right w:val="nil"/>
                  </w:tcBorders>
                </w:tcPr>
                <w:p w14:paraId="4EF4DBC3"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582" w:type="dxa"/>
                  <w:tcBorders>
                    <w:left w:val="nil"/>
                    <w:right w:val="nil"/>
                  </w:tcBorders>
                  <w:vAlign w:val="center"/>
                </w:tcPr>
                <w:p w14:paraId="229FA00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(-2.317)</w:t>
                  </w:r>
                </w:p>
              </w:tc>
              <w:tc>
                <w:tcPr>
                  <w:tcW w:w="1673" w:type="dxa"/>
                  <w:tcBorders>
                    <w:left w:val="nil"/>
                    <w:right w:val="nil"/>
                  </w:tcBorders>
                  <w:vAlign w:val="center"/>
                </w:tcPr>
                <w:p w14:paraId="60CB24B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(-1.756)</w:t>
                  </w:r>
                </w:p>
              </w:tc>
              <w:tc>
                <w:tcPr>
                  <w:tcW w:w="236" w:type="dxa"/>
                  <w:tcBorders>
                    <w:left w:val="nil"/>
                    <w:right w:val="nil"/>
                  </w:tcBorders>
                  <w:vAlign w:val="center"/>
                </w:tcPr>
                <w:p w14:paraId="6C4CDAE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5B766F8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(-2.492)</w:t>
                  </w:r>
                </w:p>
              </w:tc>
              <w:tc>
                <w:tcPr>
                  <w:tcW w:w="1673" w:type="dxa"/>
                  <w:tcBorders>
                    <w:left w:val="nil"/>
                    <w:right w:val="nil"/>
                  </w:tcBorders>
                  <w:vAlign w:val="center"/>
                </w:tcPr>
                <w:p w14:paraId="69A1CDC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(-2.044)</w:t>
                  </w:r>
                </w:p>
              </w:tc>
            </w:tr>
            <w:tr w:rsidR="00694090" w:rsidRPr="00F60760" w14:paraId="3DB0D983" w14:textId="77777777" w:rsidTr="00E8448F">
              <w:tc>
                <w:tcPr>
                  <w:tcW w:w="2019" w:type="dxa"/>
                  <w:tcBorders>
                    <w:top w:val="nil"/>
                    <w:left w:val="nil"/>
                    <w:bottom w:val="nil"/>
                    <w:right w:val="nil"/>
                  </w:tcBorders>
                </w:tcPr>
                <w:p w14:paraId="30F1829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acq_assets_lastyear_ln</w:t>
                  </w:r>
                </w:p>
              </w:tc>
              <w:tc>
                <w:tcPr>
                  <w:tcW w:w="1582" w:type="dxa"/>
                  <w:tcBorders>
                    <w:left w:val="nil"/>
                    <w:right w:val="nil"/>
                  </w:tcBorders>
                  <w:vAlign w:val="center"/>
                </w:tcPr>
                <w:p w14:paraId="3C2CE6D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-.078***</w:t>
                  </w:r>
                </w:p>
              </w:tc>
              <w:tc>
                <w:tcPr>
                  <w:tcW w:w="1673" w:type="dxa"/>
                  <w:tcBorders>
                    <w:left w:val="nil"/>
                    <w:right w:val="nil"/>
                  </w:tcBorders>
                  <w:vAlign w:val="center"/>
                </w:tcPr>
                <w:p w14:paraId="21A111E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-.051***</w:t>
                  </w:r>
                </w:p>
              </w:tc>
              <w:tc>
                <w:tcPr>
                  <w:tcW w:w="236" w:type="dxa"/>
                  <w:tcBorders>
                    <w:left w:val="nil"/>
                    <w:right w:val="nil"/>
                  </w:tcBorders>
                  <w:vAlign w:val="center"/>
                </w:tcPr>
                <w:p w14:paraId="3B38F3E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12F0EF9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-.078***</w:t>
                  </w:r>
                </w:p>
              </w:tc>
              <w:tc>
                <w:tcPr>
                  <w:tcW w:w="1673" w:type="dxa"/>
                  <w:tcBorders>
                    <w:left w:val="nil"/>
                    <w:right w:val="nil"/>
                  </w:tcBorders>
                  <w:vAlign w:val="center"/>
                </w:tcPr>
                <w:p w14:paraId="4023EFB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-.052**</w:t>
                  </w:r>
                </w:p>
              </w:tc>
            </w:tr>
            <w:tr w:rsidR="00694090" w:rsidRPr="00F60760" w14:paraId="20422AE5" w14:textId="77777777" w:rsidTr="00E8448F">
              <w:tc>
                <w:tcPr>
                  <w:tcW w:w="2019" w:type="dxa"/>
                  <w:tcBorders>
                    <w:top w:val="nil"/>
                    <w:left w:val="nil"/>
                    <w:bottom w:val="nil"/>
                    <w:right w:val="nil"/>
                  </w:tcBorders>
                </w:tcPr>
                <w:p w14:paraId="449544BD"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582" w:type="dxa"/>
                  <w:tcBorders>
                    <w:left w:val="nil"/>
                    <w:right w:val="nil"/>
                  </w:tcBorders>
                  <w:vAlign w:val="center"/>
                </w:tcPr>
                <w:p w14:paraId="2D7AF1C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(-3.355)</w:t>
                  </w:r>
                </w:p>
              </w:tc>
              <w:tc>
                <w:tcPr>
                  <w:tcW w:w="1673" w:type="dxa"/>
                  <w:tcBorders>
                    <w:left w:val="nil"/>
                    <w:right w:val="nil"/>
                  </w:tcBorders>
                  <w:vAlign w:val="center"/>
                </w:tcPr>
                <w:p w14:paraId="609B624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(-2.756)</w:t>
                  </w:r>
                </w:p>
              </w:tc>
              <w:tc>
                <w:tcPr>
                  <w:tcW w:w="236" w:type="dxa"/>
                  <w:tcBorders>
                    <w:left w:val="nil"/>
                    <w:right w:val="nil"/>
                  </w:tcBorders>
                  <w:vAlign w:val="center"/>
                </w:tcPr>
                <w:p w14:paraId="4416DE1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3C53FCF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(-3.346)</w:t>
                  </w:r>
                </w:p>
              </w:tc>
              <w:tc>
                <w:tcPr>
                  <w:tcW w:w="1673" w:type="dxa"/>
                  <w:tcBorders>
                    <w:left w:val="nil"/>
                    <w:right w:val="nil"/>
                  </w:tcBorders>
                  <w:vAlign w:val="center"/>
                </w:tcPr>
                <w:p w14:paraId="7D1B6D6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(-2.604)</w:t>
                  </w:r>
                </w:p>
              </w:tc>
            </w:tr>
            <w:tr w:rsidR="00694090" w:rsidRPr="00F60760" w14:paraId="3906D3E9" w14:textId="77777777" w:rsidTr="00E8448F">
              <w:tc>
                <w:tcPr>
                  <w:tcW w:w="2019" w:type="dxa"/>
                  <w:tcBorders>
                    <w:top w:val="nil"/>
                    <w:left w:val="nil"/>
                    <w:bottom w:val="nil"/>
                    <w:right w:val="nil"/>
                  </w:tcBorders>
                </w:tcPr>
                <w:p w14:paraId="25745881"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acq_roa_lastyear</w:t>
                  </w:r>
                </w:p>
              </w:tc>
              <w:tc>
                <w:tcPr>
                  <w:tcW w:w="1582" w:type="dxa"/>
                  <w:tcBorders>
                    <w:left w:val="nil"/>
                    <w:right w:val="nil"/>
                  </w:tcBorders>
                  <w:vAlign w:val="center"/>
                </w:tcPr>
                <w:p w14:paraId="7B74010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.091</w:t>
                  </w:r>
                </w:p>
              </w:tc>
              <w:tc>
                <w:tcPr>
                  <w:tcW w:w="1673" w:type="dxa"/>
                  <w:tcBorders>
                    <w:left w:val="nil"/>
                    <w:right w:val="nil"/>
                  </w:tcBorders>
                  <w:vAlign w:val="center"/>
                </w:tcPr>
                <w:p w14:paraId="2C57BA1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.004</w:t>
                  </w:r>
                </w:p>
              </w:tc>
              <w:tc>
                <w:tcPr>
                  <w:tcW w:w="236" w:type="dxa"/>
                  <w:tcBorders>
                    <w:left w:val="nil"/>
                    <w:right w:val="nil"/>
                  </w:tcBorders>
                  <w:vAlign w:val="center"/>
                </w:tcPr>
                <w:p w14:paraId="3C8BC54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591BE6F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.096</w:t>
                  </w:r>
                </w:p>
              </w:tc>
              <w:tc>
                <w:tcPr>
                  <w:tcW w:w="1673" w:type="dxa"/>
                  <w:tcBorders>
                    <w:left w:val="nil"/>
                    <w:right w:val="nil"/>
                  </w:tcBorders>
                  <w:vAlign w:val="center"/>
                </w:tcPr>
                <w:p w14:paraId="1E7992F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.015</w:t>
                  </w:r>
                </w:p>
              </w:tc>
            </w:tr>
            <w:tr w:rsidR="00694090" w:rsidRPr="00F60760" w14:paraId="6CC6226F" w14:textId="77777777" w:rsidTr="00E8448F">
              <w:tc>
                <w:tcPr>
                  <w:tcW w:w="2019" w:type="dxa"/>
                  <w:tcBorders>
                    <w:top w:val="nil"/>
                    <w:left w:val="nil"/>
                    <w:bottom w:val="nil"/>
                    <w:right w:val="nil"/>
                  </w:tcBorders>
                </w:tcPr>
                <w:p w14:paraId="55FC5980"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582" w:type="dxa"/>
                  <w:tcBorders>
                    <w:left w:val="nil"/>
                    <w:right w:val="nil"/>
                  </w:tcBorders>
                  <w:vAlign w:val="center"/>
                </w:tcPr>
                <w:p w14:paraId="4D0264C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(1.313)</w:t>
                  </w:r>
                </w:p>
              </w:tc>
              <w:tc>
                <w:tcPr>
                  <w:tcW w:w="1673" w:type="dxa"/>
                  <w:tcBorders>
                    <w:left w:val="nil"/>
                    <w:right w:val="nil"/>
                  </w:tcBorders>
                  <w:vAlign w:val="center"/>
                </w:tcPr>
                <w:p w14:paraId="6FE0377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(.109)</w:t>
                  </w:r>
                </w:p>
              </w:tc>
              <w:tc>
                <w:tcPr>
                  <w:tcW w:w="236" w:type="dxa"/>
                  <w:tcBorders>
                    <w:left w:val="nil"/>
                    <w:right w:val="nil"/>
                  </w:tcBorders>
                  <w:vAlign w:val="center"/>
                </w:tcPr>
                <w:p w14:paraId="07BD045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795D0A5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(1.369)</w:t>
                  </w:r>
                </w:p>
              </w:tc>
              <w:tc>
                <w:tcPr>
                  <w:tcW w:w="1673" w:type="dxa"/>
                  <w:tcBorders>
                    <w:left w:val="nil"/>
                    <w:right w:val="nil"/>
                  </w:tcBorders>
                  <w:vAlign w:val="center"/>
                </w:tcPr>
                <w:p w14:paraId="0163CD4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(.480)</w:t>
                  </w:r>
                </w:p>
              </w:tc>
            </w:tr>
            <w:tr w:rsidR="00694090" w:rsidRPr="00F60760" w14:paraId="1F79B00F" w14:textId="77777777" w:rsidTr="00E8448F">
              <w:tc>
                <w:tcPr>
                  <w:tcW w:w="2019" w:type="dxa"/>
                  <w:tcBorders>
                    <w:top w:val="nil"/>
                    <w:left w:val="nil"/>
                    <w:bottom w:val="nil"/>
                    <w:right w:val="nil"/>
                  </w:tcBorders>
                </w:tcPr>
                <w:p w14:paraId="0823E4C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acq_industrygrowth</w:t>
                  </w:r>
                </w:p>
              </w:tc>
              <w:tc>
                <w:tcPr>
                  <w:tcW w:w="1582" w:type="dxa"/>
                  <w:tcBorders>
                    <w:left w:val="nil"/>
                    <w:right w:val="nil"/>
                  </w:tcBorders>
                  <w:vAlign w:val="center"/>
                </w:tcPr>
                <w:p w14:paraId="640C6D4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.823**</w:t>
                  </w:r>
                </w:p>
              </w:tc>
              <w:tc>
                <w:tcPr>
                  <w:tcW w:w="1673" w:type="dxa"/>
                  <w:tcBorders>
                    <w:left w:val="nil"/>
                    <w:right w:val="nil"/>
                  </w:tcBorders>
                  <w:vAlign w:val="center"/>
                </w:tcPr>
                <w:p w14:paraId="4BC80A9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.711**</w:t>
                  </w:r>
                </w:p>
              </w:tc>
              <w:tc>
                <w:tcPr>
                  <w:tcW w:w="236" w:type="dxa"/>
                  <w:tcBorders>
                    <w:left w:val="nil"/>
                    <w:right w:val="nil"/>
                  </w:tcBorders>
                  <w:vAlign w:val="center"/>
                </w:tcPr>
                <w:p w14:paraId="544C051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036D592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.718*</w:t>
                  </w:r>
                </w:p>
              </w:tc>
              <w:tc>
                <w:tcPr>
                  <w:tcW w:w="1673" w:type="dxa"/>
                  <w:tcBorders>
                    <w:left w:val="nil"/>
                    <w:right w:val="nil"/>
                  </w:tcBorders>
                  <w:vAlign w:val="center"/>
                </w:tcPr>
                <w:p w14:paraId="1502977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.620*</w:t>
                  </w:r>
                </w:p>
              </w:tc>
            </w:tr>
            <w:tr w:rsidR="00694090" w:rsidRPr="00F60760" w14:paraId="038F86E6" w14:textId="77777777" w:rsidTr="00E8448F">
              <w:tc>
                <w:tcPr>
                  <w:tcW w:w="2019" w:type="dxa"/>
                  <w:tcBorders>
                    <w:top w:val="nil"/>
                    <w:left w:val="nil"/>
                    <w:bottom w:val="nil"/>
                    <w:right w:val="nil"/>
                  </w:tcBorders>
                </w:tcPr>
                <w:p w14:paraId="1A6404A5"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582" w:type="dxa"/>
                  <w:tcBorders>
                    <w:left w:val="nil"/>
                    <w:right w:val="nil"/>
                  </w:tcBorders>
                  <w:vAlign w:val="center"/>
                </w:tcPr>
                <w:p w14:paraId="0A12F59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(2.025)</w:t>
                  </w:r>
                </w:p>
              </w:tc>
              <w:tc>
                <w:tcPr>
                  <w:tcW w:w="1673" w:type="dxa"/>
                  <w:tcBorders>
                    <w:left w:val="nil"/>
                    <w:right w:val="nil"/>
                  </w:tcBorders>
                  <w:vAlign w:val="center"/>
                </w:tcPr>
                <w:p w14:paraId="1463D4C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(2.216)</w:t>
                  </w:r>
                </w:p>
              </w:tc>
              <w:tc>
                <w:tcPr>
                  <w:tcW w:w="236" w:type="dxa"/>
                  <w:tcBorders>
                    <w:left w:val="nil"/>
                    <w:right w:val="nil"/>
                  </w:tcBorders>
                  <w:vAlign w:val="center"/>
                </w:tcPr>
                <w:p w14:paraId="54E5CD7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0F08813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(1.652)</w:t>
                  </w:r>
                </w:p>
              </w:tc>
              <w:tc>
                <w:tcPr>
                  <w:tcW w:w="1673" w:type="dxa"/>
                  <w:tcBorders>
                    <w:left w:val="nil"/>
                    <w:right w:val="nil"/>
                  </w:tcBorders>
                  <w:vAlign w:val="center"/>
                </w:tcPr>
                <w:p w14:paraId="5452B25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(1.805)</w:t>
                  </w:r>
                </w:p>
              </w:tc>
            </w:tr>
            <w:tr w:rsidR="00694090" w:rsidRPr="00F60760" w14:paraId="54E31347" w14:textId="77777777" w:rsidTr="00E8448F">
              <w:tc>
                <w:tcPr>
                  <w:tcW w:w="2019" w:type="dxa"/>
                  <w:tcBorders>
                    <w:top w:val="nil"/>
                    <w:left w:val="nil"/>
                    <w:bottom w:val="nil"/>
                    <w:right w:val="nil"/>
                  </w:tcBorders>
                </w:tcPr>
                <w:p w14:paraId="3436E53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acq_dealexperience</w:t>
                  </w:r>
                </w:p>
              </w:tc>
              <w:tc>
                <w:tcPr>
                  <w:tcW w:w="1582" w:type="dxa"/>
                  <w:tcBorders>
                    <w:left w:val="nil"/>
                    <w:right w:val="nil"/>
                  </w:tcBorders>
                  <w:vAlign w:val="center"/>
                </w:tcPr>
                <w:p w14:paraId="3905648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c>
                <w:tcPr>
                  <w:tcW w:w="1673" w:type="dxa"/>
                  <w:tcBorders>
                    <w:left w:val="nil"/>
                    <w:right w:val="nil"/>
                  </w:tcBorders>
                  <w:vAlign w:val="center"/>
                </w:tcPr>
                <w:p w14:paraId="1EED485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-.002</w:t>
                  </w:r>
                </w:p>
              </w:tc>
              <w:tc>
                <w:tcPr>
                  <w:tcW w:w="236" w:type="dxa"/>
                  <w:tcBorders>
                    <w:left w:val="nil"/>
                    <w:right w:val="nil"/>
                  </w:tcBorders>
                  <w:vAlign w:val="center"/>
                </w:tcPr>
                <w:p w14:paraId="0FFCC9D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6FD6D75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0.00000</w:t>
                  </w:r>
                </w:p>
              </w:tc>
              <w:tc>
                <w:tcPr>
                  <w:tcW w:w="1673" w:type="dxa"/>
                  <w:tcBorders>
                    <w:left w:val="nil"/>
                    <w:right w:val="nil"/>
                  </w:tcBorders>
                  <w:vAlign w:val="center"/>
                </w:tcPr>
                <w:p w14:paraId="20115B2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r>
            <w:tr w:rsidR="00694090" w:rsidRPr="00F60760" w14:paraId="7C9BB806" w14:textId="77777777" w:rsidTr="00E8448F">
              <w:tc>
                <w:tcPr>
                  <w:tcW w:w="2019" w:type="dxa"/>
                  <w:tcBorders>
                    <w:top w:val="nil"/>
                    <w:left w:val="nil"/>
                    <w:bottom w:val="nil"/>
                    <w:right w:val="nil"/>
                  </w:tcBorders>
                </w:tcPr>
                <w:p w14:paraId="26676D6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582" w:type="dxa"/>
                  <w:tcBorders>
                    <w:left w:val="nil"/>
                    <w:right w:val="nil"/>
                  </w:tcBorders>
                  <w:vAlign w:val="center"/>
                </w:tcPr>
                <w:p w14:paraId="68DCBD6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(-.028)</w:t>
                  </w:r>
                </w:p>
              </w:tc>
              <w:tc>
                <w:tcPr>
                  <w:tcW w:w="1673" w:type="dxa"/>
                  <w:tcBorders>
                    <w:left w:val="nil"/>
                    <w:right w:val="nil"/>
                  </w:tcBorders>
                  <w:vAlign w:val="center"/>
                </w:tcPr>
                <w:p w14:paraId="775A8F4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(-.122)</w:t>
                  </w:r>
                </w:p>
              </w:tc>
              <w:tc>
                <w:tcPr>
                  <w:tcW w:w="236" w:type="dxa"/>
                  <w:tcBorders>
                    <w:left w:val="nil"/>
                    <w:right w:val="nil"/>
                  </w:tcBorders>
                  <w:vAlign w:val="center"/>
                </w:tcPr>
                <w:p w14:paraId="68376A7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30FD133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(.0002)</w:t>
                  </w:r>
                </w:p>
              </w:tc>
              <w:tc>
                <w:tcPr>
                  <w:tcW w:w="1673" w:type="dxa"/>
                  <w:tcBorders>
                    <w:left w:val="nil"/>
                    <w:right w:val="nil"/>
                  </w:tcBorders>
                  <w:vAlign w:val="center"/>
                </w:tcPr>
                <w:p w14:paraId="77D68AE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(.029)</w:t>
                  </w:r>
                </w:p>
              </w:tc>
            </w:tr>
            <w:tr w:rsidR="00694090" w:rsidRPr="00F60760" w14:paraId="48FF67AF" w14:textId="77777777" w:rsidTr="00E8448F">
              <w:tc>
                <w:tcPr>
                  <w:tcW w:w="2019" w:type="dxa"/>
                  <w:tcBorders>
                    <w:top w:val="nil"/>
                    <w:left w:val="nil"/>
                    <w:bottom w:val="nil"/>
                    <w:right w:val="nil"/>
                  </w:tcBorders>
                  <w:vAlign w:val="center"/>
                </w:tcPr>
                <w:p w14:paraId="7CEFC4F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acq_rd_intensity</w:t>
                  </w:r>
                </w:p>
              </w:tc>
              <w:tc>
                <w:tcPr>
                  <w:tcW w:w="1582" w:type="dxa"/>
                  <w:tcBorders>
                    <w:left w:val="nil"/>
                    <w:right w:val="nil"/>
                  </w:tcBorders>
                  <w:vAlign w:val="center"/>
                </w:tcPr>
                <w:p w14:paraId="15647BF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.439**</w:t>
                  </w:r>
                </w:p>
              </w:tc>
              <w:tc>
                <w:tcPr>
                  <w:tcW w:w="1673" w:type="dxa"/>
                  <w:tcBorders>
                    <w:left w:val="nil"/>
                    <w:right w:val="nil"/>
                  </w:tcBorders>
                  <w:vAlign w:val="center"/>
                </w:tcPr>
                <w:p w14:paraId="4AF4A82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.073</w:t>
                  </w:r>
                </w:p>
              </w:tc>
              <w:tc>
                <w:tcPr>
                  <w:tcW w:w="236" w:type="dxa"/>
                  <w:tcBorders>
                    <w:left w:val="nil"/>
                    <w:right w:val="nil"/>
                  </w:tcBorders>
                  <w:vAlign w:val="center"/>
                </w:tcPr>
                <w:p w14:paraId="26E35F1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7BC4ED4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.473**</w:t>
                  </w:r>
                </w:p>
              </w:tc>
              <w:tc>
                <w:tcPr>
                  <w:tcW w:w="1673" w:type="dxa"/>
                  <w:tcBorders>
                    <w:left w:val="nil"/>
                    <w:right w:val="nil"/>
                  </w:tcBorders>
                  <w:vAlign w:val="center"/>
                </w:tcPr>
                <w:p w14:paraId="4CCF551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.038</w:t>
                  </w:r>
                </w:p>
              </w:tc>
            </w:tr>
            <w:tr w:rsidR="00694090" w:rsidRPr="00F60760" w14:paraId="1A837EF4" w14:textId="77777777" w:rsidTr="00E8448F">
              <w:tc>
                <w:tcPr>
                  <w:tcW w:w="2019" w:type="dxa"/>
                  <w:tcBorders>
                    <w:top w:val="nil"/>
                    <w:left w:val="nil"/>
                    <w:bottom w:val="nil"/>
                    <w:right w:val="nil"/>
                  </w:tcBorders>
                  <w:vAlign w:val="center"/>
                </w:tcPr>
                <w:p w14:paraId="09397DBE"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p>
              </w:tc>
              <w:tc>
                <w:tcPr>
                  <w:tcW w:w="1582" w:type="dxa"/>
                  <w:tcBorders>
                    <w:left w:val="nil"/>
                    <w:right w:val="nil"/>
                  </w:tcBorders>
                  <w:vAlign w:val="center"/>
                </w:tcPr>
                <w:p w14:paraId="7D999B5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(2.054)</w:t>
                  </w:r>
                </w:p>
              </w:tc>
              <w:tc>
                <w:tcPr>
                  <w:tcW w:w="1673" w:type="dxa"/>
                  <w:tcBorders>
                    <w:left w:val="nil"/>
                    <w:right w:val="nil"/>
                  </w:tcBorders>
                  <w:vAlign w:val="center"/>
                </w:tcPr>
                <w:p w14:paraId="08E9571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(.253)</w:t>
                  </w:r>
                </w:p>
              </w:tc>
              <w:tc>
                <w:tcPr>
                  <w:tcW w:w="236" w:type="dxa"/>
                  <w:tcBorders>
                    <w:left w:val="nil"/>
                    <w:right w:val="nil"/>
                  </w:tcBorders>
                  <w:vAlign w:val="center"/>
                </w:tcPr>
                <w:p w14:paraId="7ABEB1D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00B996E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(2.263)</w:t>
                  </w:r>
                </w:p>
              </w:tc>
              <w:tc>
                <w:tcPr>
                  <w:tcW w:w="1673" w:type="dxa"/>
                  <w:tcBorders>
                    <w:left w:val="nil"/>
                    <w:right w:val="nil"/>
                  </w:tcBorders>
                  <w:vAlign w:val="center"/>
                </w:tcPr>
                <w:p w14:paraId="6ADF7B2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(.136)</w:t>
                  </w:r>
                </w:p>
              </w:tc>
            </w:tr>
            <w:tr w:rsidR="00694090" w:rsidRPr="00F60760" w14:paraId="227A6B5B" w14:textId="77777777" w:rsidTr="00E8448F">
              <w:tc>
                <w:tcPr>
                  <w:tcW w:w="2019" w:type="dxa"/>
                  <w:tcBorders>
                    <w:top w:val="nil"/>
                    <w:left w:val="nil"/>
                    <w:bottom w:val="nil"/>
                    <w:right w:val="nil"/>
                  </w:tcBorders>
                </w:tcPr>
                <w:p w14:paraId="41AA0D1D"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tar_age</w:t>
                  </w:r>
                </w:p>
              </w:tc>
              <w:tc>
                <w:tcPr>
                  <w:tcW w:w="1582" w:type="dxa"/>
                  <w:tcBorders>
                    <w:left w:val="nil"/>
                    <w:right w:val="nil"/>
                  </w:tcBorders>
                  <w:vAlign w:val="center"/>
                </w:tcPr>
                <w:p w14:paraId="33C5ED6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-.0002</w:t>
                  </w:r>
                </w:p>
              </w:tc>
              <w:tc>
                <w:tcPr>
                  <w:tcW w:w="1673" w:type="dxa"/>
                  <w:tcBorders>
                    <w:left w:val="nil"/>
                    <w:right w:val="nil"/>
                  </w:tcBorders>
                  <w:vAlign w:val="center"/>
                </w:tcPr>
                <w:p w14:paraId="4B31300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-.0002</w:t>
                  </w:r>
                </w:p>
              </w:tc>
              <w:tc>
                <w:tcPr>
                  <w:tcW w:w="236" w:type="dxa"/>
                  <w:tcBorders>
                    <w:left w:val="nil"/>
                    <w:right w:val="nil"/>
                  </w:tcBorders>
                  <w:vAlign w:val="center"/>
                </w:tcPr>
                <w:p w14:paraId="390D664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521A49F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-.0001</w:t>
                  </w:r>
                </w:p>
              </w:tc>
              <w:tc>
                <w:tcPr>
                  <w:tcW w:w="1673" w:type="dxa"/>
                  <w:tcBorders>
                    <w:left w:val="nil"/>
                    <w:right w:val="nil"/>
                  </w:tcBorders>
                  <w:vAlign w:val="center"/>
                </w:tcPr>
                <w:p w14:paraId="5593CF0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-.0002</w:t>
                  </w:r>
                </w:p>
              </w:tc>
            </w:tr>
            <w:tr w:rsidR="00694090" w:rsidRPr="00F60760" w14:paraId="0738F2C5" w14:textId="77777777" w:rsidTr="00E8448F">
              <w:tc>
                <w:tcPr>
                  <w:tcW w:w="2019" w:type="dxa"/>
                  <w:tcBorders>
                    <w:top w:val="nil"/>
                    <w:left w:val="nil"/>
                    <w:bottom w:val="nil"/>
                    <w:right w:val="nil"/>
                  </w:tcBorders>
                </w:tcPr>
                <w:p w14:paraId="4D7548C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582" w:type="dxa"/>
                  <w:tcBorders>
                    <w:left w:val="nil"/>
                    <w:right w:val="nil"/>
                  </w:tcBorders>
                  <w:vAlign w:val="center"/>
                </w:tcPr>
                <w:p w14:paraId="2776593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(-.326)</w:t>
                  </w:r>
                </w:p>
              </w:tc>
              <w:tc>
                <w:tcPr>
                  <w:tcW w:w="1673" w:type="dxa"/>
                  <w:tcBorders>
                    <w:left w:val="nil"/>
                    <w:right w:val="nil"/>
                  </w:tcBorders>
                  <w:vAlign w:val="center"/>
                </w:tcPr>
                <w:p w14:paraId="0249085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(-.284)</w:t>
                  </w:r>
                </w:p>
              </w:tc>
              <w:tc>
                <w:tcPr>
                  <w:tcW w:w="236" w:type="dxa"/>
                  <w:tcBorders>
                    <w:left w:val="nil"/>
                    <w:right w:val="nil"/>
                  </w:tcBorders>
                  <w:vAlign w:val="center"/>
                </w:tcPr>
                <w:p w14:paraId="46D1D36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7AA7586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(-.178)</w:t>
                  </w:r>
                </w:p>
              </w:tc>
              <w:tc>
                <w:tcPr>
                  <w:tcW w:w="1673" w:type="dxa"/>
                  <w:tcBorders>
                    <w:left w:val="nil"/>
                    <w:right w:val="nil"/>
                  </w:tcBorders>
                  <w:vAlign w:val="center"/>
                </w:tcPr>
                <w:p w14:paraId="00F662C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(-.202)</w:t>
                  </w:r>
                </w:p>
              </w:tc>
            </w:tr>
            <w:tr w:rsidR="00694090" w:rsidRPr="00F60760" w14:paraId="4899492C" w14:textId="77777777" w:rsidTr="00E8448F">
              <w:tc>
                <w:tcPr>
                  <w:tcW w:w="2019" w:type="dxa"/>
                  <w:tcBorders>
                    <w:top w:val="nil"/>
                    <w:left w:val="nil"/>
                    <w:bottom w:val="nil"/>
                    <w:right w:val="nil"/>
                  </w:tcBorders>
                </w:tcPr>
                <w:p w14:paraId="2EC62E0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tar_assets_lastyear_ln</w:t>
                  </w:r>
                </w:p>
              </w:tc>
              <w:tc>
                <w:tcPr>
                  <w:tcW w:w="1582" w:type="dxa"/>
                  <w:tcBorders>
                    <w:left w:val="nil"/>
                    <w:right w:val="nil"/>
                  </w:tcBorders>
                  <w:vAlign w:val="center"/>
                </w:tcPr>
                <w:p w14:paraId="03E1C72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.100***</w:t>
                  </w:r>
                </w:p>
              </w:tc>
              <w:tc>
                <w:tcPr>
                  <w:tcW w:w="1673" w:type="dxa"/>
                  <w:tcBorders>
                    <w:left w:val="nil"/>
                    <w:right w:val="nil"/>
                  </w:tcBorders>
                  <w:vAlign w:val="center"/>
                </w:tcPr>
                <w:p w14:paraId="07A2399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.049*</w:t>
                  </w:r>
                </w:p>
              </w:tc>
              <w:tc>
                <w:tcPr>
                  <w:tcW w:w="236" w:type="dxa"/>
                  <w:tcBorders>
                    <w:left w:val="nil"/>
                    <w:right w:val="nil"/>
                  </w:tcBorders>
                  <w:vAlign w:val="center"/>
                </w:tcPr>
                <w:p w14:paraId="75880ED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7FAE1A0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.094***</w:t>
                  </w:r>
                </w:p>
              </w:tc>
              <w:tc>
                <w:tcPr>
                  <w:tcW w:w="1673" w:type="dxa"/>
                  <w:tcBorders>
                    <w:left w:val="nil"/>
                    <w:right w:val="nil"/>
                  </w:tcBorders>
                  <w:vAlign w:val="center"/>
                </w:tcPr>
                <w:p w14:paraId="552A089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.040</w:t>
                  </w:r>
                </w:p>
              </w:tc>
            </w:tr>
            <w:tr w:rsidR="00694090" w:rsidRPr="00F60760" w14:paraId="183EFB7A" w14:textId="77777777" w:rsidTr="00E8448F">
              <w:tc>
                <w:tcPr>
                  <w:tcW w:w="2019" w:type="dxa"/>
                  <w:tcBorders>
                    <w:top w:val="nil"/>
                    <w:left w:val="nil"/>
                    <w:bottom w:val="nil"/>
                    <w:right w:val="nil"/>
                  </w:tcBorders>
                </w:tcPr>
                <w:p w14:paraId="3B990A88"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582" w:type="dxa"/>
                  <w:tcBorders>
                    <w:left w:val="nil"/>
                    <w:right w:val="nil"/>
                  </w:tcBorders>
                  <w:vAlign w:val="center"/>
                </w:tcPr>
                <w:p w14:paraId="7935CC4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(2.853)</w:t>
                  </w:r>
                </w:p>
              </w:tc>
              <w:tc>
                <w:tcPr>
                  <w:tcW w:w="1673" w:type="dxa"/>
                  <w:tcBorders>
                    <w:left w:val="nil"/>
                    <w:right w:val="nil"/>
                  </w:tcBorders>
                  <w:vAlign w:val="center"/>
                </w:tcPr>
                <w:p w14:paraId="1FEBE8C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(1.821)</w:t>
                  </w:r>
                </w:p>
              </w:tc>
              <w:tc>
                <w:tcPr>
                  <w:tcW w:w="236" w:type="dxa"/>
                  <w:tcBorders>
                    <w:left w:val="nil"/>
                    <w:right w:val="nil"/>
                  </w:tcBorders>
                  <w:vAlign w:val="center"/>
                </w:tcPr>
                <w:p w14:paraId="384E4B0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2EA1F80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(2.601)</w:t>
                  </w:r>
                </w:p>
              </w:tc>
              <w:tc>
                <w:tcPr>
                  <w:tcW w:w="1673" w:type="dxa"/>
                  <w:tcBorders>
                    <w:left w:val="nil"/>
                    <w:right w:val="nil"/>
                  </w:tcBorders>
                  <w:vAlign w:val="center"/>
                </w:tcPr>
                <w:p w14:paraId="16B426B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(1.581)</w:t>
                  </w:r>
                </w:p>
              </w:tc>
            </w:tr>
            <w:tr w:rsidR="00694090" w:rsidRPr="00F60760" w14:paraId="5634020E" w14:textId="77777777" w:rsidTr="00E8448F">
              <w:tc>
                <w:tcPr>
                  <w:tcW w:w="2019" w:type="dxa"/>
                  <w:tcBorders>
                    <w:top w:val="nil"/>
                    <w:left w:val="nil"/>
                    <w:bottom w:val="nil"/>
                    <w:right w:val="nil"/>
                  </w:tcBorders>
                </w:tcPr>
                <w:p w14:paraId="4342307E"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tar_roa_lastyear</w:t>
                  </w:r>
                </w:p>
              </w:tc>
              <w:tc>
                <w:tcPr>
                  <w:tcW w:w="1582" w:type="dxa"/>
                  <w:tcBorders>
                    <w:left w:val="nil"/>
                    <w:right w:val="nil"/>
                  </w:tcBorders>
                  <w:vAlign w:val="center"/>
                </w:tcPr>
                <w:p w14:paraId="5D4B1BF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-.018</w:t>
                  </w:r>
                </w:p>
              </w:tc>
              <w:tc>
                <w:tcPr>
                  <w:tcW w:w="1673" w:type="dxa"/>
                  <w:tcBorders>
                    <w:left w:val="nil"/>
                    <w:right w:val="nil"/>
                  </w:tcBorders>
                  <w:vAlign w:val="center"/>
                </w:tcPr>
                <w:p w14:paraId="257C32B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-.049</w:t>
                  </w:r>
                </w:p>
              </w:tc>
              <w:tc>
                <w:tcPr>
                  <w:tcW w:w="236" w:type="dxa"/>
                  <w:tcBorders>
                    <w:left w:val="nil"/>
                    <w:right w:val="nil"/>
                  </w:tcBorders>
                  <w:vAlign w:val="center"/>
                </w:tcPr>
                <w:p w14:paraId="28B340F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7FD1434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-.022</w:t>
                  </w:r>
                </w:p>
              </w:tc>
              <w:tc>
                <w:tcPr>
                  <w:tcW w:w="1673" w:type="dxa"/>
                  <w:tcBorders>
                    <w:left w:val="nil"/>
                    <w:right w:val="nil"/>
                  </w:tcBorders>
                  <w:vAlign w:val="center"/>
                </w:tcPr>
                <w:p w14:paraId="1A0F40C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-.047</w:t>
                  </w:r>
                </w:p>
              </w:tc>
            </w:tr>
            <w:tr w:rsidR="00694090" w:rsidRPr="00F60760" w14:paraId="48DBD66B" w14:textId="77777777" w:rsidTr="00E8448F">
              <w:tc>
                <w:tcPr>
                  <w:tcW w:w="2019" w:type="dxa"/>
                  <w:tcBorders>
                    <w:top w:val="nil"/>
                    <w:left w:val="nil"/>
                    <w:bottom w:val="nil"/>
                    <w:right w:val="nil"/>
                  </w:tcBorders>
                </w:tcPr>
                <w:p w14:paraId="243FBA0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582" w:type="dxa"/>
                  <w:tcBorders>
                    <w:left w:val="nil"/>
                    <w:right w:val="nil"/>
                  </w:tcBorders>
                  <w:vAlign w:val="center"/>
                </w:tcPr>
                <w:p w14:paraId="3BD0DB2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(-.341)</w:t>
                  </w:r>
                </w:p>
              </w:tc>
              <w:tc>
                <w:tcPr>
                  <w:tcW w:w="1673" w:type="dxa"/>
                  <w:tcBorders>
                    <w:left w:val="nil"/>
                    <w:right w:val="nil"/>
                  </w:tcBorders>
                  <w:vAlign w:val="center"/>
                </w:tcPr>
                <w:p w14:paraId="5673AED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(-1.276)</w:t>
                  </w:r>
                </w:p>
              </w:tc>
              <w:tc>
                <w:tcPr>
                  <w:tcW w:w="236" w:type="dxa"/>
                  <w:tcBorders>
                    <w:left w:val="nil"/>
                    <w:right w:val="nil"/>
                  </w:tcBorders>
                  <w:vAlign w:val="center"/>
                </w:tcPr>
                <w:p w14:paraId="2F0697B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2AF710C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(-.368)</w:t>
                  </w:r>
                </w:p>
              </w:tc>
              <w:tc>
                <w:tcPr>
                  <w:tcW w:w="1673" w:type="dxa"/>
                  <w:tcBorders>
                    <w:left w:val="nil"/>
                    <w:right w:val="nil"/>
                  </w:tcBorders>
                  <w:vAlign w:val="center"/>
                </w:tcPr>
                <w:p w14:paraId="634AD50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(-1.285)</w:t>
                  </w:r>
                </w:p>
              </w:tc>
            </w:tr>
            <w:tr w:rsidR="00694090" w:rsidRPr="00F60760" w14:paraId="212514DB" w14:textId="77777777" w:rsidTr="00E8448F">
              <w:tc>
                <w:tcPr>
                  <w:tcW w:w="2019" w:type="dxa"/>
                  <w:tcBorders>
                    <w:top w:val="nil"/>
                    <w:left w:val="nil"/>
                    <w:bottom w:val="nil"/>
                    <w:right w:val="nil"/>
                  </w:tcBorders>
                </w:tcPr>
                <w:p w14:paraId="34BDB564"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tar_mbratio</w:t>
                  </w:r>
                </w:p>
              </w:tc>
              <w:tc>
                <w:tcPr>
                  <w:tcW w:w="1582" w:type="dxa"/>
                  <w:tcBorders>
                    <w:left w:val="nil"/>
                    <w:right w:val="nil"/>
                  </w:tcBorders>
                  <w:vAlign w:val="center"/>
                </w:tcPr>
                <w:p w14:paraId="6CE4941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.005</w:t>
                  </w:r>
                </w:p>
              </w:tc>
              <w:tc>
                <w:tcPr>
                  <w:tcW w:w="1673" w:type="dxa"/>
                  <w:tcBorders>
                    <w:left w:val="nil"/>
                    <w:right w:val="nil"/>
                  </w:tcBorders>
                  <w:vAlign w:val="center"/>
                </w:tcPr>
                <w:p w14:paraId="1812439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.002*</w:t>
                  </w:r>
                </w:p>
              </w:tc>
              <w:tc>
                <w:tcPr>
                  <w:tcW w:w="236" w:type="dxa"/>
                  <w:tcBorders>
                    <w:left w:val="nil"/>
                    <w:right w:val="nil"/>
                  </w:tcBorders>
                  <w:vAlign w:val="center"/>
                </w:tcPr>
                <w:p w14:paraId="0FB8073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21F8CF0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.004</w:t>
                  </w:r>
                </w:p>
              </w:tc>
              <w:tc>
                <w:tcPr>
                  <w:tcW w:w="1673" w:type="dxa"/>
                  <w:tcBorders>
                    <w:left w:val="nil"/>
                    <w:right w:val="nil"/>
                  </w:tcBorders>
                  <w:vAlign w:val="center"/>
                </w:tcPr>
                <w:p w14:paraId="6129F19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.002</w:t>
                  </w:r>
                </w:p>
              </w:tc>
            </w:tr>
            <w:tr w:rsidR="00694090" w:rsidRPr="00F60760" w14:paraId="5FFA813A" w14:textId="77777777" w:rsidTr="00E8448F">
              <w:tc>
                <w:tcPr>
                  <w:tcW w:w="2019" w:type="dxa"/>
                  <w:tcBorders>
                    <w:top w:val="nil"/>
                    <w:left w:val="nil"/>
                    <w:bottom w:val="nil"/>
                    <w:right w:val="nil"/>
                  </w:tcBorders>
                </w:tcPr>
                <w:p w14:paraId="269DCC7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582" w:type="dxa"/>
                  <w:tcBorders>
                    <w:left w:val="nil"/>
                    <w:right w:val="nil"/>
                  </w:tcBorders>
                  <w:vAlign w:val="center"/>
                </w:tcPr>
                <w:p w14:paraId="0EBA69F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(1.563)</w:t>
                  </w:r>
                </w:p>
              </w:tc>
              <w:tc>
                <w:tcPr>
                  <w:tcW w:w="1673" w:type="dxa"/>
                  <w:tcBorders>
                    <w:left w:val="nil"/>
                    <w:right w:val="nil"/>
                  </w:tcBorders>
                  <w:vAlign w:val="center"/>
                </w:tcPr>
                <w:p w14:paraId="208110E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(1.859)</w:t>
                  </w:r>
                </w:p>
              </w:tc>
              <w:tc>
                <w:tcPr>
                  <w:tcW w:w="236" w:type="dxa"/>
                  <w:tcBorders>
                    <w:left w:val="nil"/>
                    <w:right w:val="nil"/>
                  </w:tcBorders>
                  <w:vAlign w:val="center"/>
                </w:tcPr>
                <w:p w14:paraId="12729A1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518EC10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(1.482)</w:t>
                  </w:r>
                </w:p>
              </w:tc>
              <w:tc>
                <w:tcPr>
                  <w:tcW w:w="1673" w:type="dxa"/>
                  <w:tcBorders>
                    <w:left w:val="nil"/>
                    <w:right w:val="nil"/>
                  </w:tcBorders>
                  <w:vAlign w:val="center"/>
                </w:tcPr>
                <w:p w14:paraId="6C8FB40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(1.413)</w:t>
                  </w:r>
                </w:p>
              </w:tc>
            </w:tr>
            <w:tr w:rsidR="00694090" w:rsidRPr="00F60760" w14:paraId="7553B94F" w14:textId="77777777" w:rsidTr="00E8448F">
              <w:tc>
                <w:tcPr>
                  <w:tcW w:w="2019" w:type="dxa"/>
                  <w:tcBorders>
                    <w:top w:val="nil"/>
                    <w:left w:val="nil"/>
                    <w:bottom w:val="nil"/>
                    <w:right w:val="nil"/>
                  </w:tcBorders>
                </w:tcPr>
                <w:p w14:paraId="283C84A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Observations</w:t>
                  </w:r>
                </w:p>
              </w:tc>
              <w:tc>
                <w:tcPr>
                  <w:tcW w:w="1582" w:type="dxa"/>
                  <w:tcBorders>
                    <w:left w:val="nil"/>
                    <w:right w:val="nil"/>
                  </w:tcBorders>
                  <w:vAlign w:val="center"/>
                </w:tcPr>
                <w:p w14:paraId="34BAF5A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182</w:t>
                  </w:r>
                </w:p>
              </w:tc>
              <w:tc>
                <w:tcPr>
                  <w:tcW w:w="1673" w:type="dxa"/>
                  <w:tcBorders>
                    <w:left w:val="nil"/>
                    <w:right w:val="nil"/>
                  </w:tcBorders>
                  <w:vAlign w:val="center"/>
                </w:tcPr>
                <w:p w14:paraId="036EFDD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131</w:t>
                  </w:r>
                </w:p>
              </w:tc>
              <w:tc>
                <w:tcPr>
                  <w:tcW w:w="236" w:type="dxa"/>
                  <w:tcBorders>
                    <w:left w:val="nil"/>
                    <w:right w:val="nil"/>
                  </w:tcBorders>
                </w:tcPr>
                <w:p w14:paraId="540C990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0256F09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182</w:t>
                  </w:r>
                </w:p>
              </w:tc>
              <w:tc>
                <w:tcPr>
                  <w:tcW w:w="1673" w:type="dxa"/>
                  <w:tcBorders>
                    <w:left w:val="nil"/>
                    <w:right w:val="nil"/>
                  </w:tcBorders>
                  <w:vAlign w:val="center"/>
                </w:tcPr>
                <w:p w14:paraId="5C599FC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131</w:t>
                  </w:r>
                </w:p>
              </w:tc>
            </w:tr>
            <w:tr w:rsidR="00694090" w:rsidRPr="00F60760" w14:paraId="67231C8F" w14:textId="77777777" w:rsidTr="00E8448F">
              <w:tc>
                <w:tcPr>
                  <w:tcW w:w="2019" w:type="dxa"/>
                  <w:tcBorders>
                    <w:top w:val="nil"/>
                    <w:left w:val="nil"/>
                    <w:bottom w:val="nil"/>
                    <w:right w:val="nil"/>
                  </w:tcBorders>
                </w:tcPr>
                <w:p w14:paraId="27F913F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Adj R2</w:t>
                  </w:r>
                </w:p>
              </w:tc>
              <w:tc>
                <w:tcPr>
                  <w:tcW w:w="1582" w:type="dxa"/>
                  <w:tcBorders>
                    <w:left w:val="nil"/>
                    <w:right w:val="nil"/>
                  </w:tcBorders>
                  <w:vAlign w:val="center"/>
                </w:tcPr>
                <w:p w14:paraId="1980E0B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.411</w:t>
                  </w:r>
                </w:p>
              </w:tc>
              <w:tc>
                <w:tcPr>
                  <w:tcW w:w="1673" w:type="dxa"/>
                  <w:tcBorders>
                    <w:left w:val="nil"/>
                    <w:right w:val="nil"/>
                  </w:tcBorders>
                  <w:vAlign w:val="center"/>
                </w:tcPr>
                <w:p w14:paraId="0038FC5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.255</w:t>
                  </w:r>
                </w:p>
              </w:tc>
              <w:tc>
                <w:tcPr>
                  <w:tcW w:w="236" w:type="dxa"/>
                  <w:tcBorders>
                    <w:left w:val="nil"/>
                    <w:right w:val="nil"/>
                  </w:tcBorders>
                  <w:vAlign w:val="center"/>
                </w:tcPr>
                <w:p w14:paraId="25342EE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vAlign w:val="center"/>
                </w:tcPr>
                <w:p w14:paraId="5DF8235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.407</w:t>
                  </w:r>
                </w:p>
              </w:tc>
              <w:tc>
                <w:tcPr>
                  <w:tcW w:w="1673" w:type="dxa"/>
                  <w:tcBorders>
                    <w:left w:val="nil"/>
                    <w:right w:val="nil"/>
                  </w:tcBorders>
                  <w:vAlign w:val="center"/>
                </w:tcPr>
                <w:p w14:paraId="1370BD8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.238</w:t>
                  </w:r>
                </w:p>
              </w:tc>
            </w:tr>
            <w:tr w:rsidR="00694090" w:rsidRPr="00F60760" w14:paraId="33A22F81" w14:textId="77777777" w:rsidTr="00E8448F">
              <w:tc>
                <w:tcPr>
                  <w:tcW w:w="2019" w:type="dxa"/>
                  <w:tcBorders>
                    <w:top w:val="nil"/>
                    <w:left w:val="nil"/>
                    <w:bottom w:val="nil"/>
                    <w:right w:val="nil"/>
                  </w:tcBorders>
                </w:tcPr>
                <w:p w14:paraId="490B8F3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Industry FE</w:t>
                  </w:r>
                </w:p>
              </w:tc>
              <w:tc>
                <w:tcPr>
                  <w:tcW w:w="1582" w:type="dxa"/>
                  <w:tcBorders>
                    <w:left w:val="nil"/>
                    <w:right w:val="nil"/>
                  </w:tcBorders>
                </w:tcPr>
                <w:p w14:paraId="5B81EEB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1673" w:type="dxa"/>
                  <w:tcBorders>
                    <w:left w:val="nil"/>
                    <w:right w:val="nil"/>
                  </w:tcBorders>
                </w:tcPr>
                <w:p w14:paraId="22AFFC7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236" w:type="dxa"/>
                  <w:tcBorders>
                    <w:left w:val="nil"/>
                    <w:right w:val="nil"/>
                  </w:tcBorders>
                </w:tcPr>
                <w:p w14:paraId="5474F8C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right w:val="nil"/>
                  </w:tcBorders>
                </w:tcPr>
                <w:p w14:paraId="267805A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1673" w:type="dxa"/>
                  <w:tcBorders>
                    <w:left w:val="nil"/>
                    <w:right w:val="nil"/>
                  </w:tcBorders>
                </w:tcPr>
                <w:p w14:paraId="657E26C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r>
            <w:tr w:rsidR="00694090" w:rsidRPr="00F60760" w14:paraId="3A98C027" w14:textId="77777777" w:rsidTr="00E8448F">
              <w:tc>
                <w:tcPr>
                  <w:tcW w:w="2019" w:type="dxa"/>
                  <w:tcBorders>
                    <w:top w:val="nil"/>
                    <w:left w:val="nil"/>
                    <w:bottom w:val="nil"/>
                    <w:right w:val="nil"/>
                  </w:tcBorders>
                </w:tcPr>
                <w:p w14:paraId="70053CD4"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Year FE</w:t>
                  </w:r>
                </w:p>
              </w:tc>
              <w:tc>
                <w:tcPr>
                  <w:tcW w:w="1582" w:type="dxa"/>
                  <w:tcBorders>
                    <w:left w:val="nil"/>
                    <w:bottom w:val="nil"/>
                    <w:right w:val="nil"/>
                  </w:tcBorders>
                </w:tcPr>
                <w:p w14:paraId="13FB907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Yes</w:t>
                  </w:r>
                </w:p>
              </w:tc>
              <w:tc>
                <w:tcPr>
                  <w:tcW w:w="1673" w:type="dxa"/>
                  <w:tcBorders>
                    <w:left w:val="nil"/>
                    <w:bottom w:val="nil"/>
                    <w:right w:val="nil"/>
                  </w:tcBorders>
                </w:tcPr>
                <w:p w14:paraId="34E2246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Yes</w:t>
                  </w:r>
                </w:p>
              </w:tc>
              <w:tc>
                <w:tcPr>
                  <w:tcW w:w="236" w:type="dxa"/>
                  <w:tcBorders>
                    <w:left w:val="nil"/>
                    <w:bottom w:val="nil"/>
                    <w:right w:val="nil"/>
                  </w:tcBorders>
                </w:tcPr>
                <w:p w14:paraId="629AA6C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673" w:type="dxa"/>
                  <w:tcBorders>
                    <w:left w:val="nil"/>
                    <w:bottom w:val="nil"/>
                    <w:right w:val="nil"/>
                  </w:tcBorders>
                </w:tcPr>
                <w:p w14:paraId="61FE198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Yes</w:t>
                  </w:r>
                </w:p>
              </w:tc>
              <w:tc>
                <w:tcPr>
                  <w:tcW w:w="1673" w:type="dxa"/>
                  <w:tcBorders>
                    <w:left w:val="nil"/>
                    <w:bottom w:val="nil"/>
                    <w:right w:val="nil"/>
                  </w:tcBorders>
                </w:tcPr>
                <w:p w14:paraId="6C274BE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Yes</w:t>
                  </w:r>
                </w:p>
              </w:tc>
            </w:tr>
          </w:tbl>
          <w:p w14:paraId="11107828" w14:textId="77777777" w:rsidR="00694090" w:rsidRPr="00CC0559" w:rsidRDefault="00694090" w:rsidP="00AB066F">
            <w:pPr>
              <w:jc w:val="left"/>
              <w:rPr>
                <w:color w:val="000000" w:themeColor="text1"/>
                <w:sz w:val="20"/>
                <w:szCs w:val="20"/>
                <w:lang w:val="en-US"/>
              </w:rPr>
            </w:pPr>
          </w:p>
        </w:tc>
      </w:tr>
      <w:tr w:rsidR="00694090" w:rsidRPr="00BE5632" w14:paraId="22A8B645" w14:textId="77777777" w:rsidTr="00BE7E1E">
        <w:trPr>
          <w:trHeight w:val="978"/>
        </w:trPr>
        <w:tc>
          <w:tcPr>
            <w:tcW w:w="5000" w:type="pct"/>
            <w:tcBorders>
              <w:top w:val="single" w:sz="4" w:space="0" w:color="auto"/>
              <w:left w:val="nil"/>
              <w:right w:val="nil"/>
            </w:tcBorders>
            <w:shd w:val="clear" w:color="auto" w:fill="auto"/>
            <w:noWrap/>
          </w:tcPr>
          <w:p w14:paraId="4BF5757A" w14:textId="77777777" w:rsidR="00694090" w:rsidRPr="00CC0559" w:rsidRDefault="00694090" w:rsidP="00E74508">
            <w:pPr>
              <w:spacing w:before="120" w:line="240" w:lineRule="auto"/>
              <w:rPr>
                <w:color w:val="000000" w:themeColor="text1"/>
                <w:sz w:val="20"/>
                <w:szCs w:val="20"/>
                <w:lang w:val="en-US"/>
              </w:rPr>
            </w:pPr>
            <w:r w:rsidRPr="00AF3D3A">
              <w:rPr>
                <w:i/>
                <w:iCs/>
                <w:color w:val="000000" w:themeColor="text1"/>
                <w:sz w:val="22"/>
                <w:lang w:val="en-US"/>
              </w:rPr>
              <w:lastRenderedPageBreak/>
              <w:t>Note</w:t>
            </w:r>
            <w:r w:rsidRPr="00AF3D3A">
              <w:rPr>
                <w:color w:val="000000" w:themeColor="text1"/>
                <w:sz w:val="22"/>
                <w:lang w:val="en-US"/>
              </w:rPr>
              <w:t xml:space="preserve">. This table reports fixed effects linear OLS regression results predicting the effect of organizational cultural distance between acquirers and targets on long-term synergy gains. The dependent variable for Models 1 and 3 is the acquirer’s growth in return on sales two years after deal completion. The dependent variable for Models 2 and 4 is the acquirer’s growth in return on sales four years after deal completion. The main independent variable in Models 1-2 is </w:t>
            </w:r>
            <w:r w:rsidRPr="00AF3D3A">
              <w:rPr>
                <w:i/>
                <w:iCs/>
                <w:color w:val="000000" w:themeColor="text1"/>
                <w:sz w:val="22"/>
                <w:lang w:val="en-US"/>
              </w:rPr>
              <w:t>deal_culturaldistance_eucl</w:t>
            </w:r>
            <w:r w:rsidRPr="00AF3D3A">
              <w:rPr>
                <w:color w:val="000000" w:themeColor="text1"/>
                <w:sz w:val="22"/>
                <w:lang w:val="en-US"/>
              </w:rPr>
              <w:t xml:space="preserve">, measured as the Euclidian distance between the acquirer and the target organizational cultural distance, with higher values indicating higher cultural dissimilarities between the acquirer and the target. The main independent variable in Models 3-4 is </w:t>
            </w:r>
            <w:r w:rsidRPr="00AF3D3A">
              <w:rPr>
                <w:i/>
                <w:iCs/>
                <w:color w:val="000000" w:themeColor="text1"/>
                <w:sz w:val="22"/>
                <w:lang w:val="en-US"/>
              </w:rPr>
              <w:t>deal_culturaldistance_maha</w:t>
            </w:r>
            <w:r w:rsidRPr="00AF3D3A">
              <w:rPr>
                <w:color w:val="000000" w:themeColor="text1"/>
                <w:sz w:val="22"/>
                <w:lang w:val="en-US"/>
              </w:rPr>
              <w:t>, measured as the Mahalanobis distance between the acquirer and the target organizational cultural distance, with higher values indicating higher cultural dissimilarities between the acquirer and the target. A detailed variable description can be found in Appendix B. Constant terms are estimated but not reported. We include the acquirer’s industry and year fixed effects in all models. We cluster standard errors at the 2-digit SIC industry level. t-statistics are reported in parentheses below the coefficients. *, **, *** denote statistical significance at the .10, .05, and .01 levels (using two-tailed tests).</w:t>
            </w:r>
          </w:p>
        </w:tc>
      </w:tr>
    </w:tbl>
    <w:p w14:paraId="43D88475" w14:textId="77777777" w:rsidR="000F4B60" w:rsidRDefault="000F4B60">
      <w:pPr>
        <w:spacing w:after="160" w:line="259" w:lineRule="auto"/>
        <w:jc w:val="left"/>
        <w:rPr>
          <w:rFonts w:eastAsiaTheme="majorEastAsia" w:cstheme="majorBidi"/>
          <w:b/>
          <w:caps/>
          <w:szCs w:val="32"/>
          <w:lang w:val="en-US"/>
        </w:rPr>
      </w:pPr>
      <w:r w:rsidRPr="00B1627F">
        <w:rPr>
          <w:lang w:val="en-US"/>
        </w:rPr>
        <w:br w:type="page"/>
      </w:r>
    </w:p>
    <w:p w14:paraId="30295EA4" w14:textId="4719CCF4" w:rsidR="000F4B60" w:rsidRPr="00442048" w:rsidRDefault="000F4B60" w:rsidP="000F4B60">
      <w:pPr>
        <w:pStyle w:val="1fake"/>
      </w:pPr>
      <w:r w:rsidRPr="00442048">
        <w:lastRenderedPageBreak/>
        <w:t xml:space="preserve">ONLINE SUPPLEMENT </w:t>
      </w:r>
      <w:r>
        <w:t>22</w:t>
      </w:r>
    </w:p>
    <w:p w14:paraId="6E7451EF" w14:textId="6DA74E92" w:rsidR="00011AF5" w:rsidRPr="000F4B60" w:rsidRDefault="00011AF5" w:rsidP="00011AF5">
      <w:pPr>
        <w:pStyle w:val="Beschriftung"/>
      </w:pPr>
      <w:bookmarkStart w:id="641" w:name="_Toc180594868"/>
      <w:r>
        <w:t xml:space="preserve">T - III - </w:t>
      </w:r>
      <w:r>
        <w:fldChar w:fldCharType="begin"/>
      </w:r>
      <w:r>
        <w:instrText xml:space="preserve"> SEQ T_-_III_- \* ARABIC </w:instrText>
      </w:r>
      <w:r>
        <w:fldChar w:fldCharType="separate"/>
      </w:r>
      <w:r w:rsidR="00E91088">
        <w:rPr>
          <w:noProof/>
        </w:rPr>
        <w:t>32</w:t>
      </w:r>
      <w:r>
        <w:fldChar w:fldCharType="end"/>
      </w:r>
      <w:r>
        <w:t xml:space="preserve">: </w:t>
      </w:r>
      <w:r w:rsidRPr="006B2CDF">
        <w:t>H2: Acquisition premiums - Alternative distance measures</w:t>
      </w:r>
      <w:bookmarkEnd w:id="641"/>
    </w:p>
    <w:tbl>
      <w:tblPr>
        <w:tblW w:w="9072" w:type="dxa"/>
        <w:tblLayout w:type="fixed"/>
        <w:tblLook w:val="04A0" w:firstRow="1" w:lastRow="0" w:firstColumn="1" w:lastColumn="0" w:noHBand="0" w:noVBand="1"/>
      </w:tblPr>
      <w:tblGrid>
        <w:gridCol w:w="9072"/>
      </w:tblGrid>
      <w:tr w:rsidR="00694090" w:rsidRPr="00CC0559" w14:paraId="23095982" w14:textId="77777777" w:rsidTr="00BE7E1E">
        <w:trPr>
          <w:trHeight w:val="909"/>
        </w:trPr>
        <w:tc>
          <w:tcPr>
            <w:tcW w:w="5000" w:type="pct"/>
            <w:tcBorders>
              <w:left w:val="nil"/>
              <w:bottom w:val="single" w:sz="4" w:space="0" w:color="auto"/>
              <w:right w:val="nil"/>
            </w:tcBorders>
            <w:shd w:val="clear" w:color="auto" w:fill="auto"/>
          </w:tcPr>
          <w:tbl>
            <w:tblPr>
              <w:tblW w:w="9072" w:type="dxa"/>
              <w:jc w:val="center"/>
              <w:tblLayout w:type="fixed"/>
              <w:tblLook w:val="0000" w:firstRow="0" w:lastRow="0" w:firstColumn="0" w:lastColumn="0" w:noHBand="0" w:noVBand="0"/>
            </w:tblPr>
            <w:tblGrid>
              <w:gridCol w:w="2964"/>
              <w:gridCol w:w="1467"/>
              <w:gridCol w:w="1467"/>
              <w:gridCol w:w="240"/>
              <w:gridCol w:w="1467"/>
              <w:gridCol w:w="1467"/>
            </w:tblGrid>
            <w:tr w:rsidR="00694090" w:rsidRPr="00F60760" w14:paraId="1ED50298" w14:textId="77777777" w:rsidTr="00BE7E1E">
              <w:trPr>
                <w:jc w:val="center"/>
              </w:trPr>
              <w:tc>
                <w:tcPr>
                  <w:tcW w:w="3231" w:type="dxa"/>
                  <w:tcBorders>
                    <w:top w:val="single" w:sz="4" w:space="0" w:color="auto"/>
                    <w:left w:val="nil"/>
                    <w:right w:val="nil"/>
                  </w:tcBorders>
                </w:tcPr>
                <w:p w14:paraId="0B1DF86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w:t>
                  </w:r>
                </w:p>
              </w:tc>
              <w:tc>
                <w:tcPr>
                  <w:tcW w:w="1587" w:type="dxa"/>
                  <w:tcBorders>
                    <w:top w:val="single" w:sz="4" w:space="0" w:color="auto"/>
                    <w:left w:val="nil"/>
                    <w:right w:val="nil"/>
                  </w:tcBorders>
                </w:tcPr>
                <w:p w14:paraId="17CF3042"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(1)</w:t>
                  </w:r>
                </w:p>
              </w:tc>
              <w:tc>
                <w:tcPr>
                  <w:tcW w:w="1587" w:type="dxa"/>
                  <w:tcBorders>
                    <w:top w:val="single" w:sz="4" w:space="0" w:color="auto"/>
                    <w:left w:val="nil"/>
                    <w:right w:val="nil"/>
                  </w:tcBorders>
                </w:tcPr>
                <w:p w14:paraId="027B073B"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(2)</w:t>
                  </w:r>
                </w:p>
              </w:tc>
              <w:tc>
                <w:tcPr>
                  <w:tcW w:w="240" w:type="dxa"/>
                  <w:tcBorders>
                    <w:top w:val="single" w:sz="4" w:space="0" w:color="auto"/>
                    <w:left w:val="nil"/>
                    <w:right w:val="nil"/>
                  </w:tcBorders>
                </w:tcPr>
                <w:p w14:paraId="44D11F33"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p>
              </w:tc>
              <w:tc>
                <w:tcPr>
                  <w:tcW w:w="1587" w:type="dxa"/>
                  <w:tcBorders>
                    <w:top w:val="single" w:sz="4" w:space="0" w:color="auto"/>
                    <w:left w:val="nil"/>
                    <w:right w:val="nil"/>
                  </w:tcBorders>
                </w:tcPr>
                <w:p w14:paraId="25A6CD49"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(3)</w:t>
                  </w:r>
                </w:p>
              </w:tc>
              <w:tc>
                <w:tcPr>
                  <w:tcW w:w="1587" w:type="dxa"/>
                  <w:tcBorders>
                    <w:top w:val="single" w:sz="4" w:space="0" w:color="auto"/>
                    <w:left w:val="nil"/>
                    <w:right w:val="nil"/>
                  </w:tcBorders>
                </w:tcPr>
                <w:p w14:paraId="0B1E2744"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(4)</w:t>
                  </w:r>
                </w:p>
              </w:tc>
            </w:tr>
            <w:tr w:rsidR="00694090" w:rsidRPr="00F60760" w14:paraId="5A73DA56" w14:textId="77777777" w:rsidTr="00BE7E1E">
              <w:trPr>
                <w:jc w:val="center"/>
              </w:trPr>
              <w:tc>
                <w:tcPr>
                  <w:tcW w:w="3231" w:type="dxa"/>
                  <w:tcBorders>
                    <w:top w:val="nil"/>
                    <w:left w:val="nil"/>
                    <w:bottom w:val="single" w:sz="4" w:space="0" w:color="auto"/>
                    <w:right w:val="nil"/>
                  </w:tcBorders>
                </w:tcPr>
                <w:p w14:paraId="6CD13F1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w:t>
                  </w:r>
                </w:p>
              </w:tc>
              <w:tc>
                <w:tcPr>
                  <w:tcW w:w="1587" w:type="dxa"/>
                  <w:tcBorders>
                    <w:left w:val="nil"/>
                    <w:bottom w:val="single" w:sz="4" w:space="0" w:color="auto"/>
                    <w:right w:val="nil"/>
                  </w:tcBorders>
                </w:tcPr>
                <w:p w14:paraId="326EF05C"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deal_premium_1day</w:t>
                  </w:r>
                </w:p>
              </w:tc>
              <w:tc>
                <w:tcPr>
                  <w:tcW w:w="1587" w:type="dxa"/>
                  <w:tcBorders>
                    <w:left w:val="nil"/>
                    <w:bottom w:val="single" w:sz="4" w:space="0" w:color="auto"/>
                    <w:right w:val="nil"/>
                  </w:tcBorders>
                </w:tcPr>
                <w:p w14:paraId="6507D582"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deal_premium_1week</w:t>
                  </w:r>
                </w:p>
              </w:tc>
              <w:tc>
                <w:tcPr>
                  <w:tcW w:w="240" w:type="dxa"/>
                  <w:tcBorders>
                    <w:left w:val="nil"/>
                    <w:bottom w:val="single" w:sz="4" w:space="0" w:color="auto"/>
                    <w:right w:val="nil"/>
                  </w:tcBorders>
                </w:tcPr>
                <w:p w14:paraId="7896BF21"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p>
              </w:tc>
              <w:tc>
                <w:tcPr>
                  <w:tcW w:w="1587" w:type="dxa"/>
                  <w:tcBorders>
                    <w:left w:val="nil"/>
                    <w:bottom w:val="single" w:sz="4" w:space="0" w:color="auto"/>
                    <w:right w:val="nil"/>
                  </w:tcBorders>
                </w:tcPr>
                <w:p w14:paraId="4A2F4C33"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deal_premium_1day</w:t>
                  </w:r>
                </w:p>
              </w:tc>
              <w:tc>
                <w:tcPr>
                  <w:tcW w:w="1587" w:type="dxa"/>
                  <w:tcBorders>
                    <w:left w:val="nil"/>
                    <w:bottom w:val="single" w:sz="4" w:space="0" w:color="auto"/>
                    <w:right w:val="nil"/>
                  </w:tcBorders>
                </w:tcPr>
                <w:p w14:paraId="138B1A12"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deal_premium_1week</w:t>
                  </w:r>
                </w:p>
              </w:tc>
            </w:tr>
            <w:tr w:rsidR="00694090" w:rsidRPr="00F60760" w14:paraId="454C628E" w14:textId="77777777" w:rsidTr="00BE7E1E">
              <w:trPr>
                <w:trHeight w:val="224"/>
                <w:jc w:val="center"/>
              </w:trPr>
              <w:tc>
                <w:tcPr>
                  <w:tcW w:w="3231" w:type="dxa"/>
                  <w:tcBorders>
                    <w:top w:val="single" w:sz="4" w:space="0" w:color="auto"/>
                    <w:left w:val="nil"/>
                    <w:bottom w:val="nil"/>
                    <w:right w:val="nil"/>
                  </w:tcBorders>
                </w:tcPr>
                <w:p w14:paraId="298BFF1E"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deal_culturaldistance_eucl</w:t>
                  </w:r>
                </w:p>
              </w:tc>
              <w:tc>
                <w:tcPr>
                  <w:tcW w:w="1587" w:type="dxa"/>
                  <w:tcBorders>
                    <w:top w:val="single" w:sz="4" w:space="0" w:color="auto"/>
                    <w:left w:val="nil"/>
                    <w:right w:val="nil"/>
                  </w:tcBorders>
                  <w:vAlign w:val="center"/>
                </w:tcPr>
                <w:p w14:paraId="7AC6EE9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.465**</w:t>
                  </w:r>
                </w:p>
              </w:tc>
              <w:tc>
                <w:tcPr>
                  <w:tcW w:w="1587" w:type="dxa"/>
                  <w:tcBorders>
                    <w:top w:val="single" w:sz="4" w:space="0" w:color="auto"/>
                    <w:left w:val="nil"/>
                    <w:right w:val="nil"/>
                  </w:tcBorders>
                  <w:vAlign w:val="center"/>
                </w:tcPr>
                <w:p w14:paraId="3CBD49F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.491**</w:t>
                  </w:r>
                </w:p>
              </w:tc>
              <w:tc>
                <w:tcPr>
                  <w:tcW w:w="240" w:type="dxa"/>
                  <w:tcBorders>
                    <w:top w:val="single" w:sz="4" w:space="0" w:color="auto"/>
                    <w:left w:val="nil"/>
                    <w:right w:val="nil"/>
                  </w:tcBorders>
                  <w:vAlign w:val="center"/>
                </w:tcPr>
                <w:p w14:paraId="44CB5A7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top w:val="single" w:sz="4" w:space="0" w:color="auto"/>
                    <w:left w:val="nil"/>
                    <w:right w:val="nil"/>
                  </w:tcBorders>
                  <w:vAlign w:val="center"/>
                </w:tcPr>
                <w:p w14:paraId="485ADAA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top w:val="single" w:sz="4" w:space="0" w:color="auto"/>
                    <w:left w:val="nil"/>
                    <w:right w:val="nil"/>
                  </w:tcBorders>
                  <w:vAlign w:val="center"/>
                </w:tcPr>
                <w:p w14:paraId="60840F5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r>
            <w:tr w:rsidR="00694090" w:rsidRPr="00F60760" w14:paraId="00F21257" w14:textId="77777777" w:rsidTr="00BE7E1E">
              <w:trPr>
                <w:jc w:val="center"/>
              </w:trPr>
              <w:tc>
                <w:tcPr>
                  <w:tcW w:w="3231" w:type="dxa"/>
                  <w:tcBorders>
                    <w:top w:val="nil"/>
                    <w:left w:val="nil"/>
                    <w:bottom w:val="nil"/>
                    <w:right w:val="nil"/>
                  </w:tcBorders>
                </w:tcPr>
                <w:p w14:paraId="1E6DAA0B"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587" w:type="dxa"/>
                  <w:tcBorders>
                    <w:left w:val="nil"/>
                    <w:right w:val="nil"/>
                  </w:tcBorders>
                  <w:vAlign w:val="center"/>
                </w:tcPr>
                <w:p w14:paraId="7021344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(2.009)</w:t>
                  </w:r>
                </w:p>
              </w:tc>
              <w:tc>
                <w:tcPr>
                  <w:tcW w:w="1587" w:type="dxa"/>
                  <w:tcBorders>
                    <w:left w:val="nil"/>
                    <w:right w:val="nil"/>
                  </w:tcBorders>
                  <w:vAlign w:val="center"/>
                </w:tcPr>
                <w:p w14:paraId="44DF37D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(2.012)</w:t>
                  </w:r>
                </w:p>
              </w:tc>
              <w:tc>
                <w:tcPr>
                  <w:tcW w:w="240" w:type="dxa"/>
                  <w:tcBorders>
                    <w:left w:val="nil"/>
                    <w:right w:val="nil"/>
                  </w:tcBorders>
                  <w:vAlign w:val="center"/>
                </w:tcPr>
                <w:p w14:paraId="426D5DC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78B2DFF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01464C8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r>
            <w:tr w:rsidR="00694090" w:rsidRPr="00F60760" w14:paraId="019C6034" w14:textId="77777777" w:rsidTr="00BE7E1E">
              <w:trPr>
                <w:jc w:val="center"/>
              </w:trPr>
              <w:tc>
                <w:tcPr>
                  <w:tcW w:w="3231" w:type="dxa"/>
                  <w:tcBorders>
                    <w:top w:val="nil"/>
                    <w:left w:val="nil"/>
                    <w:bottom w:val="nil"/>
                    <w:right w:val="nil"/>
                  </w:tcBorders>
                </w:tcPr>
                <w:p w14:paraId="61B6316D"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deal_culturaldistance_maha</w:t>
                  </w:r>
                </w:p>
              </w:tc>
              <w:tc>
                <w:tcPr>
                  <w:tcW w:w="1587" w:type="dxa"/>
                  <w:tcBorders>
                    <w:left w:val="nil"/>
                    <w:right w:val="nil"/>
                  </w:tcBorders>
                  <w:vAlign w:val="center"/>
                </w:tcPr>
                <w:p w14:paraId="2593132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1653782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240" w:type="dxa"/>
                  <w:tcBorders>
                    <w:left w:val="nil"/>
                    <w:right w:val="nil"/>
                  </w:tcBorders>
                  <w:vAlign w:val="center"/>
                </w:tcPr>
                <w:p w14:paraId="1B34F24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593EF7D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.306***</w:t>
                  </w:r>
                </w:p>
              </w:tc>
              <w:tc>
                <w:tcPr>
                  <w:tcW w:w="1587" w:type="dxa"/>
                  <w:tcBorders>
                    <w:left w:val="nil"/>
                    <w:right w:val="nil"/>
                  </w:tcBorders>
                  <w:vAlign w:val="center"/>
                </w:tcPr>
                <w:p w14:paraId="5FB6C47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.293***</w:t>
                  </w:r>
                </w:p>
              </w:tc>
            </w:tr>
            <w:tr w:rsidR="00694090" w:rsidRPr="00F60760" w14:paraId="202F3800" w14:textId="77777777" w:rsidTr="00BE7E1E">
              <w:trPr>
                <w:jc w:val="center"/>
              </w:trPr>
              <w:tc>
                <w:tcPr>
                  <w:tcW w:w="3231" w:type="dxa"/>
                  <w:tcBorders>
                    <w:top w:val="nil"/>
                    <w:left w:val="nil"/>
                    <w:bottom w:val="nil"/>
                    <w:right w:val="nil"/>
                  </w:tcBorders>
                </w:tcPr>
                <w:p w14:paraId="6723633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p>
              </w:tc>
              <w:tc>
                <w:tcPr>
                  <w:tcW w:w="1587" w:type="dxa"/>
                  <w:tcBorders>
                    <w:left w:val="nil"/>
                    <w:right w:val="nil"/>
                  </w:tcBorders>
                  <w:vAlign w:val="center"/>
                </w:tcPr>
                <w:p w14:paraId="53A2E56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2B47F90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240" w:type="dxa"/>
                  <w:tcBorders>
                    <w:left w:val="nil"/>
                    <w:right w:val="nil"/>
                  </w:tcBorders>
                  <w:vAlign w:val="center"/>
                </w:tcPr>
                <w:p w14:paraId="0329ACD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70D823B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(4.153)</w:t>
                  </w:r>
                </w:p>
              </w:tc>
              <w:tc>
                <w:tcPr>
                  <w:tcW w:w="1587" w:type="dxa"/>
                  <w:tcBorders>
                    <w:left w:val="nil"/>
                    <w:right w:val="nil"/>
                  </w:tcBorders>
                  <w:vAlign w:val="center"/>
                </w:tcPr>
                <w:p w14:paraId="2EDE45F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(4.064)</w:t>
                  </w:r>
                </w:p>
              </w:tc>
            </w:tr>
            <w:tr w:rsidR="00694090" w:rsidRPr="00F60760" w14:paraId="7C7085C3" w14:textId="77777777" w:rsidTr="00BE7E1E">
              <w:trPr>
                <w:jc w:val="center"/>
              </w:trPr>
              <w:tc>
                <w:tcPr>
                  <w:tcW w:w="3231" w:type="dxa"/>
                  <w:tcBorders>
                    <w:top w:val="nil"/>
                    <w:left w:val="nil"/>
                    <w:bottom w:val="nil"/>
                    <w:right w:val="nil"/>
                  </w:tcBorders>
                </w:tcPr>
                <w:p w14:paraId="4E8429F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deal_value_ln</w:t>
                  </w:r>
                </w:p>
              </w:tc>
              <w:tc>
                <w:tcPr>
                  <w:tcW w:w="1587" w:type="dxa"/>
                  <w:tcBorders>
                    <w:left w:val="nil"/>
                    <w:right w:val="nil"/>
                  </w:tcBorders>
                  <w:vAlign w:val="center"/>
                </w:tcPr>
                <w:p w14:paraId="3F4B045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-.012</w:t>
                  </w:r>
                </w:p>
              </w:tc>
              <w:tc>
                <w:tcPr>
                  <w:tcW w:w="1587" w:type="dxa"/>
                  <w:tcBorders>
                    <w:left w:val="nil"/>
                    <w:right w:val="nil"/>
                  </w:tcBorders>
                  <w:vAlign w:val="center"/>
                </w:tcPr>
                <w:p w14:paraId="3BF2FB2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-.025</w:t>
                  </w:r>
                </w:p>
              </w:tc>
              <w:tc>
                <w:tcPr>
                  <w:tcW w:w="240" w:type="dxa"/>
                  <w:tcBorders>
                    <w:left w:val="nil"/>
                    <w:right w:val="nil"/>
                  </w:tcBorders>
                  <w:vAlign w:val="center"/>
                </w:tcPr>
                <w:p w14:paraId="739A478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00B62A7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-.023</w:t>
                  </w:r>
                </w:p>
              </w:tc>
              <w:tc>
                <w:tcPr>
                  <w:tcW w:w="1587" w:type="dxa"/>
                  <w:tcBorders>
                    <w:left w:val="nil"/>
                    <w:right w:val="nil"/>
                  </w:tcBorders>
                  <w:vAlign w:val="center"/>
                </w:tcPr>
                <w:p w14:paraId="67888C0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-.037</w:t>
                  </w:r>
                </w:p>
              </w:tc>
            </w:tr>
            <w:tr w:rsidR="00694090" w:rsidRPr="00F60760" w14:paraId="29D6441A" w14:textId="77777777" w:rsidTr="00BE7E1E">
              <w:trPr>
                <w:jc w:val="center"/>
              </w:trPr>
              <w:tc>
                <w:tcPr>
                  <w:tcW w:w="3231" w:type="dxa"/>
                  <w:tcBorders>
                    <w:top w:val="nil"/>
                    <w:left w:val="nil"/>
                    <w:bottom w:val="nil"/>
                    <w:right w:val="nil"/>
                  </w:tcBorders>
                </w:tcPr>
                <w:p w14:paraId="03C88F5E"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587" w:type="dxa"/>
                  <w:tcBorders>
                    <w:left w:val="nil"/>
                    <w:right w:val="nil"/>
                  </w:tcBorders>
                  <w:vAlign w:val="center"/>
                </w:tcPr>
                <w:p w14:paraId="4030B0A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(-.482)</w:t>
                  </w:r>
                </w:p>
              </w:tc>
              <w:tc>
                <w:tcPr>
                  <w:tcW w:w="1587" w:type="dxa"/>
                  <w:tcBorders>
                    <w:left w:val="nil"/>
                    <w:right w:val="nil"/>
                  </w:tcBorders>
                  <w:vAlign w:val="center"/>
                </w:tcPr>
                <w:p w14:paraId="26F52C7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(-1.050)</w:t>
                  </w:r>
                </w:p>
              </w:tc>
              <w:tc>
                <w:tcPr>
                  <w:tcW w:w="240" w:type="dxa"/>
                  <w:tcBorders>
                    <w:left w:val="nil"/>
                    <w:right w:val="nil"/>
                  </w:tcBorders>
                  <w:vAlign w:val="center"/>
                </w:tcPr>
                <w:p w14:paraId="26B897F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12ABCA4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(-1.001)</w:t>
                  </w:r>
                </w:p>
              </w:tc>
              <w:tc>
                <w:tcPr>
                  <w:tcW w:w="1587" w:type="dxa"/>
                  <w:tcBorders>
                    <w:left w:val="nil"/>
                    <w:right w:val="nil"/>
                  </w:tcBorders>
                  <w:vAlign w:val="center"/>
                </w:tcPr>
                <w:p w14:paraId="637C124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(-1.618)</w:t>
                  </w:r>
                </w:p>
              </w:tc>
            </w:tr>
            <w:tr w:rsidR="00694090" w:rsidRPr="00F60760" w14:paraId="3643E8A4" w14:textId="77777777" w:rsidTr="00BE7E1E">
              <w:trPr>
                <w:jc w:val="center"/>
              </w:trPr>
              <w:tc>
                <w:tcPr>
                  <w:tcW w:w="3231" w:type="dxa"/>
                  <w:tcBorders>
                    <w:top w:val="nil"/>
                    <w:left w:val="nil"/>
                    <w:bottom w:val="nil"/>
                    <w:right w:val="nil"/>
                  </w:tcBorders>
                </w:tcPr>
                <w:p w14:paraId="1BFF5B2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deal_hofstede_distance</w:t>
                  </w:r>
                </w:p>
              </w:tc>
              <w:tc>
                <w:tcPr>
                  <w:tcW w:w="1587" w:type="dxa"/>
                  <w:tcBorders>
                    <w:left w:val="nil"/>
                    <w:right w:val="nil"/>
                  </w:tcBorders>
                  <w:vAlign w:val="center"/>
                </w:tcPr>
                <w:p w14:paraId="2E58F2D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.175</w:t>
                  </w:r>
                </w:p>
              </w:tc>
              <w:tc>
                <w:tcPr>
                  <w:tcW w:w="1587" w:type="dxa"/>
                  <w:tcBorders>
                    <w:left w:val="nil"/>
                    <w:right w:val="nil"/>
                  </w:tcBorders>
                  <w:vAlign w:val="center"/>
                </w:tcPr>
                <w:p w14:paraId="2568C56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-.060</w:t>
                  </w:r>
                </w:p>
              </w:tc>
              <w:tc>
                <w:tcPr>
                  <w:tcW w:w="240" w:type="dxa"/>
                  <w:tcBorders>
                    <w:left w:val="nil"/>
                    <w:right w:val="nil"/>
                  </w:tcBorders>
                  <w:vAlign w:val="center"/>
                </w:tcPr>
                <w:p w14:paraId="3F69A2B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5294E77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.111</w:t>
                  </w:r>
                </w:p>
              </w:tc>
              <w:tc>
                <w:tcPr>
                  <w:tcW w:w="1587" w:type="dxa"/>
                  <w:tcBorders>
                    <w:left w:val="nil"/>
                    <w:right w:val="nil"/>
                  </w:tcBorders>
                  <w:vAlign w:val="center"/>
                </w:tcPr>
                <w:p w14:paraId="358123B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-.124</w:t>
                  </w:r>
                </w:p>
              </w:tc>
            </w:tr>
            <w:tr w:rsidR="00694090" w:rsidRPr="00F60760" w14:paraId="26C9D46F" w14:textId="77777777" w:rsidTr="00BE7E1E">
              <w:trPr>
                <w:jc w:val="center"/>
              </w:trPr>
              <w:tc>
                <w:tcPr>
                  <w:tcW w:w="3231" w:type="dxa"/>
                  <w:tcBorders>
                    <w:top w:val="nil"/>
                    <w:left w:val="nil"/>
                    <w:bottom w:val="nil"/>
                    <w:right w:val="nil"/>
                  </w:tcBorders>
                </w:tcPr>
                <w:p w14:paraId="6640A82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587" w:type="dxa"/>
                  <w:tcBorders>
                    <w:left w:val="nil"/>
                    <w:right w:val="nil"/>
                  </w:tcBorders>
                  <w:vAlign w:val="center"/>
                </w:tcPr>
                <w:p w14:paraId="597FD26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(1.083)</w:t>
                  </w:r>
                </w:p>
              </w:tc>
              <w:tc>
                <w:tcPr>
                  <w:tcW w:w="1587" w:type="dxa"/>
                  <w:tcBorders>
                    <w:left w:val="nil"/>
                    <w:right w:val="nil"/>
                  </w:tcBorders>
                  <w:vAlign w:val="center"/>
                </w:tcPr>
                <w:p w14:paraId="17B8C63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(-.293)</w:t>
                  </w:r>
                </w:p>
              </w:tc>
              <w:tc>
                <w:tcPr>
                  <w:tcW w:w="240" w:type="dxa"/>
                  <w:tcBorders>
                    <w:left w:val="nil"/>
                    <w:right w:val="nil"/>
                  </w:tcBorders>
                  <w:vAlign w:val="center"/>
                </w:tcPr>
                <w:p w14:paraId="2699EAC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79D18FB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(.698)</w:t>
                  </w:r>
                </w:p>
              </w:tc>
              <w:tc>
                <w:tcPr>
                  <w:tcW w:w="1587" w:type="dxa"/>
                  <w:tcBorders>
                    <w:left w:val="nil"/>
                    <w:right w:val="nil"/>
                  </w:tcBorders>
                  <w:vAlign w:val="center"/>
                </w:tcPr>
                <w:p w14:paraId="77843A9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(-.606)</w:t>
                  </w:r>
                </w:p>
              </w:tc>
            </w:tr>
            <w:tr w:rsidR="00694090" w:rsidRPr="00F60760" w14:paraId="43044405" w14:textId="77777777" w:rsidTr="00BE7E1E">
              <w:trPr>
                <w:jc w:val="center"/>
              </w:trPr>
              <w:tc>
                <w:tcPr>
                  <w:tcW w:w="3231" w:type="dxa"/>
                  <w:tcBorders>
                    <w:top w:val="nil"/>
                    <w:left w:val="nil"/>
                    <w:bottom w:val="nil"/>
                    <w:right w:val="nil"/>
                  </w:tcBorders>
                </w:tcPr>
                <w:p w14:paraId="27E764BE"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deal_all_cash_dummy</w:t>
                  </w:r>
                </w:p>
              </w:tc>
              <w:tc>
                <w:tcPr>
                  <w:tcW w:w="1587" w:type="dxa"/>
                  <w:tcBorders>
                    <w:left w:val="nil"/>
                    <w:right w:val="nil"/>
                  </w:tcBorders>
                  <w:vAlign w:val="center"/>
                </w:tcPr>
                <w:p w14:paraId="73108C4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.090*</w:t>
                  </w:r>
                </w:p>
              </w:tc>
              <w:tc>
                <w:tcPr>
                  <w:tcW w:w="1587" w:type="dxa"/>
                  <w:tcBorders>
                    <w:left w:val="nil"/>
                    <w:right w:val="nil"/>
                  </w:tcBorders>
                  <w:vAlign w:val="center"/>
                </w:tcPr>
                <w:p w14:paraId="5CE1CBD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.111*</w:t>
                  </w:r>
                </w:p>
              </w:tc>
              <w:tc>
                <w:tcPr>
                  <w:tcW w:w="240" w:type="dxa"/>
                  <w:tcBorders>
                    <w:left w:val="nil"/>
                    <w:right w:val="nil"/>
                  </w:tcBorders>
                  <w:vAlign w:val="center"/>
                </w:tcPr>
                <w:p w14:paraId="5D56E24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6933CDC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.122**</w:t>
                  </w:r>
                </w:p>
              </w:tc>
              <w:tc>
                <w:tcPr>
                  <w:tcW w:w="1587" w:type="dxa"/>
                  <w:tcBorders>
                    <w:left w:val="nil"/>
                    <w:right w:val="nil"/>
                  </w:tcBorders>
                  <w:vAlign w:val="center"/>
                </w:tcPr>
                <w:p w14:paraId="036B360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.142**</w:t>
                  </w:r>
                </w:p>
              </w:tc>
            </w:tr>
            <w:tr w:rsidR="00694090" w:rsidRPr="00F60760" w14:paraId="46DC5AB4" w14:textId="77777777" w:rsidTr="00BE7E1E">
              <w:trPr>
                <w:jc w:val="center"/>
              </w:trPr>
              <w:tc>
                <w:tcPr>
                  <w:tcW w:w="3231" w:type="dxa"/>
                  <w:tcBorders>
                    <w:top w:val="nil"/>
                    <w:left w:val="nil"/>
                    <w:bottom w:val="nil"/>
                    <w:right w:val="nil"/>
                  </w:tcBorders>
                </w:tcPr>
                <w:p w14:paraId="15B2445E"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587" w:type="dxa"/>
                  <w:tcBorders>
                    <w:left w:val="nil"/>
                    <w:right w:val="nil"/>
                  </w:tcBorders>
                  <w:vAlign w:val="center"/>
                </w:tcPr>
                <w:p w14:paraId="72F587B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(1.657)</w:t>
                  </w:r>
                </w:p>
              </w:tc>
              <w:tc>
                <w:tcPr>
                  <w:tcW w:w="1587" w:type="dxa"/>
                  <w:tcBorders>
                    <w:left w:val="nil"/>
                    <w:right w:val="nil"/>
                  </w:tcBorders>
                  <w:vAlign w:val="center"/>
                </w:tcPr>
                <w:p w14:paraId="5065435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(1.975)</w:t>
                  </w:r>
                </w:p>
              </w:tc>
              <w:tc>
                <w:tcPr>
                  <w:tcW w:w="240" w:type="dxa"/>
                  <w:tcBorders>
                    <w:left w:val="nil"/>
                    <w:right w:val="nil"/>
                  </w:tcBorders>
                  <w:vAlign w:val="center"/>
                </w:tcPr>
                <w:p w14:paraId="57D526D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273EDAF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(2.003)</w:t>
                  </w:r>
                </w:p>
              </w:tc>
              <w:tc>
                <w:tcPr>
                  <w:tcW w:w="1587" w:type="dxa"/>
                  <w:tcBorders>
                    <w:left w:val="nil"/>
                    <w:right w:val="nil"/>
                  </w:tcBorders>
                  <w:vAlign w:val="center"/>
                </w:tcPr>
                <w:p w14:paraId="31633B0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(2.235)</w:t>
                  </w:r>
                </w:p>
              </w:tc>
            </w:tr>
            <w:tr w:rsidR="00694090" w:rsidRPr="00F60760" w14:paraId="5CB561FC" w14:textId="77777777" w:rsidTr="00BE7E1E">
              <w:trPr>
                <w:jc w:val="center"/>
              </w:trPr>
              <w:tc>
                <w:tcPr>
                  <w:tcW w:w="3231" w:type="dxa"/>
                  <w:tcBorders>
                    <w:top w:val="nil"/>
                    <w:left w:val="nil"/>
                    <w:bottom w:val="nil"/>
                    <w:right w:val="nil"/>
                  </w:tcBorders>
                </w:tcPr>
                <w:p w14:paraId="0E907918"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deal_all_stock_dummy</w:t>
                  </w:r>
                </w:p>
              </w:tc>
              <w:tc>
                <w:tcPr>
                  <w:tcW w:w="1587" w:type="dxa"/>
                  <w:tcBorders>
                    <w:left w:val="nil"/>
                    <w:right w:val="nil"/>
                  </w:tcBorders>
                  <w:vAlign w:val="center"/>
                </w:tcPr>
                <w:p w14:paraId="57824F0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-.119*</w:t>
                  </w:r>
                </w:p>
              </w:tc>
              <w:tc>
                <w:tcPr>
                  <w:tcW w:w="1587" w:type="dxa"/>
                  <w:tcBorders>
                    <w:left w:val="nil"/>
                    <w:right w:val="nil"/>
                  </w:tcBorders>
                  <w:vAlign w:val="center"/>
                </w:tcPr>
                <w:p w14:paraId="3D1FB4E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-.122*</w:t>
                  </w:r>
                </w:p>
              </w:tc>
              <w:tc>
                <w:tcPr>
                  <w:tcW w:w="240" w:type="dxa"/>
                  <w:tcBorders>
                    <w:left w:val="nil"/>
                    <w:right w:val="nil"/>
                  </w:tcBorders>
                  <w:vAlign w:val="center"/>
                </w:tcPr>
                <w:p w14:paraId="046C2CE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4503871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-.150**</w:t>
                  </w:r>
                </w:p>
              </w:tc>
              <w:tc>
                <w:tcPr>
                  <w:tcW w:w="1587" w:type="dxa"/>
                  <w:tcBorders>
                    <w:left w:val="nil"/>
                    <w:right w:val="nil"/>
                  </w:tcBorders>
                  <w:vAlign w:val="center"/>
                </w:tcPr>
                <w:p w14:paraId="336249C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-.153**</w:t>
                  </w:r>
                </w:p>
              </w:tc>
            </w:tr>
            <w:tr w:rsidR="00694090" w:rsidRPr="00F60760" w14:paraId="0DE8DCCE" w14:textId="77777777" w:rsidTr="00BE7E1E">
              <w:trPr>
                <w:jc w:val="center"/>
              </w:trPr>
              <w:tc>
                <w:tcPr>
                  <w:tcW w:w="3231" w:type="dxa"/>
                  <w:tcBorders>
                    <w:top w:val="nil"/>
                    <w:left w:val="nil"/>
                    <w:bottom w:val="nil"/>
                    <w:right w:val="nil"/>
                  </w:tcBorders>
                </w:tcPr>
                <w:p w14:paraId="357CE2B4"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587" w:type="dxa"/>
                  <w:tcBorders>
                    <w:left w:val="nil"/>
                    <w:right w:val="nil"/>
                  </w:tcBorders>
                  <w:vAlign w:val="center"/>
                </w:tcPr>
                <w:p w14:paraId="1311EB4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(-1.711)</w:t>
                  </w:r>
                </w:p>
              </w:tc>
              <w:tc>
                <w:tcPr>
                  <w:tcW w:w="1587" w:type="dxa"/>
                  <w:tcBorders>
                    <w:left w:val="nil"/>
                    <w:right w:val="nil"/>
                  </w:tcBorders>
                  <w:vAlign w:val="center"/>
                </w:tcPr>
                <w:p w14:paraId="317C057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(-1.900)</w:t>
                  </w:r>
                </w:p>
              </w:tc>
              <w:tc>
                <w:tcPr>
                  <w:tcW w:w="240" w:type="dxa"/>
                  <w:tcBorders>
                    <w:left w:val="nil"/>
                    <w:right w:val="nil"/>
                  </w:tcBorders>
                  <w:vAlign w:val="center"/>
                </w:tcPr>
                <w:p w14:paraId="7DEA9E0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2CBDD07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(-2.390)</w:t>
                  </w:r>
                </w:p>
              </w:tc>
              <w:tc>
                <w:tcPr>
                  <w:tcW w:w="1587" w:type="dxa"/>
                  <w:tcBorders>
                    <w:left w:val="nil"/>
                    <w:right w:val="nil"/>
                  </w:tcBorders>
                  <w:vAlign w:val="center"/>
                </w:tcPr>
                <w:p w14:paraId="08F3D96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(-2.550)</w:t>
                  </w:r>
                </w:p>
              </w:tc>
            </w:tr>
            <w:tr w:rsidR="00694090" w:rsidRPr="00F60760" w14:paraId="7307C645" w14:textId="77777777" w:rsidTr="00BE7E1E">
              <w:trPr>
                <w:jc w:val="center"/>
              </w:trPr>
              <w:tc>
                <w:tcPr>
                  <w:tcW w:w="3231" w:type="dxa"/>
                  <w:tcBorders>
                    <w:top w:val="nil"/>
                    <w:left w:val="nil"/>
                    <w:bottom w:val="nil"/>
                    <w:right w:val="nil"/>
                  </w:tcBorders>
                </w:tcPr>
                <w:p w14:paraId="396B72C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deal_tenderoffer_dummy</w:t>
                  </w:r>
                </w:p>
              </w:tc>
              <w:tc>
                <w:tcPr>
                  <w:tcW w:w="1587" w:type="dxa"/>
                  <w:tcBorders>
                    <w:left w:val="nil"/>
                    <w:right w:val="nil"/>
                  </w:tcBorders>
                  <w:vAlign w:val="center"/>
                </w:tcPr>
                <w:p w14:paraId="6A1EE8A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-.057</w:t>
                  </w:r>
                </w:p>
              </w:tc>
              <w:tc>
                <w:tcPr>
                  <w:tcW w:w="1587" w:type="dxa"/>
                  <w:tcBorders>
                    <w:left w:val="nil"/>
                    <w:right w:val="nil"/>
                  </w:tcBorders>
                  <w:vAlign w:val="center"/>
                </w:tcPr>
                <w:p w14:paraId="3ED0168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-.088</w:t>
                  </w:r>
                </w:p>
              </w:tc>
              <w:tc>
                <w:tcPr>
                  <w:tcW w:w="240" w:type="dxa"/>
                  <w:tcBorders>
                    <w:left w:val="nil"/>
                    <w:right w:val="nil"/>
                  </w:tcBorders>
                  <w:vAlign w:val="center"/>
                </w:tcPr>
                <w:p w14:paraId="4FFCF3F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36270F3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-.059</w:t>
                  </w:r>
                </w:p>
              </w:tc>
              <w:tc>
                <w:tcPr>
                  <w:tcW w:w="1587" w:type="dxa"/>
                  <w:tcBorders>
                    <w:left w:val="nil"/>
                    <w:right w:val="nil"/>
                  </w:tcBorders>
                  <w:vAlign w:val="center"/>
                </w:tcPr>
                <w:p w14:paraId="137E657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-.087</w:t>
                  </w:r>
                </w:p>
              </w:tc>
            </w:tr>
            <w:tr w:rsidR="00694090" w:rsidRPr="00F60760" w14:paraId="69C8E7B2" w14:textId="77777777" w:rsidTr="00BE7E1E">
              <w:trPr>
                <w:jc w:val="center"/>
              </w:trPr>
              <w:tc>
                <w:tcPr>
                  <w:tcW w:w="3231" w:type="dxa"/>
                  <w:tcBorders>
                    <w:top w:val="nil"/>
                    <w:left w:val="nil"/>
                    <w:bottom w:val="nil"/>
                    <w:right w:val="nil"/>
                  </w:tcBorders>
                </w:tcPr>
                <w:p w14:paraId="0C4E33D0"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587" w:type="dxa"/>
                  <w:tcBorders>
                    <w:left w:val="nil"/>
                    <w:right w:val="nil"/>
                  </w:tcBorders>
                  <w:vAlign w:val="center"/>
                </w:tcPr>
                <w:p w14:paraId="2F26780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(-.881)</w:t>
                  </w:r>
                </w:p>
              </w:tc>
              <w:tc>
                <w:tcPr>
                  <w:tcW w:w="1587" w:type="dxa"/>
                  <w:tcBorders>
                    <w:left w:val="nil"/>
                    <w:right w:val="nil"/>
                  </w:tcBorders>
                  <w:vAlign w:val="center"/>
                </w:tcPr>
                <w:p w14:paraId="71D7404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(-1.257)</w:t>
                  </w:r>
                </w:p>
              </w:tc>
              <w:tc>
                <w:tcPr>
                  <w:tcW w:w="240" w:type="dxa"/>
                  <w:tcBorders>
                    <w:left w:val="nil"/>
                    <w:right w:val="nil"/>
                  </w:tcBorders>
                  <w:vAlign w:val="center"/>
                </w:tcPr>
                <w:p w14:paraId="69C9527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6B6E3A8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(-.899)</w:t>
                  </w:r>
                </w:p>
              </w:tc>
              <w:tc>
                <w:tcPr>
                  <w:tcW w:w="1587" w:type="dxa"/>
                  <w:tcBorders>
                    <w:left w:val="nil"/>
                    <w:right w:val="nil"/>
                  </w:tcBorders>
                  <w:vAlign w:val="center"/>
                </w:tcPr>
                <w:p w14:paraId="7EC86B4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(-1.233)</w:t>
                  </w:r>
                </w:p>
              </w:tc>
            </w:tr>
            <w:tr w:rsidR="00694090" w:rsidRPr="00F60760" w14:paraId="4BB03647" w14:textId="77777777" w:rsidTr="00BE7E1E">
              <w:trPr>
                <w:jc w:val="center"/>
              </w:trPr>
              <w:tc>
                <w:tcPr>
                  <w:tcW w:w="3231" w:type="dxa"/>
                  <w:tcBorders>
                    <w:top w:val="nil"/>
                    <w:left w:val="nil"/>
                    <w:bottom w:val="nil"/>
                    <w:right w:val="nil"/>
                  </w:tcBorders>
                </w:tcPr>
                <w:p w14:paraId="5B6D9491"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deal_friendly_dummy</w:t>
                  </w:r>
                </w:p>
              </w:tc>
              <w:tc>
                <w:tcPr>
                  <w:tcW w:w="1587" w:type="dxa"/>
                  <w:tcBorders>
                    <w:left w:val="nil"/>
                    <w:right w:val="nil"/>
                  </w:tcBorders>
                  <w:vAlign w:val="center"/>
                </w:tcPr>
                <w:p w14:paraId="15E9770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.387***</w:t>
                  </w:r>
                </w:p>
              </w:tc>
              <w:tc>
                <w:tcPr>
                  <w:tcW w:w="1587" w:type="dxa"/>
                  <w:tcBorders>
                    <w:left w:val="nil"/>
                    <w:right w:val="nil"/>
                  </w:tcBorders>
                  <w:vAlign w:val="center"/>
                </w:tcPr>
                <w:p w14:paraId="38877CF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.349**</w:t>
                  </w:r>
                </w:p>
              </w:tc>
              <w:tc>
                <w:tcPr>
                  <w:tcW w:w="240" w:type="dxa"/>
                  <w:tcBorders>
                    <w:left w:val="nil"/>
                    <w:right w:val="nil"/>
                  </w:tcBorders>
                  <w:vAlign w:val="center"/>
                </w:tcPr>
                <w:p w14:paraId="40D2DA0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740298B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.462***</w:t>
                  </w:r>
                </w:p>
              </w:tc>
              <w:tc>
                <w:tcPr>
                  <w:tcW w:w="1587" w:type="dxa"/>
                  <w:tcBorders>
                    <w:left w:val="nil"/>
                    <w:right w:val="nil"/>
                  </w:tcBorders>
                  <w:vAlign w:val="center"/>
                </w:tcPr>
                <w:p w14:paraId="22A915A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.411***</w:t>
                  </w:r>
                </w:p>
              </w:tc>
            </w:tr>
            <w:tr w:rsidR="00694090" w:rsidRPr="00F60760" w14:paraId="38E7BC46" w14:textId="77777777" w:rsidTr="00BE7E1E">
              <w:trPr>
                <w:jc w:val="center"/>
              </w:trPr>
              <w:tc>
                <w:tcPr>
                  <w:tcW w:w="3231" w:type="dxa"/>
                  <w:tcBorders>
                    <w:top w:val="nil"/>
                    <w:left w:val="nil"/>
                    <w:bottom w:val="nil"/>
                    <w:right w:val="nil"/>
                  </w:tcBorders>
                </w:tcPr>
                <w:p w14:paraId="421F2BBE"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587" w:type="dxa"/>
                  <w:tcBorders>
                    <w:left w:val="nil"/>
                    <w:right w:val="nil"/>
                  </w:tcBorders>
                  <w:vAlign w:val="center"/>
                </w:tcPr>
                <w:p w14:paraId="40DDEBB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(3.039)</w:t>
                  </w:r>
                </w:p>
              </w:tc>
              <w:tc>
                <w:tcPr>
                  <w:tcW w:w="1587" w:type="dxa"/>
                  <w:tcBorders>
                    <w:left w:val="nil"/>
                    <w:right w:val="nil"/>
                  </w:tcBorders>
                  <w:vAlign w:val="center"/>
                </w:tcPr>
                <w:p w14:paraId="1CA8C79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(2.430)</w:t>
                  </w:r>
                </w:p>
              </w:tc>
              <w:tc>
                <w:tcPr>
                  <w:tcW w:w="240" w:type="dxa"/>
                  <w:tcBorders>
                    <w:left w:val="nil"/>
                    <w:right w:val="nil"/>
                  </w:tcBorders>
                  <w:vAlign w:val="center"/>
                </w:tcPr>
                <w:p w14:paraId="11FCB15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262CEC4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(3.928)</w:t>
                  </w:r>
                </w:p>
              </w:tc>
              <w:tc>
                <w:tcPr>
                  <w:tcW w:w="1587" w:type="dxa"/>
                  <w:tcBorders>
                    <w:left w:val="nil"/>
                    <w:right w:val="nil"/>
                  </w:tcBorders>
                  <w:vAlign w:val="center"/>
                </w:tcPr>
                <w:p w14:paraId="2471B2D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(3.136)</w:t>
                  </w:r>
                </w:p>
              </w:tc>
            </w:tr>
            <w:tr w:rsidR="00694090" w:rsidRPr="00F60760" w14:paraId="07A36867" w14:textId="77777777" w:rsidTr="00BE7E1E">
              <w:trPr>
                <w:jc w:val="center"/>
              </w:trPr>
              <w:tc>
                <w:tcPr>
                  <w:tcW w:w="3231" w:type="dxa"/>
                  <w:tcBorders>
                    <w:top w:val="nil"/>
                    <w:left w:val="nil"/>
                    <w:bottom w:val="nil"/>
                    <w:right w:val="nil"/>
                  </w:tcBorders>
                </w:tcPr>
                <w:p w14:paraId="2D2EAA2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deal_relatedness_dummy</w:t>
                  </w:r>
                </w:p>
              </w:tc>
              <w:tc>
                <w:tcPr>
                  <w:tcW w:w="1587" w:type="dxa"/>
                  <w:tcBorders>
                    <w:left w:val="nil"/>
                    <w:right w:val="nil"/>
                  </w:tcBorders>
                  <w:vAlign w:val="center"/>
                </w:tcPr>
                <w:p w14:paraId="7242D3D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.084</w:t>
                  </w:r>
                </w:p>
              </w:tc>
              <w:tc>
                <w:tcPr>
                  <w:tcW w:w="1587" w:type="dxa"/>
                  <w:tcBorders>
                    <w:left w:val="nil"/>
                    <w:right w:val="nil"/>
                  </w:tcBorders>
                  <w:vAlign w:val="center"/>
                </w:tcPr>
                <w:p w14:paraId="08C5BCF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.074</w:t>
                  </w:r>
                </w:p>
              </w:tc>
              <w:tc>
                <w:tcPr>
                  <w:tcW w:w="240" w:type="dxa"/>
                  <w:tcBorders>
                    <w:left w:val="nil"/>
                    <w:right w:val="nil"/>
                  </w:tcBorders>
                  <w:vAlign w:val="center"/>
                </w:tcPr>
                <w:p w14:paraId="24F026A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2C08A2D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.072</w:t>
                  </w:r>
                </w:p>
              </w:tc>
              <w:tc>
                <w:tcPr>
                  <w:tcW w:w="1587" w:type="dxa"/>
                  <w:tcBorders>
                    <w:left w:val="nil"/>
                    <w:right w:val="nil"/>
                  </w:tcBorders>
                  <w:vAlign w:val="center"/>
                </w:tcPr>
                <w:p w14:paraId="625C3D2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.061</w:t>
                  </w:r>
                </w:p>
              </w:tc>
            </w:tr>
            <w:tr w:rsidR="00694090" w:rsidRPr="00F60760" w14:paraId="576D6477" w14:textId="77777777" w:rsidTr="00BE7E1E">
              <w:trPr>
                <w:jc w:val="center"/>
              </w:trPr>
              <w:tc>
                <w:tcPr>
                  <w:tcW w:w="3231" w:type="dxa"/>
                  <w:tcBorders>
                    <w:top w:val="nil"/>
                    <w:left w:val="nil"/>
                    <w:bottom w:val="nil"/>
                    <w:right w:val="nil"/>
                  </w:tcBorders>
                </w:tcPr>
                <w:p w14:paraId="22E8D95D"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587" w:type="dxa"/>
                  <w:tcBorders>
                    <w:left w:val="nil"/>
                    <w:right w:val="nil"/>
                  </w:tcBorders>
                  <w:vAlign w:val="center"/>
                </w:tcPr>
                <w:p w14:paraId="59E7832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(1.340)</w:t>
                  </w:r>
                </w:p>
              </w:tc>
              <w:tc>
                <w:tcPr>
                  <w:tcW w:w="1587" w:type="dxa"/>
                  <w:tcBorders>
                    <w:left w:val="nil"/>
                    <w:right w:val="nil"/>
                  </w:tcBorders>
                  <w:vAlign w:val="center"/>
                </w:tcPr>
                <w:p w14:paraId="219E414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(1.249)</w:t>
                  </w:r>
                </w:p>
              </w:tc>
              <w:tc>
                <w:tcPr>
                  <w:tcW w:w="240" w:type="dxa"/>
                  <w:tcBorders>
                    <w:left w:val="nil"/>
                    <w:right w:val="nil"/>
                  </w:tcBorders>
                  <w:vAlign w:val="center"/>
                </w:tcPr>
                <w:p w14:paraId="4F3A6AA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0F195A5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(1.183)</w:t>
                  </w:r>
                </w:p>
              </w:tc>
              <w:tc>
                <w:tcPr>
                  <w:tcW w:w="1587" w:type="dxa"/>
                  <w:tcBorders>
                    <w:left w:val="nil"/>
                    <w:right w:val="nil"/>
                  </w:tcBorders>
                  <w:vAlign w:val="center"/>
                </w:tcPr>
                <w:p w14:paraId="5AAA6EE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(1.101)</w:t>
                  </w:r>
                </w:p>
              </w:tc>
            </w:tr>
            <w:tr w:rsidR="00694090" w:rsidRPr="00F60760" w14:paraId="5077B3E5" w14:textId="77777777" w:rsidTr="00BE7E1E">
              <w:trPr>
                <w:jc w:val="center"/>
              </w:trPr>
              <w:tc>
                <w:tcPr>
                  <w:tcW w:w="3231" w:type="dxa"/>
                  <w:tcBorders>
                    <w:top w:val="nil"/>
                    <w:left w:val="nil"/>
                    <w:bottom w:val="nil"/>
                    <w:right w:val="nil"/>
                  </w:tcBorders>
                </w:tcPr>
                <w:p w14:paraId="1AB40D30"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acq_age</w:t>
                  </w:r>
                </w:p>
              </w:tc>
              <w:tc>
                <w:tcPr>
                  <w:tcW w:w="1587" w:type="dxa"/>
                  <w:tcBorders>
                    <w:left w:val="nil"/>
                    <w:right w:val="nil"/>
                  </w:tcBorders>
                  <w:vAlign w:val="center"/>
                </w:tcPr>
                <w:p w14:paraId="086AA9C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-.0001</w:t>
                  </w:r>
                </w:p>
              </w:tc>
              <w:tc>
                <w:tcPr>
                  <w:tcW w:w="1587" w:type="dxa"/>
                  <w:tcBorders>
                    <w:left w:val="nil"/>
                    <w:right w:val="nil"/>
                  </w:tcBorders>
                  <w:vAlign w:val="center"/>
                </w:tcPr>
                <w:p w14:paraId="7EFF173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-.0004</w:t>
                  </w:r>
                </w:p>
              </w:tc>
              <w:tc>
                <w:tcPr>
                  <w:tcW w:w="240" w:type="dxa"/>
                  <w:tcBorders>
                    <w:left w:val="nil"/>
                    <w:right w:val="nil"/>
                  </w:tcBorders>
                  <w:vAlign w:val="center"/>
                </w:tcPr>
                <w:p w14:paraId="1B2BA65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7498A14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-.00005</w:t>
                  </w:r>
                </w:p>
              </w:tc>
              <w:tc>
                <w:tcPr>
                  <w:tcW w:w="1587" w:type="dxa"/>
                  <w:tcBorders>
                    <w:left w:val="nil"/>
                    <w:right w:val="nil"/>
                  </w:tcBorders>
                  <w:vAlign w:val="center"/>
                </w:tcPr>
                <w:p w14:paraId="1E702CE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-.0003</w:t>
                  </w:r>
                </w:p>
              </w:tc>
            </w:tr>
            <w:tr w:rsidR="00694090" w:rsidRPr="00F60760" w14:paraId="3FDFC07F" w14:textId="77777777" w:rsidTr="00BE7E1E">
              <w:trPr>
                <w:jc w:val="center"/>
              </w:trPr>
              <w:tc>
                <w:tcPr>
                  <w:tcW w:w="3231" w:type="dxa"/>
                  <w:tcBorders>
                    <w:top w:val="nil"/>
                    <w:left w:val="nil"/>
                    <w:bottom w:val="nil"/>
                    <w:right w:val="nil"/>
                  </w:tcBorders>
                </w:tcPr>
                <w:p w14:paraId="1B3D3C73"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587" w:type="dxa"/>
                  <w:tcBorders>
                    <w:left w:val="nil"/>
                    <w:right w:val="nil"/>
                  </w:tcBorders>
                  <w:vAlign w:val="center"/>
                </w:tcPr>
                <w:p w14:paraId="1744BC9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(-.259)</w:t>
                  </w:r>
                </w:p>
              </w:tc>
              <w:tc>
                <w:tcPr>
                  <w:tcW w:w="1587" w:type="dxa"/>
                  <w:tcBorders>
                    <w:left w:val="nil"/>
                    <w:right w:val="nil"/>
                  </w:tcBorders>
                  <w:vAlign w:val="center"/>
                </w:tcPr>
                <w:p w14:paraId="43043BF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(-.766)</w:t>
                  </w:r>
                </w:p>
              </w:tc>
              <w:tc>
                <w:tcPr>
                  <w:tcW w:w="240" w:type="dxa"/>
                  <w:tcBorders>
                    <w:left w:val="nil"/>
                    <w:right w:val="nil"/>
                  </w:tcBorders>
                  <w:vAlign w:val="center"/>
                </w:tcPr>
                <w:p w14:paraId="147D01F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1AC04F8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(-.089)</w:t>
                  </w:r>
                </w:p>
              </w:tc>
              <w:tc>
                <w:tcPr>
                  <w:tcW w:w="1587" w:type="dxa"/>
                  <w:tcBorders>
                    <w:left w:val="nil"/>
                    <w:right w:val="nil"/>
                  </w:tcBorders>
                  <w:vAlign w:val="center"/>
                </w:tcPr>
                <w:p w14:paraId="5EB77A6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(-.569)</w:t>
                  </w:r>
                </w:p>
              </w:tc>
            </w:tr>
            <w:tr w:rsidR="00694090" w:rsidRPr="00F60760" w14:paraId="049FFE9B" w14:textId="77777777" w:rsidTr="00BE7E1E">
              <w:trPr>
                <w:jc w:val="center"/>
              </w:trPr>
              <w:tc>
                <w:tcPr>
                  <w:tcW w:w="3231" w:type="dxa"/>
                  <w:tcBorders>
                    <w:top w:val="nil"/>
                    <w:left w:val="nil"/>
                    <w:bottom w:val="nil"/>
                    <w:right w:val="nil"/>
                  </w:tcBorders>
                </w:tcPr>
                <w:p w14:paraId="05E8A461"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acq_assets_lastyear_ln</w:t>
                  </w:r>
                </w:p>
              </w:tc>
              <w:tc>
                <w:tcPr>
                  <w:tcW w:w="1587" w:type="dxa"/>
                  <w:tcBorders>
                    <w:left w:val="nil"/>
                    <w:right w:val="nil"/>
                  </w:tcBorders>
                  <w:vAlign w:val="center"/>
                </w:tcPr>
                <w:p w14:paraId="48F6C15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.017</w:t>
                  </w:r>
                </w:p>
              </w:tc>
              <w:tc>
                <w:tcPr>
                  <w:tcW w:w="1587" w:type="dxa"/>
                  <w:tcBorders>
                    <w:left w:val="nil"/>
                    <w:right w:val="nil"/>
                  </w:tcBorders>
                  <w:vAlign w:val="center"/>
                </w:tcPr>
                <w:p w14:paraId="3D6488A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.024</w:t>
                  </w:r>
                </w:p>
              </w:tc>
              <w:tc>
                <w:tcPr>
                  <w:tcW w:w="240" w:type="dxa"/>
                  <w:tcBorders>
                    <w:left w:val="nil"/>
                    <w:right w:val="nil"/>
                  </w:tcBorders>
                  <w:vAlign w:val="center"/>
                </w:tcPr>
                <w:p w14:paraId="54DBBBF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0CC70D9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.020</w:t>
                  </w:r>
                </w:p>
              </w:tc>
              <w:tc>
                <w:tcPr>
                  <w:tcW w:w="1587" w:type="dxa"/>
                  <w:tcBorders>
                    <w:left w:val="nil"/>
                    <w:right w:val="nil"/>
                  </w:tcBorders>
                  <w:vAlign w:val="center"/>
                </w:tcPr>
                <w:p w14:paraId="4B61DE7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.028</w:t>
                  </w:r>
                </w:p>
              </w:tc>
            </w:tr>
            <w:tr w:rsidR="00694090" w:rsidRPr="00F60760" w14:paraId="43AE34B2" w14:textId="77777777" w:rsidTr="00BE7E1E">
              <w:trPr>
                <w:jc w:val="center"/>
              </w:trPr>
              <w:tc>
                <w:tcPr>
                  <w:tcW w:w="3231" w:type="dxa"/>
                  <w:tcBorders>
                    <w:top w:val="nil"/>
                    <w:left w:val="nil"/>
                    <w:bottom w:val="nil"/>
                    <w:right w:val="nil"/>
                  </w:tcBorders>
                </w:tcPr>
                <w:p w14:paraId="08F73A75"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587" w:type="dxa"/>
                  <w:tcBorders>
                    <w:left w:val="nil"/>
                    <w:right w:val="nil"/>
                  </w:tcBorders>
                  <w:vAlign w:val="center"/>
                </w:tcPr>
                <w:p w14:paraId="0F8A4C2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(.497)</w:t>
                  </w:r>
                </w:p>
              </w:tc>
              <w:tc>
                <w:tcPr>
                  <w:tcW w:w="1587" w:type="dxa"/>
                  <w:tcBorders>
                    <w:left w:val="nil"/>
                    <w:right w:val="nil"/>
                  </w:tcBorders>
                  <w:vAlign w:val="center"/>
                </w:tcPr>
                <w:p w14:paraId="47996AF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(.772)</w:t>
                  </w:r>
                </w:p>
              </w:tc>
              <w:tc>
                <w:tcPr>
                  <w:tcW w:w="240" w:type="dxa"/>
                  <w:tcBorders>
                    <w:left w:val="nil"/>
                    <w:right w:val="nil"/>
                  </w:tcBorders>
                  <w:vAlign w:val="center"/>
                </w:tcPr>
                <w:p w14:paraId="63A9289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6B8654A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(.581)</w:t>
                  </w:r>
                </w:p>
              </w:tc>
              <w:tc>
                <w:tcPr>
                  <w:tcW w:w="1587" w:type="dxa"/>
                  <w:tcBorders>
                    <w:left w:val="nil"/>
                    <w:right w:val="nil"/>
                  </w:tcBorders>
                  <w:vAlign w:val="center"/>
                </w:tcPr>
                <w:p w14:paraId="1B69C4C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(.873)</w:t>
                  </w:r>
                </w:p>
              </w:tc>
            </w:tr>
            <w:tr w:rsidR="00694090" w:rsidRPr="00F60760" w14:paraId="05598E23" w14:textId="77777777" w:rsidTr="00BE7E1E">
              <w:trPr>
                <w:jc w:val="center"/>
              </w:trPr>
              <w:tc>
                <w:tcPr>
                  <w:tcW w:w="3231" w:type="dxa"/>
                  <w:tcBorders>
                    <w:top w:val="nil"/>
                    <w:left w:val="nil"/>
                    <w:bottom w:val="nil"/>
                    <w:right w:val="nil"/>
                  </w:tcBorders>
                </w:tcPr>
                <w:p w14:paraId="0D2871ED"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acq_roa_lastyear</w:t>
                  </w:r>
                </w:p>
              </w:tc>
              <w:tc>
                <w:tcPr>
                  <w:tcW w:w="1587" w:type="dxa"/>
                  <w:tcBorders>
                    <w:left w:val="nil"/>
                    <w:right w:val="nil"/>
                  </w:tcBorders>
                  <w:vAlign w:val="center"/>
                </w:tcPr>
                <w:p w14:paraId="63A73BB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.015</w:t>
                  </w:r>
                </w:p>
              </w:tc>
              <w:tc>
                <w:tcPr>
                  <w:tcW w:w="1587" w:type="dxa"/>
                  <w:tcBorders>
                    <w:left w:val="nil"/>
                    <w:right w:val="nil"/>
                  </w:tcBorders>
                  <w:vAlign w:val="center"/>
                </w:tcPr>
                <w:p w14:paraId="21AB5C5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.030*</w:t>
                  </w:r>
                </w:p>
              </w:tc>
              <w:tc>
                <w:tcPr>
                  <w:tcW w:w="240" w:type="dxa"/>
                  <w:tcBorders>
                    <w:left w:val="nil"/>
                    <w:right w:val="nil"/>
                  </w:tcBorders>
                  <w:vAlign w:val="center"/>
                </w:tcPr>
                <w:p w14:paraId="46021C3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5A00728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.010</w:t>
                  </w:r>
                </w:p>
              </w:tc>
              <w:tc>
                <w:tcPr>
                  <w:tcW w:w="1587" w:type="dxa"/>
                  <w:tcBorders>
                    <w:left w:val="nil"/>
                    <w:right w:val="nil"/>
                  </w:tcBorders>
                  <w:vAlign w:val="center"/>
                </w:tcPr>
                <w:p w14:paraId="5E372A2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.026*</w:t>
                  </w:r>
                </w:p>
              </w:tc>
            </w:tr>
            <w:tr w:rsidR="00694090" w:rsidRPr="00F60760" w14:paraId="317D4665" w14:textId="77777777" w:rsidTr="00BE7E1E">
              <w:trPr>
                <w:jc w:val="center"/>
              </w:trPr>
              <w:tc>
                <w:tcPr>
                  <w:tcW w:w="3231" w:type="dxa"/>
                  <w:tcBorders>
                    <w:top w:val="nil"/>
                    <w:left w:val="nil"/>
                    <w:bottom w:val="nil"/>
                    <w:right w:val="nil"/>
                  </w:tcBorders>
                </w:tcPr>
                <w:p w14:paraId="57AE9860"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587" w:type="dxa"/>
                  <w:tcBorders>
                    <w:left w:val="nil"/>
                    <w:right w:val="nil"/>
                  </w:tcBorders>
                  <w:vAlign w:val="center"/>
                </w:tcPr>
                <w:p w14:paraId="6018758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(.715)</w:t>
                  </w:r>
                </w:p>
              </w:tc>
              <w:tc>
                <w:tcPr>
                  <w:tcW w:w="1587" w:type="dxa"/>
                  <w:tcBorders>
                    <w:left w:val="nil"/>
                    <w:right w:val="nil"/>
                  </w:tcBorders>
                  <w:vAlign w:val="center"/>
                </w:tcPr>
                <w:p w14:paraId="256200B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(1.847)</w:t>
                  </w:r>
                </w:p>
              </w:tc>
              <w:tc>
                <w:tcPr>
                  <w:tcW w:w="240" w:type="dxa"/>
                  <w:tcBorders>
                    <w:left w:val="nil"/>
                    <w:right w:val="nil"/>
                  </w:tcBorders>
                  <w:vAlign w:val="center"/>
                </w:tcPr>
                <w:p w14:paraId="3BC2D85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3CF2ED6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(.468)</w:t>
                  </w:r>
                </w:p>
              </w:tc>
              <w:tc>
                <w:tcPr>
                  <w:tcW w:w="1587" w:type="dxa"/>
                  <w:tcBorders>
                    <w:left w:val="nil"/>
                    <w:right w:val="nil"/>
                  </w:tcBorders>
                  <w:vAlign w:val="center"/>
                </w:tcPr>
                <w:p w14:paraId="4E8A7A2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(1.949)</w:t>
                  </w:r>
                </w:p>
              </w:tc>
            </w:tr>
            <w:tr w:rsidR="00694090" w:rsidRPr="00F60760" w14:paraId="18AE9971" w14:textId="77777777" w:rsidTr="00BE7E1E">
              <w:trPr>
                <w:jc w:val="center"/>
              </w:trPr>
              <w:tc>
                <w:tcPr>
                  <w:tcW w:w="3231" w:type="dxa"/>
                  <w:tcBorders>
                    <w:top w:val="nil"/>
                    <w:left w:val="nil"/>
                    <w:bottom w:val="nil"/>
                    <w:right w:val="nil"/>
                  </w:tcBorders>
                </w:tcPr>
                <w:p w14:paraId="2E025FD1"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acq_industrygrowth</w:t>
                  </w:r>
                </w:p>
              </w:tc>
              <w:tc>
                <w:tcPr>
                  <w:tcW w:w="1587" w:type="dxa"/>
                  <w:tcBorders>
                    <w:left w:val="nil"/>
                    <w:right w:val="nil"/>
                  </w:tcBorders>
                  <w:vAlign w:val="center"/>
                </w:tcPr>
                <w:p w14:paraId="2C22A79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-1.608**</w:t>
                  </w:r>
                </w:p>
              </w:tc>
              <w:tc>
                <w:tcPr>
                  <w:tcW w:w="1587" w:type="dxa"/>
                  <w:tcBorders>
                    <w:left w:val="nil"/>
                    <w:right w:val="nil"/>
                  </w:tcBorders>
                  <w:vAlign w:val="center"/>
                </w:tcPr>
                <w:p w14:paraId="4883734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-1.686***</w:t>
                  </w:r>
                </w:p>
              </w:tc>
              <w:tc>
                <w:tcPr>
                  <w:tcW w:w="240" w:type="dxa"/>
                  <w:tcBorders>
                    <w:left w:val="nil"/>
                    <w:right w:val="nil"/>
                  </w:tcBorders>
                  <w:vAlign w:val="center"/>
                </w:tcPr>
                <w:p w14:paraId="75EAC34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4A51B1F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-1.613***</w:t>
                  </w:r>
                </w:p>
              </w:tc>
              <w:tc>
                <w:tcPr>
                  <w:tcW w:w="1587" w:type="dxa"/>
                  <w:tcBorders>
                    <w:left w:val="nil"/>
                    <w:right w:val="nil"/>
                  </w:tcBorders>
                  <w:vAlign w:val="center"/>
                </w:tcPr>
                <w:p w14:paraId="3B25154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-1.646***</w:t>
                  </w:r>
                </w:p>
              </w:tc>
            </w:tr>
            <w:tr w:rsidR="00694090" w:rsidRPr="00F60760" w14:paraId="7008CBA9" w14:textId="77777777" w:rsidTr="00BE7E1E">
              <w:trPr>
                <w:jc w:val="center"/>
              </w:trPr>
              <w:tc>
                <w:tcPr>
                  <w:tcW w:w="3231" w:type="dxa"/>
                  <w:tcBorders>
                    <w:top w:val="nil"/>
                    <w:left w:val="nil"/>
                    <w:bottom w:val="nil"/>
                    <w:right w:val="nil"/>
                  </w:tcBorders>
                </w:tcPr>
                <w:p w14:paraId="7D414A8E"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587" w:type="dxa"/>
                  <w:tcBorders>
                    <w:left w:val="nil"/>
                    <w:right w:val="nil"/>
                  </w:tcBorders>
                  <w:vAlign w:val="center"/>
                </w:tcPr>
                <w:p w14:paraId="4CD626D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(-2.430)</w:t>
                  </w:r>
                </w:p>
              </w:tc>
              <w:tc>
                <w:tcPr>
                  <w:tcW w:w="1587" w:type="dxa"/>
                  <w:tcBorders>
                    <w:left w:val="nil"/>
                    <w:right w:val="nil"/>
                  </w:tcBorders>
                  <w:vAlign w:val="center"/>
                </w:tcPr>
                <w:p w14:paraId="4E9DE11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(-2.735)</w:t>
                  </w:r>
                </w:p>
              </w:tc>
              <w:tc>
                <w:tcPr>
                  <w:tcW w:w="240" w:type="dxa"/>
                  <w:tcBorders>
                    <w:left w:val="nil"/>
                    <w:right w:val="nil"/>
                  </w:tcBorders>
                  <w:vAlign w:val="center"/>
                </w:tcPr>
                <w:p w14:paraId="19D15CB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0FDFA4A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(-2.646)</w:t>
                  </w:r>
                </w:p>
              </w:tc>
              <w:tc>
                <w:tcPr>
                  <w:tcW w:w="1587" w:type="dxa"/>
                  <w:tcBorders>
                    <w:left w:val="nil"/>
                    <w:right w:val="nil"/>
                  </w:tcBorders>
                  <w:vAlign w:val="center"/>
                </w:tcPr>
                <w:p w14:paraId="11BBE33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(-2.858)</w:t>
                  </w:r>
                </w:p>
              </w:tc>
            </w:tr>
            <w:tr w:rsidR="00694090" w:rsidRPr="00F60760" w14:paraId="603BB614" w14:textId="77777777" w:rsidTr="00BE7E1E">
              <w:trPr>
                <w:jc w:val="center"/>
              </w:trPr>
              <w:tc>
                <w:tcPr>
                  <w:tcW w:w="3231" w:type="dxa"/>
                  <w:tcBorders>
                    <w:top w:val="nil"/>
                    <w:left w:val="nil"/>
                    <w:bottom w:val="nil"/>
                    <w:right w:val="nil"/>
                  </w:tcBorders>
                </w:tcPr>
                <w:p w14:paraId="1C79F6F3"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acq_dealexperience</w:t>
                  </w:r>
                </w:p>
              </w:tc>
              <w:tc>
                <w:tcPr>
                  <w:tcW w:w="1587" w:type="dxa"/>
                  <w:tcBorders>
                    <w:left w:val="nil"/>
                    <w:right w:val="nil"/>
                  </w:tcBorders>
                  <w:vAlign w:val="center"/>
                </w:tcPr>
                <w:p w14:paraId="0E03992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-.038</w:t>
                  </w:r>
                </w:p>
              </w:tc>
              <w:tc>
                <w:tcPr>
                  <w:tcW w:w="1587" w:type="dxa"/>
                  <w:tcBorders>
                    <w:left w:val="nil"/>
                    <w:right w:val="nil"/>
                  </w:tcBorders>
                  <w:vAlign w:val="center"/>
                </w:tcPr>
                <w:p w14:paraId="3B163A1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-.039</w:t>
                  </w:r>
                </w:p>
              </w:tc>
              <w:tc>
                <w:tcPr>
                  <w:tcW w:w="240" w:type="dxa"/>
                  <w:tcBorders>
                    <w:left w:val="nil"/>
                    <w:right w:val="nil"/>
                  </w:tcBorders>
                  <w:vAlign w:val="center"/>
                </w:tcPr>
                <w:p w14:paraId="5EBF598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6DDB3DD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-.041</w:t>
                  </w:r>
                </w:p>
              </w:tc>
              <w:tc>
                <w:tcPr>
                  <w:tcW w:w="1587" w:type="dxa"/>
                  <w:tcBorders>
                    <w:left w:val="nil"/>
                    <w:right w:val="nil"/>
                  </w:tcBorders>
                  <w:vAlign w:val="center"/>
                </w:tcPr>
                <w:p w14:paraId="0EE0C6E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-.042</w:t>
                  </w:r>
                </w:p>
              </w:tc>
            </w:tr>
            <w:tr w:rsidR="00694090" w:rsidRPr="00F60760" w14:paraId="5E7B5941" w14:textId="77777777" w:rsidTr="00BE7E1E">
              <w:trPr>
                <w:jc w:val="center"/>
              </w:trPr>
              <w:tc>
                <w:tcPr>
                  <w:tcW w:w="3231" w:type="dxa"/>
                  <w:tcBorders>
                    <w:top w:val="nil"/>
                    <w:left w:val="nil"/>
                    <w:bottom w:val="nil"/>
                    <w:right w:val="nil"/>
                  </w:tcBorders>
                </w:tcPr>
                <w:p w14:paraId="6DC50A8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587" w:type="dxa"/>
                  <w:tcBorders>
                    <w:left w:val="nil"/>
                    <w:right w:val="nil"/>
                  </w:tcBorders>
                  <w:vAlign w:val="center"/>
                </w:tcPr>
                <w:p w14:paraId="3B3116F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(-.907)</w:t>
                  </w:r>
                </w:p>
              </w:tc>
              <w:tc>
                <w:tcPr>
                  <w:tcW w:w="1587" w:type="dxa"/>
                  <w:tcBorders>
                    <w:left w:val="nil"/>
                    <w:right w:val="nil"/>
                  </w:tcBorders>
                  <w:vAlign w:val="center"/>
                </w:tcPr>
                <w:p w14:paraId="654BA1D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(-1.076)</w:t>
                  </w:r>
                </w:p>
              </w:tc>
              <w:tc>
                <w:tcPr>
                  <w:tcW w:w="240" w:type="dxa"/>
                  <w:tcBorders>
                    <w:left w:val="nil"/>
                    <w:right w:val="nil"/>
                  </w:tcBorders>
                  <w:vAlign w:val="center"/>
                </w:tcPr>
                <w:p w14:paraId="218C2B8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196E373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(-1.133)</w:t>
                  </w:r>
                </w:p>
              </w:tc>
              <w:tc>
                <w:tcPr>
                  <w:tcW w:w="1587" w:type="dxa"/>
                  <w:tcBorders>
                    <w:left w:val="nil"/>
                    <w:right w:val="nil"/>
                  </w:tcBorders>
                  <w:vAlign w:val="center"/>
                </w:tcPr>
                <w:p w14:paraId="34488DF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(-1.375)</w:t>
                  </w:r>
                </w:p>
              </w:tc>
            </w:tr>
            <w:tr w:rsidR="00694090" w:rsidRPr="00F60760" w14:paraId="3C17E35A" w14:textId="77777777" w:rsidTr="00BE7E1E">
              <w:trPr>
                <w:jc w:val="center"/>
              </w:trPr>
              <w:tc>
                <w:tcPr>
                  <w:tcW w:w="3231" w:type="dxa"/>
                  <w:tcBorders>
                    <w:top w:val="nil"/>
                    <w:left w:val="nil"/>
                    <w:bottom w:val="nil"/>
                    <w:right w:val="nil"/>
                  </w:tcBorders>
                  <w:vAlign w:val="center"/>
                </w:tcPr>
                <w:p w14:paraId="3D1BFD9D"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acq_rd_intensity</w:t>
                  </w:r>
                </w:p>
              </w:tc>
              <w:tc>
                <w:tcPr>
                  <w:tcW w:w="1587" w:type="dxa"/>
                  <w:tcBorders>
                    <w:left w:val="nil"/>
                    <w:right w:val="nil"/>
                  </w:tcBorders>
                  <w:vAlign w:val="center"/>
                </w:tcPr>
                <w:p w14:paraId="75DD323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-.532***</w:t>
                  </w:r>
                </w:p>
              </w:tc>
              <w:tc>
                <w:tcPr>
                  <w:tcW w:w="1587" w:type="dxa"/>
                  <w:tcBorders>
                    <w:left w:val="nil"/>
                    <w:right w:val="nil"/>
                  </w:tcBorders>
                  <w:vAlign w:val="center"/>
                </w:tcPr>
                <w:p w14:paraId="41DB90E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-.422***</w:t>
                  </w:r>
                </w:p>
              </w:tc>
              <w:tc>
                <w:tcPr>
                  <w:tcW w:w="240" w:type="dxa"/>
                  <w:tcBorders>
                    <w:left w:val="nil"/>
                    <w:right w:val="nil"/>
                  </w:tcBorders>
                  <w:vAlign w:val="center"/>
                </w:tcPr>
                <w:p w14:paraId="1F53387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56A96CA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-.537***</w:t>
                  </w:r>
                </w:p>
              </w:tc>
              <w:tc>
                <w:tcPr>
                  <w:tcW w:w="1587" w:type="dxa"/>
                  <w:tcBorders>
                    <w:left w:val="nil"/>
                    <w:right w:val="nil"/>
                  </w:tcBorders>
                  <w:vAlign w:val="center"/>
                </w:tcPr>
                <w:p w14:paraId="3CB9B9C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-.428***</w:t>
                  </w:r>
                </w:p>
              </w:tc>
            </w:tr>
            <w:tr w:rsidR="00694090" w:rsidRPr="00F60760" w14:paraId="49DDCB2A" w14:textId="77777777" w:rsidTr="00BE7E1E">
              <w:trPr>
                <w:jc w:val="center"/>
              </w:trPr>
              <w:tc>
                <w:tcPr>
                  <w:tcW w:w="3231" w:type="dxa"/>
                  <w:tcBorders>
                    <w:top w:val="nil"/>
                    <w:left w:val="nil"/>
                    <w:bottom w:val="nil"/>
                    <w:right w:val="nil"/>
                  </w:tcBorders>
                  <w:vAlign w:val="center"/>
                </w:tcPr>
                <w:p w14:paraId="7B79BD0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p>
              </w:tc>
              <w:tc>
                <w:tcPr>
                  <w:tcW w:w="1587" w:type="dxa"/>
                  <w:tcBorders>
                    <w:left w:val="nil"/>
                    <w:right w:val="nil"/>
                  </w:tcBorders>
                  <w:vAlign w:val="center"/>
                </w:tcPr>
                <w:p w14:paraId="08566EE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(-7.378)</w:t>
                  </w:r>
                </w:p>
              </w:tc>
              <w:tc>
                <w:tcPr>
                  <w:tcW w:w="1587" w:type="dxa"/>
                  <w:tcBorders>
                    <w:left w:val="nil"/>
                    <w:right w:val="nil"/>
                  </w:tcBorders>
                  <w:vAlign w:val="center"/>
                </w:tcPr>
                <w:p w14:paraId="76E912A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(-4.094)</w:t>
                  </w:r>
                </w:p>
              </w:tc>
              <w:tc>
                <w:tcPr>
                  <w:tcW w:w="240" w:type="dxa"/>
                  <w:tcBorders>
                    <w:left w:val="nil"/>
                    <w:right w:val="nil"/>
                  </w:tcBorders>
                  <w:vAlign w:val="center"/>
                </w:tcPr>
                <w:p w14:paraId="667D1A6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686AF94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(-7.068)</w:t>
                  </w:r>
                </w:p>
              </w:tc>
              <w:tc>
                <w:tcPr>
                  <w:tcW w:w="1587" w:type="dxa"/>
                  <w:tcBorders>
                    <w:left w:val="nil"/>
                    <w:right w:val="nil"/>
                  </w:tcBorders>
                  <w:vAlign w:val="center"/>
                </w:tcPr>
                <w:p w14:paraId="6AEAB99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(-4.502)</w:t>
                  </w:r>
                </w:p>
              </w:tc>
            </w:tr>
            <w:tr w:rsidR="00694090" w:rsidRPr="00F60760" w14:paraId="320B5DE7" w14:textId="77777777" w:rsidTr="00BE7E1E">
              <w:trPr>
                <w:jc w:val="center"/>
              </w:trPr>
              <w:tc>
                <w:tcPr>
                  <w:tcW w:w="3231" w:type="dxa"/>
                  <w:tcBorders>
                    <w:top w:val="nil"/>
                    <w:left w:val="nil"/>
                    <w:bottom w:val="nil"/>
                    <w:right w:val="nil"/>
                  </w:tcBorders>
                </w:tcPr>
                <w:p w14:paraId="5CC7DBD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tar_age</w:t>
                  </w:r>
                </w:p>
              </w:tc>
              <w:tc>
                <w:tcPr>
                  <w:tcW w:w="1587" w:type="dxa"/>
                  <w:tcBorders>
                    <w:left w:val="nil"/>
                    <w:right w:val="nil"/>
                  </w:tcBorders>
                  <w:vAlign w:val="center"/>
                </w:tcPr>
                <w:p w14:paraId="7A4A32F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-.00001</w:t>
                  </w:r>
                </w:p>
              </w:tc>
              <w:tc>
                <w:tcPr>
                  <w:tcW w:w="1587" w:type="dxa"/>
                  <w:tcBorders>
                    <w:left w:val="nil"/>
                    <w:right w:val="nil"/>
                  </w:tcBorders>
                  <w:vAlign w:val="center"/>
                </w:tcPr>
                <w:p w14:paraId="0B92998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-.0001</w:t>
                  </w:r>
                </w:p>
              </w:tc>
              <w:tc>
                <w:tcPr>
                  <w:tcW w:w="240" w:type="dxa"/>
                  <w:tcBorders>
                    <w:left w:val="nil"/>
                    <w:right w:val="nil"/>
                  </w:tcBorders>
                  <w:vAlign w:val="center"/>
                </w:tcPr>
                <w:p w14:paraId="1218C1D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5AD1EB6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-.00004</w:t>
                  </w:r>
                </w:p>
              </w:tc>
              <w:tc>
                <w:tcPr>
                  <w:tcW w:w="1587" w:type="dxa"/>
                  <w:tcBorders>
                    <w:left w:val="nil"/>
                    <w:right w:val="nil"/>
                  </w:tcBorders>
                  <w:vAlign w:val="center"/>
                </w:tcPr>
                <w:p w14:paraId="4240265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-.0001</w:t>
                  </w:r>
                </w:p>
              </w:tc>
            </w:tr>
            <w:tr w:rsidR="00694090" w:rsidRPr="00F60760" w14:paraId="2BA36F3D" w14:textId="77777777" w:rsidTr="00BE7E1E">
              <w:trPr>
                <w:jc w:val="center"/>
              </w:trPr>
              <w:tc>
                <w:tcPr>
                  <w:tcW w:w="3231" w:type="dxa"/>
                  <w:tcBorders>
                    <w:top w:val="nil"/>
                    <w:left w:val="nil"/>
                    <w:bottom w:val="nil"/>
                    <w:right w:val="nil"/>
                  </w:tcBorders>
                </w:tcPr>
                <w:p w14:paraId="791E2448"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587" w:type="dxa"/>
                  <w:tcBorders>
                    <w:left w:val="nil"/>
                    <w:right w:val="nil"/>
                  </w:tcBorders>
                  <w:vAlign w:val="center"/>
                </w:tcPr>
                <w:p w14:paraId="1462D54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(-.008)</w:t>
                  </w:r>
                </w:p>
              </w:tc>
              <w:tc>
                <w:tcPr>
                  <w:tcW w:w="1587" w:type="dxa"/>
                  <w:tcBorders>
                    <w:left w:val="nil"/>
                    <w:right w:val="nil"/>
                  </w:tcBorders>
                  <w:vAlign w:val="center"/>
                </w:tcPr>
                <w:p w14:paraId="2E9D70E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(-.072)</w:t>
                  </w:r>
                </w:p>
              </w:tc>
              <w:tc>
                <w:tcPr>
                  <w:tcW w:w="240" w:type="dxa"/>
                  <w:tcBorders>
                    <w:left w:val="nil"/>
                    <w:right w:val="nil"/>
                  </w:tcBorders>
                  <w:vAlign w:val="center"/>
                </w:tcPr>
                <w:p w14:paraId="6900C21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5D225EA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(-.041)</w:t>
                  </w:r>
                </w:p>
              </w:tc>
              <w:tc>
                <w:tcPr>
                  <w:tcW w:w="1587" w:type="dxa"/>
                  <w:tcBorders>
                    <w:left w:val="nil"/>
                    <w:right w:val="nil"/>
                  </w:tcBorders>
                  <w:vAlign w:val="center"/>
                </w:tcPr>
                <w:p w14:paraId="0A95B09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(-.115)</w:t>
                  </w:r>
                </w:p>
              </w:tc>
            </w:tr>
            <w:tr w:rsidR="00694090" w:rsidRPr="00F60760" w14:paraId="04DAF214" w14:textId="77777777" w:rsidTr="00BE7E1E">
              <w:trPr>
                <w:jc w:val="center"/>
              </w:trPr>
              <w:tc>
                <w:tcPr>
                  <w:tcW w:w="3231" w:type="dxa"/>
                  <w:tcBorders>
                    <w:top w:val="nil"/>
                    <w:left w:val="nil"/>
                    <w:bottom w:val="nil"/>
                    <w:right w:val="nil"/>
                  </w:tcBorders>
                </w:tcPr>
                <w:p w14:paraId="37EF325B"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tar_assets_lastyear_ln</w:t>
                  </w:r>
                </w:p>
              </w:tc>
              <w:tc>
                <w:tcPr>
                  <w:tcW w:w="1587" w:type="dxa"/>
                  <w:tcBorders>
                    <w:left w:val="nil"/>
                    <w:right w:val="nil"/>
                  </w:tcBorders>
                  <w:vAlign w:val="center"/>
                </w:tcPr>
                <w:p w14:paraId="6E6B939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.027</w:t>
                  </w:r>
                </w:p>
              </w:tc>
              <w:tc>
                <w:tcPr>
                  <w:tcW w:w="1587" w:type="dxa"/>
                  <w:tcBorders>
                    <w:left w:val="nil"/>
                    <w:right w:val="nil"/>
                  </w:tcBorders>
                  <w:vAlign w:val="center"/>
                </w:tcPr>
                <w:p w14:paraId="3008F89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.035</w:t>
                  </w:r>
                </w:p>
              </w:tc>
              <w:tc>
                <w:tcPr>
                  <w:tcW w:w="240" w:type="dxa"/>
                  <w:tcBorders>
                    <w:left w:val="nil"/>
                    <w:right w:val="nil"/>
                  </w:tcBorders>
                  <w:vAlign w:val="center"/>
                </w:tcPr>
                <w:p w14:paraId="6335ADA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1D5459C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.040</w:t>
                  </w:r>
                </w:p>
              </w:tc>
              <w:tc>
                <w:tcPr>
                  <w:tcW w:w="1587" w:type="dxa"/>
                  <w:tcBorders>
                    <w:left w:val="nil"/>
                    <w:right w:val="nil"/>
                  </w:tcBorders>
                  <w:vAlign w:val="center"/>
                </w:tcPr>
                <w:p w14:paraId="48050D4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.047</w:t>
                  </w:r>
                </w:p>
              </w:tc>
            </w:tr>
            <w:tr w:rsidR="00694090" w:rsidRPr="00F60760" w14:paraId="5FC375ED" w14:textId="77777777" w:rsidTr="00BE7E1E">
              <w:trPr>
                <w:jc w:val="center"/>
              </w:trPr>
              <w:tc>
                <w:tcPr>
                  <w:tcW w:w="3231" w:type="dxa"/>
                  <w:tcBorders>
                    <w:top w:val="nil"/>
                    <w:left w:val="nil"/>
                    <w:bottom w:val="nil"/>
                    <w:right w:val="nil"/>
                  </w:tcBorders>
                </w:tcPr>
                <w:p w14:paraId="5E858CDB"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587" w:type="dxa"/>
                  <w:tcBorders>
                    <w:left w:val="nil"/>
                    <w:right w:val="nil"/>
                  </w:tcBorders>
                  <w:vAlign w:val="center"/>
                </w:tcPr>
                <w:p w14:paraId="4479921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(.676)</w:t>
                  </w:r>
                </w:p>
              </w:tc>
              <w:tc>
                <w:tcPr>
                  <w:tcW w:w="1587" w:type="dxa"/>
                  <w:tcBorders>
                    <w:left w:val="nil"/>
                    <w:right w:val="nil"/>
                  </w:tcBorders>
                  <w:vAlign w:val="center"/>
                </w:tcPr>
                <w:p w14:paraId="06E7333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(.894)</w:t>
                  </w:r>
                </w:p>
              </w:tc>
              <w:tc>
                <w:tcPr>
                  <w:tcW w:w="240" w:type="dxa"/>
                  <w:tcBorders>
                    <w:left w:val="nil"/>
                    <w:right w:val="nil"/>
                  </w:tcBorders>
                  <w:vAlign w:val="center"/>
                </w:tcPr>
                <w:p w14:paraId="6EA5505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57075D9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(1.067)</w:t>
                  </w:r>
                </w:p>
              </w:tc>
              <w:tc>
                <w:tcPr>
                  <w:tcW w:w="1587" w:type="dxa"/>
                  <w:tcBorders>
                    <w:left w:val="nil"/>
                    <w:right w:val="nil"/>
                  </w:tcBorders>
                  <w:vAlign w:val="center"/>
                </w:tcPr>
                <w:p w14:paraId="509E30D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(1.258)</w:t>
                  </w:r>
                </w:p>
              </w:tc>
            </w:tr>
            <w:tr w:rsidR="00694090" w:rsidRPr="00F60760" w14:paraId="496DA298" w14:textId="77777777" w:rsidTr="00BE7E1E">
              <w:trPr>
                <w:jc w:val="center"/>
              </w:trPr>
              <w:tc>
                <w:tcPr>
                  <w:tcW w:w="3231" w:type="dxa"/>
                  <w:tcBorders>
                    <w:top w:val="nil"/>
                    <w:left w:val="nil"/>
                    <w:bottom w:val="nil"/>
                    <w:right w:val="nil"/>
                  </w:tcBorders>
                </w:tcPr>
                <w:p w14:paraId="688FE12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tar_roa_lastyear</w:t>
                  </w:r>
                </w:p>
              </w:tc>
              <w:tc>
                <w:tcPr>
                  <w:tcW w:w="1587" w:type="dxa"/>
                  <w:tcBorders>
                    <w:left w:val="nil"/>
                    <w:right w:val="nil"/>
                  </w:tcBorders>
                  <w:vAlign w:val="center"/>
                </w:tcPr>
                <w:p w14:paraId="72BEAAF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-.488*</w:t>
                  </w:r>
                </w:p>
              </w:tc>
              <w:tc>
                <w:tcPr>
                  <w:tcW w:w="1587" w:type="dxa"/>
                  <w:tcBorders>
                    <w:left w:val="nil"/>
                    <w:right w:val="nil"/>
                  </w:tcBorders>
                  <w:vAlign w:val="center"/>
                </w:tcPr>
                <w:p w14:paraId="17B2300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-.397</w:t>
                  </w:r>
                </w:p>
              </w:tc>
              <w:tc>
                <w:tcPr>
                  <w:tcW w:w="240" w:type="dxa"/>
                  <w:tcBorders>
                    <w:left w:val="nil"/>
                    <w:right w:val="nil"/>
                  </w:tcBorders>
                  <w:vAlign w:val="center"/>
                </w:tcPr>
                <w:p w14:paraId="29E97C7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7D57FD9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-.306</w:t>
                  </w:r>
                </w:p>
              </w:tc>
              <w:tc>
                <w:tcPr>
                  <w:tcW w:w="1587" w:type="dxa"/>
                  <w:tcBorders>
                    <w:left w:val="nil"/>
                    <w:right w:val="nil"/>
                  </w:tcBorders>
                  <w:vAlign w:val="center"/>
                </w:tcPr>
                <w:p w14:paraId="33A7DA4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-.229</w:t>
                  </w:r>
                </w:p>
              </w:tc>
            </w:tr>
            <w:tr w:rsidR="00694090" w:rsidRPr="00F60760" w14:paraId="777B0B12" w14:textId="77777777" w:rsidTr="00BE7E1E">
              <w:trPr>
                <w:jc w:val="center"/>
              </w:trPr>
              <w:tc>
                <w:tcPr>
                  <w:tcW w:w="3231" w:type="dxa"/>
                  <w:tcBorders>
                    <w:top w:val="nil"/>
                    <w:left w:val="nil"/>
                    <w:bottom w:val="nil"/>
                    <w:right w:val="nil"/>
                  </w:tcBorders>
                </w:tcPr>
                <w:p w14:paraId="0E038208"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587" w:type="dxa"/>
                  <w:tcBorders>
                    <w:left w:val="nil"/>
                    <w:right w:val="nil"/>
                  </w:tcBorders>
                  <w:vAlign w:val="center"/>
                </w:tcPr>
                <w:p w14:paraId="37A0141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(-1.907)</w:t>
                  </w:r>
                </w:p>
              </w:tc>
              <w:tc>
                <w:tcPr>
                  <w:tcW w:w="1587" w:type="dxa"/>
                  <w:tcBorders>
                    <w:left w:val="nil"/>
                    <w:right w:val="nil"/>
                  </w:tcBorders>
                  <w:vAlign w:val="center"/>
                </w:tcPr>
                <w:p w14:paraId="132FB67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(-1.594)</w:t>
                  </w:r>
                </w:p>
              </w:tc>
              <w:tc>
                <w:tcPr>
                  <w:tcW w:w="240" w:type="dxa"/>
                  <w:tcBorders>
                    <w:left w:val="nil"/>
                    <w:right w:val="nil"/>
                  </w:tcBorders>
                  <w:vAlign w:val="center"/>
                </w:tcPr>
                <w:p w14:paraId="28787DC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317D0C4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(-1.233)</w:t>
                  </w:r>
                </w:p>
              </w:tc>
              <w:tc>
                <w:tcPr>
                  <w:tcW w:w="1587" w:type="dxa"/>
                  <w:tcBorders>
                    <w:left w:val="nil"/>
                    <w:right w:val="nil"/>
                  </w:tcBorders>
                  <w:vAlign w:val="center"/>
                </w:tcPr>
                <w:p w14:paraId="254C343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(-.915)</w:t>
                  </w:r>
                </w:p>
              </w:tc>
            </w:tr>
            <w:tr w:rsidR="00694090" w:rsidRPr="00F60760" w14:paraId="297A949C" w14:textId="77777777" w:rsidTr="00BE7E1E">
              <w:trPr>
                <w:jc w:val="center"/>
              </w:trPr>
              <w:tc>
                <w:tcPr>
                  <w:tcW w:w="3231" w:type="dxa"/>
                  <w:tcBorders>
                    <w:top w:val="nil"/>
                    <w:left w:val="nil"/>
                    <w:bottom w:val="nil"/>
                    <w:right w:val="nil"/>
                  </w:tcBorders>
                </w:tcPr>
                <w:p w14:paraId="4664B87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tar_mbratio</w:t>
                  </w:r>
                </w:p>
              </w:tc>
              <w:tc>
                <w:tcPr>
                  <w:tcW w:w="1587" w:type="dxa"/>
                  <w:tcBorders>
                    <w:left w:val="nil"/>
                    <w:right w:val="nil"/>
                  </w:tcBorders>
                  <w:vAlign w:val="center"/>
                </w:tcPr>
                <w:p w14:paraId="21064C2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-.007***</w:t>
                  </w:r>
                </w:p>
              </w:tc>
              <w:tc>
                <w:tcPr>
                  <w:tcW w:w="1587" w:type="dxa"/>
                  <w:tcBorders>
                    <w:left w:val="nil"/>
                    <w:right w:val="nil"/>
                  </w:tcBorders>
                  <w:vAlign w:val="center"/>
                </w:tcPr>
                <w:p w14:paraId="09A37B1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-.006***</w:t>
                  </w:r>
                </w:p>
              </w:tc>
              <w:tc>
                <w:tcPr>
                  <w:tcW w:w="240" w:type="dxa"/>
                  <w:tcBorders>
                    <w:left w:val="nil"/>
                    <w:right w:val="nil"/>
                  </w:tcBorders>
                  <w:vAlign w:val="center"/>
                </w:tcPr>
                <w:p w14:paraId="5FB5C07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5AA4E43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-.006***</w:t>
                  </w:r>
                </w:p>
              </w:tc>
              <w:tc>
                <w:tcPr>
                  <w:tcW w:w="1587" w:type="dxa"/>
                  <w:tcBorders>
                    <w:left w:val="nil"/>
                    <w:right w:val="nil"/>
                  </w:tcBorders>
                  <w:vAlign w:val="center"/>
                </w:tcPr>
                <w:p w14:paraId="02D466D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-.005***</w:t>
                  </w:r>
                </w:p>
              </w:tc>
            </w:tr>
            <w:tr w:rsidR="00694090" w:rsidRPr="00F60760" w14:paraId="04C96FCF" w14:textId="77777777" w:rsidTr="00BE7E1E">
              <w:trPr>
                <w:jc w:val="center"/>
              </w:trPr>
              <w:tc>
                <w:tcPr>
                  <w:tcW w:w="3231" w:type="dxa"/>
                  <w:tcBorders>
                    <w:top w:val="nil"/>
                    <w:left w:val="nil"/>
                    <w:bottom w:val="nil"/>
                    <w:right w:val="nil"/>
                  </w:tcBorders>
                </w:tcPr>
                <w:p w14:paraId="5EA3EF3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587" w:type="dxa"/>
                  <w:tcBorders>
                    <w:left w:val="nil"/>
                    <w:right w:val="nil"/>
                  </w:tcBorders>
                  <w:vAlign w:val="center"/>
                </w:tcPr>
                <w:p w14:paraId="521D6AA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(-5.446)</w:t>
                  </w:r>
                </w:p>
              </w:tc>
              <w:tc>
                <w:tcPr>
                  <w:tcW w:w="1587" w:type="dxa"/>
                  <w:tcBorders>
                    <w:left w:val="nil"/>
                    <w:right w:val="nil"/>
                  </w:tcBorders>
                  <w:vAlign w:val="center"/>
                </w:tcPr>
                <w:p w14:paraId="4D912F5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(-4.164)</w:t>
                  </w:r>
                </w:p>
              </w:tc>
              <w:tc>
                <w:tcPr>
                  <w:tcW w:w="240" w:type="dxa"/>
                  <w:tcBorders>
                    <w:left w:val="nil"/>
                    <w:right w:val="nil"/>
                  </w:tcBorders>
                  <w:vAlign w:val="center"/>
                </w:tcPr>
                <w:p w14:paraId="55D19F3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65D65B9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(-3.891)</w:t>
                  </w:r>
                </w:p>
              </w:tc>
              <w:tc>
                <w:tcPr>
                  <w:tcW w:w="1587" w:type="dxa"/>
                  <w:tcBorders>
                    <w:left w:val="nil"/>
                    <w:right w:val="nil"/>
                  </w:tcBorders>
                  <w:vAlign w:val="center"/>
                </w:tcPr>
                <w:p w14:paraId="6B85BDA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(-2.966)</w:t>
                  </w:r>
                </w:p>
              </w:tc>
            </w:tr>
            <w:tr w:rsidR="00694090" w:rsidRPr="00F60760" w14:paraId="70E6E271" w14:textId="77777777" w:rsidTr="00BE7E1E">
              <w:trPr>
                <w:jc w:val="center"/>
              </w:trPr>
              <w:tc>
                <w:tcPr>
                  <w:tcW w:w="3231" w:type="dxa"/>
                  <w:tcBorders>
                    <w:top w:val="nil"/>
                    <w:left w:val="nil"/>
                    <w:bottom w:val="nil"/>
                    <w:right w:val="nil"/>
                  </w:tcBorders>
                </w:tcPr>
                <w:p w14:paraId="3ED31E4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Observations</w:t>
                  </w:r>
                </w:p>
              </w:tc>
              <w:tc>
                <w:tcPr>
                  <w:tcW w:w="1587" w:type="dxa"/>
                  <w:tcBorders>
                    <w:left w:val="nil"/>
                    <w:right w:val="nil"/>
                  </w:tcBorders>
                  <w:vAlign w:val="center"/>
                </w:tcPr>
                <w:p w14:paraId="443C9D7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226</w:t>
                  </w:r>
                </w:p>
              </w:tc>
              <w:tc>
                <w:tcPr>
                  <w:tcW w:w="1587" w:type="dxa"/>
                  <w:tcBorders>
                    <w:left w:val="nil"/>
                    <w:right w:val="nil"/>
                  </w:tcBorders>
                  <w:vAlign w:val="center"/>
                </w:tcPr>
                <w:p w14:paraId="6471059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226</w:t>
                  </w:r>
                </w:p>
              </w:tc>
              <w:tc>
                <w:tcPr>
                  <w:tcW w:w="240" w:type="dxa"/>
                  <w:tcBorders>
                    <w:left w:val="nil"/>
                    <w:right w:val="nil"/>
                  </w:tcBorders>
                </w:tcPr>
                <w:p w14:paraId="5EF0504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4444157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226</w:t>
                  </w:r>
                </w:p>
              </w:tc>
              <w:tc>
                <w:tcPr>
                  <w:tcW w:w="1587" w:type="dxa"/>
                  <w:tcBorders>
                    <w:left w:val="nil"/>
                    <w:right w:val="nil"/>
                  </w:tcBorders>
                  <w:vAlign w:val="center"/>
                </w:tcPr>
                <w:p w14:paraId="02F7A0F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226</w:t>
                  </w:r>
                </w:p>
              </w:tc>
            </w:tr>
            <w:tr w:rsidR="00694090" w:rsidRPr="00F60760" w14:paraId="07010168" w14:textId="77777777" w:rsidTr="00BE7E1E">
              <w:trPr>
                <w:jc w:val="center"/>
              </w:trPr>
              <w:tc>
                <w:tcPr>
                  <w:tcW w:w="3231" w:type="dxa"/>
                  <w:tcBorders>
                    <w:top w:val="nil"/>
                    <w:left w:val="nil"/>
                    <w:bottom w:val="nil"/>
                    <w:right w:val="nil"/>
                  </w:tcBorders>
                </w:tcPr>
                <w:p w14:paraId="648A0A8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Adj R2</w:t>
                  </w:r>
                </w:p>
              </w:tc>
              <w:tc>
                <w:tcPr>
                  <w:tcW w:w="1587" w:type="dxa"/>
                  <w:tcBorders>
                    <w:left w:val="nil"/>
                    <w:right w:val="nil"/>
                  </w:tcBorders>
                  <w:vAlign w:val="center"/>
                </w:tcPr>
                <w:p w14:paraId="1EC2C92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.070</w:t>
                  </w:r>
                </w:p>
              </w:tc>
              <w:tc>
                <w:tcPr>
                  <w:tcW w:w="1587" w:type="dxa"/>
                  <w:tcBorders>
                    <w:left w:val="nil"/>
                    <w:right w:val="nil"/>
                  </w:tcBorders>
                  <w:vAlign w:val="center"/>
                </w:tcPr>
                <w:p w14:paraId="31AC2E3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.080</w:t>
                  </w:r>
                </w:p>
              </w:tc>
              <w:tc>
                <w:tcPr>
                  <w:tcW w:w="240" w:type="dxa"/>
                  <w:tcBorders>
                    <w:left w:val="nil"/>
                    <w:right w:val="nil"/>
                  </w:tcBorders>
                  <w:vAlign w:val="center"/>
                </w:tcPr>
                <w:p w14:paraId="3575EBA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07DDCF7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.096</w:t>
                  </w:r>
                </w:p>
              </w:tc>
              <w:tc>
                <w:tcPr>
                  <w:tcW w:w="1587" w:type="dxa"/>
                  <w:tcBorders>
                    <w:left w:val="nil"/>
                    <w:right w:val="nil"/>
                  </w:tcBorders>
                  <w:vAlign w:val="center"/>
                </w:tcPr>
                <w:p w14:paraId="636DD13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.099</w:t>
                  </w:r>
                </w:p>
              </w:tc>
            </w:tr>
            <w:tr w:rsidR="00694090" w:rsidRPr="00F60760" w14:paraId="60D76C69" w14:textId="77777777" w:rsidTr="00BE7E1E">
              <w:trPr>
                <w:jc w:val="center"/>
              </w:trPr>
              <w:tc>
                <w:tcPr>
                  <w:tcW w:w="3231" w:type="dxa"/>
                  <w:tcBorders>
                    <w:top w:val="nil"/>
                    <w:left w:val="nil"/>
                    <w:bottom w:val="nil"/>
                    <w:right w:val="nil"/>
                  </w:tcBorders>
                </w:tcPr>
                <w:p w14:paraId="4C9FAA01"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Industry FE</w:t>
                  </w:r>
                </w:p>
              </w:tc>
              <w:tc>
                <w:tcPr>
                  <w:tcW w:w="1587" w:type="dxa"/>
                  <w:tcBorders>
                    <w:left w:val="nil"/>
                    <w:right w:val="nil"/>
                  </w:tcBorders>
                </w:tcPr>
                <w:p w14:paraId="2449BD2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1587" w:type="dxa"/>
                  <w:tcBorders>
                    <w:left w:val="nil"/>
                    <w:right w:val="nil"/>
                  </w:tcBorders>
                </w:tcPr>
                <w:p w14:paraId="3BEB7F3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240" w:type="dxa"/>
                  <w:tcBorders>
                    <w:left w:val="nil"/>
                    <w:right w:val="nil"/>
                  </w:tcBorders>
                </w:tcPr>
                <w:p w14:paraId="547CB50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tcPr>
                <w:p w14:paraId="4F39A90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1587" w:type="dxa"/>
                  <w:tcBorders>
                    <w:left w:val="nil"/>
                    <w:right w:val="nil"/>
                  </w:tcBorders>
                </w:tcPr>
                <w:p w14:paraId="7216696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r>
            <w:tr w:rsidR="00694090" w:rsidRPr="00F60760" w14:paraId="35559225" w14:textId="77777777" w:rsidTr="00BE7E1E">
              <w:trPr>
                <w:jc w:val="center"/>
              </w:trPr>
              <w:tc>
                <w:tcPr>
                  <w:tcW w:w="3231" w:type="dxa"/>
                  <w:tcBorders>
                    <w:top w:val="nil"/>
                    <w:left w:val="nil"/>
                    <w:bottom w:val="nil"/>
                    <w:right w:val="nil"/>
                  </w:tcBorders>
                </w:tcPr>
                <w:p w14:paraId="4366F50D"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Year FE</w:t>
                  </w:r>
                </w:p>
              </w:tc>
              <w:tc>
                <w:tcPr>
                  <w:tcW w:w="1587" w:type="dxa"/>
                  <w:tcBorders>
                    <w:left w:val="nil"/>
                    <w:bottom w:val="nil"/>
                    <w:right w:val="nil"/>
                  </w:tcBorders>
                </w:tcPr>
                <w:p w14:paraId="5FD3C5B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Yes</w:t>
                  </w:r>
                </w:p>
              </w:tc>
              <w:tc>
                <w:tcPr>
                  <w:tcW w:w="1587" w:type="dxa"/>
                  <w:tcBorders>
                    <w:left w:val="nil"/>
                    <w:bottom w:val="nil"/>
                    <w:right w:val="nil"/>
                  </w:tcBorders>
                </w:tcPr>
                <w:p w14:paraId="5A540C9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Yes</w:t>
                  </w:r>
                </w:p>
              </w:tc>
              <w:tc>
                <w:tcPr>
                  <w:tcW w:w="240" w:type="dxa"/>
                  <w:tcBorders>
                    <w:left w:val="nil"/>
                    <w:bottom w:val="nil"/>
                    <w:right w:val="nil"/>
                  </w:tcBorders>
                </w:tcPr>
                <w:p w14:paraId="6572D46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bottom w:val="nil"/>
                    <w:right w:val="nil"/>
                  </w:tcBorders>
                </w:tcPr>
                <w:p w14:paraId="014BDA2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Yes</w:t>
                  </w:r>
                </w:p>
              </w:tc>
              <w:tc>
                <w:tcPr>
                  <w:tcW w:w="1587" w:type="dxa"/>
                  <w:tcBorders>
                    <w:left w:val="nil"/>
                    <w:bottom w:val="nil"/>
                    <w:right w:val="nil"/>
                  </w:tcBorders>
                </w:tcPr>
                <w:p w14:paraId="55FBBB8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Yes</w:t>
                  </w:r>
                </w:p>
              </w:tc>
            </w:tr>
          </w:tbl>
          <w:p w14:paraId="2ED4568E" w14:textId="77777777" w:rsidR="00694090" w:rsidRPr="00CC0559" w:rsidRDefault="00694090" w:rsidP="00AB066F">
            <w:pPr>
              <w:jc w:val="left"/>
              <w:rPr>
                <w:color w:val="000000" w:themeColor="text1"/>
                <w:sz w:val="20"/>
                <w:szCs w:val="20"/>
                <w:lang w:val="en-US"/>
              </w:rPr>
            </w:pPr>
          </w:p>
        </w:tc>
      </w:tr>
      <w:tr w:rsidR="00694090" w:rsidRPr="00BE5632" w14:paraId="0F3C4519" w14:textId="77777777" w:rsidTr="00BE7E1E">
        <w:trPr>
          <w:trHeight w:val="978"/>
        </w:trPr>
        <w:tc>
          <w:tcPr>
            <w:tcW w:w="5000" w:type="pct"/>
            <w:tcBorders>
              <w:top w:val="single" w:sz="4" w:space="0" w:color="auto"/>
              <w:left w:val="nil"/>
              <w:right w:val="nil"/>
            </w:tcBorders>
            <w:shd w:val="clear" w:color="auto" w:fill="auto"/>
            <w:noWrap/>
          </w:tcPr>
          <w:p w14:paraId="38BB947D" w14:textId="77777777" w:rsidR="00694090" w:rsidRPr="00CC0559" w:rsidRDefault="00694090" w:rsidP="00E74508">
            <w:pPr>
              <w:spacing w:before="120" w:line="240" w:lineRule="auto"/>
              <w:rPr>
                <w:color w:val="000000" w:themeColor="text1"/>
                <w:sz w:val="20"/>
                <w:szCs w:val="20"/>
                <w:lang w:val="en-US"/>
              </w:rPr>
            </w:pPr>
            <w:r w:rsidRPr="00F60760">
              <w:rPr>
                <w:i/>
                <w:iCs/>
                <w:color w:val="000000" w:themeColor="text1"/>
                <w:sz w:val="22"/>
                <w:lang w:val="en-US"/>
              </w:rPr>
              <w:t>Note</w:t>
            </w:r>
            <w:r w:rsidRPr="00F60760">
              <w:rPr>
                <w:color w:val="000000" w:themeColor="text1"/>
                <w:sz w:val="22"/>
                <w:lang w:val="en-US"/>
              </w:rPr>
              <w:t xml:space="preserve">. This table reports fixed effects linear OLS regression results predicting the effect of organizational cultural distance between acquirers and targets on long-term synergy gains. The dependent variable for Models 1 and 3 is the acquirer’s growth in return on sales two years after deal completion. The dependent variable for Models 2 and 4 is the acquirer’s growth in return on sales four years after deal completion. The main independent variable in Models 1-2 is </w:t>
            </w:r>
            <w:r w:rsidRPr="00F60760">
              <w:rPr>
                <w:i/>
                <w:iCs/>
                <w:color w:val="000000" w:themeColor="text1"/>
                <w:sz w:val="22"/>
                <w:lang w:val="en-US"/>
              </w:rPr>
              <w:t>deal_culturaldistance_eucl</w:t>
            </w:r>
            <w:r w:rsidRPr="00F60760">
              <w:rPr>
                <w:color w:val="000000" w:themeColor="text1"/>
                <w:sz w:val="22"/>
                <w:lang w:val="en-US"/>
              </w:rPr>
              <w:t xml:space="preserve">, measured as the Euclidian distance between the acquirer and the target </w:t>
            </w:r>
            <w:r w:rsidRPr="00F60760">
              <w:rPr>
                <w:color w:val="000000" w:themeColor="text1"/>
                <w:sz w:val="22"/>
                <w:lang w:val="en-US"/>
              </w:rPr>
              <w:lastRenderedPageBreak/>
              <w:t xml:space="preserve">organizational cultural distance, with higher values indicating higher cultural dissimilarities between the acquirer and the target. The main independent variable in Models 3-4 is </w:t>
            </w:r>
            <w:r w:rsidRPr="00F60760">
              <w:rPr>
                <w:i/>
                <w:iCs/>
                <w:color w:val="000000" w:themeColor="text1"/>
                <w:sz w:val="22"/>
                <w:lang w:val="en-US"/>
              </w:rPr>
              <w:t>deal_culturaldistance_maha</w:t>
            </w:r>
            <w:r w:rsidRPr="00F60760">
              <w:rPr>
                <w:color w:val="000000" w:themeColor="text1"/>
                <w:sz w:val="22"/>
                <w:lang w:val="en-US"/>
              </w:rPr>
              <w:t>, measured as the Mahalanobis distance between the acquirer and the target organizational cultural distance, with higher values indicating higher cultural dissimilarities between the acquirer and the target. A detailed variable description can be found in Appendix B. Constant terms are estimated but not reported. We include the acquirer’s industry and year fixed effects in all models. We cluster standard errors at the 2-digit SIC industry level. t-statistics are reported in parentheses below the coefficients. *, **, *** denote statistical significance at the .10, .05, and .01 levels (using two-tailed tests).</w:t>
            </w:r>
          </w:p>
        </w:tc>
      </w:tr>
    </w:tbl>
    <w:p w14:paraId="5574F162" w14:textId="77777777" w:rsidR="000F4B60" w:rsidRDefault="000F4B60">
      <w:pPr>
        <w:spacing w:after="160" w:line="259" w:lineRule="auto"/>
        <w:jc w:val="left"/>
        <w:rPr>
          <w:rFonts w:eastAsiaTheme="majorEastAsia" w:cstheme="majorBidi"/>
          <w:b/>
          <w:caps/>
          <w:szCs w:val="32"/>
          <w:lang w:val="en-US"/>
        </w:rPr>
      </w:pPr>
      <w:r w:rsidRPr="00B1627F">
        <w:rPr>
          <w:lang w:val="en-US"/>
        </w:rPr>
        <w:lastRenderedPageBreak/>
        <w:br w:type="page"/>
      </w:r>
    </w:p>
    <w:p w14:paraId="75CDF1FB" w14:textId="1391A508" w:rsidR="000F4B60" w:rsidRPr="00442048" w:rsidRDefault="000F4B60" w:rsidP="000F4B60">
      <w:pPr>
        <w:pStyle w:val="1fake"/>
      </w:pPr>
      <w:r w:rsidRPr="00442048">
        <w:lastRenderedPageBreak/>
        <w:t xml:space="preserve">ONLINE SUPPLEMENT </w:t>
      </w:r>
      <w:r>
        <w:t>23</w:t>
      </w:r>
    </w:p>
    <w:p w14:paraId="67E496A7" w14:textId="0E281926" w:rsidR="00011AF5" w:rsidRPr="000F4B60" w:rsidRDefault="00011AF5" w:rsidP="00011AF5">
      <w:pPr>
        <w:pStyle w:val="Beschriftung"/>
      </w:pPr>
      <w:bookmarkStart w:id="642" w:name="_Toc180594869"/>
      <w:r>
        <w:t xml:space="preserve">T - III - </w:t>
      </w:r>
      <w:r>
        <w:fldChar w:fldCharType="begin"/>
      </w:r>
      <w:r>
        <w:instrText xml:space="preserve"> SEQ T_-_III_- \* ARABIC </w:instrText>
      </w:r>
      <w:r>
        <w:fldChar w:fldCharType="separate"/>
      </w:r>
      <w:r w:rsidR="00E91088">
        <w:rPr>
          <w:noProof/>
        </w:rPr>
        <w:t>33</w:t>
      </w:r>
      <w:r>
        <w:fldChar w:fldCharType="end"/>
      </w:r>
      <w:r>
        <w:t xml:space="preserve">: </w:t>
      </w:r>
      <w:r w:rsidRPr="0046790C">
        <w:t>H3: Innovation - Alternative distance measures</w:t>
      </w:r>
      <w:bookmarkEnd w:id="642"/>
    </w:p>
    <w:tbl>
      <w:tblPr>
        <w:tblW w:w="9072" w:type="dxa"/>
        <w:tblLayout w:type="fixed"/>
        <w:tblLook w:val="04A0" w:firstRow="1" w:lastRow="0" w:firstColumn="1" w:lastColumn="0" w:noHBand="0" w:noVBand="1"/>
      </w:tblPr>
      <w:tblGrid>
        <w:gridCol w:w="9072"/>
      </w:tblGrid>
      <w:tr w:rsidR="00694090" w:rsidRPr="00F60760" w14:paraId="57489D52" w14:textId="77777777" w:rsidTr="00BE7E1E">
        <w:trPr>
          <w:trHeight w:val="709"/>
        </w:trPr>
        <w:tc>
          <w:tcPr>
            <w:tcW w:w="5000" w:type="pct"/>
            <w:tcBorders>
              <w:left w:val="nil"/>
              <w:bottom w:val="single" w:sz="4" w:space="0" w:color="auto"/>
              <w:right w:val="nil"/>
            </w:tcBorders>
            <w:shd w:val="clear" w:color="auto" w:fill="auto"/>
          </w:tcPr>
          <w:tbl>
            <w:tblPr>
              <w:tblW w:w="0" w:type="auto"/>
              <w:jc w:val="center"/>
              <w:tblLayout w:type="fixed"/>
              <w:tblLook w:val="0000" w:firstRow="0" w:lastRow="0" w:firstColumn="0" w:lastColumn="0" w:noHBand="0" w:noVBand="0"/>
            </w:tblPr>
            <w:tblGrid>
              <w:gridCol w:w="2242"/>
              <w:gridCol w:w="1653"/>
              <w:gridCol w:w="1654"/>
              <w:gridCol w:w="1653"/>
              <w:gridCol w:w="1654"/>
            </w:tblGrid>
            <w:tr w:rsidR="00BE7E1E" w:rsidRPr="00F60760" w14:paraId="7A01F209" w14:textId="77777777" w:rsidTr="00BE7E1E">
              <w:trPr>
                <w:jc w:val="center"/>
              </w:trPr>
              <w:tc>
                <w:tcPr>
                  <w:tcW w:w="2242" w:type="dxa"/>
                  <w:tcBorders>
                    <w:top w:val="single" w:sz="4" w:space="0" w:color="auto"/>
                    <w:left w:val="nil"/>
                    <w:right w:val="nil"/>
                  </w:tcBorders>
                </w:tcPr>
                <w:p w14:paraId="3AADD5F2"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w:t>
                  </w:r>
                </w:p>
              </w:tc>
              <w:tc>
                <w:tcPr>
                  <w:tcW w:w="1653" w:type="dxa"/>
                  <w:tcBorders>
                    <w:top w:val="single" w:sz="4" w:space="0" w:color="auto"/>
                    <w:left w:val="nil"/>
                    <w:right w:val="nil"/>
                  </w:tcBorders>
                </w:tcPr>
                <w:p w14:paraId="39F58B57" w14:textId="77777777" w:rsidR="00BE7E1E" w:rsidRPr="00F60760" w:rsidRDefault="00BE7E1E"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(1)</w:t>
                  </w:r>
                </w:p>
              </w:tc>
              <w:tc>
                <w:tcPr>
                  <w:tcW w:w="1654" w:type="dxa"/>
                  <w:tcBorders>
                    <w:top w:val="single" w:sz="4" w:space="0" w:color="auto"/>
                    <w:left w:val="nil"/>
                    <w:right w:val="nil"/>
                  </w:tcBorders>
                </w:tcPr>
                <w:p w14:paraId="1BEF6E10" w14:textId="77777777" w:rsidR="00BE7E1E" w:rsidRPr="00F60760" w:rsidRDefault="00BE7E1E"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(2)</w:t>
                  </w:r>
                </w:p>
              </w:tc>
              <w:tc>
                <w:tcPr>
                  <w:tcW w:w="1653" w:type="dxa"/>
                  <w:tcBorders>
                    <w:top w:val="single" w:sz="4" w:space="0" w:color="auto"/>
                    <w:left w:val="nil"/>
                    <w:right w:val="nil"/>
                  </w:tcBorders>
                </w:tcPr>
                <w:p w14:paraId="72271F6F" w14:textId="77777777" w:rsidR="00BE7E1E" w:rsidRPr="00F60760" w:rsidRDefault="00BE7E1E"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(3)</w:t>
                  </w:r>
                </w:p>
              </w:tc>
              <w:tc>
                <w:tcPr>
                  <w:tcW w:w="1654" w:type="dxa"/>
                  <w:tcBorders>
                    <w:top w:val="single" w:sz="4" w:space="0" w:color="auto"/>
                    <w:left w:val="nil"/>
                    <w:right w:val="nil"/>
                  </w:tcBorders>
                </w:tcPr>
                <w:p w14:paraId="61EDC741" w14:textId="77777777" w:rsidR="00BE7E1E" w:rsidRPr="00F60760" w:rsidRDefault="00BE7E1E"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(4)</w:t>
                  </w:r>
                </w:p>
              </w:tc>
            </w:tr>
            <w:tr w:rsidR="00BE7E1E" w:rsidRPr="00F60760" w14:paraId="3AC8FCA2" w14:textId="77777777" w:rsidTr="00BE7E1E">
              <w:trPr>
                <w:jc w:val="center"/>
              </w:trPr>
              <w:tc>
                <w:tcPr>
                  <w:tcW w:w="2242" w:type="dxa"/>
                  <w:tcBorders>
                    <w:top w:val="nil"/>
                    <w:left w:val="nil"/>
                    <w:bottom w:val="single" w:sz="4" w:space="0" w:color="auto"/>
                    <w:right w:val="nil"/>
                  </w:tcBorders>
                </w:tcPr>
                <w:p w14:paraId="37AF32EA"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w:t>
                  </w:r>
                </w:p>
              </w:tc>
              <w:tc>
                <w:tcPr>
                  <w:tcW w:w="1653" w:type="dxa"/>
                  <w:tcBorders>
                    <w:left w:val="nil"/>
                    <w:bottom w:val="single" w:sz="4" w:space="0" w:color="auto"/>
                    <w:right w:val="nil"/>
                  </w:tcBorders>
                </w:tcPr>
                <w:p w14:paraId="5741075C" w14:textId="77777777" w:rsidR="00BE7E1E" w:rsidRPr="00F60760" w:rsidRDefault="00BE7E1E"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acq_2yr_patent_growth</w:t>
                  </w:r>
                </w:p>
              </w:tc>
              <w:tc>
                <w:tcPr>
                  <w:tcW w:w="1654" w:type="dxa"/>
                  <w:tcBorders>
                    <w:left w:val="nil"/>
                    <w:bottom w:val="single" w:sz="4" w:space="0" w:color="auto"/>
                    <w:right w:val="nil"/>
                  </w:tcBorders>
                </w:tcPr>
                <w:p w14:paraId="74C431C8" w14:textId="77777777" w:rsidR="00BE7E1E" w:rsidRPr="00F60760" w:rsidRDefault="00BE7E1E"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acq_2yr_npd</w:t>
                  </w:r>
                  <w:r w:rsidRPr="00F60760">
                    <w:rPr>
                      <w:b/>
                      <w:bCs/>
                      <w:color w:val="000000" w:themeColor="text1"/>
                      <w:sz w:val="22"/>
                      <w:lang w:val="en-US"/>
                    </w:rPr>
                    <w:br/>
                    <w:t>_growth</w:t>
                  </w:r>
                </w:p>
              </w:tc>
              <w:tc>
                <w:tcPr>
                  <w:tcW w:w="1653" w:type="dxa"/>
                  <w:tcBorders>
                    <w:left w:val="nil"/>
                    <w:bottom w:val="single" w:sz="4" w:space="0" w:color="auto"/>
                    <w:right w:val="nil"/>
                  </w:tcBorders>
                </w:tcPr>
                <w:p w14:paraId="6BEEC76A" w14:textId="77777777" w:rsidR="00BE7E1E" w:rsidRPr="00F60760" w:rsidRDefault="00BE7E1E"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acq_2yr_patent_growth</w:t>
                  </w:r>
                </w:p>
              </w:tc>
              <w:tc>
                <w:tcPr>
                  <w:tcW w:w="1654" w:type="dxa"/>
                  <w:tcBorders>
                    <w:left w:val="nil"/>
                    <w:bottom w:val="single" w:sz="4" w:space="0" w:color="auto"/>
                    <w:right w:val="nil"/>
                  </w:tcBorders>
                </w:tcPr>
                <w:p w14:paraId="4265144F" w14:textId="77777777" w:rsidR="00BE7E1E" w:rsidRPr="00F60760" w:rsidRDefault="00BE7E1E"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acq_2yr_npd</w:t>
                  </w:r>
                  <w:r w:rsidRPr="00F60760">
                    <w:rPr>
                      <w:b/>
                      <w:bCs/>
                      <w:color w:val="000000" w:themeColor="text1"/>
                      <w:sz w:val="22"/>
                      <w:lang w:val="en-US"/>
                    </w:rPr>
                    <w:br/>
                    <w:t>_growth</w:t>
                  </w:r>
                </w:p>
              </w:tc>
            </w:tr>
            <w:tr w:rsidR="00BE7E1E" w:rsidRPr="00F60760" w14:paraId="397FC66C" w14:textId="77777777" w:rsidTr="00BE7E1E">
              <w:trPr>
                <w:trHeight w:val="224"/>
                <w:jc w:val="center"/>
              </w:trPr>
              <w:tc>
                <w:tcPr>
                  <w:tcW w:w="2242" w:type="dxa"/>
                  <w:tcBorders>
                    <w:top w:val="single" w:sz="4" w:space="0" w:color="auto"/>
                    <w:left w:val="nil"/>
                    <w:bottom w:val="nil"/>
                    <w:right w:val="nil"/>
                  </w:tcBorders>
                </w:tcPr>
                <w:p w14:paraId="4B9095D6"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deal_culturaldistance_eucl</w:t>
                  </w:r>
                </w:p>
              </w:tc>
              <w:tc>
                <w:tcPr>
                  <w:tcW w:w="1653" w:type="dxa"/>
                  <w:tcBorders>
                    <w:top w:val="single" w:sz="4" w:space="0" w:color="auto"/>
                    <w:left w:val="nil"/>
                    <w:right w:val="nil"/>
                  </w:tcBorders>
                  <w:vAlign w:val="center"/>
                </w:tcPr>
                <w:p w14:paraId="04D11B6C"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-2.205***</w:t>
                  </w:r>
                </w:p>
              </w:tc>
              <w:tc>
                <w:tcPr>
                  <w:tcW w:w="1654" w:type="dxa"/>
                  <w:tcBorders>
                    <w:top w:val="single" w:sz="4" w:space="0" w:color="auto"/>
                    <w:left w:val="nil"/>
                    <w:right w:val="nil"/>
                  </w:tcBorders>
                  <w:vAlign w:val="center"/>
                </w:tcPr>
                <w:p w14:paraId="6515A831"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-1.242***</w:t>
                  </w:r>
                </w:p>
              </w:tc>
              <w:tc>
                <w:tcPr>
                  <w:tcW w:w="1653" w:type="dxa"/>
                  <w:tcBorders>
                    <w:top w:val="single" w:sz="4" w:space="0" w:color="auto"/>
                    <w:left w:val="nil"/>
                    <w:right w:val="nil"/>
                  </w:tcBorders>
                  <w:vAlign w:val="center"/>
                </w:tcPr>
                <w:p w14:paraId="27EBEAA9"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p>
              </w:tc>
              <w:tc>
                <w:tcPr>
                  <w:tcW w:w="1654" w:type="dxa"/>
                  <w:tcBorders>
                    <w:top w:val="single" w:sz="4" w:space="0" w:color="auto"/>
                    <w:left w:val="nil"/>
                    <w:right w:val="nil"/>
                  </w:tcBorders>
                  <w:vAlign w:val="center"/>
                </w:tcPr>
                <w:p w14:paraId="20961A68"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p>
              </w:tc>
            </w:tr>
            <w:tr w:rsidR="00BE7E1E" w:rsidRPr="00F60760" w14:paraId="6FE18C60" w14:textId="77777777" w:rsidTr="00BE7E1E">
              <w:trPr>
                <w:jc w:val="center"/>
              </w:trPr>
              <w:tc>
                <w:tcPr>
                  <w:tcW w:w="2242" w:type="dxa"/>
                  <w:tcBorders>
                    <w:top w:val="nil"/>
                    <w:left w:val="nil"/>
                    <w:bottom w:val="nil"/>
                    <w:right w:val="nil"/>
                  </w:tcBorders>
                </w:tcPr>
                <w:p w14:paraId="75EBF160"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53" w:type="dxa"/>
                  <w:tcBorders>
                    <w:left w:val="nil"/>
                    <w:right w:val="nil"/>
                  </w:tcBorders>
                  <w:vAlign w:val="center"/>
                </w:tcPr>
                <w:p w14:paraId="7797EF66"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(-2.757)</w:t>
                  </w:r>
                </w:p>
              </w:tc>
              <w:tc>
                <w:tcPr>
                  <w:tcW w:w="1654" w:type="dxa"/>
                  <w:tcBorders>
                    <w:left w:val="nil"/>
                    <w:right w:val="nil"/>
                  </w:tcBorders>
                  <w:vAlign w:val="center"/>
                </w:tcPr>
                <w:p w14:paraId="1AC82241"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(-2.782)</w:t>
                  </w:r>
                </w:p>
              </w:tc>
              <w:tc>
                <w:tcPr>
                  <w:tcW w:w="1653" w:type="dxa"/>
                  <w:tcBorders>
                    <w:left w:val="nil"/>
                    <w:right w:val="nil"/>
                  </w:tcBorders>
                  <w:vAlign w:val="center"/>
                </w:tcPr>
                <w:p w14:paraId="6F116DD1"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p>
              </w:tc>
              <w:tc>
                <w:tcPr>
                  <w:tcW w:w="1654" w:type="dxa"/>
                  <w:tcBorders>
                    <w:left w:val="nil"/>
                    <w:right w:val="nil"/>
                  </w:tcBorders>
                  <w:vAlign w:val="center"/>
                </w:tcPr>
                <w:p w14:paraId="0AAED301"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p>
              </w:tc>
            </w:tr>
            <w:tr w:rsidR="00BE7E1E" w:rsidRPr="00F60760" w14:paraId="0E668818" w14:textId="77777777" w:rsidTr="00BE7E1E">
              <w:trPr>
                <w:jc w:val="center"/>
              </w:trPr>
              <w:tc>
                <w:tcPr>
                  <w:tcW w:w="2242" w:type="dxa"/>
                  <w:tcBorders>
                    <w:top w:val="nil"/>
                    <w:left w:val="nil"/>
                    <w:bottom w:val="nil"/>
                    <w:right w:val="nil"/>
                  </w:tcBorders>
                </w:tcPr>
                <w:p w14:paraId="3AD335DD"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deal_culturaldistance_maha</w:t>
                  </w:r>
                </w:p>
              </w:tc>
              <w:tc>
                <w:tcPr>
                  <w:tcW w:w="1653" w:type="dxa"/>
                  <w:tcBorders>
                    <w:left w:val="nil"/>
                    <w:right w:val="nil"/>
                  </w:tcBorders>
                  <w:vAlign w:val="center"/>
                </w:tcPr>
                <w:p w14:paraId="53C623D8"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p>
              </w:tc>
              <w:tc>
                <w:tcPr>
                  <w:tcW w:w="1654" w:type="dxa"/>
                  <w:tcBorders>
                    <w:left w:val="nil"/>
                    <w:right w:val="nil"/>
                  </w:tcBorders>
                  <w:vAlign w:val="center"/>
                </w:tcPr>
                <w:p w14:paraId="7359F706"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p>
              </w:tc>
              <w:tc>
                <w:tcPr>
                  <w:tcW w:w="1653" w:type="dxa"/>
                  <w:tcBorders>
                    <w:left w:val="nil"/>
                    <w:right w:val="nil"/>
                  </w:tcBorders>
                  <w:vAlign w:val="center"/>
                </w:tcPr>
                <w:p w14:paraId="42645FB7"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-.477*</w:t>
                  </w:r>
                </w:p>
              </w:tc>
              <w:tc>
                <w:tcPr>
                  <w:tcW w:w="1654" w:type="dxa"/>
                  <w:tcBorders>
                    <w:left w:val="nil"/>
                    <w:right w:val="nil"/>
                  </w:tcBorders>
                  <w:vAlign w:val="center"/>
                </w:tcPr>
                <w:p w14:paraId="1FB8C4E7"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-.449*</w:t>
                  </w:r>
                </w:p>
              </w:tc>
            </w:tr>
            <w:tr w:rsidR="00BE7E1E" w:rsidRPr="00F60760" w14:paraId="19379B00" w14:textId="77777777" w:rsidTr="00BE7E1E">
              <w:trPr>
                <w:jc w:val="center"/>
              </w:trPr>
              <w:tc>
                <w:tcPr>
                  <w:tcW w:w="2242" w:type="dxa"/>
                  <w:tcBorders>
                    <w:top w:val="nil"/>
                    <w:left w:val="nil"/>
                    <w:bottom w:val="nil"/>
                    <w:right w:val="nil"/>
                  </w:tcBorders>
                </w:tcPr>
                <w:p w14:paraId="0E7FC0B6"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p>
              </w:tc>
              <w:tc>
                <w:tcPr>
                  <w:tcW w:w="1653" w:type="dxa"/>
                  <w:tcBorders>
                    <w:left w:val="nil"/>
                    <w:right w:val="nil"/>
                  </w:tcBorders>
                  <w:vAlign w:val="center"/>
                </w:tcPr>
                <w:p w14:paraId="5610BE3D"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p>
              </w:tc>
              <w:tc>
                <w:tcPr>
                  <w:tcW w:w="1654" w:type="dxa"/>
                  <w:tcBorders>
                    <w:left w:val="nil"/>
                    <w:right w:val="nil"/>
                  </w:tcBorders>
                  <w:vAlign w:val="center"/>
                </w:tcPr>
                <w:p w14:paraId="5B5F05DF"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p>
              </w:tc>
              <w:tc>
                <w:tcPr>
                  <w:tcW w:w="1653" w:type="dxa"/>
                  <w:tcBorders>
                    <w:left w:val="nil"/>
                    <w:right w:val="nil"/>
                  </w:tcBorders>
                  <w:vAlign w:val="center"/>
                </w:tcPr>
                <w:p w14:paraId="7A430823"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(-1.822)</w:t>
                  </w:r>
                </w:p>
              </w:tc>
              <w:tc>
                <w:tcPr>
                  <w:tcW w:w="1654" w:type="dxa"/>
                  <w:tcBorders>
                    <w:left w:val="nil"/>
                    <w:right w:val="nil"/>
                  </w:tcBorders>
                  <w:vAlign w:val="center"/>
                </w:tcPr>
                <w:p w14:paraId="789C24AB"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(-1.691)</w:t>
                  </w:r>
                </w:p>
              </w:tc>
            </w:tr>
            <w:tr w:rsidR="00BE7E1E" w:rsidRPr="00F60760" w14:paraId="4D96D924" w14:textId="77777777" w:rsidTr="00BE7E1E">
              <w:trPr>
                <w:jc w:val="center"/>
              </w:trPr>
              <w:tc>
                <w:tcPr>
                  <w:tcW w:w="2242" w:type="dxa"/>
                  <w:tcBorders>
                    <w:top w:val="nil"/>
                    <w:left w:val="nil"/>
                    <w:bottom w:val="nil"/>
                    <w:right w:val="nil"/>
                  </w:tcBorders>
                </w:tcPr>
                <w:p w14:paraId="0542119D"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deal_value_ln</w:t>
                  </w:r>
                </w:p>
              </w:tc>
              <w:tc>
                <w:tcPr>
                  <w:tcW w:w="1653" w:type="dxa"/>
                  <w:tcBorders>
                    <w:left w:val="nil"/>
                    <w:right w:val="nil"/>
                  </w:tcBorders>
                  <w:vAlign w:val="center"/>
                </w:tcPr>
                <w:p w14:paraId="52AA79DE"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-.067</w:t>
                  </w:r>
                </w:p>
              </w:tc>
              <w:tc>
                <w:tcPr>
                  <w:tcW w:w="1654" w:type="dxa"/>
                  <w:tcBorders>
                    <w:left w:val="nil"/>
                    <w:right w:val="nil"/>
                  </w:tcBorders>
                  <w:vAlign w:val="center"/>
                </w:tcPr>
                <w:p w14:paraId="71121E93"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.019</w:t>
                  </w:r>
                </w:p>
              </w:tc>
              <w:tc>
                <w:tcPr>
                  <w:tcW w:w="1653" w:type="dxa"/>
                  <w:tcBorders>
                    <w:left w:val="nil"/>
                    <w:right w:val="nil"/>
                  </w:tcBorders>
                  <w:vAlign w:val="center"/>
                </w:tcPr>
                <w:p w14:paraId="31615AFD"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-.068</w:t>
                  </w:r>
                </w:p>
              </w:tc>
              <w:tc>
                <w:tcPr>
                  <w:tcW w:w="1654" w:type="dxa"/>
                  <w:tcBorders>
                    <w:left w:val="nil"/>
                    <w:right w:val="nil"/>
                  </w:tcBorders>
                  <w:vAlign w:val="center"/>
                </w:tcPr>
                <w:p w14:paraId="7EEC62CA"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.058</w:t>
                  </w:r>
                </w:p>
              </w:tc>
            </w:tr>
            <w:tr w:rsidR="00BE7E1E" w:rsidRPr="00F60760" w14:paraId="5B20777A" w14:textId="77777777" w:rsidTr="00BE7E1E">
              <w:trPr>
                <w:jc w:val="center"/>
              </w:trPr>
              <w:tc>
                <w:tcPr>
                  <w:tcW w:w="2242" w:type="dxa"/>
                  <w:tcBorders>
                    <w:top w:val="nil"/>
                    <w:left w:val="nil"/>
                    <w:bottom w:val="nil"/>
                    <w:right w:val="nil"/>
                  </w:tcBorders>
                </w:tcPr>
                <w:p w14:paraId="2F151A5D"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53" w:type="dxa"/>
                  <w:tcBorders>
                    <w:left w:val="nil"/>
                    <w:right w:val="nil"/>
                  </w:tcBorders>
                  <w:vAlign w:val="center"/>
                </w:tcPr>
                <w:p w14:paraId="57A124EB"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(-.594)</w:t>
                  </w:r>
                </w:p>
              </w:tc>
              <w:tc>
                <w:tcPr>
                  <w:tcW w:w="1654" w:type="dxa"/>
                  <w:tcBorders>
                    <w:left w:val="nil"/>
                    <w:right w:val="nil"/>
                  </w:tcBorders>
                  <w:vAlign w:val="center"/>
                </w:tcPr>
                <w:p w14:paraId="5C1241FB"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(.126)</w:t>
                  </w:r>
                </w:p>
              </w:tc>
              <w:tc>
                <w:tcPr>
                  <w:tcW w:w="1653" w:type="dxa"/>
                  <w:tcBorders>
                    <w:left w:val="nil"/>
                    <w:right w:val="nil"/>
                  </w:tcBorders>
                  <w:vAlign w:val="center"/>
                </w:tcPr>
                <w:p w14:paraId="4075784A"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(-.580)</w:t>
                  </w:r>
                </w:p>
              </w:tc>
              <w:tc>
                <w:tcPr>
                  <w:tcW w:w="1654" w:type="dxa"/>
                  <w:tcBorders>
                    <w:left w:val="nil"/>
                    <w:right w:val="nil"/>
                  </w:tcBorders>
                  <w:vAlign w:val="center"/>
                </w:tcPr>
                <w:p w14:paraId="75947384"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(.403)</w:t>
                  </w:r>
                </w:p>
              </w:tc>
            </w:tr>
            <w:tr w:rsidR="00BE7E1E" w:rsidRPr="00F60760" w14:paraId="2F849024" w14:textId="77777777" w:rsidTr="00BE7E1E">
              <w:trPr>
                <w:jc w:val="center"/>
              </w:trPr>
              <w:tc>
                <w:tcPr>
                  <w:tcW w:w="2242" w:type="dxa"/>
                  <w:tcBorders>
                    <w:top w:val="nil"/>
                    <w:left w:val="nil"/>
                    <w:bottom w:val="nil"/>
                    <w:right w:val="nil"/>
                  </w:tcBorders>
                </w:tcPr>
                <w:p w14:paraId="07946C26"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deal_hofstede_distance</w:t>
                  </w:r>
                </w:p>
              </w:tc>
              <w:tc>
                <w:tcPr>
                  <w:tcW w:w="1653" w:type="dxa"/>
                  <w:tcBorders>
                    <w:left w:val="nil"/>
                    <w:right w:val="nil"/>
                  </w:tcBorders>
                  <w:vAlign w:val="center"/>
                </w:tcPr>
                <w:p w14:paraId="6405A5B3"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-.009</w:t>
                  </w:r>
                </w:p>
              </w:tc>
              <w:tc>
                <w:tcPr>
                  <w:tcW w:w="1654" w:type="dxa"/>
                  <w:tcBorders>
                    <w:left w:val="nil"/>
                    <w:right w:val="nil"/>
                  </w:tcBorders>
                  <w:vAlign w:val="center"/>
                </w:tcPr>
                <w:p w14:paraId="47B2B133"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-.715</w:t>
                  </w:r>
                </w:p>
              </w:tc>
              <w:tc>
                <w:tcPr>
                  <w:tcW w:w="1653" w:type="dxa"/>
                  <w:tcBorders>
                    <w:left w:val="nil"/>
                    <w:right w:val="nil"/>
                  </w:tcBorders>
                  <w:vAlign w:val="center"/>
                </w:tcPr>
                <w:p w14:paraId="41381DF8"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.206</w:t>
                  </w:r>
                </w:p>
              </w:tc>
              <w:tc>
                <w:tcPr>
                  <w:tcW w:w="1654" w:type="dxa"/>
                  <w:tcBorders>
                    <w:left w:val="nil"/>
                    <w:right w:val="nil"/>
                  </w:tcBorders>
                  <w:vAlign w:val="center"/>
                </w:tcPr>
                <w:p w14:paraId="20E29541"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-.589</w:t>
                  </w:r>
                </w:p>
              </w:tc>
            </w:tr>
            <w:tr w:rsidR="00BE7E1E" w:rsidRPr="00F60760" w14:paraId="32141C2F" w14:textId="77777777" w:rsidTr="00BE7E1E">
              <w:trPr>
                <w:jc w:val="center"/>
              </w:trPr>
              <w:tc>
                <w:tcPr>
                  <w:tcW w:w="2242" w:type="dxa"/>
                  <w:tcBorders>
                    <w:top w:val="nil"/>
                    <w:left w:val="nil"/>
                    <w:bottom w:val="nil"/>
                    <w:right w:val="nil"/>
                  </w:tcBorders>
                </w:tcPr>
                <w:p w14:paraId="0B9A9165"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53" w:type="dxa"/>
                  <w:tcBorders>
                    <w:left w:val="nil"/>
                    <w:right w:val="nil"/>
                  </w:tcBorders>
                  <w:vAlign w:val="center"/>
                </w:tcPr>
                <w:p w14:paraId="43C87AC6"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(-.007)</w:t>
                  </w:r>
                </w:p>
              </w:tc>
              <w:tc>
                <w:tcPr>
                  <w:tcW w:w="1654" w:type="dxa"/>
                  <w:tcBorders>
                    <w:left w:val="nil"/>
                    <w:right w:val="nil"/>
                  </w:tcBorders>
                  <w:vAlign w:val="center"/>
                </w:tcPr>
                <w:p w14:paraId="7D1AE8C6"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(-1.332)</w:t>
                  </w:r>
                </w:p>
              </w:tc>
              <w:tc>
                <w:tcPr>
                  <w:tcW w:w="1653" w:type="dxa"/>
                  <w:tcBorders>
                    <w:left w:val="nil"/>
                    <w:right w:val="nil"/>
                  </w:tcBorders>
                  <w:vAlign w:val="center"/>
                </w:tcPr>
                <w:p w14:paraId="7E9F4CCD"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(.168)</w:t>
                  </w:r>
                </w:p>
              </w:tc>
              <w:tc>
                <w:tcPr>
                  <w:tcW w:w="1654" w:type="dxa"/>
                  <w:tcBorders>
                    <w:left w:val="nil"/>
                    <w:right w:val="nil"/>
                  </w:tcBorders>
                  <w:vAlign w:val="center"/>
                </w:tcPr>
                <w:p w14:paraId="40525859"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(-1.036)</w:t>
                  </w:r>
                </w:p>
              </w:tc>
            </w:tr>
            <w:tr w:rsidR="00BE7E1E" w:rsidRPr="00F60760" w14:paraId="6630F951" w14:textId="77777777" w:rsidTr="00BE7E1E">
              <w:trPr>
                <w:jc w:val="center"/>
              </w:trPr>
              <w:tc>
                <w:tcPr>
                  <w:tcW w:w="2242" w:type="dxa"/>
                  <w:tcBorders>
                    <w:top w:val="nil"/>
                    <w:left w:val="nil"/>
                    <w:bottom w:val="nil"/>
                    <w:right w:val="nil"/>
                  </w:tcBorders>
                </w:tcPr>
                <w:p w14:paraId="488A0659"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deal_all_cash_dummy</w:t>
                  </w:r>
                </w:p>
              </w:tc>
              <w:tc>
                <w:tcPr>
                  <w:tcW w:w="1653" w:type="dxa"/>
                  <w:tcBorders>
                    <w:left w:val="nil"/>
                    <w:right w:val="nil"/>
                  </w:tcBorders>
                  <w:vAlign w:val="center"/>
                </w:tcPr>
                <w:p w14:paraId="722264E9"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.111</w:t>
                  </w:r>
                </w:p>
              </w:tc>
              <w:tc>
                <w:tcPr>
                  <w:tcW w:w="1654" w:type="dxa"/>
                  <w:tcBorders>
                    <w:left w:val="nil"/>
                    <w:right w:val="nil"/>
                  </w:tcBorders>
                  <w:vAlign w:val="center"/>
                </w:tcPr>
                <w:p w14:paraId="2C864405"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-.204</w:t>
                  </w:r>
                </w:p>
              </w:tc>
              <w:tc>
                <w:tcPr>
                  <w:tcW w:w="1653" w:type="dxa"/>
                  <w:tcBorders>
                    <w:left w:val="nil"/>
                    <w:right w:val="nil"/>
                  </w:tcBorders>
                  <w:vAlign w:val="center"/>
                </w:tcPr>
                <w:p w14:paraId="4183A4B5"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-.097</w:t>
                  </w:r>
                </w:p>
              </w:tc>
              <w:tc>
                <w:tcPr>
                  <w:tcW w:w="1654" w:type="dxa"/>
                  <w:tcBorders>
                    <w:left w:val="nil"/>
                    <w:right w:val="nil"/>
                  </w:tcBorders>
                  <w:vAlign w:val="center"/>
                </w:tcPr>
                <w:p w14:paraId="72529BD4"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-.341**</w:t>
                  </w:r>
                </w:p>
              </w:tc>
            </w:tr>
            <w:tr w:rsidR="00BE7E1E" w:rsidRPr="00F60760" w14:paraId="3F7A4D58" w14:textId="77777777" w:rsidTr="00BE7E1E">
              <w:trPr>
                <w:jc w:val="center"/>
              </w:trPr>
              <w:tc>
                <w:tcPr>
                  <w:tcW w:w="2242" w:type="dxa"/>
                  <w:tcBorders>
                    <w:top w:val="nil"/>
                    <w:left w:val="nil"/>
                    <w:bottom w:val="nil"/>
                    <w:right w:val="nil"/>
                  </w:tcBorders>
                </w:tcPr>
                <w:p w14:paraId="7FD98871"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53" w:type="dxa"/>
                  <w:tcBorders>
                    <w:left w:val="nil"/>
                    <w:right w:val="nil"/>
                  </w:tcBorders>
                  <w:vAlign w:val="center"/>
                </w:tcPr>
                <w:p w14:paraId="57544618"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(.437)</w:t>
                  </w:r>
                </w:p>
              </w:tc>
              <w:tc>
                <w:tcPr>
                  <w:tcW w:w="1654" w:type="dxa"/>
                  <w:tcBorders>
                    <w:left w:val="nil"/>
                    <w:right w:val="nil"/>
                  </w:tcBorders>
                  <w:vAlign w:val="center"/>
                </w:tcPr>
                <w:p w14:paraId="5711E80D"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(-1.111)</w:t>
                  </w:r>
                </w:p>
              </w:tc>
              <w:tc>
                <w:tcPr>
                  <w:tcW w:w="1653" w:type="dxa"/>
                  <w:tcBorders>
                    <w:left w:val="nil"/>
                    <w:right w:val="nil"/>
                  </w:tcBorders>
                  <w:vAlign w:val="center"/>
                </w:tcPr>
                <w:p w14:paraId="4ED9CD38"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(-.696)</w:t>
                  </w:r>
                </w:p>
              </w:tc>
              <w:tc>
                <w:tcPr>
                  <w:tcW w:w="1654" w:type="dxa"/>
                  <w:tcBorders>
                    <w:left w:val="nil"/>
                    <w:right w:val="nil"/>
                  </w:tcBorders>
                  <w:vAlign w:val="center"/>
                </w:tcPr>
                <w:p w14:paraId="14A2AAAC"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(-2.110)</w:t>
                  </w:r>
                </w:p>
              </w:tc>
            </w:tr>
            <w:tr w:rsidR="00BE7E1E" w:rsidRPr="00F60760" w14:paraId="321F310B" w14:textId="77777777" w:rsidTr="00BE7E1E">
              <w:trPr>
                <w:jc w:val="center"/>
              </w:trPr>
              <w:tc>
                <w:tcPr>
                  <w:tcW w:w="2242" w:type="dxa"/>
                  <w:tcBorders>
                    <w:top w:val="nil"/>
                    <w:left w:val="nil"/>
                    <w:bottom w:val="nil"/>
                    <w:right w:val="nil"/>
                  </w:tcBorders>
                </w:tcPr>
                <w:p w14:paraId="51F60009"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deal_all_stock_dummy</w:t>
                  </w:r>
                </w:p>
              </w:tc>
              <w:tc>
                <w:tcPr>
                  <w:tcW w:w="1653" w:type="dxa"/>
                  <w:tcBorders>
                    <w:left w:val="nil"/>
                    <w:right w:val="nil"/>
                  </w:tcBorders>
                  <w:vAlign w:val="center"/>
                </w:tcPr>
                <w:p w14:paraId="656C35A7"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-.129</w:t>
                  </w:r>
                </w:p>
              </w:tc>
              <w:tc>
                <w:tcPr>
                  <w:tcW w:w="1654" w:type="dxa"/>
                  <w:tcBorders>
                    <w:left w:val="nil"/>
                    <w:right w:val="nil"/>
                  </w:tcBorders>
                  <w:vAlign w:val="center"/>
                </w:tcPr>
                <w:p w14:paraId="03534673"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-.174</w:t>
                  </w:r>
                </w:p>
              </w:tc>
              <w:tc>
                <w:tcPr>
                  <w:tcW w:w="1653" w:type="dxa"/>
                  <w:tcBorders>
                    <w:left w:val="nil"/>
                    <w:right w:val="nil"/>
                  </w:tcBorders>
                  <w:vAlign w:val="center"/>
                </w:tcPr>
                <w:p w14:paraId="396EC20B"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-.206</w:t>
                  </w:r>
                </w:p>
              </w:tc>
              <w:tc>
                <w:tcPr>
                  <w:tcW w:w="1654" w:type="dxa"/>
                  <w:tcBorders>
                    <w:left w:val="nil"/>
                    <w:right w:val="nil"/>
                  </w:tcBorders>
                  <w:vAlign w:val="center"/>
                </w:tcPr>
                <w:p w14:paraId="6916FE1B"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-.142</w:t>
                  </w:r>
                </w:p>
              </w:tc>
            </w:tr>
            <w:tr w:rsidR="00BE7E1E" w:rsidRPr="00F60760" w14:paraId="210075DC" w14:textId="77777777" w:rsidTr="00BE7E1E">
              <w:trPr>
                <w:jc w:val="center"/>
              </w:trPr>
              <w:tc>
                <w:tcPr>
                  <w:tcW w:w="2242" w:type="dxa"/>
                  <w:tcBorders>
                    <w:top w:val="nil"/>
                    <w:left w:val="nil"/>
                    <w:bottom w:val="nil"/>
                    <w:right w:val="nil"/>
                  </w:tcBorders>
                </w:tcPr>
                <w:p w14:paraId="71A947AA"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53" w:type="dxa"/>
                  <w:tcBorders>
                    <w:left w:val="nil"/>
                    <w:right w:val="nil"/>
                  </w:tcBorders>
                  <w:vAlign w:val="center"/>
                </w:tcPr>
                <w:p w14:paraId="062F2857"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(-.337)</w:t>
                  </w:r>
                </w:p>
              </w:tc>
              <w:tc>
                <w:tcPr>
                  <w:tcW w:w="1654" w:type="dxa"/>
                  <w:tcBorders>
                    <w:left w:val="nil"/>
                    <w:right w:val="nil"/>
                  </w:tcBorders>
                  <w:vAlign w:val="center"/>
                </w:tcPr>
                <w:p w14:paraId="5A2B5484"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(-.633)</w:t>
                  </w:r>
                </w:p>
              </w:tc>
              <w:tc>
                <w:tcPr>
                  <w:tcW w:w="1653" w:type="dxa"/>
                  <w:tcBorders>
                    <w:left w:val="nil"/>
                    <w:right w:val="nil"/>
                  </w:tcBorders>
                  <w:vAlign w:val="center"/>
                </w:tcPr>
                <w:p w14:paraId="442280D7"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(-.482)</w:t>
                  </w:r>
                </w:p>
              </w:tc>
              <w:tc>
                <w:tcPr>
                  <w:tcW w:w="1654" w:type="dxa"/>
                  <w:tcBorders>
                    <w:left w:val="nil"/>
                    <w:right w:val="nil"/>
                  </w:tcBorders>
                  <w:vAlign w:val="center"/>
                </w:tcPr>
                <w:p w14:paraId="7AB586C7"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(-.511)</w:t>
                  </w:r>
                </w:p>
              </w:tc>
            </w:tr>
            <w:tr w:rsidR="00BE7E1E" w:rsidRPr="00F60760" w14:paraId="2584BDE6" w14:textId="77777777" w:rsidTr="00BE7E1E">
              <w:trPr>
                <w:jc w:val="center"/>
              </w:trPr>
              <w:tc>
                <w:tcPr>
                  <w:tcW w:w="2242" w:type="dxa"/>
                  <w:tcBorders>
                    <w:top w:val="nil"/>
                    <w:left w:val="nil"/>
                    <w:bottom w:val="nil"/>
                    <w:right w:val="nil"/>
                  </w:tcBorders>
                </w:tcPr>
                <w:p w14:paraId="29B62C40"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deal_tenderoffer_dummy</w:t>
                  </w:r>
                </w:p>
              </w:tc>
              <w:tc>
                <w:tcPr>
                  <w:tcW w:w="1653" w:type="dxa"/>
                  <w:tcBorders>
                    <w:left w:val="nil"/>
                    <w:right w:val="nil"/>
                  </w:tcBorders>
                  <w:vAlign w:val="center"/>
                </w:tcPr>
                <w:p w14:paraId="4CCC56FC"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-.076</w:t>
                  </w:r>
                </w:p>
              </w:tc>
              <w:tc>
                <w:tcPr>
                  <w:tcW w:w="1654" w:type="dxa"/>
                  <w:tcBorders>
                    <w:left w:val="nil"/>
                    <w:right w:val="nil"/>
                  </w:tcBorders>
                  <w:vAlign w:val="center"/>
                </w:tcPr>
                <w:p w14:paraId="5631E32D"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.331*</w:t>
                  </w:r>
                </w:p>
              </w:tc>
              <w:tc>
                <w:tcPr>
                  <w:tcW w:w="1653" w:type="dxa"/>
                  <w:tcBorders>
                    <w:left w:val="nil"/>
                    <w:right w:val="nil"/>
                  </w:tcBorders>
                  <w:vAlign w:val="center"/>
                </w:tcPr>
                <w:p w14:paraId="3C69E93C"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-.123</w:t>
                  </w:r>
                </w:p>
              </w:tc>
              <w:tc>
                <w:tcPr>
                  <w:tcW w:w="1654" w:type="dxa"/>
                  <w:tcBorders>
                    <w:left w:val="nil"/>
                    <w:right w:val="nil"/>
                  </w:tcBorders>
                  <w:vAlign w:val="center"/>
                </w:tcPr>
                <w:p w14:paraId="4625719F"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.441**</w:t>
                  </w:r>
                </w:p>
              </w:tc>
            </w:tr>
            <w:tr w:rsidR="00BE7E1E" w:rsidRPr="00F60760" w14:paraId="4B07E23A" w14:textId="77777777" w:rsidTr="00BE7E1E">
              <w:trPr>
                <w:jc w:val="center"/>
              </w:trPr>
              <w:tc>
                <w:tcPr>
                  <w:tcW w:w="2242" w:type="dxa"/>
                  <w:tcBorders>
                    <w:top w:val="nil"/>
                    <w:left w:val="nil"/>
                    <w:bottom w:val="nil"/>
                    <w:right w:val="nil"/>
                  </w:tcBorders>
                </w:tcPr>
                <w:p w14:paraId="7075F1ED"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53" w:type="dxa"/>
                  <w:tcBorders>
                    <w:left w:val="nil"/>
                    <w:right w:val="nil"/>
                  </w:tcBorders>
                  <w:vAlign w:val="center"/>
                </w:tcPr>
                <w:p w14:paraId="77CEF4F9"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(-.270)</w:t>
                  </w:r>
                </w:p>
              </w:tc>
              <w:tc>
                <w:tcPr>
                  <w:tcW w:w="1654" w:type="dxa"/>
                  <w:tcBorders>
                    <w:left w:val="nil"/>
                    <w:right w:val="nil"/>
                  </w:tcBorders>
                  <w:vAlign w:val="center"/>
                </w:tcPr>
                <w:p w14:paraId="5998F99A"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(1.890)</w:t>
                  </w:r>
                </w:p>
              </w:tc>
              <w:tc>
                <w:tcPr>
                  <w:tcW w:w="1653" w:type="dxa"/>
                  <w:tcBorders>
                    <w:left w:val="nil"/>
                    <w:right w:val="nil"/>
                  </w:tcBorders>
                  <w:vAlign w:val="center"/>
                </w:tcPr>
                <w:p w14:paraId="60CE9738"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(-.601)</w:t>
                  </w:r>
                </w:p>
              </w:tc>
              <w:tc>
                <w:tcPr>
                  <w:tcW w:w="1654" w:type="dxa"/>
                  <w:tcBorders>
                    <w:left w:val="nil"/>
                    <w:right w:val="nil"/>
                  </w:tcBorders>
                  <w:vAlign w:val="center"/>
                </w:tcPr>
                <w:p w14:paraId="708C222C"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(2.435)</w:t>
                  </w:r>
                </w:p>
              </w:tc>
            </w:tr>
            <w:tr w:rsidR="00BE7E1E" w:rsidRPr="00F60760" w14:paraId="310814FF" w14:textId="77777777" w:rsidTr="00BE7E1E">
              <w:trPr>
                <w:jc w:val="center"/>
              </w:trPr>
              <w:tc>
                <w:tcPr>
                  <w:tcW w:w="2242" w:type="dxa"/>
                  <w:tcBorders>
                    <w:top w:val="nil"/>
                    <w:left w:val="nil"/>
                    <w:bottom w:val="nil"/>
                    <w:right w:val="nil"/>
                  </w:tcBorders>
                </w:tcPr>
                <w:p w14:paraId="087EA8CF"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deal_friendly_dummy</w:t>
                  </w:r>
                </w:p>
              </w:tc>
              <w:tc>
                <w:tcPr>
                  <w:tcW w:w="1653" w:type="dxa"/>
                  <w:tcBorders>
                    <w:left w:val="nil"/>
                    <w:right w:val="nil"/>
                  </w:tcBorders>
                  <w:vAlign w:val="center"/>
                </w:tcPr>
                <w:p w14:paraId="7E1EC997"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-4.357***</w:t>
                  </w:r>
                </w:p>
              </w:tc>
              <w:tc>
                <w:tcPr>
                  <w:tcW w:w="1654" w:type="dxa"/>
                  <w:tcBorders>
                    <w:left w:val="nil"/>
                    <w:right w:val="nil"/>
                  </w:tcBorders>
                </w:tcPr>
                <w:p w14:paraId="7E288F20"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w:t>
                  </w:r>
                </w:p>
              </w:tc>
              <w:tc>
                <w:tcPr>
                  <w:tcW w:w="1653" w:type="dxa"/>
                  <w:tcBorders>
                    <w:left w:val="nil"/>
                    <w:right w:val="nil"/>
                  </w:tcBorders>
                  <w:vAlign w:val="center"/>
                </w:tcPr>
                <w:p w14:paraId="46614F0E"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-4.018***</w:t>
                  </w:r>
                </w:p>
              </w:tc>
              <w:tc>
                <w:tcPr>
                  <w:tcW w:w="1654" w:type="dxa"/>
                  <w:tcBorders>
                    <w:left w:val="nil"/>
                    <w:right w:val="nil"/>
                  </w:tcBorders>
                </w:tcPr>
                <w:p w14:paraId="1E229DAF"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w:t>
                  </w:r>
                </w:p>
              </w:tc>
            </w:tr>
            <w:tr w:rsidR="00BE7E1E" w:rsidRPr="00F60760" w14:paraId="0B9BA8FF" w14:textId="77777777" w:rsidTr="00BE7E1E">
              <w:trPr>
                <w:jc w:val="center"/>
              </w:trPr>
              <w:tc>
                <w:tcPr>
                  <w:tcW w:w="2242" w:type="dxa"/>
                  <w:tcBorders>
                    <w:top w:val="nil"/>
                    <w:left w:val="nil"/>
                    <w:bottom w:val="nil"/>
                    <w:right w:val="nil"/>
                  </w:tcBorders>
                </w:tcPr>
                <w:p w14:paraId="1E1A4CFC"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53" w:type="dxa"/>
                  <w:tcBorders>
                    <w:left w:val="nil"/>
                    <w:right w:val="nil"/>
                  </w:tcBorders>
                  <w:vAlign w:val="center"/>
                </w:tcPr>
                <w:p w14:paraId="72082AEC"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(-5.805)</w:t>
                  </w:r>
                </w:p>
              </w:tc>
              <w:tc>
                <w:tcPr>
                  <w:tcW w:w="1654" w:type="dxa"/>
                  <w:tcBorders>
                    <w:left w:val="nil"/>
                    <w:right w:val="nil"/>
                  </w:tcBorders>
                </w:tcPr>
                <w:p w14:paraId="3E639599"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w:t>
                  </w:r>
                </w:p>
              </w:tc>
              <w:tc>
                <w:tcPr>
                  <w:tcW w:w="1653" w:type="dxa"/>
                  <w:tcBorders>
                    <w:left w:val="nil"/>
                    <w:right w:val="nil"/>
                  </w:tcBorders>
                  <w:vAlign w:val="center"/>
                </w:tcPr>
                <w:p w14:paraId="713F1B45"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(-4.985)</w:t>
                  </w:r>
                </w:p>
              </w:tc>
              <w:tc>
                <w:tcPr>
                  <w:tcW w:w="1654" w:type="dxa"/>
                  <w:tcBorders>
                    <w:left w:val="nil"/>
                    <w:right w:val="nil"/>
                  </w:tcBorders>
                </w:tcPr>
                <w:p w14:paraId="1D060933"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w:t>
                  </w:r>
                </w:p>
              </w:tc>
            </w:tr>
            <w:tr w:rsidR="00BE7E1E" w:rsidRPr="00F60760" w14:paraId="6D14488D" w14:textId="77777777" w:rsidTr="00BE7E1E">
              <w:trPr>
                <w:jc w:val="center"/>
              </w:trPr>
              <w:tc>
                <w:tcPr>
                  <w:tcW w:w="2242" w:type="dxa"/>
                  <w:tcBorders>
                    <w:top w:val="nil"/>
                    <w:left w:val="nil"/>
                    <w:bottom w:val="nil"/>
                    <w:right w:val="nil"/>
                  </w:tcBorders>
                </w:tcPr>
                <w:p w14:paraId="6DAEEC57"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deal_relatedness_dummy</w:t>
                  </w:r>
                </w:p>
              </w:tc>
              <w:tc>
                <w:tcPr>
                  <w:tcW w:w="1653" w:type="dxa"/>
                  <w:tcBorders>
                    <w:left w:val="nil"/>
                    <w:right w:val="nil"/>
                  </w:tcBorders>
                  <w:vAlign w:val="center"/>
                </w:tcPr>
                <w:p w14:paraId="6AADBE2A"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-.123</w:t>
                  </w:r>
                </w:p>
              </w:tc>
              <w:tc>
                <w:tcPr>
                  <w:tcW w:w="1654" w:type="dxa"/>
                  <w:tcBorders>
                    <w:left w:val="nil"/>
                    <w:right w:val="nil"/>
                  </w:tcBorders>
                  <w:vAlign w:val="center"/>
                </w:tcPr>
                <w:p w14:paraId="26653524"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-.189</w:t>
                  </w:r>
                </w:p>
              </w:tc>
              <w:tc>
                <w:tcPr>
                  <w:tcW w:w="1653" w:type="dxa"/>
                  <w:tcBorders>
                    <w:left w:val="nil"/>
                    <w:right w:val="nil"/>
                  </w:tcBorders>
                  <w:vAlign w:val="center"/>
                </w:tcPr>
                <w:p w14:paraId="099745DB"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-.187</w:t>
                  </w:r>
                </w:p>
              </w:tc>
              <w:tc>
                <w:tcPr>
                  <w:tcW w:w="1654" w:type="dxa"/>
                  <w:tcBorders>
                    <w:left w:val="nil"/>
                    <w:right w:val="nil"/>
                  </w:tcBorders>
                  <w:vAlign w:val="center"/>
                </w:tcPr>
                <w:p w14:paraId="0B5F9643"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-.149</w:t>
                  </w:r>
                </w:p>
              </w:tc>
            </w:tr>
            <w:tr w:rsidR="00BE7E1E" w:rsidRPr="00F60760" w14:paraId="44F7697B" w14:textId="77777777" w:rsidTr="00BE7E1E">
              <w:trPr>
                <w:jc w:val="center"/>
              </w:trPr>
              <w:tc>
                <w:tcPr>
                  <w:tcW w:w="2242" w:type="dxa"/>
                  <w:tcBorders>
                    <w:top w:val="nil"/>
                    <w:left w:val="nil"/>
                    <w:bottom w:val="nil"/>
                    <w:right w:val="nil"/>
                  </w:tcBorders>
                </w:tcPr>
                <w:p w14:paraId="3E303C9D"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53" w:type="dxa"/>
                  <w:tcBorders>
                    <w:left w:val="nil"/>
                    <w:right w:val="nil"/>
                  </w:tcBorders>
                  <w:vAlign w:val="center"/>
                </w:tcPr>
                <w:p w14:paraId="5B922262"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(-.605)</w:t>
                  </w:r>
                </w:p>
              </w:tc>
              <w:tc>
                <w:tcPr>
                  <w:tcW w:w="1654" w:type="dxa"/>
                  <w:tcBorders>
                    <w:left w:val="nil"/>
                    <w:right w:val="nil"/>
                  </w:tcBorders>
                  <w:vAlign w:val="center"/>
                </w:tcPr>
                <w:p w14:paraId="103DF128"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(-1.186)</w:t>
                  </w:r>
                </w:p>
              </w:tc>
              <w:tc>
                <w:tcPr>
                  <w:tcW w:w="1653" w:type="dxa"/>
                  <w:tcBorders>
                    <w:left w:val="nil"/>
                    <w:right w:val="nil"/>
                  </w:tcBorders>
                  <w:vAlign w:val="center"/>
                </w:tcPr>
                <w:p w14:paraId="01FB3F98"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(-.984)</w:t>
                  </w:r>
                </w:p>
              </w:tc>
              <w:tc>
                <w:tcPr>
                  <w:tcW w:w="1654" w:type="dxa"/>
                  <w:tcBorders>
                    <w:left w:val="nil"/>
                    <w:right w:val="nil"/>
                  </w:tcBorders>
                  <w:vAlign w:val="center"/>
                </w:tcPr>
                <w:p w14:paraId="1EC349EA"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(-.982)</w:t>
                  </w:r>
                </w:p>
              </w:tc>
            </w:tr>
            <w:tr w:rsidR="00BE7E1E" w:rsidRPr="00F60760" w14:paraId="3B163D68" w14:textId="77777777" w:rsidTr="00BE7E1E">
              <w:trPr>
                <w:jc w:val="center"/>
              </w:trPr>
              <w:tc>
                <w:tcPr>
                  <w:tcW w:w="2242" w:type="dxa"/>
                  <w:tcBorders>
                    <w:top w:val="nil"/>
                    <w:left w:val="nil"/>
                    <w:bottom w:val="nil"/>
                    <w:right w:val="nil"/>
                  </w:tcBorders>
                </w:tcPr>
                <w:p w14:paraId="62966B7F"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acq_age</w:t>
                  </w:r>
                </w:p>
              </w:tc>
              <w:tc>
                <w:tcPr>
                  <w:tcW w:w="1653" w:type="dxa"/>
                  <w:tcBorders>
                    <w:left w:val="nil"/>
                    <w:right w:val="nil"/>
                  </w:tcBorders>
                  <w:vAlign w:val="center"/>
                </w:tcPr>
                <w:p w14:paraId="3FA6E2D8"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c>
                <w:tcPr>
                  <w:tcW w:w="1654" w:type="dxa"/>
                  <w:tcBorders>
                    <w:left w:val="nil"/>
                    <w:right w:val="nil"/>
                  </w:tcBorders>
                  <w:vAlign w:val="center"/>
                </w:tcPr>
                <w:p w14:paraId="00594E0B"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c>
                <w:tcPr>
                  <w:tcW w:w="1653" w:type="dxa"/>
                  <w:tcBorders>
                    <w:left w:val="nil"/>
                    <w:right w:val="nil"/>
                  </w:tcBorders>
                  <w:vAlign w:val="center"/>
                </w:tcPr>
                <w:p w14:paraId="73FDEC22"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w:t>
                  </w:r>
                </w:p>
              </w:tc>
              <w:tc>
                <w:tcPr>
                  <w:tcW w:w="1654" w:type="dxa"/>
                  <w:tcBorders>
                    <w:left w:val="nil"/>
                    <w:right w:val="nil"/>
                  </w:tcBorders>
                  <w:vAlign w:val="center"/>
                </w:tcPr>
                <w:p w14:paraId="6F58C1F8"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-.002</w:t>
                  </w:r>
                </w:p>
              </w:tc>
            </w:tr>
            <w:tr w:rsidR="00BE7E1E" w:rsidRPr="00F60760" w14:paraId="1D56CB0A" w14:textId="77777777" w:rsidTr="00BE7E1E">
              <w:trPr>
                <w:jc w:val="center"/>
              </w:trPr>
              <w:tc>
                <w:tcPr>
                  <w:tcW w:w="2242" w:type="dxa"/>
                  <w:tcBorders>
                    <w:top w:val="nil"/>
                    <w:left w:val="nil"/>
                    <w:bottom w:val="nil"/>
                    <w:right w:val="nil"/>
                  </w:tcBorders>
                </w:tcPr>
                <w:p w14:paraId="5F3E916D"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53" w:type="dxa"/>
                  <w:tcBorders>
                    <w:left w:val="nil"/>
                    <w:right w:val="nil"/>
                  </w:tcBorders>
                  <w:vAlign w:val="center"/>
                </w:tcPr>
                <w:p w14:paraId="7E5DE9D8"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(.493)</w:t>
                  </w:r>
                </w:p>
              </w:tc>
              <w:tc>
                <w:tcPr>
                  <w:tcW w:w="1654" w:type="dxa"/>
                  <w:tcBorders>
                    <w:left w:val="nil"/>
                    <w:right w:val="nil"/>
                  </w:tcBorders>
                  <w:vAlign w:val="center"/>
                </w:tcPr>
                <w:p w14:paraId="73E10F35"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(-.719)</w:t>
                  </w:r>
                </w:p>
              </w:tc>
              <w:tc>
                <w:tcPr>
                  <w:tcW w:w="1653" w:type="dxa"/>
                  <w:tcBorders>
                    <w:left w:val="nil"/>
                    <w:right w:val="nil"/>
                  </w:tcBorders>
                  <w:vAlign w:val="center"/>
                </w:tcPr>
                <w:p w14:paraId="60E8FE07"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(-.272)</w:t>
                  </w:r>
                </w:p>
              </w:tc>
              <w:tc>
                <w:tcPr>
                  <w:tcW w:w="1654" w:type="dxa"/>
                  <w:tcBorders>
                    <w:left w:val="nil"/>
                    <w:right w:val="nil"/>
                  </w:tcBorders>
                  <w:vAlign w:val="center"/>
                </w:tcPr>
                <w:p w14:paraId="656636F2"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(-1.277)</w:t>
                  </w:r>
                </w:p>
              </w:tc>
            </w:tr>
            <w:tr w:rsidR="00BE7E1E" w:rsidRPr="00F60760" w14:paraId="1FFBEF8E" w14:textId="77777777" w:rsidTr="00BE7E1E">
              <w:trPr>
                <w:jc w:val="center"/>
              </w:trPr>
              <w:tc>
                <w:tcPr>
                  <w:tcW w:w="2242" w:type="dxa"/>
                  <w:tcBorders>
                    <w:top w:val="nil"/>
                    <w:left w:val="nil"/>
                    <w:bottom w:val="nil"/>
                    <w:right w:val="nil"/>
                  </w:tcBorders>
                </w:tcPr>
                <w:p w14:paraId="25B81268"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acq_assets_lastyear_ln</w:t>
                  </w:r>
                </w:p>
              </w:tc>
              <w:tc>
                <w:tcPr>
                  <w:tcW w:w="1653" w:type="dxa"/>
                  <w:tcBorders>
                    <w:left w:val="nil"/>
                    <w:right w:val="nil"/>
                  </w:tcBorders>
                  <w:vAlign w:val="center"/>
                </w:tcPr>
                <w:p w14:paraId="21A6D61B"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.187**</w:t>
                  </w:r>
                </w:p>
              </w:tc>
              <w:tc>
                <w:tcPr>
                  <w:tcW w:w="1654" w:type="dxa"/>
                  <w:tcBorders>
                    <w:left w:val="nil"/>
                    <w:right w:val="nil"/>
                  </w:tcBorders>
                  <w:vAlign w:val="center"/>
                </w:tcPr>
                <w:p w14:paraId="187097BD"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-.050</w:t>
                  </w:r>
                </w:p>
              </w:tc>
              <w:tc>
                <w:tcPr>
                  <w:tcW w:w="1653" w:type="dxa"/>
                  <w:tcBorders>
                    <w:left w:val="nil"/>
                    <w:right w:val="nil"/>
                  </w:tcBorders>
                  <w:vAlign w:val="center"/>
                </w:tcPr>
                <w:p w14:paraId="0834D399"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.188*</w:t>
                  </w:r>
                </w:p>
              </w:tc>
              <w:tc>
                <w:tcPr>
                  <w:tcW w:w="1654" w:type="dxa"/>
                  <w:tcBorders>
                    <w:left w:val="nil"/>
                    <w:right w:val="nil"/>
                  </w:tcBorders>
                  <w:vAlign w:val="center"/>
                </w:tcPr>
                <w:p w14:paraId="6DA64D9A"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-.010</w:t>
                  </w:r>
                </w:p>
              </w:tc>
            </w:tr>
            <w:tr w:rsidR="00BE7E1E" w:rsidRPr="00F60760" w14:paraId="1CC87B2D" w14:textId="77777777" w:rsidTr="00BE7E1E">
              <w:trPr>
                <w:jc w:val="center"/>
              </w:trPr>
              <w:tc>
                <w:tcPr>
                  <w:tcW w:w="2242" w:type="dxa"/>
                  <w:tcBorders>
                    <w:top w:val="nil"/>
                    <w:left w:val="nil"/>
                    <w:bottom w:val="nil"/>
                    <w:right w:val="nil"/>
                  </w:tcBorders>
                </w:tcPr>
                <w:p w14:paraId="1F21CF90"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53" w:type="dxa"/>
                  <w:tcBorders>
                    <w:left w:val="nil"/>
                    <w:right w:val="nil"/>
                  </w:tcBorders>
                  <w:vAlign w:val="center"/>
                </w:tcPr>
                <w:p w14:paraId="6F248AE5"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(1.997)</w:t>
                  </w:r>
                </w:p>
              </w:tc>
              <w:tc>
                <w:tcPr>
                  <w:tcW w:w="1654" w:type="dxa"/>
                  <w:tcBorders>
                    <w:left w:val="nil"/>
                    <w:right w:val="nil"/>
                  </w:tcBorders>
                  <w:vAlign w:val="center"/>
                </w:tcPr>
                <w:p w14:paraId="67F16D3F"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(-.841)</w:t>
                  </w:r>
                </w:p>
              </w:tc>
              <w:tc>
                <w:tcPr>
                  <w:tcW w:w="1653" w:type="dxa"/>
                  <w:tcBorders>
                    <w:left w:val="nil"/>
                    <w:right w:val="nil"/>
                  </w:tcBorders>
                  <w:vAlign w:val="center"/>
                </w:tcPr>
                <w:p w14:paraId="7369AD02"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(1.879)</w:t>
                  </w:r>
                </w:p>
              </w:tc>
              <w:tc>
                <w:tcPr>
                  <w:tcW w:w="1654" w:type="dxa"/>
                  <w:tcBorders>
                    <w:left w:val="nil"/>
                    <w:right w:val="nil"/>
                  </w:tcBorders>
                  <w:vAlign w:val="center"/>
                </w:tcPr>
                <w:p w14:paraId="381F1DD6"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(-.177)</w:t>
                  </w:r>
                </w:p>
              </w:tc>
            </w:tr>
            <w:tr w:rsidR="00BE7E1E" w:rsidRPr="00F60760" w14:paraId="073F29DE" w14:textId="77777777" w:rsidTr="00BE7E1E">
              <w:trPr>
                <w:jc w:val="center"/>
              </w:trPr>
              <w:tc>
                <w:tcPr>
                  <w:tcW w:w="2242" w:type="dxa"/>
                  <w:tcBorders>
                    <w:top w:val="nil"/>
                    <w:left w:val="nil"/>
                    <w:bottom w:val="nil"/>
                    <w:right w:val="nil"/>
                  </w:tcBorders>
                </w:tcPr>
                <w:p w14:paraId="522A3E6B"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acq_roa_lastyear</w:t>
                  </w:r>
                </w:p>
              </w:tc>
              <w:tc>
                <w:tcPr>
                  <w:tcW w:w="1653" w:type="dxa"/>
                  <w:tcBorders>
                    <w:left w:val="nil"/>
                    <w:right w:val="nil"/>
                  </w:tcBorders>
                  <w:vAlign w:val="center"/>
                </w:tcPr>
                <w:p w14:paraId="39A97D3E"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.327***</w:t>
                  </w:r>
                </w:p>
              </w:tc>
              <w:tc>
                <w:tcPr>
                  <w:tcW w:w="1654" w:type="dxa"/>
                  <w:tcBorders>
                    <w:left w:val="nil"/>
                    <w:right w:val="nil"/>
                  </w:tcBorders>
                  <w:vAlign w:val="center"/>
                </w:tcPr>
                <w:p w14:paraId="36367C5B"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.028</w:t>
                  </w:r>
                </w:p>
              </w:tc>
              <w:tc>
                <w:tcPr>
                  <w:tcW w:w="1653" w:type="dxa"/>
                  <w:tcBorders>
                    <w:left w:val="nil"/>
                    <w:right w:val="nil"/>
                  </w:tcBorders>
                  <w:vAlign w:val="center"/>
                </w:tcPr>
                <w:p w14:paraId="2DFA4EB7"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.361***</w:t>
                  </w:r>
                </w:p>
              </w:tc>
              <w:tc>
                <w:tcPr>
                  <w:tcW w:w="1654" w:type="dxa"/>
                  <w:tcBorders>
                    <w:left w:val="nil"/>
                    <w:right w:val="nil"/>
                  </w:tcBorders>
                  <w:vAlign w:val="center"/>
                </w:tcPr>
                <w:p w14:paraId="76AA8863"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.023</w:t>
                  </w:r>
                </w:p>
              </w:tc>
            </w:tr>
            <w:tr w:rsidR="00BE7E1E" w:rsidRPr="00F60760" w14:paraId="79377DC5" w14:textId="77777777" w:rsidTr="00BE7E1E">
              <w:trPr>
                <w:jc w:val="center"/>
              </w:trPr>
              <w:tc>
                <w:tcPr>
                  <w:tcW w:w="2242" w:type="dxa"/>
                  <w:tcBorders>
                    <w:top w:val="nil"/>
                    <w:left w:val="nil"/>
                    <w:bottom w:val="nil"/>
                    <w:right w:val="nil"/>
                  </w:tcBorders>
                </w:tcPr>
                <w:p w14:paraId="1D35CC58"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53" w:type="dxa"/>
                  <w:tcBorders>
                    <w:left w:val="nil"/>
                    <w:right w:val="nil"/>
                  </w:tcBorders>
                  <w:vAlign w:val="center"/>
                </w:tcPr>
                <w:p w14:paraId="33ED0344"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(3.077)</w:t>
                  </w:r>
                </w:p>
              </w:tc>
              <w:tc>
                <w:tcPr>
                  <w:tcW w:w="1654" w:type="dxa"/>
                  <w:tcBorders>
                    <w:left w:val="nil"/>
                    <w:right w:val="nil"/>
                  </w:tcBorders>
                  <w:vAlign w:val="center"/>
                </w:tcPr>
                <w:p w14:paraId="26A3237E"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(.764)</w:t>
                  </w:r>
                </w:p>
              </w:tc>
              <w:tc>
                <w:tcPr>
                  <w:tcW w:w="1653" w:type="dxa"/>
                  <w:tcBorders>
                    <w:left w:val="nil"/>
                    <w:right w:val="nil"/>
                  </w:tcBorders>
                  <w:vAlign w:val="center"/>
                </w:tcPr>
                <w:p w14:paraId="0C89432C"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(3.723)</w:t>
                  </w:r>
                </w:p>
              </w:tc>
              <w:tc>
                <w:tcPr>
                  <w:tcW w:w="1654" w:type="dxa"/>
                  <w:tcBorders>
                    <w:left w:val="nil"/>
                    <w:right w:val="nil"/>
                  </w:tcBorders>
                  <w:vAlign w:val="center"/>
                </w:tcPr>
                <w:p w14:paraId="08E2A097"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(.567)</w:t>
                  </w:r>
                </w:p>
              </w:tc>
            </w:tr>
            <w:tr w:rsidR="00BE7E1E" w:rsidRPr="00F60760" w14:paraId="219A0FB1" w14:textId="77777777" w:rsidTr="00BE7E1E">
              <w:trPr>
                <w:jc w:val="center"/>
              </w:trPr>
              <w:tc>
                <w:tcPr>
                  <w:tcW w:w="2242" w:type="dxa"/>
                  <w:tcBorders>
                    <w:top w:val="nil"/>
                    <w:left w:val="nil"/>
                    <w:bottom w:val="nil"/>
                    <w:right w:val="nil"/>
                  </w:tcBorders>
                </w:tcPr>
                <w:p w14:paraId="60E0E241"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acq_industrygrowth</w:t>
                  </w:r>
                </w:p>
              </w:tc>
              <w:tc>
                <w:tcPr>
                  <w:tcW w:w="1653" w:type="dxa"/>
                  <w:tcBorders>
                    <w:left w:val="nil"/>
                    <w:right w:val="nil"/>
                  </w:tcBorders>
                  <w:vAlign w:val="center"/>
                </w:tcPr>
                <w:p w14:paraId="2E54C2D6"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-3.346**</w:t>
                  </w:r>
                </w:p>
              </w:tc>
              <w:tc>
                <w:tcPr>
                  <w:tcW w:w="1654" w:type="dxa"/>
                  <w:tcBorders>
                    <w:left w:val="nil"/>
                    <w:right w:val="nil"/>
                  </w:tcBorders>
                  <w:vAlign w:val="center"/>
                </w:tcPr>
                <w:p w14:paraId="04C362D0"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11.982*</w:t>
                  </w:r>
                </w:p>
              </w:tc>
              <w:tc>
                <w:tcPr>
                  <w:tcW w:w="1653" w:type="dxa"/>
                  <w:tcBorders>
                    <w:left w:val="nil"/>
                    <w:right w:val="nil"/>
                  </w:tcBorders>
                  <w:vAlign w:val="center"/>
                </w:tcPr>
                <w:p w14:paraId="183C01E9"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-3.919***</w:t>
                  </w:r>
                </w:p>
              </w:tc>
              <w:tc>
                <w:tcPr>
                  <w:tcW w:w="1654" w:type="dxa"/>
                  <w:tcBorders>
                    <w:left w:val="nil"/>
                    <w:right w:val="nil"/>
                  </w:tcBorders>
                  <w:vAlign w:val="center"/>
                </w:tcPr>
                <w:p w14:paraId="51220802"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11.418</w:t>
                  </w:r>
                </w:p>
              </w:tc>
            </w:tr>
            <w:tr w:rsidR="00BE7E1E" w:rsidRPr="00F60760" w14:paraId="0D7D4026" w14:textId="77777777" w:rsidTr="00BE7E1E">
              <w:trPr>
                <w:jc w:val="center"/>
              </w:trPr>
              <w:tc>
                <w:tcPr>
                  <w:tcW w:w="2242" w:type="dxa"/>
                  <w:tcBorders>
                    <w:top w:val="nil"/>
                    <w:left w:val="nil"/>
                    <w:bottom w:val="nil"/>
                    <w:right w:val="nil"/>
                  </w:tcBorders>
                </w:tcPr>
                <w:p w14:paraId="2E58C069"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53" w:type="dxa"/>
                  <w:tcBorders>
                    <w:left w:val="nil"/>
                    <w:right w:val="nil"/>
                  </w:tcBorders>
                  <w:vAlign w:val="center"/>
                </w:tcPr>
                <w:p w14:paraId="1DDA3E15"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(-2.305)</w:t>
                  </w:r>
                </w:p>
              </w:tc>
              <w:tc>
                <w:tcPr>
                  <w:tcW w:w="1654" w:type="dxa"/>
                  <w:tcBorders>
                    <w:left w:val="nil"/>
                    <w:right w:val="nil"/>
                  </w:tcBorders>
                  <w:vAlign w:val="center"/>
                </w:tcPr>
                <w:p w14:paraId="588C7F79"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(1.953)</w:t>
                  </w:r>
                </w:p>
              </w:tc>
              <w:tc>
                <w:tcPr>
                  <w:tcW w:w="1653" w:type="dxa"/>
                  <w:tcBorders>
                    <w:left w:val="nil"/>
                    <w:right w:val="nil"/>
                  </w:tcBorders>
                  <w:vAlign w:val="center"/>
                </w:tcPr>
                <w:p w14:paraId="1139D8D8"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(-2.922)</w:t>
                  </w:r>
                </w:p>
              </w:tc>
              <w:tc>
                <w:tcPr>
                  <w:tcW w:w="1654" w:type="dxa"/>
                  <w:tcBorders>
                    <w:left w:val="nil"/>
                    <w:right w:val="nil"/>
                  </w:tcBorders>
                  <w:vAlign w:val="center"/>
                </w:tcPr>
                <w:p w14:paraId="734086B8"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(1.594)</w:t>
                  </w:r>
                </w:p>
              </w:tc>
            </w:tr>
            <w:tr w:rsidR="00BE7E1E" w:rsidRPr="00F60760" w14:paraId="07EE2CAD" w14:textId="77777777" w:rsidTr="00BE7E1E">
              <w:trPr>
                <w:jc w:val="center"/>
              </w:trPr>
              <w:tc>
                <w:tcPr>
                  <w:tcW w:w="2242" w:type="dxa"/>
                  <w:tcBorders>
                    <w:top w:val="nil"/>
                    <w:left w:val="nil"/>
                    <w:bottom w:val="nil"/>
                    <w:right w:val="nil"/>
                  </w:tcBorders>
                </w:tcPr>
                <w:p w14:paraId="1912BCA9"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acq_dealexperience</w:t>
                  </w:r>
                </w:p>
              </w:tc>
              <w:tc>
                <w:tcPr>
                  <w:tcW w:w="1653" w:type="dxa"/>
                  <w:tcBorders>
                    <w:left w:val="nil"/>
                    <w:right w:val="nil"/>
                  </w:tcBorders>
                  <w:vAlign w:val="center"/>
                </w:tcPr>
                <w:p w14:paraId="7EDC647A"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-.257**</w:t>
                  </w:r>
                </w:p>
              </w:tc>
              <w:tc>
                <w:tcPr>
                  <w:tcW w:w="1654" w:type="dxa"/>
                  <w:tcBorders>
                    <w:left w:val="nil"/>
                    <w:right w:val="nil"/>
                  </w:tcBorders>
                  <w:vAlign w:val="center"/>
                </w:tcPr>
                <w:p w14:paraId="6807884A"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.103**</w:t>
                  </w:r>
                </w:p>
              </w:tc>
              <w:tc>
                <w:tcPr>
                  <w:tcW w:w="1653" w:type="dxa"/>
                  <w:tcBorders>
                    <w:left w:val="nil"/>
                    <w:right w:val="nil"/>
                  </w:tcBorders>
                  <w:vAlign w:val="center"/>
                </w:tcPr>
                <w:p w14:paraId="3A16917A"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-.258***</w:t>
                  </w:r>
                </w:p>
              </w:tc>
              <w:tc>
                <w:tcPr>
                  <w:tcW w:w="1654" w:type="dxa"/>
                  <w:tcBorders>
                    <w:left w:val="nil"/>
                    <w:right w:val="nil"/>
                  </w:tcBorders>
                  <w:vAlign w:val="center"/>
                </w:tcPr>
                <w:p w14:paraId="0ED7CD5D"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.070*</w:t>
                  </w:r>
                </w:p>
              </w:tc>
            </w:tr>
            <w:tr w:rsidR="00BE7E1E" w:rsidRPr="00F60760" w14:paraId="0E1A1A11" w14:textId="77777777" w:rsidTr="00BE7E1E">
              <w:trPr>
                <w:jc w:val="center"/>
              </w:trPr>
              <w:tc>
                <w:tcPr>
                  <w:tcW w:w="2242" w:type="dxa"/>
                  <w:tcBorders>
                    <w:top w:val="nil"/>
                    <w:left w:val="nil"/>
                    <w:bottom w:val="nil"/>
                    <w:right w:val="nil"/>
                  </w:tcBorders>
                </w:tcPr>
                <w:p w14:paraId="57348BB0"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53" w:type="dxa"/>
                  <w:tcBorders>
                    <w:left w:val="nil"/>
                    <w:right w:val="nil"/>
                  </w:tcBorders>
                  <w:vAlign w:val="center"/>
                </w:tcPr>
                <w:p w14:paraId="15DFCA8A"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(-2.009)</w:t>
                  </w:r>
                </w:p>
              </w:tc>
              <w:tc>
                <w:tcPr>
                  <w:tcW w:w="1654" w:type="dxa"/>
                  <w:tcBorders>
                    <w:left w:val="nil"/>
                    <w:right w:val="nil"/>
                  </w:tcBorders>
                  <w:vAlign w:val="center"/>
                </w:tcPr>
                <w:p w14:paraId="4569BD51"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(2.433)</w:t>
                  </w:r>
                </w:p>
              </w:tc>
              <w:tc>
                <w:tcPr>
                  <w:tcW w:w="1653" w:type="dxa"/>
                  <w:tcBorders>
                    <w:left w:val="nil"/>
                    <w:right w:val="nil"/>
                  </w:tcBorders>
                  <w:vAlign w:val="center"/>
                </w:tcPr>
                <w:p w14:paraId="39928F8B"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(-2.850)</w:t>
                  </w:r>
                </w:p>
              </w:tc>
              <w:tc>
                <w:tcPr>
                  <w:tcW w:w="1654" w:type="dxa"/>
                  <w:tcBorders>
                    <w:left w:val="nil"/>
                    <w:right w:val="nil"/>
                  </w:tcBorders>
                  <w:vAlign w:val="center"/>
                </w:tcPr>
                <w:p w14:paraId="46999C9D"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(1.944)</w:t>
                  </w:r>
                </w:p>
              </w:tc>
            </w:tr>
            <w:tr w:rsidR="00BE7E1E" w:rsidRPr="00F60760" w14:paraId="76D33E52" w14:textId="77777777" w:rsidTr="00BE7E1E">
              <w:trPr>
                <w:jc w:val="center"/>
              </w:trPr>
              <w:tc>
                <w:tcPr>
                  <w:tcW w:w="2242" w:type="dxa"/>
                  <w:tcBorders>
                    <w:top w:val="nil"/>
                    <w:left w:val="nil"/>
                    <w:bottom w:val="nil"/>
                    <w:right w:val="nil"/>
                  </w:tcBorders>
                  <w:vAlign w:val="center"/>
                </w:tcPr>
                <w:p w14:paraId="1A66A84A"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acq_rd_intensity</w:t>
                  </w:r>
                </w:p>
              </w:tc>
              <w:tc>
                <w:tcPr>
                  <w:tcW w:w="1653" w:type="dxa"/>
                  <w:tcBorders>
                    <w:left w:val="nil"/>
                    <w:right w:val="nil"/>
                  </w:tcBorders>
                  <w:vAlign w:val="center"/>
                </w:tcPr>
                <w:p w14:paraId="6F52D581"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.432</w:t>
                  </w:r>
                </w:p>
              </w:tc>
              <w:tc>
                <w:tcPr>
                  <w:tcW w:w="1654" w:type="dxa"/>
                  <w:tcBorders>
                    <w:left w:val="nil"/>
                    <w:right w:val="nil"/>
                  </w:tcBorders>
                  <w:vAlign w:val="center"/>
                </w:tcPr>
                <w:p w14:paraId="57D59FA9"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-1.490</w:t>
                  </w:r>
                </w:p>
              </w:tc>
              <w:tc>
                <w:tcPr>
                  <w:tcW w:w="1653" w:type="dxa"/>
                  <w:tcBorders>
                    <w:left w:val="nil"/>
                    <w:right w:val="nil"/>
                  </w:tcBorders>
                  <w:vAlign w:val="center"/>
                </w:tcPr>
                <w:p w14:paraId="737C5FE9"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1.136</w:t>
                  </w:r>
                </w:p>
              </w:tc>
              <w:tc>
                <w:tcPr>
                  <w:tcW w:w="1654" w:type="dxa"/>
                  <w:tcBorders>
                    <w:left w:val="nil"/>
                    <w:right w:val="nil"/>
                  </w:tcBorders>
                  <w:vAlign w:val="center"/>
                </w:tcPr>
                <w:p w14:paraId="0578654F"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-1.169</w:t>
                  </w:r>
                </w:p>
              </w:tc>
            </w:tr>
            <w:tr w:rsidR="00BE7E1E" w:rsidRPr="00F60760" w14:paraId="649949DE" w14:textId="77777777" w:rsidTr="00BE7E1E">
              <w:trPr>
                <w:jc w:val="center"/>
              </w:trPr>
              <w:tc>
                <w:tcPr>
                  <w:tcW w:w="2242" w:type="dxa"/>
                  <w:tcBorders>
                    <w:top w:val="nil"/>
                    <w:left w:val="nil"/>
                    <w:bottom w:val="nil"/>
                    <w:right w:val="nil"/>
                  </w:tcBorders>
                  <w:vAlign w:val="center"/>
                </w:tcPr>
                <w:p w14:paraId="210AB997"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p>
              </w:tc>
              <w:tc>
                <w:tcPr>
                  <w:tcW w:w="1653" w:type="dxa"/>
                  <w:tcBorders>
                    <w:left w:val="nil"/>
                    <w:right w:val="nil"/>
                  </w:tcBorders>
                  <w:vAlign w:val="center"/>
                </w:tcPr>
                <w:p w14:paraId="337E9B9D"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(.421)</w:t>
                  </w:r>
                </w:p>
              </w:tc>
              <w:tc>
                <w:tcPr>
                  <w:tcW w:w="1654" w:type="dxa"/>
                  <w:tcBorders>
                    <w:left w:val="nil"/>
                    <w:right w:val="nil"/>
                  </w:tcBorders>
                  <w:vAlign w:val="center"/>
                </w:tcPr>
                <w:p w14:paraId="1B24B3FF"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(-1.487)</w:t>
                  </w:r>
                </w:p>
              </w:tc>
              <w:tc>
                <w:tcPr>
                  <w:tcW w:w="1653" w:type="dxa"/>
                  <w:tcBorders>
                    <w:left w:val="nil"/>
                    <w:right w:val="nil"/>
                  </w:tcBorders>
                  <w:vAlign w:val="center"/>
                </w:tcPr>
                <w:p w14:paraId="04BBC3BD"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(.790)</w:t>
                  </w:r>
                </w:p>
              </w:tc>
              <w:tc>
                <w:tcPr>
                  <w:tcW w:w="1654" w:type="dxa"/>
                  <w:tcBorders>
                    <w:left w:val="nil"/>
                    <w:right w:val="nil"/>
                  </w:tcBorders>
                  <w:vAlign w:val="center"/>
                </w:tcPr>
                <w:p w14:paraId="3250E621"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(-1.175)</w:t>
                  </w:r>
                </w:p>
              </w:tc>
            </w:tr>
            <w:tr w:rsidR="00BE7E1E" w:rsidRPr="00F60760" w14:paraId="5A84271E" w14:textId="77777777" w:rsidTr="00BE7E1E">
              <w:trPr>
                <w:jc w:val="center"/>
              </w:trPr>
              <w:tc>
                <w:tcPr>
                  <w:tcW w:w="2242" w:type="dxa"/>
                  <w:tcBorders>
                    <w:top w:val="nil"/>
                    <w:left w:val="nil"/>
                    <w:bottom w:val="nil"/>
                    <w:right w:val="nil"/>
                  </w:tcBorders>
                </w:tcPr>
                <w:p w14:paraId="67B3A73B"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tar_age</w:t>
                  </w:r>
                </w:p>
              </w:tc>
              <w:tc>
                <w:tcPr>
                  <w:tcW w:w="1653" w:type="dxa"/>
                  <w:tcBorders>
                    <w:left w:val="nil"/>
                    <w:right w:val="nil"/>
                  </w:tcBorders>
                  <w:vAlign w:val="center"/>
                </w:tcPr>
                <w:p w14:paraId="72237D9D"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c>
                <w:tcPr>
                  <w:tcW w:w="1654" w:type="dxa"/>
                  <w:tcBorders>
                    <w:left w:val="nil"/>
                    <w:right w:val="nil"/>
                  </w:tcBorders>
                  <w:vAlign w:val="center"/>
                </w:tcPr>
                <w:p w14:paraId="5696E18D"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-.003</w:t>
                  </w:r>
                </w:p>
              </w:tc>
              <w:tc>
                <w:tcPr>
                  <w:tcW w:w="1653" w:type="dxa"/>
                  <w:tcBorders>
                    <w:left w:val="nil"/>
                    <w:right w:val="nil"/>
                  </w:tcBorders>
                  <w:vAlign w:val="center"/>
                </w:tcPr>
                <w:p w14:paraId="42510312"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w:t>
                  </w:r>
                </w:p>
              </w:tc>
              <w:tc>
                <w:tcPr>
                  <w:tcW w:w="1654" w:type="dxa"/>
                  <w:tcBorders>
                    <w:left w:val="nil"/>
                    <w:right w:val="nil"/>
                  </w:tcBorders>
                  <w:vAlign w:val="center"/>
                </w:tcPr>
                <w:p w14:paraId="38EF9717"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-.002</w:t>
                  </w:r>
                </w:p>
              </w:tc>
            </w:tr>
            <w:tr w:rsidR="00BE7E1E" w:rsidRPr="00F60760" w14:paraId="3B5CF95E" w14:textId="77777777" w:rsidTr="00BE7E1E">
              <w:trPr>
                <w:jc w:val="center"/>
              </w:trPr>
              <w:tc>
                <w:tcPr>
                  <w:tcW w:w="2242" w:type="dxa"/>
                  <w:tcBorders>
                    <w:top w:val="nil"/>
                    <w:left w:val="nil"/>
                    <w:bottom w:val="nil"/>
                    <w:right w:val="nil"/>
                  </w:tcBorders>
                </w:tcPr>
                <w:p w14:paraId="1ADD9AF8"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53" w:type="dxa"/>
                  <w:tcBorders>
                    <w:left w:val="nil"/>
                    <w:right w:val="nil"/>
                  </w:tcBorders>
                  <w:vAlign w:val="center"/>
                </w:tcPr>
                <w:p w14:paraId="428ED33E"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(-.235)</w:t>
                  </w:r>
                </w:p>
              </w:tc>
              <w:tc>
                <w:tcPr>
                  <w:tcW w:w="1654" w:type="dxa"/>
                  <w:tcBorders>
                    <w:left w:val="nil"/>
                    <w:right w:val="nil"/>
                  </w:tcBorders>
                  <w:vAlign w:val="center"/>
                </w:tcPr>
                <w:p w14:paraId="7C4ABF5F"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(-1.481)</w:t>
                  </w:r>
                </w:p>
              </w:tc>
              <w:tc>
                <w:tcPr>
                  <w:tcW w:w="1653" w:type="dxa"/>
                  <w:tcBorders>
                    <w:left w:val="nil"/>
                    <w:right w:val="nil"/>
                  </w:tcBorders>
                  <w:vAlign w:val="center"/>
                </w:tcPr>
                <w:p w14:paraId="4412B38A"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(.160)</w:t>
                  </w:r>
                </w:p>
              </w:tc>
              <w:tc>
                <w:tcPr>
                  <w:tcW w:w="1654" w:type="dxa"/>
                  <w:tcBorders>
                    <w:left w:val="nil"/>
                    <w:right w:val="nil"/>
                  </w:tcBorders>
                  <w:vAlign w:val="center"/>
                </w:tcPr>
                <w:p w14:paraId="1C7E7BB8"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(-1.012)</w:t>
                  </w:r>
                </w:p>
              </w:tc>
            </w:tr>
            <w:tr w:rsidR="00BE7E1E" w:rsidRPr="00F60760" w14:paraId="12803C8E" w14:textId="77777777" w:rsidTr="00BE7E1E">
              <w:trPr>
                <w:jc w:val="center"/>
              </w:trPr>
              <w:tc>
                <w:tcPr>
                  <w:tcW w:w="2242" w:type="dxa"/>
                  <w:tcBorders>
                    <w:top w:val="nil"/>
                    <w:left w:val="nil"/>
                    <w:bottom w:val="nil"/>
                    <w:right w:val="nil"/>
                  </w:tcBorders>
                </w:tcPr>
                <w:p w14:paraId="78D75579"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tar_assets_lastyear_ln</w:t>
                  </w:r>
                </w:p>
              </w:tc>
              <w:tc>
                <w:tcPr>
                  <w:tcW w:w="1653" w:type="dxa"/>
                  <w:tcBorders>
                    <w:left w:val="nil"/>
                    <w:right w:val="nil"/>
                  </w:tcBorders>
                  <w:vAlign w:val="center"/>
                </w:tcPr>
                <w:p w14:paraId="77F70A59"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.039</w:t>
                  </w:r>
                </w:p>
              </w:tc>
              <w:tc>
                <w:tcPr>
                  <w:tcW w:w="1654" w:type="dxa"/>
                  <w:tcBorders>
                    <w:left w:val="nil"/>
                    <w:right w:val="nil"/>
                  </w:tcBorders>
                  <w:vAlign w:val="center"/>
                </w:tcPr>
                <w:p w14:paraId="5B55013A"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-.018</w:t>
                  </w:r>
                </w:p>
              </w:tc>
              <w:tc>
                <w:tcPr>
                  <w:tcW w:w="1653" w:type="dxa"/>
                  <w:tcBorders>
                    <w:left w:val="nil"/>
                    <w:right w:val="nil"/>
                  </w:tcBorders>
                  <w:vAlign w:val="center"/>
                </w:tcPr>
                <w:p w14:paraId="5A2AB0A0"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.022</w:t>
                  </w:r>
                </w:p>
              </w:tc>
              <w:tc>
                <w:tcPr>
                  <w:tcW w:w="1654" w:type="dxa"/>
                  <w:tcBorders>
                    <w:left w:val="nil"/>
                    <w:right w:val="nil"/>
                  </w:tcBorders>
                  <w:vAlign w:val="center"/>
                </w:tcPr>
                <w:p w14:paraId="32C6DFB0"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-.038</w:t>
                  </w:r>
                </w:p>
              </w:tc>
            </w:tr>
            <w:tr w:rsidR="00BE7E1E" w:rsidRPr="00F60760" w14:paraId="55D3DC2A" w14:textId="77777777" w:rsidTr="00BE7E1E">
              <w:trPr>
                <w:jc w:val="center"/>
              </w:trPr>
              <w:tc>
                <w:tcPr>
                  <w:tcW w:w="2242" w:type="dxa"/>
                  <w:tcBorders>
                    <w:top w:val="nil"/>
                    <w:left w:val="nil"/>
                    <w:bottom w:val="nil"/>
                    <w:right w:val="nil"/>
                  </w:tcBorders>
                </w:tcPr>
                <w:p w14:paraId="5C9FD05A"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53" w:type="dxa"/>
                  <w:tcBorders>
                    <w:left w:val="nil"/>
                    <w:right w:val="nil"/>
                  </w:tcBorders>
                  <w:vAlign w:val="center"/>
                </w:tcPr>
                <w:p w14:paraId="7A08F272"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(.356)</w:t>
                  </w:r>
                </w:p>
              </w:tc>
              <w:tc>
                <w:tcPr>
                  <w:tcW w:w="1654" w:type="dxa"/>
                  <w:tcBorders>
                    <w:left w:val="nil"/>
                    <w:right w:val="nil"/>
                  </w:tcBorders>
                  <w:vAlign w:val="center"/>
                </w:tcPr>
                <w:p w14:paraId="4449F2E1"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(-.174)</w:t>
                  </w:r>
                </w:p>
              </w:tc>
              <w:tc>
                <w:tcPr>
                  <w:tcW w:w="1653" w:type="dxa"/>
                  <w:tcBorders>
                    <w:left w:val="nil"/>
                    <w:right w:val="nil"/>
                  </w:tcBorders>
                  <w:vAlign w:val="center"/>
                </w:tcPr>
                <w:p w14:paraId="27C87463"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(.213)</w:t>
                  </w:r>
                </w:p>
              </w:tc>
              <w:tc>
                <w:tcPr>
                  <w:tcW w:w="1654" w:type="dxa"/>
                  <w:tcBorders>
                    <w:left w:val="nil"/>
                    <w:right w:val="nil"/>
                  </w:tcBorders>
                  <w:vAlign w:val="center"/>
                </w:tcPr>
                <w:p w14:paraId="5025D11B"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(-.337)</w:t>
                  </w:r>
                </w:p>
              </w:tc>
            </w:tr>
            <w:tr w:rsidR="00BE7E1E" w:rsidRPr="00F60760" w14:paraId="681B5820" w14:textId="77777777" w:rsidTr="00BE7E1E">
              <w:trPr>
                <w:jc w:val="center"/>
              </w:trPr>
              <w:tc>
                <w:tcPr>
                  <w:tcW w:w="2242" w:type="dxa"/>
                  <w:tcBorders>
                    <w:top w:val="nil"/>
                    <w:left w:val="nil"/>
                    <w:bottom w:val="nil"/>
                    <w:right w:val="nil"/>
                  </w:tcBorders>
                </w:tcPr>
                <w:p w14:paraId="3BB20B8D"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lastRenderedPageBreak/>
                    <w:t xml:space="preserve"> tar_roa_lastyear</w:t>
                  </w:r>
                </w:p>
              </w:tc>
              <w:tc>
                <w:tcPr>
                  <w:tcW w:w="1653" w:type="dxa"/>
                  <w:tcBorders>
                    <w:left w:val="nil"/>
                    <w:right w:val="nil"/>
                  </w:tcBorders>
                  <w:vAlign w:val="center"/>
                </w:tcPr>
                <w:p w14:paraId="38720753"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-.115</w:t>
                  </w:r>
                </w:p>
              </w:tc>
              <w:tc>
                <w:tcPr>
                  <w:tcW w:w="1654" w:type="dxa"/>
                  <w:tcBorders>
                    <w:left w:val="nil"/>
                    <w:right w:val="nil"/>
                  </w:tcBorders>
                  <w:vAlign w:val="center"/>
                </w:tcPr>
                <w:p w14:paraId="098FD299"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.145</w:t>
                  </w:r>
                </w:p>
              </w:tc>
              <w:tc>
                <w:tcPr>
                  <w:tcW w:w="1653" w:type="dxa"/>
                  <w:tcBorders>
                    <w:left w:val="nil"/>
                    <w:right w:val="nil"/>
                  </w:tcBorders>
                  <w:vAlign w:val="center"/>
                </w:tcPr>
                <w:p w14:paraId="1EB711CE"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-.145</w:t>
                  </w:r>
                </w:p>
              </w:tc>
              <w:tc>
                <w:tcPr>
                  <w:tcW w:w="1654" w:type="dxa"/>
                  <w:tcBorders>
                    <w:left w:val="nil"/>
                    <w:right w:val="nil"/>
                  </w:tcBorders>
                  <w:vAlign w:val="center"/>
                </w:tcPr>
                <w:p w14:paraId="7032CE25"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.137</w:t>
                  </w:r>
                </w:p>
              </w:tc>
            </w:tr>
            <w:tr w:rsidR="00BE7E1E" w:rsidRPr="00F60760" w14:paraId="674C0071" w14:textId="77777777" w:rsidTr="00BE7E1E">
              <w:trPr>
                <w:jc w:val="center"/>
              </w:trPr>
              <w:tc>
                <w:tcPr>
                  <w:tcW w:w="2242" w:type="dxa"/>
                  <w:tcBorders>
                    <w:top w:val="nil"/>
                    <w:left w:val="nil"/>
                    <w:bottom w:val="nil"/>
                    <w:right w:val="nil"/>
                  </w:tcBorders>
                </w:tcPr>
                <w:p w14:paraId="7C10B909"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53" w:type="dxa"/>
                  <w:tcBorders>
                    <w:left w:val="nil"/>
                    <w:right w:val="nil"/>
                  </w:tcBorders>
                  <w:vAlign w:val="center"/>
                </w:tcPr>
                <w:p w14:paraId="28978050"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(-.358)</w:t>
                  </w:r>
                </w:p>
              </w:tc>
              <w:tc>
                <w:tcPr>
                  <w:tcW w:w="1654" w:type="dxa"/>
                  <w:tcBorders>
                    <w:left w:val="nil"/>
                    <w:right w:val="nil"/>
                  </w:tcBorders>
                  <w:vAlign w:val="center"/>
                </w:tcPr>
                <w:p w14:paraId="57224238"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(.371)</w:t>
                  </w:r>
                </w:p>
              </w:tc>
              <w:tc>
                <w:tcPr>
                  <w:tcW w:w="1653" w:type="dxa"/>
                  <w:tcBorders>
                    <w:left w:val="nil"/>
                    <w:right w:val="nil"/>
                  </w:tcBorders>
                  <w:vAlign w:val="center"/>
                </w:tcPr>
                <w:p w14:paraId="0F62296D"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(-.471)</w:t>
                  </w:r>
                </w:p>
              </w:tc>
              <w:tc>
                <w:tcPr>
                  <w:tcW w:w="1654" w:type="dxa"/>
                  <w:tcBorders>
                    <w:left w:val="nil"/>
                    <w:right w:val="nil"/>
                  </w:tcBorders>
                  <w:vAlign w:val="center"/>
                </w:tcPr>
                <w:p w14:paraId="43DBEE26"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(.340)</w:t>
                  </w:r>
                </w:p>
              </w:tc>
            </w:tr>
            <w:tr w:rsidR="00BE7E1E" w:rsidRPr="00F60760" w14:paraId="56336C2C" w14:textId="77777777" w:rsidTr="00BE7E1E">
              <w:trPr>
                <w:jc w:val="center"/>
              </w:trPr>
              <w:tc>
                <w:tcPr>
                  <w:tcW w:w="2242" w:type="dxa"/>
                  <w:tcBorders>
                    <w:top w:val="nil"/>
                    <w:left w:val="nil"/>
                    <w:bottom w:val="nil"/>
                    <w:right w:val="nil"/>
                  </w:tcBorders>
                </w:tcPr>
                <w:p w14:paraId="69B9EAAE"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tar_mbratio</w:t>
                  </w:r>
                </w:p>
              </w:tc>
              <w:tc>
                <w:tcPr>
                  <w:tcW w:w="1653" w:type="dxa"/>
                  <w:tcBorders>
                    <w:left w:val="nil"/>
                    <w:right w:val="nil"/>
                  </w:tcBorders>
                  <w:vAlign w:val="center"/>
                </w:tcPr>
                <w:p w14:paraId="1C6D0A2D"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.020***</w:t>
                  </w:r>
                </w:p>
              </w:tc>
              <w:tc>
                <w:tcPr>
                  <w:tcW w:w="1654" w:type="dxa"/>
                  <w:tcBorders>
                    <w:left w:val="nil"/>
                    <w:right w:val="nil"/>
                  </w:tcBorders>
                  <w:vAlign w:val="center"/>
                </w:tcPr>
                <w:p w14:paraId="1E2C2895"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c>
                <w:tcPr>
                  <w:tcW w:w="1653" w:type="dxa"/>
                  <w:tcBorders>
                    <w:left w:val="nil"/>
                    <w:right w:val="nil"/>
                  </w:tcBorders>
                  <w:vAlign w:val="center"/>
                </w:tcPr>
                <w:p w14:paraId="4CB07841"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.021***</w:t>
                  </w:r>
                </w:p>
              </w:tc>
              <w:tc>
                <w:tcPr>
                  <w:tcW w:w="1654" w:type="dxa"/>
                  <w:tcBorders>
                    <w:left w:val="nil"/>
                    <w:right w:val="nil"/>
                  </w:tcBorders>
                  <w:vAlign w:val="center"/>
                </w:tcPr>
                <w:p w14:paraId="29023EE4"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-.010*</w:t>
                  </w:r>
                </w:p>
              </w:tc>
            </w:tr>
            <w:tr w:rsidR="00BE7E1E" w:rsidRPr="00F60760" w14:paraId="368966BB" w14:textId="77777777" w:rsidTr="00BE7E1E">
              <w:trPr>
                <w:jc w:val="center"/>
              </w:trPr>
              <w:tc>
                <w:tcPr>
                  <w:tcW w:w="2242" w:type="dxa"/>
                  <w:tcBorders>
                    <w:top w:val="nil"/>
                    <w:left w:val="nil"/>
                    <w:bottom w:val="nil"/>
                    <w:right w:val="nil"/>
                  </w:tcBorders>
                </w:tcPr>
                <w:p w14:paraId="0DC9A86F"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53" w:type="dxa"/>
                  <w:tcBorders>
                    <w:left w:val="nil"/>
                    <w:right w:val="nil"/>
                  </w:tcBorders>
                  <w:vAlign w:val="center"/>
                </w:tcPr>
                <w:p w14:paraId="0C4F52A4"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(2.884)</w:t>
                  </w:r>
                </w:p>
              </w:tc>
              <w:tc>
                <w:tcPr>
                  <w:tcW w:w="1654" w:type="dxa"/>
                  <w:tcBorders>
                    <w:left w:val="nil"/>
                    <w:right w:val="nil"/>
                  </w:tcBorders>
                  <w:vAlign w:val="center"/>
                </w:tcPr>
                <w:p w14:paraId="5A22066A"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(-0.074)</w:t>
                  </w:r>
                </w:p>
              </w:tc>
              <w:tc>
                <w:tcPr>
                  <w:tcW w:w="1653" w:type="dxa"/>
                  <w:tcBorders>
                    <w:left w:val="nil"/>
                    <w:right w:val="nil"/>
                  </w:tcBorders>
                  <w:vAlign w:val="center"/>
                </w:tcPr>
                <w:p w14:paraId="158E8A65"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(3.852)</w:t>
                  </w:r>
                </w:p>
              </w:tc>
              <w:tc>
                <w:tcPr>
                  <w:tcW w:w="1654" w:type="dxa"/>
                  <w:tcBorders>
                    <w:left w:val="nil"/>
                    <w:right w:val="nil"/>
                  </w:tcBorders>
                  <w:vAlign w:val="center"/>
                </w:tcPr>
                <w:p w14:paraId="18600415"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(-1.919)</w:t>
                  </w:r>
                </w:p>
              </w:tc>
            </w:tr>
            <w:tr w:rsidR="00BE7E1E" w:rsidRPr="00F60760" w14:paraId="596FD952" w14:textId="77777777" w:rsidTr="00BE7E1E">
              <w:trPr>
                <w:jc w:val="center"/>
              </w:trPr>
              <w:tc>
                <w:tcPr>
                  <w:tcW w:w="2242" w:type="dxa"/>
                  <w:tcBorders>
                    <w:top w:val="nil"/>
                    <w:left w:val="nil"/>
                    <w:bottom w:val="nil"/>
                    <w:right w:val="nil"/>
                  </w:tcBorders>
                </w:tcPr>
                <w:p w14:paraId="5036EA40"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Observations</w:t>
                  </w:r>
                </w:p>
              </w:tc>
              <w:tc>
                <w:tcPr>
                  <w:tcW w:w="1653" w:type="dxa"/>
                  <w:tcBorders>
                    <w:left w:val="nil"/>
                    <w:right w:val="nil"/>
                  </w:tcBorders>
                  <w:vAlign w:val="center"/>
                </w:tcPr>
                <w:p w14:paraId="65C57CAE"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187</w:t>
                  </w:r>
                </w:p>
              </w:tc>
              <w:tc>
                <w:tcPr>
                  <w:tcW w:w="1654" w:type="dxa"/>
                  <w:tcBorders>
                    <w:left w:val="nil"/>
                    <w:right w:val="nil"/>
                  </w:tcBorders>
                  <w:vAlign w:val="center"/>
                </w:tcPr>
                <w:p w14:paraId="644CFA79"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152</w:t>
                  </w:r>
                </w:p>
              </w:tc>
              <w:tc>
                <w:tcPr>
                  <w:tcW w:w="1653" w:type="dxa"/>
                  <w:tcBorders>
                    <w:left w:val="nil"/>
                    <w:right w:val="nil"/>
                  </w:tcBorders>
                  <w:vAlign w:val="center"/>
                </w:tcPr>
                <w:p w14:paraId="2B0F8D01"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207</w:t>
                  </w:r>
                </w:p>
              </w:tc>
              <w:tc>
                <w:tcPr>
                  <w:tcW w:w="1654" w:type="dxa"/>
                  <w:tcBorders>
                    <w:left w:val="nil"/>
                    <w:right w:val="nil"/>
                  </w:tcBorders>
                  <w:vAlign w:val="center"/>
                </w:tcPr>
                <w:p w14:paraId="0EA134B6"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152</w:t>
                  </w:r>
                </w:p>
              </w:tc>
            </w:tr>
            <w:tr w:rsidR="00BE7E1E" w:rsidRPr="00F60760" w14:paraId="26743A8E" w14:textId="77777777" w:rsidTr="00BE7E1E">
              <w:trPr>
                <w:jc w:val="center"/>
              </w:trPr>
              <w:tc>
                <w:tcPr>
                  <w:tcW w:w="2242" w:type="dxa"/>
                  <w:tcBorders>
                    <w:top w:val="nil"/>
                    <w:left w:val="nil"/>
                    <w:bottom w:val="nil"/>
                    <w:right w:val="nil"/>
                  </w:tcBorders>
                </w:tcPr>
                <w:p w14:paraId="32F10943"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Adj R2</w:t>
                  </w:r>
                </w:p>
              </w:tc>
              <w:tc>
                <w:tcPr>
                  <w:tcW w:w="1653" w:type="dxa"/>
                  <w:tcBorders>
                    <w:left w:val="nil"/>
                    <w:right w:val="nil"/>
                  </w:tcBorders>
                  <w:vAlign w:val="center"/>
                </w:tcPr>
                <w:p w14:paraId="63FD2D73"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.176</w:t>
                  </w:r>
                </w:p>
              </w:tc>
              <w:tc>
                <w:tcPr>
                  <w:tcW w:w="1654" w:type="dxa"/>
                  <w:tcBorders>
                    <w:left w:val="nil"/>
                    <w:right w:val="nil"/>
                  </w:tcBorders>
                  <w:vAlign w:val="center"/>
                </w:tcPr>
                <w:p w14:paraId="02C57404"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.073</w:t>
                  </w:r>
                </w:p>
              </w:tc>
              <w:tc>
                <w:tcPr>
                  <w:tcW w:w="1653" w:type="dxa"/>
                  <w:tcBorders>
                    <w:left w:val="nil"/>
                    <w:right w:val="nil"/>
                  </w:tcBorders>
                  <w:vAlign w:val="center"/>
                </w:tcPr>
                <w:p w14:paraId="6732D50E"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.186</w:t>
                  </w:r>
                </w:p>
              </w:tc>
              <w:tc>
                <w:tcPr>
                  <w:tcW w:w="1654" w:type="dxa"/>
                  <w:tcBorders>
                    <w:left w:val="nil"/>
                    <w:right w:val="nil"/>
                  </w:tcBorders>
                  <w:vAlign w:val="center"/>
                </w:tcPr>
                <w:p w14:paraId="24247A4A"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.066</w:t>
                  </w:r>
                </w:p>
              </w:tc>
            </w:tr>
            <w:tr w:rsidR="00BE7E1E" w:rsidRPr="00F60760" w14:paraId="69E41CF6" w14:textId="77777777" w:rsidTr="00BE7E1E">
              <w:trPr>
                <w:jc w:val="center"/>
              </w:trPr>
              <w:tc>
                <w:tcPr>
                  <w:tcW w:w="2242" w:type="dxa"/>
                  <w:tcBorders>
                    <w:top w:val="nil"/>
                    <w:left w:val="nil"/>
                    <w:bottom w:val="nil"/>
                    <w:right w:val="nil"/>
                  </w:tcBorders>
                </w:tcPr>
                <w:p w14:paraId="53F732F9"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Industry FE</w:t>
                  </w:r>
                </w:p>
              </w:tc>
              <w:tc>
                <w:tcPr>
                  <w:tcW w:w="1653" w:type="dxa"/>
                  <w:tcBorders>
                    <w:left w:val="nil"/>
                    <w:right w:val="nil"/>
                  </w:tcBorders>
                </w:tcPr>
                <w:p w14:paraId="4D6B6F0C"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1654" w:type="dxa"/>
                  <w:tcBorders>
                    <w:left w:val="nil"/>
                    <w:right w:val="nil"/>
                  </w:tcBorders>
                </w:tcPr>
                <w:p w14:paraId="2D8FEB1D"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1653" w:type="dxa"/>
                  <w:tcBorders>
                    <w:left w:val="nil"/>
                    <w:right w:val="nil"/>
                  </w:tcBorders>
                </w:tcPr>
                <w:p w14:paraId="57311979"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1654" w:type="dxa"/>
                  <w:tcBorders>
                    <w:left w:val="nil"/>
                    <w:right w:val="nil"/>
                  </w:tcBorders>
                </w:tcPr>
                <w:p w14:paraId="11AB0B7B"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r>
            <w:tr w:rsidR="00BE7E1E" w:rsidRPr="00F60760" w14:paraId="30987064" w14:textId="77777777" w:rsidTr="00BE7E1E">
              <w:trPr>
                <w:trHeight w:val="170"/>
                <w:jc w:val="center"/>
              </w:trPr>
              <w:tc>
                <w:tcPr>
                  <w:tcW w:w="2242" w:type="dxa"/>
                  <w:tcBorders>
                    <w:top w:val="nil"/>
                    <w:left w:val="nil"/>
                    <w:bottom w:val="nil"/>
                    <w:right w:val="nil"/>
                  </w:tcBorders>
                </w:tcPr>
                <w:p w14:paraId="6F37FACE" w14:textId="77777777" w:rsidR="00BE7E1E" w:rsidRPr="00F60760" w:rsidRDefault="00BE7E1E"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Year FE</w:t>
                  </w:r>
                </w:p>
              </w:tc>
              <w:tc>
                <w:tcPr>
                  <w:tcW w:w="1653" w:type="dxa"/>
                  <w:tcBorders>
                    <w:left w:val="nil"/>
                    <w:bottom w:val="nil"/>
                    <w:right w:val="nil"/>
                  </w:tcBorders>
                </w:tcPr>
                <w:p w14:paraId="519DB130"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Yes</w:t>
                  </w:r>
                </w:p>
              </w:tc>
              <w:tc>
                <w:tcPr>
                  <w:tcW w:w="1654" w:type="dxa"/>
                  <w:tcBorders>
                    <w:left w:val="nil"/>
                    <w:bottom w:val="nil"/>
                    <w:right w:val="nil"/>
                  </w:tcBorders>
                </w:tcPr>
                <w:p w14:paraId="29A35E1F"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Yes</w:t>
                  </w:r>
                </w:p>
              </w:tc>
              <w:tc>
                <w:tcPr>
                  <w:tcW w:w="1653" w:type="dxa"/>
                  <w:tcBorders>
                    <w:left w:val="nil"/>
                    <w:bottom w:val="nil"/>
                    <w:right w:val="nil"/>
                  </w:tcBorders>
                </w:tcPr>
                <w:p w14:paraId="78AE8B17"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Yes</w:t>
                  </w:r>
                </w:p>
              </w:tc>
              <w:tc>
                <w:tcPr>
                  <w:tcW w:w="1654" w:type="dxa"/>
                  <w:tcBorders>
                    <w:left w:val="nil"/>
                    <w:bottom w:val="nil"/>
                    <w:right w:val="nil"/>
                  </w:tcBorders>
                </w:tcPr>
                <w:p w14:paraId="5B1ADCE0" w14:textId="77777777" w:rsidR="00BE7E1E" w:rsidRPr="00F60760" w:rsidRDefault="00BE7E1E"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Yes</w:t>
                  </w:r>
                </w:p>
              </w:tc>
            </w:tr>
          </w:tbl>
          <w:p w14:paraId="631C7F32" w14:textId="77777777" w:rsidR="00694090" w:rsidRPr="00F60760" w:rsidRDefault="00694090" w:rsidP="00AB066F">
            <w:pPr>
              <w:jc w:val="left"/>
              <w:rPr>
                <w:color w:val="000000" w:themeColor="text1"/>
                <w:sz w:val="22"/>
                <w:lang w:val="en-US"/>
              </w:rPr>
            </w:pPr>
          </w:p>
        </w:tc>
      </w:tr>
      <w:tr w:rsidR="00694090" w:rsidRPr="00BE5632" w14:paraId="75454F94" w14:textId="77777777" w:rsidTr="00BE7E1E">
        <w:trPr>
          <w:trHeight w:val="978"/>
        </w:trPr>
        <w:tc>
          <w:tcPr>
            <w:tcW w:w="5000" w:type="pct"/>
            <w:tcBorders>
              <w:top w:val="single" w:sz="4" w:space="0" w:color="auto"/>
              <w:left w:val="nil"/>
              <w:right w:val="nil"/>
            </w:tcBorders>
            <w:shd w:val="clear" w:color="auto" w:fill="auto"/>
            <w:noWrap/>
          </w:tcPr>
          <w:p w14:paraId="17C82BCF" w14:textId="77777777" w:rsidR="00694090" w:rsidRPr="00F60760" w:rsidRDefault="00694090" w:rsidP="00E74508">
            <w:pPr>
              <w:spacing w:before="120" w:line="240" w:lineRule="auto"/>
              <w:rPr>
                <w:color w:val="000000" w:themeColor="text1"/>
                <w:sz w:val="22"/>
                <w:lang w:val="en-US"/>
              </w:rPr>
            </w:pPr>
            <w:r w:rsidRPr="00F60760">
              <w:rPr>
                <w:i/>
                <w:iCs/>
                <w:color w:val="000000" w:themeColor="text1"/>
                <w:sz w:val="22"/>
                <w:lang w:val="en-US"/>
              </w:rPr>
              <w:lastRenderedPageBreak/>
              <w:t>Note</w:t>
            </w:r>
            <w:r w:rsidRPr="00F60760">
              <w:rPr>
                <w:color w:val="000000" w:themeColor="text1"/>
                <w:sz w:val="22"/>
                <w:lang w:val="en-US"/>
              </w:rPr>
              <w:t xml:space="preserve">. This table reports fixed effects negative binomial regression results predicting the effect of organizational cultural distance between acquirers and targets on long-term synergy gains. The dependent variable for Models 1 and 3 is the acquirer’s growth in return on sales two years after deal completion. The dependent variable for Models 2 and 4 is the acquirer’s growth in return on sales four years after deal completion. The main independent variable in Models 1-2 is </w:t>
            </w:r>
            <w:r w:rsidRPr="00F60760">
              <w:rPr>
                <w:i/>
                <w:iCs/>
                <w:color w:val="000000" w:themeColor="text1"/>
                <w:sz w:val="22"/>
                <w:lang w:val="en-US"/>
              </w:rPr>
              <w:t>deal_culturaldistance_eucl</w:t>
            </w:r>
            <w:r w:rsidRPr="00F60760">
              <w:rPr>
                <w:color w:val="000000" w:themeColor="text1"/>
                <w:sz w:val="22"/>
                <w:lang w:val="en-US"/>
              </w:rPr>
              <w:t xml:space="preserve">, measured as the Euclidian distance between the acquirer and the target organizational cultural distance, with higher values indicating higher cultural dissimilarities between the acquirer and the target. The main independent variable in Models 3-4 is </w:t>
            </w:r>
            <w:r w:rsidRPr="00F60760">
              <w:rPr>
                <w:i/>
                <w:iCs/>
                <w:color w:val="000000" w:themeColor="text1"/>
                <w:sz w:val="22"/>
                <w:lang w:val="en-US"/>
              </w:rPr>
              <w:t>deal_culturaldistance_maha</w:t>
            </w:r>
            <w:r w:rsidRPr="00F60760">
              <w:rPr>
                <w:color w:val="000000" w:themeColor="text1"/>
                <w:sz w:val="22"/>
                <w:lang w:val="en-US"/>
              </w:rPr>
              <w:t>, measured as the Mahalanobis distance between the acquirer and the target organizational cultural distance, with higher values indicating higher cultural dissimilarities between the acquirer and the target. A detailed variable description can be found in Appendix B. Constant terms are estimated but not reported. We include the acquirer’s industry and year fixed effects in all models. We cluster standard errors at the 2-digit SIC industry level. t-statistics are reported in parentheses below the coefficients. *, **, *** denote statistical significance at the .10, .05, and .01 levels (using two-tailed tests).</w:t>
            </w:r>
          </w:p>
        </w:tc>
      </w:tr>
    </w:tbl>
    <w:p w14:paraId="0829FFF6" w14:textId="77777777" w:rsidR="000F4B60" w:rsidRDefault="000F4B60">
      <w:pPr>
        <w:spacing w:after="160" w:line="259" w:lineRule="auto"/>
        <w:jc w:val="left"/>
        <w:rPr>
          <w:rFonts w:eastAsiaTheme="majorEastAsia" w:cstheme="majorBidi"/>
          <w:b/>
          <w:caps/>
          <w:szCs w:val="32"/>
          <w:lang w:val="en-US"/>
        </w:rPr>
      </w:pPr>
      <w:r w:rsidRPr="00B1627F">
        <w:rPr>
          <w:lang w:val="en-US"/>
        </w:rPr>
        <w:br w:type="page"/>
      </w:r>
    </w:p>
    <w:p w14:paraId="032C4FF6" w14:textId="78665078" w:rsidR="000F4B60" w:rsidRPr="00442048" w:rsidRDefault="000F4B60" w:rsidP="000F4B60">
      <w:pPr>
        <w:pStyle w:val="1fake"/>
      </w:pPr>
      <w:r w:rsidRPr="00442048">
        <w:lastRenderedPageBreak/>
        <w:t xml:space="preserve">ONLINE SUPPLEMENT </w:t>
      </w:r>
      <w:r>
        <w:t>24</w:t>
      </w:r>
    </w:p>
    <w:p w14:paraId="57482D15" w14:textId="170E6A5C" w:rsidR="00011AF5" w:rsidRPr="000F4B60" w:rsidRDefault="00011AF5" w:rsidP="00011AF5">
      <w:pPr>
        <w:pStyle w:val="Beschriftung"/>
      </w:pPr>
      <w:bookmarkStart w:id="643" w:name="_Toc180594870"/>
      <w:r>
        <w:t xml:space="preserve">T - III - </w:t>
      </w:r>
      <w:r>
        <w:fldChar w:fldCharType="begin"/>
      </w:r>
      <w:r>
        <w:instrText xml:space="preserve"> SEQ T_-_III_- \* ARABIC </w:instrText>
      </w:r>
      <w:r>
        <w:fldChar w:fldCharType="separate"/>
      </w:r>
      <w:r w:rsidR="00E91088">
        <w:rPr>
          <w:noProof/>
        </w:rPr>
        <w:t>34</w:t>
      </w:r>
      <w:r>
        <w:fldChar w:fldCharType="end"/>
      </w:r>
      <w:r>
        <w:t xml:space="preserve">: </w:t>
      </w:r>
      <w:r w:rsidRPr="002255DA">
        <w:t>H1a: Capital market reactions (CARs) - Alternative time frame</w:t>
      </w:r>
      <w:bookmarkEnd w:id="643"/>
    </w:p>
    <w:tbl>
      <w:tblPr>
        <w:tblW w:w="9129" w:type="dxa"/>
        <w:tblLayout w:type="fixed"/>
        <w:tblLook w:val="04A0" w:firstRow="1" w:lastRow="0" w:firstColumn="1" w:lastColumn="0" w:noHBand="0" w:noVBand="1"/>
      </w:tblPr>
      <w:tblGrid>
        <w:gridCol w:w="9129"/>
      </w:tblGrid>
      <w:tr w:rsidR="00694090" w:rsidRPr="00CC0559" w14:paraId="0B4BD87E" w14:textId="77777777" w:rsidTr="005E75E7">
        <w:trPr>
          <w:trHeight w:val="767"/>
        </w:trPr>
        <w:tc>
          <w:tcPr>
            <w:tcW w:w="9214" w:type="dxa"/>
            <w:tcBorders>
              <w:left w:val="nil"/>
              <w:bottom w:val="single" w:sz="4" w:space="0" w:color="auto"/>
              <w:right w:val="nil"/>
            </w:tcBorders>
            <w:shd w:val="clear" w:color="auto" w:fill="auto"/>
          </w:tcPr>
          <w:tbl>
            <w:tblPr>
              <w:tblW w:w="9072" w:type="dxa"/>
              <w:tblLayout w:type="fixed"/>
              <w:tblLook w:val="0000" w:firstRow="0" w:lastRow="0" w:firstColumn="0" w:lastColumn="0" w:noHBand="0" w:noVBand="0"/>
            </w:tblPr>
            <w:tblGrid>
              <w:gridCol w:w="3024"/>
              <w:gridCol w:w="3025"/>
              <w:gridCol w:w="3023"/>
            </w:tblGrid>
            <w:tr w:rsidR="00694090" w:rsidRPr="00F60760" w14:paraId="742563A5" w14:textId="77777777" w:rsidTr="00BC1F26">
              <w:tc>
                <w:tcPr>
                  <w:tcW w:w="1667" w:type="pct"/>
                  <w:tcBorders>
                    <w:top w:val="single" w:sz="4" w:space="0" w:color="auto"/>
                    <w:left w:val="nil"/>
                    <w:bottom w:val="nil"/>
                    <w:right w:val="nil"/>
                  </w:tcBorders>
                </w:tcPr>
                <w:p w14:paraId="56FF2B1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w:t>
                  </w:r>
                </w:p>
              </w:tc>
              <w:tc>
                <w:tcPr>
                  <w:tcW w:w="1667" w:type="pct"/>
                  <w:tcBorders>
                    <w:top w:val="single" w:sz="4" w:space="0" w:color="auto"/>
                    <w:left w:val="nil"/>
                    <w:bottom w:val="nil"/>
                    <w:right w:val="nil"/>
                  </w:tcBorders>
                </w:tcPr>
                <w:p w14:paraId="1624B147"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(1)</w:t>
                  </w:r>
                </w:p>
              </w:tc>
              <w:tc>
                <w:tcPr>
                  <w:tcW w:w="1666" w:type="pct"/>
                  <w:tcBorders>
                    <w:top w:val="single" w:sz="4" w:space="0" w:color="auto"/>
                    <w:left w:val="nil"/>
                    <w:bottom w:val="nil"/>
                    <w:right w:val="nil"/>
                  </w:tcBorders>
                </w:tcPr>
                <w:p w14:paraId="18B1B2CF"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(2)</w:t>
                  </w:r>
                </w:p>
              </w:tc>
            </w:tr>
            <w:tr w:rsidR="00694090" w:rsidRPr="00F60760" w14:paraId="261ED2A0" w14:textId="77777777" w:rsidTr="00BC1F26">
              <w:tc>
                <w:tcPr>
                  <w:tcW w:w="1667" w:type="pct"/>
                  <w:tcBorders>
                    <w:top w:val="nil"/>
                    <w:left w:val="nil"/>
                    <w:bottom w:val="single" w:sz="10" w:space="0" w:color="auto"/>
                    <w:right w:val="nil"/>
                  </w:tcBorders>
                </w:tcPr>
                <w:p w14:paraId="596CB6D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w:t>
                  </w:r>
                </w:p>
              </w:tc>
              <w:tc>
                <w:tcPr>
                  <w:tcW w:w="1667" w:type="pct"/>
                  <w:tcBorders>
                    <w:top w:val="nil"/>
                    <w:left w:val="nil"/>
                    <w:bottom w:val="single" w:sz="10" w:space="0" w:color="auto"/>
                    <w:right w:val="nil"/>
                  </w:tcBorders>
                </w:tcPr>
                <w:p w14:paraId="3AAF205C"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acq_car</w:t>
                  </w:r>
                  <w:r w:rsidRPr="00F60760">
                    <w:rPr>
                      <w:b/>
                      <w:bCs/>
                      <w:color w:val="000000" w:themeColor="text1"/>
                      <w:sz w:val="22"/>
                      <w:lang w:val="en-US"/>
                    </w:rPr>
                    <w:br/>
                    <w:t>[-10,10]</w:t>
                  </w:r>
                </w:p>
              </w:tc>
              <w:tc>
                <w:tcPr>
                  <w:tcW w:w="1666" w:type="pct"/>
                  <w:tcBorders>
                    <w:top w:val="nil"/>
                    <w:left w:val="nil"/>
                    <w:bottom w:val="single" w:sz="10" w:space="0" w:color="auto"/>
                    <w:right w:val="nil"/>
                  </w:tcBorders>
                </w:tcPr>
                <w:p w14:paraId="6B79437C"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acq_car</w:t>
                  </w:r>
                  <w:r w:rsidRPr="00F60760">
                    <w:rPr>
                      <w:b/>
                      <w:bCs/>
                      <w:color w:val="000000" w:themeColor="text1"/>
                      <w:sz w:val="22"/>
                      <w:lang w:val="en-US"/>
                    </w:rPr>
                    <w:br/>
                    <w:t>[-5,5]</w:t>
                  </w:r>
                </w:p>
              </w:tc>
            </w:tr>
            <w:tr w:rsidR="00694090" w:rsidRPr="00F60760" w14:paraId="010D86F5" w14:textId="77777777" w:rsidTr="00BC1F26">
              <w:tc>
                <w:tcPr>
                  <w:tcW w:w="1667" w:type="pct"/>
                  <w:tcBorders>
                    <w:top w:val="nil"/>
                    <w:left w:val="nil"/>
                    <w:bottom w:val="nil"/>
                    <w:right w:val="nil"/>
                  </w:tcBorders>
                </w:tcPr>
                <w:p w14:paraId="0783113B"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deal_culturaldistance</w:t>
                  </w:r>
                </w:p>
              </w:tc>
              <w:tc>
                <w:tcPr>
                  <w:tcW w:w="1667" w:type="pct"/>
                  <w:tcBorders>
                    <w:top w:val="nil"/>
                    <w:left w:val="nil"/>
                    <w:bottom w:val="nil"/>
                    <w:right w:val="nil"/>
                  </w:tcBorders>
                  <w:vAlign w:val="center"/>
                </w:tcPr>
                <w:p w14:paraId="4A38B46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-.019***</w:t>
                  </w:r>
                </w:p>
              </w:tc>
              <w:tc>
                <w:tcPr>
                  <w:tcW w:w="1666" w:type="pct"/>
                  <w:tcBorders>
                    <w:top w:val="nil"/>
                    <w:left w:val="nil"/>
                    <w:bottom w:val="nil"/>
                    <w:right w:val="nil"/>
                  </w:tcBorders>
                  <w:vAlign w:val="center"/>
                </w:tcPr>
                <w:p w14:paraId="7C6D1D6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-.046**</w:t>
                  </w:r>
                </w:p>
              </w:tc>
            </w:tr>
            <w:tr w:rsidR="00694090" w:rsidRPr="00F60760" w14:paraId="285B533B" w14:textId="77777777" w:rsidTr="00BC1F26">
              <w:tc>
                <w:tcPr>
                  <w:tcW w:w="1667" w:type="pct"/>
                  <w:tcBorders>
                    <w:top w:val="nil"/>
                    <w:left w:val="nil"/>
                    <w:bottom w:val="nil"/>
                    <w:right w:val="nil"/>
                  </w:tcBorders>
                </w:tcPr>
                <w:p w14:paraId="7EFF21C4"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67" w:type="pct"/>
                  <w:tcBorders>
                    <w:top w:val="nil"/>
                    <w:left w:val="nil"/>
                    <w:bottom w:val="nil"/>
                    <w:right w:val="nil"/>
                  </w:tcBorders>
                  <w:vAlign w:val="center"/>
                </w:tcPr>
                <w:p w14:paraId="1CBF685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(-3.168)</w:t>
                  </w:r>
                </w:p>
              </w:tc>
              <w:tc>
                <w:tcPr>
                  <w:tcW w:w="1666" w:type="pct"/>
                  <w:tcBorders>
                    <w:top w:val="nil"/>
                    <w:left w:val="nil"/>
                    <w:bottom w:val="nil"/>
                    <w:right w:val="nil"/>
                  </w:tcBorders>
                  <w:vAlign w:val="center"/>
                </w:tcPr>
                <w:p w14:paraId="7611EA6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(-2.602)</w:t>
                  </w:r>
                </w:p>
              </w:tc>
            </w:tr>
            <w:tr w:rsidR="00694090" w:rsidRPr="00F60760" w14:paraId="5D9FC6F5" w14:textId="77777777" w:rsidTr="00BC1F26">
              <w:tc>
                <w:tcPr>
                  <w:tcW w:w="1667" w:type="pct"/>
                  <w:tcBorders>
                    <w:top w:val="nil"/>
                    <w:left w:val="nil"/>
                    <w:bottom w:val="nil"/>
                    <w:right w:val="nil"/>
                  </w:tcBorders>
                </w:tcPr>
                <w:p w14:paraId="5294CD2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deal_value_ln</w:t>
                  </w:r>
                </w:p>
              </w:tc>
              <w:tc>
                <w:tcPr>
                  <w:tcW w:w="1667" w:type="pct"/>
                  <w:tcBorders>
                    <w:top w:val="nil"/>
                    <w:left w:val="nil"/>
                    <w:bottom w:val="nil"/>
                    <w:right w:val="nil"/>
                  </w:tcBorders>
                  <w:vAlign w:val="center"/>
                </w:tcPr>
                <w:p w14:paraId="31905A3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.017</w:t>
                  </w:r>
                </w:p>
              </w:tc>
              <w:tc>
                <w:tcPr>
                  <w:tcW w:w="1666" w:type="pct"/>
                  <w:tcBorders>
                    <w:top w:val="nil"/>
                    <w:left w:val="nil"/>
                    <w:bottom w:val="nil"/>
                    <w:right w:val="nil"/>
                  </w:tcBorders>
                  <w:vAlign w:val="center"/>
                </w:tcPr>
                <w:p w14:paraId="09E2D20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.041</w:t>
                  </w:r>
                </w:p>
              </w:tc>
            </w:tr>
            <w:tr w:rsidR="00694090" w:rsidRPr="00F60760" w14:paraId="02D38C88" w14:textId="77777777" w:rsidTr="00BC1F26">
              <w:tc>
                <w:tcPr>
                  <w:tcW w:w="1667" w:type="pct"/>
                  <w:tcBorders>
                    <w:top w:val="nil"/>
                    <w:left w:val="nil"/>
                    <w:bottom w:val="nil"/>
                    <w:right w:val="nil"/>
                  </w:tcBorders>
                </w:tcPr>
                <w:p w14:paraId="55A0873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67" w:type="pct"/>
                  <w:tcBorders>
                    <w:top w:val="nil"/>
                    <w:left w:val="nil"/>
                    <w:bottom w:val="nil"/>
                    <w:right w:val="nil"/>
                  </w:tcBorders>
                  <w:vAlign w:val="center"/>
                </w:tcPr>
                <w:p w14:paraId="0A70E7A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(.490)</w:t>
                  </w:r>
                </w:p>
              </w:tc>
              <w:tc>
                <w:tcPr>
                  <w:tcW w:w="1666" w:type="pct"/>
                  <w:tcBorders>
                    <w:top w:val="nil"/>
                    <w:left w:val="nil"/>
                    <w:bottom w:val="nil"/>
                    <w:right w:val="nil"/>
                  </w:tcBorders>
                  <w:vAlign w:val="center"/>
                </w:tcPr>
                <w:p w14:paraId="2873F03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(.589)</w:t>
                  </w:r>
                </w:p>
              </w:tc>
            </w:tr>
            <w:tr w:rsidR="00694090" w:rsidRPr="00F60760" w14:paraId="458D00CC" w14:textId="77777777" w:rsidTr="00BC1F26">
              <w:tc>
                <w:tcPr>
                  <w:tcW w:w="1667" w:type="pct"/>
                  <w:tcBorders>
                    <w:top w:val="nil"/>
                    <w:left w:val="nil"/>
                    <w:bottom w:val="nil"/>
                    <w:right w:val="nil"/>
                  </w:tcBorders>
                </w:tcPr>
                <w:p w14:paraId="08C2FE5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deal_hofstede_distance</w:t>
                  </w:r>
                </w:p>
              </w:tc>
              <w:tc>
                <w:tcPr>
                  <w:tcW w:w="1667" w:type="pct"/>
                  <w:tcBorders>
                    <w:top w:val="nil"/>
                    <w:left w:val="nil"/>
                    <w:bottom w:val="nil"/>
                    <w:right w:val="nil"/>
                  </w:tcBorders>
                  <w:vAlign w:val="center"/>
                </w:tcPr>
                <w:p w14:paraId="3BA5487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.150</w:t>
                  </w:r>
                </w:p>
              </w:tc>
              <w:tc>
                <w:tcPr>
                  <w:tcW w:w="1666" w:type="pct"/>
                  <w:tcBorders>
                    <w:top w:val="nil"/>
                    <w:left w:val="nil"/>
                    <w:bottom w:val="nil"/>
                    <w:right w:val="nil"/>
                  </w:tcBorders>
                  <w:vAlign w:val="center"/>
                </w:tcPr>
                <w:p w14:paraId="4EDB13A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.359</w:t>
                  </w:r>
                </w:p>
              </w:tc>
            </w:tr>
            <w:tr w:rsidR="00694090" w:rsidRPr="00F60760" w14:paraId="2B626741" w14:textId="77777777" w:rsidTr="00BC1F26">
              <w:tc>
                <w:tcPr>
                  <w:tcW w:w="1667" w:type="pct"/>
                  <w:tcBorders>
                    <w:top w:val="nil"/>
                    <w:left w:val="nil"/>
                    <w:bottom w:val="nil"/>
                    <w:right w:val="nil"/>
                  </w:tcBorders>
                </w:tcPr>
                <w:p w14:paraId="4D646ED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67" w:type="pct"/>
                  <w:tcBorders>
                    <w:top w:val="nil"/>
                    <w:left w:val="nil"/>
                    <w:bottom w:val="nil"/>
                    <w:right w:val="nil"/>
                  </w:tcBorders>
                  <w:vAlign w:val="center"/>
                </w:tcPr>
                <w:p w14:paraId="20FE35E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(.343)</w:t>
                  </w:r>
                </w:p>
              </w:tc>
              <w:tc>
                <w:tcPr>
                  <w:tcW w:w="1666" w:type="pct"/>
                  <w:tcBorders>
                    <w:top w:val="nil"/>
                    <w:left w:val="nil"/>
                    <w:bottom w:val="nil"/>
                    <w:right w:val="nil"/>
                  </w:tcBorders>
                  <w:vAlign w:val="center"/>
                </w:tcPr>
                <w:p w14:paraId="5366D76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(.365)</w:t>
                  </w:r>
                </w:p>
              </w:tc>
            </w:tr>
            <w:tr w:rsidR="00694090" w:rsidRPr="00F60760" w14:paraId="04633D37" w14:textId="77777777" w:rsidTr="00BC1F26">
              <w:tc>
                <w:tcPr>
                  <w:tcW w:w="1667" w:type="pct"/>
                  <w:tcBorders>
                    <w:top w:val="nil"/>
                    <w:left w:val="nil"/>
                    <w:bottom w:val="nil"/>
                    <w:right w:val="nil"/>
                  </w:tcBorders>
                </w:tcPr>
                <w:p w14:paraId="7920047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deal_all_cash_dummy</w:t>
                  </w:r>
                </w:p>
              </w:tc>
              <w:tc>
                <w:tcPr>
                  <w:tcW w:w="1667" w:type="pct"/>
                  <w:tcBorders>
                    <w:top w:val="nil"/>
                    <w:left w:val="nil"/>
                    <w:bottom w:val="nil"/>
                    <w:right w:val="nil"/>
                  </w:tcBorders>
                  <w:vAlign w:val="center"/>
                </w:tcPr>
                <w:p w14:paraId="5C588A5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.114</w:t>
                  </w:r>
                </w:p>
              </w:tc>
              <w:tc>
                <w:tcPr>
                  <w:tcW w:w="1666" w:type="pct"/>
                  <w:tcBorders>
                    <w:top w:val="nil"/>
                    <w:left w:val="nil"/>
                    <w:bottom w:val="nil"/>
                    <w:right w:val="nil"/>
                  </w:tcBorders>
                  <w:vAlign w:val="center"/>
                </w:tcPr>
                <w:p w14:paraId="4BBF491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.283</w:t>
                  </w:r>
                </w:p>
              </w:tc>
            </w:tr>
            <w:tr w:rsidR="00694090" w:rsidRPr="00F60760" w14:paraId="2B656C7F" w14:textId="77777777" w:rsidTr="00BC1F26">
              <w:tc>
                <w:tcPr>
                  <w:tcW w:w="1667" w:type="pct"/>
                  <w:tcBorders>
                    <w:top w:val="nil"/>
                    <w:left w:val="nil"/>
                    <w:bottom w:val="nil"/>
                    <w:right w:val="nil"/>
                  </w:tcBorders>
                </w:tcPr>
                <w:p w14:paraId="6E301C41"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67" w:type="pct"/>
                  <w:tcBorders>
                    <w:top w:val="nil"/>
                    <w:left w:val="nil"/>
                    <w:bottom w:val="nil"/>
                    <w:right w:val="nil"/>
                  </w:tcBorders>
                  <w:vAlign w:val="center"/>
                </w:tcPr>
                <w:p w14:paraId="46B8C91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(1.339)</w:t>
                  </w:r>
                </w:p>
              </w:tc>
              <w:tc>
                <w:tcPr>
                  <w:tcW w:w="1666" w:type="pct"/>
                  <w:tcBorders>
                    <w:top w:val="nil"/>
                    <w:left w:val="nil"/>
                    <w:bottom w:val="nil"/>
                    <w:right w:val="nil"/>
                  </w:tcBorders>
                  <w:vAlign w:val="center"/>
                </w:tcPr>
                <w:p w14:paraId="3A06A14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(1.640)</w:t>
                  </w:r>
                </w:p>
              </w:tc>
            </w:tr>
            <w:tr w:rsidR="00694090" w:rsidRPr="00F60760" w14:paraId="4DD12FF8" w14:textId="77777777" w:rsidTr="00BC1F26">
              <w:tc>
                <w:tcPr>
                  <w:tcW w:w="1667" w:type="pct"/>
                  <w:tcBorders>
                    <w:top w:val="nil"/>
                    <w:left w:val="nil"/>
                    <w:bottom w:val="nil"/>
                    <w:right w:val="nil"/>
                  </w:tcBorders>
                </w:tcPr>
                <w:p w14:paraId="6CFFFFD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deal_all_stock_dummy</w:t>
                  </w:r>
                </w:p>
              </w:tc>
              <w:tc>
                <w:tcPr>
                  <w:tcW w:w="1667" w:type="pct"/>
                  <w:tcBorders>
                    <w:top w:val="nil"/>
                    <w:left w:val="nil"/>
                    <w:bottom w:val="nil"/>
                    <w:right w:val="nil"/>
                  </w:tcBorders>
                  <w:vAlign w:val="center"/>
                </w:tcPr>
                <w:p w14:paraId="3407457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-.095</w:t>
                  </w:r>
                </w:p>
              </w:tc>
              <w:tc>
                <w:tcPr>
                  <w:tcW w:w="1666" w:type="pct"/>
                  <w:tcBorders>
                    <w:top w:val="nil"/>
                    <w:left w:val="nil"/>
                    <w:bottom w:val="nil"/>
                    <w:right w:val="nil"/>
                  </w:tcBorders>
                  <w:vAlign w:val="center"/>
                </w:tcPr>
                <w:p w14:paraId="1601601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-.348</w:t>
                  </w:r>
                </w:p>
              </w:tc>
            </w:tr>
            <w:tr w:rsidR="00694090" w:rsidRPr="00F60760" w14:paraId="7C953DD3" w14:textId="77777777" w:rsidTr="00BC1F26">
              <w:tc>
                <w:tcPr>
                  <w:tcW w:w="1667" w:type="pct"/>
                  <w:tcBorders>
                    <w:top w:val="nil"/>
                    <w:left w:val="nil"/>
                    <w:bottom w:val="nil"/>
                    <w:right w:val="nil"/>
                  </w:tcBorders>
                </w:tcPr>
                <w:p w14:paraId="6D2A2B7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67" w:type="pct"/>
                  <w:tcBorders>
                    <w:top w:val="nil"/>
                    <w:left w:val="nil"/>
                    <w:bottom w:val="nil"/>
                    <w:right w:val="nil"/>
                  </w:tcBorders>
                  <w:vAlign w:val="center"/>
                </w:tcPr>
                <w:p w14:paraId="05D23D1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(-.812)</w:t>
                  </w:r>
                </w:p>
              </w:tc>
              <w:tc>
                <w:tcPr>
                  <w:tcW w:w="1666" w:type="pct"/>
                  <w:tcBorders>
                    <w:top w:val="nil"/>
                    <w:left w:val="nil"/>
                    <w:bottom w:val="nil"/>
                    <w:right w:val="nil"/>
                  </w:tcBorders>
                  <w:vAlign w:val="center"/>
                </w:tcPr>
                <w:p w14:paraId="6D7D579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(-1.471)</w:t>
                  </w:r>
                </w:p>
              </w:tc>
            </w:tr>
            <w:tr w:rsidR="00694090" w:rsidRPr="00F60760" w14:paraId="559DEF3D" w14:textId="77777777" w:rsidTr="00BC1F26">
              <w:tc>
                <w:tcPr>
                  <w:tcW w:w="1667" w:type="pct"/>
                  <w:tcBorders>
                    <w:top w:val="nil"/>
                    <w:left w:val="nil"/>
                    <w:bottom w:val="nil"/>
                    <w:right w:val="nil"/>
                  </w:tcBorders>
                </w:tcPr>
                <w:p w14:paraId="0471B414"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deal_tenderoffer_dummy</w:t>
                  </w:r>
                </w:p>
              </w:tc>
              <w:tc>
                <w:tcPr>
                  <w:tcW w:w="1667" w:type="pct"/>
                  <w:tcBorders>
                    <w:top w:val="nil"/>
                    <w:left w:val="nil"/>
                    <w:bottom w:val="nil"/>
                    <w:right w:val="nil"/>
                  </w:tcBorders>
                  <w:vAlign w:val="center"/>
                </w:tcPr>
                <w:p w14:paraId="1916107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-.144***</w:t>
                  </w:r>
                </w:p>
              </w:tc>
              <w:tc>
                <w:tcPr>
                  <w:tcW w:w="1666" w:type="pct"/>
                  <w:tcBorders>
                    <w:top w:val="nil"/>
                    <w:left w:val="nil"/>
                    <w:bottom w:val="nil"/>
                    <w:right w:val="nil"/>
                  </w:tcBorders>
                  <w:vAlign w:val="center"/>
                </w:tcPr>
                <w:p w14:paraId="7E81D38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-.455***</w:t>
                  </w:r>
                </w:p>
              </w:tc>
            </w:tr>
            <w:tr w:rsidR="00694090" w:rsidRPr="00F60760" w14:paraId="6AA8E407" w14:textId="77777777" w:rsidTr="00BC1F26">
              <w:tc>
                <w:tcPr>
                  <w:tcW w:w="1667" w:type="pct"/>
                  <w:tcBorders>
                    <w:top w:val="nil"/>
                    <w:left w:val="nil"/>
                    <w:bottom w:val="nil"/>
                    <w:right w:val="nil"/>
                  </w:tcBorders>
                </w:tcPr>
                <w:p w14:paraId="26EFCC5B"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67" w:type="pct"/>
                  <w:tcBorders>
                    <w:top w:val="nil"/>
                    <w:left w:val="nil"/>
                    <w:bottom w:val="nil"/>
                    <w:right w:val="nil"/>
                  </w:tcBorders>
                  <w:vAlign w:val="center"/>
                </w:tcPr>
                <w:p w14:paraId="587F86B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(-3.340)</w:t>
                  </w:r>
                </w:p>
              </w:tc>
              <w:tc>
                <w:tcPr>
                  <w:tcW w:w="1666" w:type="pct"/>
                  <w:tcBorders>
                    <w:top w:val="nil"/>
                    <w:left w:val="nil"/>
                    <w:bottom w:val="nil"/>
                    <w:right w:val="nil"/>
                  </w:tcBorders>
                  <w:vAlign w:val="center"/>
                </w:tcPr>
                <w:p w14:paraId="2F5F00A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(-3.581)</w:t>
                  </w:r>
                </w:p>
              </w:tc>
            </w:tr>
            <w:tr w:rsidR="00694090" w:rsidRPr="00F60760" w14:paraId="5F4F712C" w14:textId="77777777" w:rsidTr="00BC1F26">
              <w:tc>
                <w:tcPr>
                  <w:tcW w:w="1667" w:type="pct"/>
                  <w:tcBorders>
                    <w:top w:val="nil"/>
                    <w:left w:val="nil"/>
                    <w:bottom w:val="nil"/>
                    <w:right w:val="nil"/>
                  </w:tcBorders>
                </w:tcPr>
                <w:p w14:paraId="6C40C6D1"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deal_friendly_dummy</w:t>
                  </w:r>
                </w:p>
              </w:tc>
              <w:tc>
                <w:tcPr>
                  <w:tcW w:w="1667" w:type="pct"/>
                  <w:tcBorders>
                    <w:top w:val="nil"/>
                    <w:left w:val="nil"/>
                    <w:bottom w:val="nil"/>
                    <w:right w:val="nil"/>
                  </w:tcBorders>
                  <w:vAlign w:val="center"/>
                </w:tcPr>
                <w:p w14:paraId="0C183DC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-.244**</w:t>
                  </w:r>
                </w:p>
              </w:tc>
              <w:tc>
                <w:tcPr>
                  <w:tcW w:w="1666" w:type="pct"/>
                  <w:tcBorders>
                    <w:top w:val="nil"/>
                    <w:left w:val="nil"/>
                    <w:bottom w:val="nil"/>
                    <w:right w:val="nil"/>
                  </w:tcBorders>
                  <w:vAlign w:val="center"/>
                </w:tcPr>
                <w:p w14:paraId="1907E7A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-.196</w:t>
                  </w:r>
                </w:p>
              </w:tc>
            </w:tr>
            <w:tr w:rsidR="00694090" w:rsidRPr="00F60760" w14:paraId="43EDD6AE" w14:textId="77777777" w:rsidTr="00BC1F26">
              <w:tc>
                <w:tcPr>
                  <w:tcW w:w="1667" w:type="pct"/>
                  <w:tcBorders>
                    <w:top w:val="nil"/>
                    <w:left w:val="nil"/>
                    <w:bottom w:val="nil"/>
                    <w:right w:val="nil"/>
                  </w:tcBorders>
                </w:tcPr>
                <w:p w14:paraId="05B58DF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67" w:type="pct"/>
                  <w:tcBorders>
                    <w:top w:val="nil"/>
                    <w:left w:val="nil"/>
                    <w:bottom w:val="nil"/>
                    <w:right w:val="nil"/>
                  </w:tcBorders>
                  <w:vAlign w:val="center"/>
                </w:tcPr>
                <w:p w14:paraId="2113DC3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(-2.407)</w:t>
                  </w:r>
                </w:p>
              </w:tc>
              <w:tc>
                <w:tcPr>
                  <w:tcW w:w="1666" w:type="pct"/>
                  <w:tcBorders>
                    <w:top w:val="nil"/>
                    <w:left w:val="nil"/>
                    <w:bottom w:val="nil"/>
                    <w:right w:val="nil"/>
                  </w:tcBorders>
                  <w:vAlign w:val="center"/>
                </w:tcPr>
                <w:p w14:paraId="11F3757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(-.898)</w:t>
                  </w:r>
                </w:p>
              </w:tc>
            </w:tr>
            <w:tr w:rsidR="00694090" w:rsidRPr="00F60760" w14:paraId="42D5242E" w14:textId="77777777" w:rsidTr="00BC1F26">
              <w:tc>
                <w:tcPr>
                  <w:tcW w:w="1667" w:type="pct"/>
                  <w:tcBorders>
                    <w:top w:val="nil"/>
                    <w:left w:val="nil"/>
                    <w:bottom w:val="nil"/>
                    <w:right w:val="nil"/>
                  </w:tcBorders>
                </w:tcPr>
                <w:p w14:paraId="1651AE80"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deal_relatedness_dummy</w:t>
                  </w:r>
                </w:p>
              </w:tc>
              <w:tc>
                <w:tcPr>
                  <w:tcW w:w="1667" w:type="pct"/>
                  <w:tcBorders>
                    <w:top w:val="nil"/>
                    <w:left w:val="nil"/>
                    <w:bottom w:val="nil"/>
                    <w:right w:val="nil"/>
                  </w:tcBorders>
                  <w:vAlign w:val="center"/>
                </w:tcPr>
                <w:p w14:paraId="56A01D7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.040</w:t>
                  </w:r>
                </w:p>
              </w:tc>
              <w:tc>
                <w:tcPr>
                  <w:tcW w:w="1666" w:type="pct"/>
                  <w:tcBorders>
                    <w:top w:val="nil"/>
                    <w:left w:val="nil"/>
                    <w:bottom w:val="nil"/>
                    <w:right w:val="nil"/>
                  </w:tcBorders>
                  <w:vAlign w:val="center"/>
                </w:tcPr>
                <w:p w14:paraId="57967A0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.003</w:t>
                  </w:r>
                </w:p>
              </w:tc>
            </w:tr>
            <w:tr w:rsidR="00694090" w:rsidRPr="00F60760" w14:paraId="7ABD4AEF" w14:textId="77777777" w:rsidTr="00BC1F26">
              <w:tc>
                <w:tcPr>
                  <w:tcW w:w="1667" w:type="pct"/>
                  <w:tcBorders>
                    <w:top w:val="nil"/>
                    <w:left w:val="nil"/>
                    <w:bottom w:val="nil"/>
                    <w:right w:val="nil"/>
                  </w:tcBorders>
                </w:tcPr>
                <w:p w14:paraId="05D9E24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67" w:type="pct"/>
                  <w:tcBorders>
                    <w:top w:val="nil"/>
                    <w:left w:val="nil"/>
                    <w:bottom w:val="nil"/>
                    <w:right w:val="nil"/>
                  </w:tcBorders>
                  <w:vAlign w:val="center"/>
                </w:tcPr>
                <w:p w14:paraId="12CAE1B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(.489)</w:t>
                  </w:r>
                </w:p>
              </w:tc>
              <w:tc>
                <w:tcPr>
                  <w:tcW w:w="1666" w:type="pct"/>
                  <w:tcBorders>
                    <w:top w:val="nil"/>
                    <w:left w:val="nil"/>
                    <w:bottom w:val="nil"/>
                    <w:right w:val="nil"/>
                  </w:tcBorders>
                  <w:vAlign w:val="center"/>
                </w:tcPr>
                <w:p w14:paraId="0C42D3A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(.021)</w:t>
                  </w:r>
                </w:p>
              </w:tc>
            </w:tr>
            <w:tr w:rsidR="00694090" w:rsidRPr="00F60760" w14:paraId="696A39B6" w14:textId="77777777" w:rsidTr="00BC1F26">
              <w:tc>
                <w:tcPr>
                  <w:tcW w:w="1667" w:type="pct"/>
                  <w:tcBorders>
                    <w:top w:val="nil"/>
                    <w:left w:val="nil"/>
                    <w:bottom w:val="nil"/>
                    <w:right w:val="nil"/>
                  </w:tcBorders>
                </w:tcPr>
                <w:p w14:paraId="4AF09A4D"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acq_age</w:t>
                  </w:r>
                </w:p>
              </w:tc>
              <w:tc>
                <w:tcPr>
                  <w:tcW w:w="1667" w:type="pct"/>
                  <w:tcBorders>
                    <w:top w:val="nil"/>
                    <w:left w:val="nil"/>
                    <w:bottom w:val="nil"/>
                    <w:right w:val="nil"/>
                  </w:tcBorders>
                  <w:vAlign w:val="center"/>
                </w:tcPr>
                <w:p w14:paraId="0B5C4FF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.00004</w:t>
                  </w:r>
                </w:p>
              </w:tc>
              <w:tc>
                <w:tcPr>
                  <w:tcW w:w="1666" w:type="pct"/>
                  <w:tcBorders>
                    <w:top w:val="nil"/>
                    <w:left w:val="nil"/>
                    <w:bottom w:val="nil"/>
                    <w:right w:val="nil"/>
                  </w:tcBorders>
                  <w:vAlign w:val="center"/>
                </w:tcPr>
                <w:p w14:paraId="6F74A85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-.0005</w:t>
                  </w:r>
                </w:p>
              </w:tc>
            </w:tr>
            <w:tr w:rsidR="00694090" w:rsidRPr="00F60760" w14:paraId="259A2DB7" w14:textId="77777777" w:rsidTr="00BC1F26">
              <w:tc>
                <w:tcPr>
                  <w:tcW w:w="1667" w:type="pct"/>
                  <w:tcBorders>
                    <w:top w:val="nil"/>
                    <w:left w:val="nil"/>
                    <w:bottom w:val="nil"/>
                    <w:right w:val="nil"/>
                  </w:tcBorders>
                </w:tcPr>
                <w:p w14:paraId="2B34F8EC"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67" w:type="pct"/>
                  <w:tcBorders>
                    <w:top w:val="nil"/>
                    <w:left w:val="nil"/>
                    <w:bottom w:val="nil"/>
                    <w:right w:val="nil"/>
                  </w:tcBorders>
                  <w:vAlign w:val="center"/>
                </w:tcPr>
                <w:p w14:paraId="2A3E4E9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(.069)</w:t>
                  </w:r>
                </w:p>
              </w:tc>
              <w:tc>
                <w:tcPr>
                  <w:tcW w:w="1666" w:type="pct"/>
                  <w:tcBorders>
                    <w:top w:val="nil"/>
                    <w:left w:val="nil"/>
                    <w:bottom w:val="nil"/>
                    <w:right w:val="nil"/>
                  </w:tcBorders>
                  <w:vAlign w:val="center"/>
                </w:tcPr>
                <w:p w14:paraId="335A2DC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(-.456)</w:t>
                  </w:r>
                </w:p>
              </w:tc>
            </w:tr>
            <w:tr w:rsidR="00694090" w:rsidRPr="00F60760" w14:paraId="27E17B98" w14:textId="77777777" w:rsidTr="00BC1F26">
              <w:tc>
                <w:tcPr>
                  <w:tcW w:w="1667" w:type="pct"/>
                  <w:tcBorders>
                    <w:top w:val="nil"/>
                    <w:left w:val="nil"/>
                    <w:bottom w:val="nil"/>
                    <w:right w:val="nil"/>
                  </w:tcBorders>
                </w:tcPr>
                <w:p w14:paraId="26D88ED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acq_assets_lastyear_ln</w:t>
                  </w:r>
                </w:p>
              </w:tc>
              <w:tc>
                <w:tcPr>
                  <w:tcW w:w="1667" w:type="pct"/>
                  <w:tcBorders>
                    <w:top w:val="nil"/>
                    <w:left w:val="nil"/>
                    <w:bottom w:val="nil"/>
                    <w:right w:val="nil"/>
                  </w:tcBorders>
                  <w:vAlign w:val="center"/>
                </w:tcPr>
                <w:p w14:paraId="5CEC7AE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-.069**</w:t>
                  </w:r>
                </w:p>
              </w:tc>
              <w:tc>
                <w:tcPr>
                  <w:tcW w:w="1666" w:type="pct"/>
                  <w:tcBorders>
                    <w:top w:val="nil"/>
                    <w:left w:val="nil"/>
                    <w:bottom w:val="nil"/>
                    <w:right w:val="nil"/>
                  </w:tcBorders>
                  <w:vAlign w:val="center"/>
                </w:tcPr>
                <w:p w14:paraId="77342E4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-.029</w:t>
                  </w:r>
                </w:p>
              </w:tc>
            </w:tr>
            <w:tr w:rsidR="00694090" w:rsidRPr="00F60760" w14:paraId="2C66F20D" w14:textId="77777777" w:rsidTr="00BC1F26">
              <w:tc>
                <w:tcPr>
                  <w:tcW w:w="1667" w:type="pct"/>
                  <w:tcBorders>
                    <w:top w:val="nil"/>
                    <w:left w:val="nil"/>
                    <w:bottom w:val="nil"/>
                    <w:right w:val="nil"/>
                  </w:tcBorders>
                </w:tcPr>
                <w:p w14:paraId="104F4978"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67" w:type="pct"/>
                  <w:tcBorders>
                    <w:top w:val="nil"/>
                    <w:left w:val="nil"/>
                    <w:bottom w:val="nil"/>
                    <w:right w:val="nil"/>
                  </w:tcBorders>
                  <w:vAlign w:val="center"/>
                </w:tcPr>
                <w:p w14:paraId="4CC22C8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(-2.597)</w:t>
                  </w:r>
                </w:p>
              </w:tc>
              <w:tc>
                <w:tcPr>
                  <w:tcW w:w="1666" w:type="pct"/>
                  <w:tcBorders>
                    <w:top w:val="nil"/>
                    <w:left w:val="nil"/>
                    <w:bottom w:val="nil"/>
                    <w:right w:val="nil"/>
                  </w:tcBorders>
                  <w:vAlign w:val="center"/>
                </w:tcPr>
                <w:p w14:paraId="5032154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(-.587)</w:t>
                  </w:r>
                </w:p>
              </w:tc>
            </w:tr>
            <w:tr w:rsidR="00694090" w:rsidRPr="00F60760" w14:paraId="4B42EE67" w14:textId="77777777" w:rsidTr="00BC1F26">
              <w:tc>
                <w:tcPr>
                  <w:tcW w:w="1667" w:type="pct"/>
                  <w:tcBorders>
                    <w:top w:val="nil"/>
                    <w:left w:val="nil"/>
                    <w:bottom w:val="nil"/>
                    <w:right w:val="nil"/>
                  </w:tcBorders>
                </w:tcPr>
                <w:p w14:paraId="0460AB7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acq_roa_lastyear</w:t>
                  </w:r>
                </w:p>
              </w:tc>
              <w:tc>
                <w:tcPr>
                  <w:tcW w:w="1667" w:type="pct"/>
                  <w:tcBorders>
                    <w:top w:val="nil"/>
                    <w:left w:val="nil"/>
                    <w:bottom w:val="nil"/>
                    <w:right w:val="nil"/>
                  </w:tcBorders>
                  <w:vAlign w:val="center"/>
                </w:tcPr>
                <w:p w14:paraId="0B9F172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-.114***</w:t>
                  </w:r>
                </w:p>
              </w:tc>
              <w:tc>
                <w:tcPr>
                  <w:tcW w:w="1666" w:type="pct"/>
                  <w:tcBorders>
                    <w:top w:val="nil"/>
                    <w:left w:val="nil"/>
                    <w:bottom w:val="nil"/>
                    <w:right w:val="nil"/>
                  </w:tcBorders>
                  <w:vAlign w:val="center"/>
                </w:tcPr>
                <w:p w14:paraId="7146FC1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-.239***</w:t>
                  </w:r>
                </w:p>
              </w:tc>
            </w:tr>
            <w:tr w:rsidR="00694090" w:rsidRPr="00F60760" w14:paraId="01259E9A" w14:textId="77777777" w:rsidTr="00BC1F26">
              <w:tc>
                <w:tcPr>
                  <w:tcW w:w="1667" w:type="pct"/>
                  <w:tcBorders>
                    <w:top w:val="nil"/>
                    <w:left w:val="nil"/>
                    <w:bottom w:val="nil"/>
                    <w:right w:val="nil"/>
                  </w:tcBorders>
                </w:tcPr>
                <w:p w14:paraId="61C0C7A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67" w:type="pct"/>
                  <w:tcBorders>
                    <w:top w:val="nil"/>
                    <w:left w:val="nil"/>
                    <w:bottom w:val="nil"/>
                    <w:right w:val="nil"/>
                  </w:tcBorders>
                  <w:vAlign w:val="center"/>
                </w:tcPr>
                <w:p w14:paraId="3BB80A2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(-4.148)</w:t>
                  </w:r>
                </w:p>
              </w:tc>
              <w:tc>
                <w:tcPr>
                  <w:tcW w:w="1666" w:type="pct"/>
                  <w:tcBorders>
                    <w:top w:val="nil"/>
                    <w:left w:val="nil"/>
                    <w:bottom w:val="nil"/>
                    <w:right w:val="nil"/>
                  </w:tcBorders>
                  <w:vAlign w:val="center"/>
                </w:tcPr>
                <w:p w14:paraId="1E6AC57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(-3.242)</w:t>
                  </w:r>
                </w:p>
              </w:tc>
            </w:tr>
            <w:tr w:rsidR="00694090" w:rsidRPr="00F60760" w14:paraId="655A1F64" w14:textId="77777777" w:rsidTr="00BC1F26">
              <w:tc>
                <w:tcPr>
                  <w:tcW w:w="1667" w:type="pct"/>
                  <w:tcBorders>
                    <w:top w:val="nil"/>
                    <w:left w:val="nil"/>
                    <w:bottom w:val="nil"/>
                    <w:right w:val="nil"/>
                  </w:tcBorders>
                </w:tcPr>
                <w:p w14:paraId="1B423AE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acq_industrygrowth</w:t>
                  </w:r>
                </w:p>
              </w:tc>
              <w:tc>
                <w:tcPr>
                  <w:tcW w:w="1667" w:type="pct"/>
                  <w:tcBorders>
                    <w:top w:val="nil"/>
                    <w:left w:val="nil"/>
                    <w:bottom w:val="nil"/>
                    <w:right w:val="nil"/>
                  </w:tcBorders>
                  <w:vAlign w:val="center"/>
                </w:tcPr>
                <w:p w14:paraId="56DAC2A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1.227**</w:t>
                  </w:r>
                </w:p>
              </w:tc>
              <w:tc>
                <w:tcPr>
                  <w:tcW w:w="1666" w:type="pct"/>
                  <w:tcBorders>
                    <w:top w:val="nil"/>
                    <w:left w:val="nil"/>
                    <w:bottom w:val="nil"/>
                    <w:right w:val="nil"/>
                  </w:tcBorders>
                  <w:vAlign w:val="center"/>
                </w:tcPr>
                <w:p w14:paraId="2169727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2.292*</w:t>
                  </w:r>
                </w:p>
              </w:tc>
            </w:tr>
            <w:tr w:rsidR="00694090" w:rsidRPr="00F60760" w14:paraId="38095B3F" w14:textId="77777777" w:rsidTr="00BC1F26">
              <w:tc>
                <w:tcPr>
                  <w:tcW w:w="1667" w:type="pct"/>
                  <w:tcBorders>
                    <w:top w:val="nil"/>
                    <w:left w:val="nil"/>
                    <w:bottom w:val="nil"/>
                    <w:right w:val="nil"/>
                  </w:tcBorders>
                </w:tcPr>
                <w:p w14:paraId="4D733471"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67" w:type="pct"/>
                  <w:tcBorders>
                    <w:top w:val="nil"/>
                    <w:left w:val="nil"/>
                    <w:bottom w:val="nil"/>
                    <w:right w:val="nil"/>
                  </w:tcBorders>
                  <w:vAlign w:val="center"/>
                </w:tcPr>
                <w:p w14:paraId="57AFA93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(2.243)</w:t>
                  </w:r>
                </w:p>
              </w:tc>
              <w:tc>
                <w:tcPr>
                  <w:tcW w:w="1666" w:type="pct"/>
                  <w:tcBorders>
                    <w:top w:val="nil"/>
                    <w:left w:val="nil"/>
                    <w:bottom w:val="nil"/>
                    <w:right w:val="nil"/>
                  </w:tcBorders>
                  <w:vAlign w:val="center"/>
                </w:tcPr>
                <w:p w14:paraId="08FB9ED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(1.754)</w:t>
                  </w:r>
                </w:p>
              </w:tc>
            </w:tr>
            <w:tr w:rsidR="00694090" w:rsidRPr="00F60760" w14:paraId="6BEF62F1" w14:textId="77777777" w:rsidTr="00BC1F26">
              <w:tc>
                <w:tcPr>
                  <w:tcW w:w="1667" w:type="pct"/>
                  <w:tcBorders>
                    <w:top w:val="nil"/>
                    <w:left w:val="nil"/>
                    <w:bottom w:val="nil"/>
                    <w:right w:val="nil"/>
                  </w:tcBorders>
                </w:tcPr>
                <w:p w14:paraId="59FE621E"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acq_dealexperience</w:t>
                  </w:r>
                </w:p>
              </w:tc>
              <w:tc>
                <w:tcPr>
                  <w:tcW w:w="1667" w:type="pct"/>
                  <w:tcBorders>
                    <w:top w:val="nil"/>
                    <w:left w:val="nil"/>
                    <w:bottom w:val="nil"/>
                    <w:right w:val="nil"/>
                  </w:tcBorders>
                  <w:vAlign w:val="center"/>
                </w:tcPr>
                <w:p w14:paraId="0F06F7C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.051**</w:t>
                  </w:r>
                </w:p>
              </w:tc>
              <w:tc>
                <w:tcPr>
                  <w:tcW w:w="1666" w:type="pct"/>
                  <w:tcBorders>
                    <w:top w:val="nil"/>
                    <w:left w:val="nil"/>
                    <w:bottom w:val="nil"/>
                    <w:right w:val="nil"/>
                  </w:tcBorders>
                  <w:vAlign w:val="center"/>
                </w:tcPr>
                <w:p w14:paraId="195BA5A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.012</w:t>
                  </w:r>
                </w:p>
              </w:tc>
            </w:tr>
            <w:tr w:rsidR="00694090" w:rsidRPr="00F60760" w14:paraId="25A000F2" w14:textId="77777777" w:rsidTr="00BC1F26">
              <w:tc>
                <w:tcPr>
                  <w:tcW w:w="1667" w:type="pct"/>
                  <w:tcBorders>
                    <w:top w:val="nil"/>
                    <w:left w:val="nil"/>
                    <w:bottom w:val="nil"/>
                    <w:right w:val="nil"/>
                  </w:tcBorders>
                </w:tcPr>
                <w:p w14:paraId="59B39EE0"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67" w:type="pct"/>
                  <w:tcBorders>
                    <w:top w:val="nil"/>
                    <w:left w:val="nil"/>
                    <w:bottom w:val="nil"/>
                    <w:right w:val="nil"/>
                  </w:tcBorders>
                  <w:vAlign w:val="center"/>
                </w:tcPr>
                <w:p w14:paraId="5AE2E3C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(2.133)</w:t>
                  </w:r>
                </w:p>
              </w:tc>
              <w:tc>
                <w:tcPr>
                  <w:tcW w:w="1666" w:type="pct"/>
                  <w:tcBorders>
                    <w:top w:val="nil"/>
                    <w:left w:val="nil"/>
                    <w:bottom w:val="nil"/>
                    <w:right w:val="nil"/>
                  </w:tcBorders>
                  <w:vAlign w:val="center"/>
                </w:tcPr>
                <w:p w14:paraId="4D49DC9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(.290)</w:t>
                  </w:r>
                </w:p>
              </w:tc>
            </w:tr>
            <w:tr w:rsidR="00694090" w:rsidRPr="00F60760" w14:paraId="17A34D13" w14:textId="77777777" w:rsidTr="00BC1F26">
              <w:tc>
                <w:tcPr>
                  <w:tcW w:w="1667" w:type="pct"/>
                  <w:tcBorders>
                    <w:top w:val="nil"/>
                    <w:left w:val="nil"/>
                    <w:bottom w:val="nil"/>
                    <w:right w:val="nil"/>
                  </w:tcBorders>
                </w:tcPr>
                <w:p w14:paraId="0650FBF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acq_rd_intensity</w:t>
                  </w:r>
                </w:p>
              </w:tc>
              <w:tc>
                <w:tcPr>
                  <w:tcW w:w="1667" w:type="pct"/>
                  <w:tcBorders>
                    <w:top w:val="nil"/>
                    <w:left w:val="nil"/>
                    <w:bottom w:val="nil"/>
                    <w:right w:val="nil"/>
                  </w:tcBorders>
                  <w:vAlign w:val="center"/>
                </w:tcPr>
                <w:p w14:paraId="6BDEE11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.207</w:t>
                  </w:r>
                </w:p>
              </w:tc>
              <w:tc>
                <w:tcPr>
                  <w:tcW w:w="1666" w:type="pct"/>
                  <w:tcBorders>
                    <w:top w:val="nil"/>
                    <w:left w:val="nil"/>
                    <w:bottom w:val="nil"/>
                    <w:right w:val="nil"/>
                  </w:tcBorders>
                  <w:vAlign w:val="center"/>
                </w:tcPr>
                <w:p w14:paraId="606ED9B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1.493***</w:t>
                  </w:r>
                </w:p>
              </w:tc>
            </w:tr>
            <w:tr w:rsidR="00694090" w:rsidRPr="00F60760" w14:paraId="00ED1788" w14:textId="77777777" w:rsidTr="00BC1F26">
              <w:tc>
                <w:tcPr>
                  <w:tcW w:w="1667" w:type="pct"/>
                  <w:tcBorders>
                    <w:top w:val="nil"/>
                    <w:left w:val="nil"/>
                    <w:bottom w:val="nil"/>
                    <w:right w:val="nil"/>
                  </w:tcBorders>
                </w:tcPr>
                <w:p w14:paraId="6ED0949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p>
              </w:tc>
              <w:tc>
                <w:tcPr>
                  <w:tcW w:w="1667" w:type="pct"/>
                  <w:tcBorders>
                    <w:top w:val="nil"/>
                    <w:left w:val="nil"/>
                    <w:bottom w:val="nil"/>
                    <w:right w:val="nil"/>
                  </w:tcBorders>
                  <w:vAlign w:val="center"/>
                </w:tcPr>
                <w:p w14:paraId="52E131A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(.504)</w:t>
                  </w:r>
                </w:p>
              </w:tc>
              <w:tc>
                <w:tcPr>
                  <w:tcW w:w="1666" w:type="pct"/>
                  <w:tcBorders>
                    <w:top w:val="nil"/>
                    <w:left w:val="nil"/>
                    <w:bottom w:val="nil"/>
                    <w:right w:val="nil"/>
                  </w:tcBorders>
                  <w:vAlign w:val="center"/>
                </w:tcPr>
                <w:p w14:paraId="243ADAE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(3.206)</w:t>
                  </w:r>
                </w:p>
              </w:tc>
            </w:tr>
            <w:tr w:rsidR="00694090" w:rsidRPr="00F60760" w14:paraId="5341ABD8" w14:textId="77777777" w:rsidTr="00BC1F26">
              <w:tc>
                <w:tcPr>
                  <w:tcW w:w="1667" w:type="pct"/>
                  <w:tcBorders>
                    <w:top w:val="nil"/>
                    <w:left w:val="nil"/>
                    <w:bottom w:val="nil"/>
                    <w:right w:val="nil"/>
                  </w:tcBorders>
                </w:tcPr>
                <w:p w14:paraId="22AC6BB0"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tar_age</w:t>
                  </w:r>
                </w:p>
              </w:tc>
              <w:tc>
                <w:tcPr>
                  <w:tcW w:w="1667" w:type="pct"/>
                  <w:tcBorders>
                    <w:top w:val="nil"/>
                    <w:left w:val="nil"/>
                    <w:bottom w:val="nil"/>
                    <w:right w:val="nil"/>
                  </w:tcBorders>
                  <w:vAlign w:val="center"/>
                </w:tcPr>
                <w:p w14:paraId="4BAC0A0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c>
                <w:tcPr>
                  <w:tcW w:w="1666" w:type="pct"/>
                  <w:tcBorders>
                    <w:top w:val="nil"/>
                    <w:left w:val="nil"/>
                    <w:bottom w:val="nil"/>
                    <w:right w:val="nil"/>
                  </w:tcBorders>
                  <w:vAlign w:val="center"/>
                </w:tcPr>
                <w:p w14:paraId="220920F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r>
            <w:tr w:rsidR="00694090" w:rsidRPr="00F60760" w14:paraId="0CCFCF14" w14:textId="77777777" w:rsidTr="00BC1F26">
              <w:tc>
                <w:tcPr>
                  <w:tcW w:w="1667" w:type="pct"/>
                  <w:tcBorders>
                    <w:top w:val="nil"/>
                    <w:left w:val="nil"/>
                    <w:bottom w:val="nil"/>
                    <w:right w:val="nil"/>
                  </w:tcBorders>
                </w:tcPr>
                <w:p w14:paraId="196A65B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67" w:type="pct"/>
                  <w:tcBorders>
                    <w:top w:val="nil"/>
                    <w:left w:val="nil"/>
                    <w:bottom w:val="nil"/>
                    <w:right w:val="nil"/>
                  </w:tcBorders>
                  <w:vAlign w:val="center"/>
                </w:tcPr>
                <w:p w14:paraId="21CC2A8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(-1.731)</w:t>
                  </w:r>
                </w:p>
              </w:tc>
              <w:tc>
                <w:tcPr>
                  <w:tcW w:w="1666" w:type="pct"/>
                  <w:tcBorders>
                    <w:top w:val="nil"/>
                    <w:left w:val="nil"/>
                    <w:bottom w:val="nil"/>
                    <w:right w:val="nil"/>
                  </w:tcBorders>
                  <w:vAlign w:val="center"/>
                </w:tcPr>
                <w:p w14:paraId="3088D7E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(-.661)</w:t>
                  </w:r>
                </w:p>
              </w:tc>
            </w:tr>
            <w:tr w:rsidR="00694090" w:rsidRPr="00F60760" w14:paraId="5ADC691F" w14:textId="77777777" w:rsidTr="00BC1F26">
              <w:tc>
                <w:tcPr>
                  <w:tcW w:w="1667" w:type="pct"/>
                  <w:tcBorders>
                    <w:top w:val="nil"/>
                    <w:left w:val="nil"/>
                    <w:bottom w:val="nil"/>
                    <w:right w:val="nil"/>
                  </w:tcBorders>
                </w:tcPr>
                <w:p w14:paraId="1B47E60B"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tar_assets_lastyear_ln</w:t>
                  </w:r>
                </w:p>
              </w:tc>
              <w:tc>
                <w:tcPr>
                  <w:tcW w:w="1667" w:type="pct"/>
                  <w:tcBorders>
                    <w:top w:val="nil"/>
                    <w:left w:val="nil"/>
                    <w:bottom w:val="nil"/>
                    <w:right w:val="nil"/>
                  </w:tcBorders>
                  <w:vAlign w:val="center"/>
                </w:tcPr>
                <w:p w14:paraId="3050FB2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-.036</w:t>
                  </w:r>
                </w:p>
              </w:tc>
              <w:tc>
                <w:tcPr>
                  <w:tcW w:w="1666" w:type="pct"/>
                  <w:tcBorders>
                    <w:top w:val="nil"/>
                    <w:left w:val="nil"/>
                    <w:bottom w:val="nil"/>
                    <w:right w:val="nil"/>
                  </w:tcBorders>
                  <w:vAlign w:val="center"/>
                </w:tcPr>
                <w:p w14:paraId="2DC0DC9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-.069</w:t>
                  </w:r>
                </w:p>
              </w:tc>
            </w:tr>
            <w:tr w:rsidR="00694090" w:rsidRPr="00F60760" w14:paraId="3FFA5BC2" w14:textId="77777777" w:rsidTr="00BC1F26">
              <w:tc>
                <w:tcPr>
                  <w:tcW w:w="1667" w:type="pct"/>
                  <w:tcBorders>
                    <w:top w:val="nil"/>
                    <w:left w:val="nil"/>
                    <w:bottom w:val="nil"/>
                    <w:right w:val="nil"/>
                  </w:tcBorders>
                </w:tcPr>
                <w:p w14:paraId="54B9AE4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67" w:type="pct"/>
                  <w:tcBorders>
                    <w:top w:val="nil"/>
                    <w:left w:val="nil"/>
                    <w:bottom w:val="nil"/>
                    <w:right w:val="nil"/>
                  </w:tcBorders>
                  <w:vAlign w:val="center"/>
                </w:tcPr>
                <w:p w14:paraId="7260398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(-1.029)</w:t>
                  </w:r>
                </w:p>
              </w:tc>
              <w:tc>
                <w:tcPr>
                  <w:tcW w:w="1666" w:type="pct"/>
                  <w:tcBorders>
                    <w:top w:val="nil"/>
                    <w:left w:val="nil"/>
                    <w:bottom w:val="nil"/>
                    <w:right w:val="nil"/>
                  </w:tcBorders>
                  <w:vAlign w:val="center"/>
                </w:tcPr>
                <w:p w14:paraId="708BD86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(-1.385)</w:t>
                  </w:r>
                </w:p>
              </w:tc>
            </w:tr>
            <w:tr w:rsidR="00694090" w:rsidRPr="00F60760" w14:paraId="380FC5A8" w14:textId="77777777" w:rsidTr="00BC1F26">
              <w:tc>
                <w:tcPr>
                  <w:tcW w:w="1667" w:type="pct"/>
                  <w:tcBorders>
                    <w:top w:val="nil"/>
                    <w:left w:val="nil"/>
                    <w:bottom w:val="nil"/>
                    <w:right w:val="nil"/>
                  </w:tcBorders>
                </w:tcPr>
                <w:p w14:paraId="029F080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tar_roa_lastyear</w:t>
                  </w:r>
                </w:p>
              </w:tc>
              <w:tc>
                <w:tcPr>
                  <w:tcW w:w="1667" w:type="pct"/>
                  <w:tcBorders>
                    <w:top w:val="nil"/>
                    <w:left w:val="nil"/>
                    <w:bottom w:val="nil"/>
                    <w:right w:val="nil"/>
                  </w:tcBorders>
                  <w:vAlign w:val="center"/>
                </w:tcPr>
                <w:p w14:paraId="2A04CE1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-.023</w:t>
                  </w:r>
                </w:p>
              </w:tc>
              <w:tc>
                <w:tcPr>
                  <w:tcW w:w="1666" w:type="pct"/>
                  <w:tcBorders>
                    <w:top w:val="nil"/>
                    <w:left w:val="nil"/>
                    <w:bottom w:val="nil"/>
                    <w:right w:val="nil"/>
                  </w:tcBorders>
                  <w:vAlign w:val="center"/>
                </w:tcPr>
                <w:p w14:paraId="1563FDE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.243</w:t>
                  </w:r>
                </w:p>
              </w:tc>
            </w:tr>
            <w:tr w:rsidR="00694090" w:rsidRPr="00F60760" w14:paraId="0D53E543" w14:textId="77777777" w:rsidTr="00BC1F26">
              <w:tc>
                <w:tcPr>
                  <w:tcW w:w="1667" w:type="pct"/>
                  <w:tcBorders>
                    <w:top w:val="nil"/>
                    <w:left w:val="nil"/>
                    <w:bottom w:val="nil"/>
                    <w:right w:val="nil"/>
                  </w:tcBorders>
                </w:tcPr>
                <w:p w14:paraId="501E8FD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67" w:type="pct"/>
                  <w:tcBorders>
                    <w:top w:val="nil"/>
                    <w:left w:val="nil"/>
                    <w:bottom w:val="nil"/>
                    <w:right w:val="nil"/>
                  </w:tcBorders>
                  <w:vAlign w:val="center"/>
                </w:tcPr>
                <w:p w14:paraId="3F81858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(-.226)</w:t>
                  </w:r>
                </w:p>
              </w:tc>
              <w:tc>
                <w:tcPr>
                  <w:tcW w:w="1666" w:type="pct"/>
                  <w:tcBorders>
                    <w:top w:val="nil"/>
                    <w:left w:val="nil"/>
                    <w:bottom w:val="nil"/>
                    <w:right w:val="nil"/>
                  </w:tcBorders>
                  <w:vAlign w:val="center"/>
                </w:tcPr>
                <w:p w14:paraId="66EC2BA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(.926)</w:t>
                  </w:r>
                </w:p>
              </w:tc>
            </w:tr>
            <w:tr w:rsidR="00694090" w:rsidRPr="00F60760" w14:paraId="24432CEE" w14:textId="77777777" w:rsidTr="00BC1F26">
              <w:tc>
                <w:tcPr>
                  <w:tcW w:w="1667" w:type="pct"/>
                  <w:tcBorders>
                    <w:top w:val="nil"/>
                    <w:left w:val="nil"/>
                    <w:bottom w:val="nil"/>
                    <w:right w:val="nil"/>
                  </w:tcBorders>
                </w:tcPr>
                <w:p w14:paraId="668F004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tar_mbratio</w:t>
                  </w:r>
                </w:p>
              </w:tc>
              <w:tc>
                <w:tcPr>
                  <w:tcW w:w="1667" w:type="pct"/>
                  <w:tcBorders>
                    <w:top w:val="nil"/>
                    <w:left w:val="nil"/>
                    <w:bottom w:val="nil"/>
                    <w:right w:val="nil"/>
                  </w:tcBorders>
                  <w:vAlign w:val="center"/>
                </w:tcPr>
                <w:p w14:paraId="170A5B7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.007**</w:t>
                  </w:r>
                </w:p>
              </w:tc>
              <w:tc>
                <w:tcPr>
                  <w:tcW w:w="1666" w:type="pct"/>
                  <w:tcBorders>
                    <w:top w:val="nil"/>
                    <w:left w:val="nil"/>
                    <w:bottom w:val="nil"/>
                    <w:right w:val="nil"/>
                  </w:tcBorders>
                  <w:vAlign w:val="center"/>
                </w:tcPr>
                <w:p w14:paraId="0363BC8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.008**</w:t>
                  </w:r>
                </w:p>
              </w:tc>
            </w:tr>
            <w:tr w:rsidR="00694090" w:rsidRPr="00F60760" w14:paraId="1220A6A3" w14:textId="77777777" w:rsidTr="00BC1F26">
              <w:tc>
                <w:tcPr>
                  <w:tcW w:w="1667" w:type="pct"/>
                  <w:tcBorders>
                    <w:top w:val="nil"/>
                    <w:left w:val="nil"/>
                    <w:bottom w:val="nil"/>
                    <w:right w:val="nil"/>
                  </w:tcBorders>
                </w:tcPr>
                <w:p w14:paraId="401F634E"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67" w:type="pct"/>
                  <w:tcBorders>
                    <w:top w:val="nil"/>
                    <w:left w:val="nil"/>
                    <w:bottom w:val="nil"/>
                    <w:right w:val="nil"/>
                  </w:tcBorders>
                  <w:vAlign w:val="center"/>
                </w:tcPr>
                <w:p w14:paraId="0F316DB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(2.499)</w:t>
                  </w:r>
                </w:p>
              </w:tc>
              <w:tc>
                <w:tcPr>
                  <w:tcW w:w="1666" w:type="pct"/>
                  <w:tcBorders>
                    <w:top w:val="nil"/>
                    <w:left w:val="nil"/>
                    <w:bottom w:val="nil"/>
                    <w:right w:val="nil"/>
                  </w:tcBorders>
                  <w:vAlign w:val="center"/>
                </w:tcPr>
                <w:p w14:paraId="764A0EA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(2.508)</w:t>
                  </w:r>
                </w:p>
              </w:tc>
            </w:tr>
            <w:tr w:rsidR="00694090" w:rsidRPr="00F60760" w14:paraId="5B375DAF" w14:textId="77777777" w:rsidTr="00BC1F26">
              <w:tc>
                <w:tcPr>
                  <w:tcW w:w="1667" w:type="pct"/>
                  <w:tcBorders>
                    <w:top w:val="nil"/>
                    <w:left w:val="nil"/>
                    <w:bottom w:val="nil"/>
                    <w:right w:val="nil"/>
                  </w:tcBorders>
                </w:tcPr>
                <w:p w14:paraId="09A574D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Observations</w:t>
                  </w:r>
                </w:p>
              </w:tc>
              <w:tc>
                <w:tcPr>
                  <w:tcW w:w="1667" w:type="pct"/>
                  <w:tcBorders>
                    <w:top w:val="nil"/>
                    <w:left w:val="nil"/>
                    <w:bottom w:val="nil"/>
                    <w:right w:val="nil"/>
                  </w:tcBorders>
                </w:tcPr>
                <w:p w14:paraId="2B80035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243</w:t>
                  </w:r>
                </w:p>
              </w:tc>
              <w:tc>
                <w:tcPr>
                  <w:tcW w:w="1666" w:type="pct"/>
                  <w:tcBorders>
                    <w:top w:val="nil"/>
                    <w:left w:val="nil"/>
                    <w:bottom w:val="nil"/>
                    <w:right w:val="nil"/>
                  </w:tcBorders>
                </w:tcPr>
                <w:p w14:paraId="690E0DE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243</w:t>
                  </w:r>
                </w:p>
              </w:tc>
            </w:tr>
            <w:tr w:rsidR="00694090" w:rsidRPr="00F60760" w14:paraId="6E30449E" w14:textId="77777777" w:rsidTr="00BC1F26">
              <w:tc>
                <w:tcPr>
                  <w:tcW w:w="1667" w:type="pct"/>
                  <w:tcBorders>
                    <w:top w:val="nil"/>
                    <w:left w:val="nil"/>
                    <w:bottom w:val="nil"/>
                    <w:right w:val="nil"/>
                  </w:tcBorders>
                </w:tcPr>
                <w:p w14:paraId="7611E075"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Adj R2</w:t>
                  </w:r>
                </w:p>
              </w:tc>
              <w:tc>
                <w:tcPr>
                  <w:tcW w:w="1667" w:type="pct"/>
                  <w:tcBorders>
                    <w:top w:val="nil"/>
                    <w:left w:val="nil"/>
                    <w:bottom w:val="nil"/>
                    <w:right w:val="nil"/>
                  </w:tcBorders>
                  <w:vAlign w:val="center"/>
                </w:tcPr>
                <w:p w14:paraId="26DCD93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.075</w:t>
                  </w:r>
                </w:p>
              </w:tc>
              <w:tc>
                <w:tcPr>
                  <w:tcW w:w="1666" w:type="pct"/>
                  <w:tcBorders>
                    <w:top w:val="nil"/>
                    <w:left w:val="nil"/>
                    <w:bottom w:val="nil"/>
                    <w:right w:val="nil"/>
                  </w:tcBorders>
                  <w:vAlign w:val="center"/>
                </w:tcPr>
                <w:p w14:paraId="0185343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.060</w:t>
                  </w:r>
                </w:p>
              </w:tc>
            </w:tr>
            <w:tr w:rsidR="00694090" w:rsidRPr="00F60760" w14:paraId="555C8F00" w14:textId="77777777" w:rsidTr="00BC1F26">
              <w:tc>
                <w:tcPr>
                  <w:tcW w:w="1667" w:type="pct"/>
                  <w:tcBorders>
                    <w:top w:val="nil"/>
                    <w:left w:val="nil"/>
                    <w:bottom w:val="nil"/>
                    <w:right w:val="nil"/>
                  </w:tcBorders>
                </w:tcPr>
                <w:p w14:paraId="4CC5552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Industry FE</w:t>
                  </w:r>
                </w:p>
              </w:tc>
              <w:tc>
                <w:tcPr>
                  <w:tcW w:w="1667" w:type="pct"/>
                  <w:tcBorders>
                    <w:top w:val="nil"/>
                    <w:left w:val="nil"/>
                    <w:bottom w:val="nil"/>
                    <w:right w:val="nil"/>
                  </w:tcBorders>
                </w:tcPr>
                <w:p w14:paraId="496103B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1666" w:type="pct"/>
                  <w:tcBorders>
                    <w:top w:val="nil"/>
                    <w:left w:val="nil"/>
                    <w:bottom w:val="nil"/>
                    <w:right w:val="nil"/>
                  </w:tcBorders>
                </w:tcPr>
                <w:p w14:paraId="29D7C2E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r>
            <w:tr w:rsidR="00694090" w:rsidRPr="00F60760" w14:paraId="5FA5EBBE" w14:textId="77777777" w:rsidTr="00BC1F26">
              <w:tc>
                <w:tcPr>
                  <w:tcW w:w="1667" w:type="pct"/>
                  <w:tcBorders>
                    <w:top w:val="nil"/>
                    <w:left w:val="nil"/>
                    <w:bottom w:val="nil"/>
                    <w:right w:val="nil"/>
                  </w:tcBorders>
                </w:tcPr>
                <w:p w14:paraId="5AE6DB9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Year FE</w:t>
                  </w:r>
                </w:p>
              </w:tc>
              <w:tc>
                <w:tcPr>
                  <w:tcW w:w="1667" w:type="pct"/>
                  <w:tcBorders>
                    <w:top w:val="nil"/>
                    <w:left w:val="nil"/>
                    <w:bottom w:val="nil"/>
                    <w:right w:val="nil"/>
                  </w:tcBorders>
                </w:tcPr>
                <w:p w14:paraId="65836C4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1666" w:type="pct"/>
                  <w:tcBorders>
                    <w:top w:val="nil"/>
                    <w:left w:val="nil"/>
                    <w:bottom w:val="nil"/>
                    <w:right w:val="nil"/>
                  </w:tcBorders>
                </w:tcPr>
                <w:p w14:paraId="7DDE992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Yes</w:t>
                  </w:r>
                </w:p>
              </w:tc>
            </w:tr>
          </w:tbl>
          <w:p w14:paraId="7B51C6FD" w14:textId="77777777" w:rsidR="00694090" w:rsidRPr="00F60760" w:rsidRDefault="00694090" w:rsidP="00AB066F">
            <w:pPr>
              <w:jc w:val="left"/>
              <w:rPr>
                <w:color w:val="000000" w:themeColor="text1"/>
                <w:sz w:val="22"/>
                <w:lang w:val="en-US"/>
              </w:rPr>
            </w:pPr>
          </w:p>
        </w:tc>
      </w:tr>
      <w:tr w:rsidR="00694090" w:rsidRPr="00BE5632" w14:paraId="28F1B619" w14:textId="77777777" w:rsidTr="005E75E7">
        <w:trPr>
          <w:trHeight w:val="454"/>
        </w:trPr>
        <w:tc>
          <w:tcPr>
            <w:tcW w:w="9214" w:type="dxa"/>
            <w:tcBorders>
              <w:top w:val="single" w:sz="4" w:space="0" w:color="auto"/>
              <w:left w:val="nil"/>
              <w:right w:val="nil"/>
            </w:tcBorders>
            <w:shd w:val="clear" w:color="auto" w:fill="auto"/>
            <w:noWrap/>
          </w:tcPr>
          <w:p w14:paraId="77BD018F" w14:textId="77777777" w:rsidR="00694090" w:rsidRPr="00F60760" w:rsidRDefault="00694090" w:rsidP="00E74508">
            <w:pPr>
              <w:spacing w:before="120" w:line="240" w:lineRule="auto"/>
              <w:rPr>
                <w:color w:val="000000" w:themeColor="text1"/>
                <w:sz w:val="22"/>
                <w:lang w:val="en-US"/>
              </w:rPr>
            </w:pPr>
            <w:r w:rsidRPr="00F60760">
              <w:rPr>
                <w:i/>
                <w:iCs/>
                <w:color w:val="000000" w:themeColor="text1"/>
                <w:sz w:val="22"/>
                <w:lang w:val="en-US"/>
              </w:rPr>
              <w:t>Note</w:t>
            </w:r>
            <w:r w:rsidRPr="00F60760">
              <w:rPr>
                <w:color w:val="000000" w:themeColor="text1"/>
                <w:sz w:val="22"/>
                <w:lang w:val="en-US"/>
              </w:rPr>
              <w:t xml:space="preserve">. This table reports fixed effects linear OLS regression results predicting the effect of organizational cultural distance between acquirers and targets on deal announcement cumulative abnormal returns (CARs). Returns are measured as weekly returns. The dependent variable for Models 1 and 2 is the acquirer’s cumulative abnormal return, with the day range being centered around announcement given in brackets. The main independent variable in Models 1 and 2 is </w:t>
            </w:r>
            <w:r w:rsidRPr="00F60760">
              <w:rPr>
                <w:i/>
                <w:color w:val="000000" w:themeColor="text1"/>
                <w:sz w:val="22"/>
                <w:lang w:val="en-US"/>
              </w:rPr>
              <w:t xml:space="preserve">deal_culturaldistance </w:t>
            </w:r>
            <w:r w:rsidRPr="00F60760">
              <w:rPr>
                <w:color w:val="000000" w:themeColor="text1"/>
                <w:sz w:val="22"/>
                <w:lang w:val="en-US"/>
              </w:rPr>
              <w:t xml:space="preserve">with higher values indicating higher cultural dissimilarities between the acquirer and target. A detailed variable description can be found in Appendix B. Constant terms are estimated but not reported. We include the acquirer’s industry and year fixed effects in all models. We </w:t>
            </w:r>
            <w:r w:rsidRPr="00F60760">
              <w:rPr>
                <w:color w:val="000000" w:themeColor="text1"/>
                <w:sz w:val="22"/>
                <w:lang w:val="en-US"/>
              </w:rPr>
              <w:lastRenderedPageBreak/>
              <w:t>cluster standard errors at the 2-digit SIC industry level. t-statistics are reported in parentheses below the coefficients. *, **, *** denote statistical significance at the .10, .05, and .01 levels (using two-tailed tests).</w:t>
            </w:r>
          </w:p>
        </w:tc>
      </w:tr>
    </w:tbl>
    <w:p w14:paraId="56BB3AEB" w14:textId="77777777" w:rsidR="00077534" w:rsidRDefault="00077534">
      <w:pPr>
        <w:spacing w:after="160" w:line="259" w:lineRule="auto"/>
        <w:jc w:val="left"/>
        <w:rPr>
          <w:rFonts w:eastAsiaTheme="majorEastAsia" w:cstheme="majorBidi"/>
          <w:b/>
          <w:caps/>
          <w:szCs w:val="32"/>
          <w:lang w:val="en-US"/>
        </w:rPr>
      </w:pPr>
      <w:r w:rsidRPr="00A7042B">
        <w:rPr>
          <w:lang w:val="en-US"/>
        </w:rPr>
        <w:lastRenderedPageBreak/>
        <w:br w:type="page"/>
      </w:r>
    </w:p>
    <w:p w14:paraId="584A0004" w14:textId="7E7E84D7" w:rsidR="000F4B60" w:rsidRPr="00442048" w:rsidRDefault="000F4B60" w:rsidP="000F4B60">
      <w:pPr>
        <w:pStyle w:val="1fake"/>
      </w:pPr>
      <w:r w:rsidRPr="00442048">
        <w:lastRenderedPageBreak/>
        <w:t xml:space="preserve">ONLINE SUPPLEMENT </w:t>
      </w:r>
      <w:r>
        <w:t>25</w:t>
      </w:r>
    </w:p>
    <w:p w14:paraId="5D74D1D0" w14:textId="655D3173" w:rsidR="00011AF5" w:rsidRPr="000F4B60" w:rsidRDefault="00011AF5" w:rsidP="00011AF5">
      <w:pPr>
        <w:pStyle w:val="Beschriftung"/>
      </w:pPr>
      <w:bookmarkStart w:id="644" w:name="_Toc180594871"/>
      <w:r>
        <w:t xml:space="preserve">T - III - </w:t>
      </w:r>
      <w:r>
        <w:fldChar w:fldCharType="begin"/>
      </w:r>
      <w:r>
        <w:instrText xml:space="preserve"> SEQ T_-_III_- \* ARABIC </w:instrText>
      </w:r>
      <w:r>
        <w:fldChar w:fldCharType="separate"/>
      </w:r>
      <w:r w:rsidR="00E91088">
        <w:rPr>
          <w:noProof/>
        </w:rPr>
        <w:t>35</w:t>
      </w:r>
      <w:r>
        <w:fldChar w:fldCharType="end"/>
      </w:r>
      <w:r>
        <w:t xml:space="preserve">: </w:t>
      </w:r>
      <w:r w:rsidRPr="000F05E1">
        <w:t>H1a: Capital market reactions (CARs) - Alternative market portfolio (Russel 3000)</w:t>
      </w:r>
      <w:bookmarkEnd w:id="644"/>
    </w:p>
    <w:tbl>
      <w:tblPr>
        <w:tblW w:w="9072" w:type="dxa"/>
        <w:tblLook w:val="04A0" w:firstRow="1" w:lastRow="0" w:firstColumn="1" w:lastColumn="0" w:noHBand="0" w:noVBand="1"/>
      </w:tblPr>
      <w:tblGrid>
        <w:gridCol w:w="9072"/>
      </w:tblGrid>
      <w:tr w:rsidR="00694090" w:rsidRPr="00F60760" w14:paraId="182BFAEC" w14:textId="77777777" w:rsidTr="005E75E7">
        <w:trPr>
          <w:trHeight w:val="80"/>
        </w:trPr>
        <w:tc>
          <w:tcPr>
            <w:tcW w:w="9288" w:type="dxa"/>
            <w:tcBorders>
              <w:left w:val="nil"/>
              <w:bottom w:val="single" w:sz="4" w:space="0" w:color="auto"/>
              <w:right w:val="nil"/>
            </w:tcBorders>
            <w:shd w:val="clear" w:color="auto" w:fill="auto"/>
          </w:tcPr>
          <w:tbl>
            <w:tblPr>
              <w:tblW w:w="9072" w:type="dxa"/>
              <w:tblLook w:val="0000" w:firstRow="0" w:lastRow="0" w:firstColumn="0" w:lastColumn="0" w:noHBand="0" w:noVBand="0"/>
            </w:tblPr>
            <w:tblGrid>
              <w:gridCol w:w="3024"/>
              <w:gridCol w:w="3025"/>
              <w:gridCol w:w="3023"/>
            </w:tblGrid>
            <w:tr w:rsidR="00694090" w:rsidRPr="00F60760" w14:paraId="232DE670" w14:textId="77777777" w:rsidTr="00BC1F26">
              <w:tc>
                <w:tcPr>
                  <w:tcW w:w="1667" w:type="pct"/>
                  <w:tcBorders>
                    <w:top w:val="single" w:sz="4" w:space="0" w:color="auto"/>
                    <w:left w:val="nil"/>
                    <w:bottom w:val="nil"/>
                    <w:right w:val="nil"/>
                  </w:tcBorders>
                </w:tcPr>
                <w:p w14:paraId="2D8948F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w:t>
                  </w:r>
                </w:p>
              </w:tc>
              <w:tc>
                <w:tcPr>
                  <w:tcW w:w="1667" w:type="pct"/>
                  <w:tcBorders>
                    <w:top w:val="single" w:sz="4" w:space="0" w:color="auto"/>
                    <w:left w:val="nil"/>
                    <w:bottom w:val="nil"/>
                    <w:right w:val="nil"/>
                  </w:tcBorders>
                </w:tcPr>
                <w:p w14:paraId="06C22573"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(1)</w:t>
                  </w:r>
                </w:p>
              </w:tc>
              <w:tc>
                <w:tcPr>
                  <w:tcW w:w="1666" w:type="pct"/>
                  <w:tcBorders>
                    <w:top w:val="single" w:sz="4" w:space="0" w:color="auto"/>
                    <w:left w:val="nil"/>
                    <w:bottom w:val="nil"/>
                    <w:right w:val="nil"/>
                  </w:tcBorders>
                </w:tcPr>
                <w:p w14:paraId="612352D7"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(2)</w:t>
                  </w:r>
                </w:p>
              </w:tc>
            </w:tr>
            <w:tr w:rsidR="00694090" w:rsidRPr="00F60760" w14:paraId="137904EE" w14:textId="77777777" w:rsidTr="00BC1F26">
              <w:tc>
                <w:tcPr>
                  <w:tcW w:w="1667" w:type="pct"/>
                  <w:tcBorders>
                    <w:top w:val="nil"/>
                    <w:left w:val="nil"/>
                    <w:bottom w:val="single" w:sz="10" w:space="0" w:color="auto"/>
                    <w:right w:val="nil"/>
                  </w:tcBorders>
                </w:tcPr>
                <w:p w14:paraId="32EE127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w:t>
                  </w:r>
                </w:p>
              </w:tc>
              <w:tc>
                <w:tcPr>
                  <w:tcW w:w="1667" w:type="pct"/>
                  <w:tcBorders>
                    <w:top w:val="nil"/>
                    <w:left w:val="nil"/>
                    <w:bottom w:val="single" w:sz="10" w:space="0" w:color="auto"/>
                    <w:right w:val="nil"/>
                  </w:tcBorders>
                </w:tcPr>
                <w:p w14:paraId="7247D092"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acq_car</w:t>
                  </w:r>
                  <w:r w:rsidRPr="00F60760">
                    <w:rPr>
                      <w:b/>
                      <w:bCs/>
                      <w:color w:val="000000" w:themeColor="text1"/>
                      <w:sz w:val="22"/>
                      <w:lang w:val="en-US"/>
                    </w:rPr>
                    <w:br/>
                    <w:t>[-10,10]</w:t>
                  </w:r>
                </w:p>
              </w:tc>
              <w:tc>
                <w:tcPr>
                  <w:tcW w:w="1666" w:type="pct"/>
                  <w:tcBorders>
                    <w:top w:val="nil"/>
                    <w:left w:val="nil"/>
                    <w:bottom w:val="single" w:sz="10" w:space="0" w:color="auto"/>
                    <w:right w:val="nil"/>
                  </w:tcBorders>
                </w:tcPr>
                <w:p w14:paraId="481973B7" w14:textId="77777777" w:rsidR="00694090" w:rsidRPr="00F60760" w:rsidRDefault="00694090" w:rsidP="00AB066F">
                  <w:pPr>
                    <w:widowControl w:val="0"/>
                    <w:autoSpaceDE w:val="0"/>
                    <w:autoSpaceDN w:val="0"/>
                    <w:adjustRightInd w:val="0"/>
                    <w:spacing w:line="240" w:lineRule="auto"/>
                    <w:jc w:val="center"/>
                    <w:rPr>
                      <w:b/>
                      <w:bCs/>
                      <w:color w:val="000000" w:themeColor="text1"/>
                      <w:sz w:val="22"/>
                      <w:lang w:val="en-US"/>
                    </w:rPr>
                  </w:pPr>
                  <w:r w:rsidRPr="00F60760">
                    <w:rPr>
                      <w:b/>
                      <w:bCs/>
                      <w:color w:val="000000" w:themeColor="text1"/>
                      <w:sz w:val="22"/>
                      <w:lang w:val="en-US"/>
                    </w:rPr>
                    <w:t>acq_car</w:t>
                  </w:r>
                  <w:r w:rsidRPr="00F60760">
                    <w:rPr>
                      <w:b/>
                      <w:bCs/>
                      <w:color w:val="000000" w:themeColor="text1"/>
                      <w:sz w:val="22"/>
                      <w:lang w:val="en-US"/>
                    </w:rPr>
                    <w:br/>
                    <w:t>[-5,5]</w:t>
                  </w:r>
                </w:p>
              </w:tc>
            </w:tr>
            <w:tr w:rsidR="00694090" w:rsidRPr="00F60760" w14:paraId="5765F351" w14:textId="77777777" w:rsidTr="00BC1F26">
              <w:tc>
                <w:tcPr>
                  <w:tcW w:w="1667" w:type="pct"/>
                  <w:tcBorders>
                    <w:top w:val="nil"/>
                    <w:left w:val="nil"/>
                    <w:bottom w:val="nil"/>
                    <w:right w:val="nil"/>
                  </w:tcBorders>
                </w:tcPr>
                <w:p w14:paraId="24BEE2F3"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deal_culturaldistance</w:t>
                  </w:r>
                </w:p>
              </w:tc>
              <w:tc>
                <w:tcPr>
                  <w:tcW w:w="1667" w:type="pct"/>
                  <w:tcBorders>
                    <w:top w:val="nil"/>
                    <w:left w:val="nil"/>
                    <w:bottom w:val="nil"/>
                    <w:right w:val="nil"/>
                  </w:tcBorders>
                  <w:vAlign w:val="center"/>
                </w:tcPr>
                <w:p w14:paraId="4A15388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-.004***</w:t>
                  </w:r>
                </w:p>
              </w:tc>
              <w:tc>
                <w:tcPr>
                  <w:tcW w:w="1666" w:type="pct"/>
                  <w:tcBorders>
                    <w:top w:val="nil"/>
                    <w:left w:val="nil"/>
                    <w:bottom w:val="nil"/>
                    <w:right w:val="nil"/>
                  </w:tcBorders>
                  <w:vAlign w:val="center"/>
                </w:tcPr>
                <w:p w14:paraId="2B25777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-.003**</w:t>
                  </w:r>
                </w:p>
              </w:tc>
            </w:tr>
            <w:tr w:rsidR="00694090" w:rsidRPr="00F60760" w14:paraId="3749AB82" w14:textId="77777777" w:rsidTr="00BC1F26">
              <w:tc>
                <w:tcPr>
                  <w:tcW w:w="1667" w:type="pct"/>
                  <w:tcBorders>
                    <w:top w:val="nil"/>
                    <w:left w:val="nil"/>
                    <w:bottom w:val="nil"/>
                    <w:right w:val="nil"/>
                  </w:tcBorders>
                </w:tcPr>
                <w:p w14:paraId="7D343C65"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67" w:type="pct"/>
                  <w:tcBorders>
                    <w:top w:val="nil"/>
                    <w:left w:val="nil"/>
                    <w:bottom w:val="nil"/>
                    <w:right w:val="nil"/>
                  </w:tcBorders>
                  <w:vAlign w:val="center"/>
                </w:tcPr>
                <w:p w14:paraId="57FDE3F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(-2.695)</w:t>
                  </w:r>
                </w:p>
              </w:tc>
              <w:tc>
                <w:tcPr>
                  <w:tcW w:w="1666" w:type="pct"/>
                  <w:tcBorders>
                    <w:top w:val="nil"/>
                    <w:left w:val="nil"/>
                    <w:bottom w:val="nil"/>
                    <w:right w:val="nil"/>
                  </w:tcBorders>
                  <w:vAlign w:val="center"/>
                </w:tcPr>
                <w:p w14:paraId="421EEBD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(-2.099)</w:t>
                  </w:r>
                </w:p>
              </w:tc>
            </w:tr>
            <w:tr w:rsidR="00694090" w:rsidRPr="00F60760" w14:paraId="454318F7" w14:textId="77777777" w:rsidTr="00BC1F26">
              <w:tc>
                <w:tcPr>
                  <w:tcW w:w="1667" w:type="pct"/>
                  <w:tcBorders>
                    <w:top w:val="nil"/>
                    <w:left w:val="nil"/>
                    <w:bottom w:val="nil"/>
                    <w:right w:val="nil"/>
                  </w:tcBorders>
                </w:tcPr>
                <w:p w14:paraId="20457A5D"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deal_value_ln</w:t>
                  </w:r>
                </w:p>
              </w:tc>
              <w:tc>
                <w:tcPr>
                  <w:tcW w:w="1667" w:type="pct"/>
                  <w:tcBorders>
                    <w:top w:val="nil"/>
                    <w:left w:val="nil"/>
                    <w:bottom w:val="nil"/>
                    <w:right w:val="nil"/>
                  </w:tcBorders>
                  <w:vAlign w:val="center"/>
                </w:tcPr>
                <w:p w14:paraId="2473F6F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.005</w:t>
                  </w:r>
                </w:p>
              </w:tc>
              <w:tc>
                <w:tcPr>
                  <w:tcW w:w="1666" w:type="pct"/>
                  <w:tcBorders>
                    <w:top w:val="nil"/>
                    <w:left w:val="nil"/>
                    <w:bottom w:val="nil"/>
                    <w:right w:val="nil"/>
                  </w:tcBorders>
                  <w:vAlign w:val="center"/>
                </w:tcPr>
                <w:p w14:paraId="0FD6FA0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-.008</w:t>
                  </w:r>
                </w:p>
              </w:tc>
            </w:tr>
            <w:tr w:rsidR="00694090" w:rsidRPr="00F60760" w14:paraId="5118AF57" w14:textId="77777777" w:rsidTr="00BC1F26">
              <w:tc>
                <w:tcPr>
                  <w:tcW w:w="1667" w:type="pct"/>
                  <w:tcBorders>
                    <w:top w:val="nil"/>
                    <w:left w:val="nil"/>
                    <w:bottom w:val="nil"/>
                    <w:right w:val="nil"/>
                  </w:tcBorders>
                </w:tcPr>
                <w:p w14:paraId="3A219293"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67" w:type="pct"/>
                  <w:tcBorders>
                    <w:top w:val="nil"/>
                    <w:left w:val="nil"/>
                    <w:bottom w:val="nil"/>
                    <w:right w:val="nil"/>
                  </w:tcBorders>
                  <w:vAlign w:val="center"/>
                </w:tcPr>
                <w:p w14:paraId="3500D8E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(.542)</w:t>
                  </w:r>
                </w:p>
              </w:tc>
              <w:tc>
                <w:tcPr>
                  <w:tcW w:w="1666" w:type="pct"/>
                  <w:tcBorders>
                    <w:top w:val="nil"/>
                    <w:left w:val="nil"/>
                    <w:bottom w:val="nil"/>
                    <w:right w:val="nil"/>
                  </w:tcBorders>
                  <w:vAlign w:val="center"/>
                </w:tcPr>
                <w:p w14:paraId="7C8D3AE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(-.878)</w:t>
                  </w:r>
                </w:p>
              </w:tc>
            </w:tr>
            <w:tr w:rsidR="00694090" w:rsidRPr="00F60760" w14:paraId="6C667B75" w14:textId="77777777" w:rsidTr="00BC1F26">
              <w:tc>
                <w:tcPr>
                  <w:tcW w:w="1667" w:type="pct"/>
                  <w:tcBorders>
                    <w:top w:val="nil"/>
                    <w:left w:val="nil"/>
                    <w:bottom w:val="nil"/>
                    <w:right w:val="nil"/>
                  </w:tcBorders>
                </w:tcPr>
                <w:p w14:paraId="3B0B822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deal_hofstede_distance</w:t>
                  </w:r>
                </w:p>
              </w:tc>
              <w:tc>
                <w:tcPr>
                  <w:tcW w:w="1667" w:type="pct"/>
                  <w:tcBorders>
                    <w:top w:val="nil"/>
                    <w:left w:val="nil"/>
                    <w:bottom w:val="nil"/>
                    <w:right w:val="nil"/>
                  </w:tcBorders>
                  <w:vAlign w:val="center"/>
                </w:tcPr>
                <w:p w14:paraId="438C30E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.019</w:t>
                  </w:r>
                </w:p>
              </w:tc>
              <w:tc>
                <w:tcPr>
                  <w:tcW w:w="1666" w:type="pct"/>
                  <w:tcBorders>
                    <w:top w:val="nil"/>
                    <w:left w:val="nil"/>
                    <w:bottom w:val="nil"/>
                    <w:right w:val="nil"/>
                  </w:tcBorders>
                  <w:vAlign w:val="center"/>
                </w:tcPr>
                <w:p w14:paraId="743D3D5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.064</w:t>
                  </w:r>
                </w:p>
              </w:tc>
            </w:tr>
            <w:tr w:rsidR="00694090" w:rsidRPr="00F60760" w14:paraId="6241DCA7" w14:textId="77777777" w:rsidTr="00BC1F26">
              <w:tc>
                <w:tcPr>
                  <w:tcW w:w="1667" w:type="pct"/>
                  <w:tcBorders>
                    <w:top w:val="nil"/>
                    <w:left w:val="nil"/>
                    <w:bottom w:val="nil"/>
                    <w:right w:val="nil"/>
                  </w:tcBorders>
                </w:tcPr>
                <w:p w14:paraId="329B1D55"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67" w:type="pct"/>
                  <w:tcBorders>
                    <w:top w:val="nil"/>
                    <w:left w:val="nil"/>
                    <w:bottom w:val="nil"/>
                    <w:right w:val="nil"/>
                  </w:tcBorders>
                  <w:vAlign w:val="center"/>
                </w:tcPr>
                <w:p w14:paraId="03C11A0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(.187)</w:t>
                  </w:r>
                </w:p>
              </w:tc>
              <w:tc>
                <w:tcPr>
                  <w:tcW w:w="1666" w:type="pct"/>
                  <w:tcBorders>
                    <w:top w:val="nil"/>
                    <w:left w:val="nil"/>
                    <w:bottom w:val="nil"/>
                    <w:right w:val="nil"/>
                  </w:tcBorders>
                  <w:vAlign w:val="center"/>
                </w:tcPr>
                <w:p w14:paraId="2210315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(.675)</w:t>
                  </w:r>
                </w:p>
              </w:tc>
            </w:tr>
            <w:tr w:rsidR="00694090" w:rsidRPr="00F60760" w14:paraId="03E3957B" w14:textId="77777777" w:rsidTr="00BC1F26">
              <w:tc>
                <w:tcPr>
                  <w:tcW w:w="1667" w:type="pct"/>
                  <w:tcBorders>
                    <w:top w:val="nil"/>
                    <w:left w:val="nil"/>
                    <w:bottom w:val="nil"/>
                    <w:right w:val="nil"/>
                  </w:tcBorders>
                </w:tcPr>
                <w:p w14:paraId="13BACAC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deal_all_cash_dummy</w:t>
                  </w:r>
                </w:p>
              </w:tc>
              <w:tc>
                <w:tcPr>
                  <w:tcW w:w="1667" w:type="pct"/>
                  <w:tcBorders>
                    <w:top w:val="nil"/>
                    <w:left w:val="nil"/>
                    <w:bottom w:val="nil"/>
                    <w:right w:val="nil"/>
                  </w:tcBorders>
                  <w:vAlign w:val="center"/>
                </w:tcPr>
                <w:p w14:paraId="00024BE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.028</w:t>
                  </w:r>
                </w:p>
              </w:tc>
              <w:tc>
                <w:tcPr>
                  <w:tcW w:w="1666" w:type="pct"/>
                  <w:tcBorders>
                    <w:top w:val="nil"/>
                    <w:left w:val="nil"/>
                    <w:bottom w:val="nil"/>
                    <w:right w:val="nil"/>
                  </w:tcBorders>
                  <w:vAlign w:val="center"/>
                </w:tcPr>
                <w:p w14:paraId="7325957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.003</w:t>
                  </w:r>
                </w:p>
              </w:tc>
            </w:tr>
            <w:tr w:rsidR="00694090" w:rsidRPr="00F60760" w14:paraId="541C7E59" w14:textId="77777777" w:rsidTr="00BC1F26">
              <w:tc>
                <w:tcPr>
                  <w:tcW w:w="1667" w:type="pct"/>
                  <w:tcBorders>
                    <w:top w:val="nil"/>
                    <w:left w:val="nil"/>
                    <w:bottom w:val="nil"/>
                    <w:right w:val="nil"/>
                  </w:tcBorders>
                </w:tcPr>
                <w:p w14:paraId="4CEA4734"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67" w:type="pct"/>
                  <w:tcBorders>
                    <w:top w:val="nil"/>
                    <w:left w:val="nil"/>
                    <w:bottom w:val="nil"/>
                    <w:right w:val="nil"/>
                  </w:tcBorders>
                  <w:vAlign w:val="center"/>
                </w:tcPr>
                <w:p w14:paraId="52BA869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(1.005)</w:t>
                  </w:r>
                </w:p>
              </w:tc>
              <w:tc>
                <w:tcPr>
                  <w:tcW w:w="1666" w:type="pct"/>
                  <w:tcBorders>
                    <w:top w:val="nil"/>
                    <w:left w:val="nil"/>
                    <w:bottom w:val="nil"/>
                    <w:right w:val="nil"/>
                  </w:tcBorders>
                  <w:vAlign w:val="center"/>
                </w:tcPr>
                <w:p w14:paraId="58C9E32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(.110)</w:t>
                  </w:r>
                </w:p>
              </w:tc>
            </w:tr>
            <w:tr w:rsidR="00694090" w:rsidRPr="00F60760" w14:paraId="6EAFD0B0" w14:textId="77777777" w:rsidTr="00BC1F26">
              <w:tc>
                <w:tcPr>
                  <w:tcW w:w="1667" w:type="pct"/>
                  <w:tcBorders>
                    <w:top w:val="nil"/>
                    <w:left w:val="nil"/>
                    <w:bottom w:val="nil"/>
                    <w:right w:val="nil"/>
                  </w:tcBorders>
                </w:tcPr>
                <w:p w14:paraId="64281018"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deal_all_stock_dummy</w:t>
                  </w:r>
                </w:p>
              </w:tc>
              <w:tc>
                <w:tcPr>
                  <w:tcW w:w="1667" w:type="pct"/>
                  <w:tcBorders>
                    <w:top w:val="nil"/>
                    <w:left w:val="nil"/>
                    <w:bottom w:val="nil"/>
                    <w:right w:val="nil"/>
                  </w:tcBorders>
                  <w:vAlign w:val="center"/>
                </w:tcPr>
                <w:p w14:paraId="6FFE5AE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-.048</w:t>
                  </w:r>
                </w:p>
              </w:tc>
              <w:tc>
                <w:tcPr>
                  <w:tcW w:w="1666" w:type="pct"/>
                  <w:tcBorders>
                    <w:top w:val="nil"/>
                    <w:left w:val="nil"/>
                    <w:bottom w:val="nil"/>
                    <w:right w:val="nil"/>
                  </w:tcBorders>
                  <w:vAlign w:val="center"/>
                </w:tcPr>
                <w:p w14:paraId="0BF26F9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-.018</w:t>
                  </w:r>
                </w:p>
              </w:tc>
            </w:tr>
            <w:tr w:rsidR="00694090" w:rsidRPr="00F60760" w14:paraId="5E8C558F" w14:textId="77777777" w:rsidTr="00BC1F26">
              <w:tc>
                <w:tcPr>
                  <w:tcW w:w="1667" w:type="pct"/>
                  <w:tcBorders>
                    <w:top w:val="nil"/>
                    <w:left w:val="nil"/>
                    <w:bottom w:val="nil"/>
                    <w:right w:val="nil"/>
                  </w:tcBorders>
                </w:tcPr>
                <w:p w14:paraId="69E5F22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67" w:type="pct"/>
                  <w:tcBorders>
                    <w:top w:val="nil"/>
                    <w:left w:val="nil"/>
                    <w:bottom w:val="nil"/>
                    <w:right w:val="nil"/>
                  </w:tcBorders>
                  <w:vAlign w:val="center"/>
                </w:tcPr>
                <w:p w14:paraId="3588036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(-1.215)</w:t>
                  </w:r>
                </w:p>
              </w:tc>
              <w:tc>
                <w:tcPr>
                  <w:tcW w:w="1666" w:type="pct"/>
                  <w:tcBorders>
                    <w:top w:val="nil"/>
                    <w:left w:val="nil"/>
                    <w:bottom w:val="nil"/>
                    <w:right w:val="nil"/>
                  </w:tcBorders>
                  <w:vAlign w:val="center"/>
                </w:tcPr>
                <w:p w14:paraId="3DF797E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(-.532)</w:t>
                  </w:r>
                </w:p>
              </w:tc>
            </w:tr>
            <w:tr w:rsidR="00694090" w:rsidRPr="00F60760" w14:paraId="35B8B998" w14:textId="77777777" w:rsidTr="00BC1F26">
              <w:tc>
                <w:tcPr>
                  <w:tcW w:w="1667" w:type="pct"/>
                  <w:tcBorders>
                    <w:top w:val="nil"/>
                    <w:left w:val="nil"/>
                    <w:bottom w:val="nil"/>
                    <w:right w:val="nil"/>
                  </w:tcBorders>
                </w:tcPr>
                <w:p w14:paraId="48BB2F75"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deal_tenderoffer_dummy</w:t>
                  </w:r>
                </w:p>
              </w:tc>
              <w:tc>
                <w:tcPr>
                  <w:tcW w:w="1667" w:type="pct"/>
                  <w:tcBorders>
                    <w:top w:val="nil"/>
                    <w:left w:val="nil"/>
                    <w:bottom w:val="nil"/>
                    <w:right w:val="nil"/>
                  </w:tcBorders>
                  <w:vAlign w:val="center"/>
                </w:tcPr>
                <w:p w14:paraId="5018738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-.047***</w:t>
                  </w:r>
                </w:p>
              </w:tc>
              <w:tc>
                <w:tcPr>
                  <w:tcW w:w="1666" w:type="pct"/>
                  <w:tcBorders>
                    <w:top w:val="nil"/>
                    <w:left w:val="nil"/>
                    <w:bottom w:val="nil"/>
                    <w:right w:val="nil"/>
                  </w:tcBorders>
                  <w:vAlign w:val="center"/>
                </w:tcPr>
                <w:p w14:paraId="551585B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-.023**</w:t>
                  </w:r>
                </w:p>
              </w:tc>
            </w:tr>
            <w:tr w:rsidR="00694090" w:rsidRPr="00F60760" w14:paraId="6A53FA21" w14:textId="77777777" w:rsidTr="00BC1F26">
              <w:tc>
                <w:tcPr>
                  <w:tcW w:w="1667" w:type="pct"/>
                  <w:tcBorders>
                    <w:top w:val="nil"/>
                    <w:left w:val="nil"/>
                    <w:bottom w:val="nil"/>
                    <w:right w:val="nil"/>
                  </w:tcBorders>
                </w:tcPr>
                <w:p w14:paraId="0AB4C175"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67" w:type="pct"/>
                  <w:tcBorders>
                    <w:top w:val="nil"/>
                    <w:left w:val="nil"/>
                    <w:bottom w:val="nil"/>
                    <w:right w:val="nil"/>
                  </w:tcBorders>
                  <w:vAlign w:val="center"/>
                </w:tcPr>
                <w:p w14:paraId="536E52A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(-3.674)</w:t>
                  </w:r>
                </w:p>
              </w:tc>
              <w:tc>
                <w:tcPr>
                  <w:tcW w:w="1666" w:type="pct"/>
                  <w:tcBorders>
                    <w:top w:val="nil"/>
                    <w:left w:val="nil"/>
                    <w:bottom w:val="nil"/>
                    <w:right w:val="nil"/>
                  </w:tcBorders>
                  <w:vAlign w:val="center"/>
                </w:tcPr>
                <w:p w14:paraId="4A66F1B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(-2.569)</w:t>
                  </w:r>
                </w:p>
              </w:tc>
            </w:tr>
            <w:tr w:rsidR="00694090" w:rsidRPr="00F60760" w14:paraId="557D9BC8" w14:textId="77777777" w:rsidTr="00BC1F26">
              <w:tc>
                <w:tcPr>
                  <w:tcW w:w="1667" w:type="pct"/>
                  <w:tcBorders>
                    <w:top w:val="nil"/>
                    <w:left w:val="nil"/>
                    <w:bottom w:val="nil"/>
                    <w:right w:val="nil"/>
                  </w:tcBorders>
                </w:tcPr>
                <w:p w14:paraId="32AFBF7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deal_friendly_dummy</w:t>
                  </w:r>
                </w:p>
              </w:tc>
              <w:tc>
                <w:tcPr>
                  <w:tcW w:w="1667" w:type="pct"/>
                  <w:tcBorders>
                    <w:top w:val="nil"/>
                    <w:left w:val="nil"/>
                    <w:bottom w:val="nil"/>
                    <w:right w:val="nil"/>
                  </w:tcBorders>
                  <w:vAlign w:val="center"/>
                </w:tcPr>
                <w:p w14:paraId="1B51459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-.030</w:t>
                  </w:r>
                </w:p>
              </w:tc>
              <w:tc>
                <w:tcPr>
                  <w:tcW w:w="1666" w:type="pct"/>
                  <w:tcBorders>
                    <w:top w:val="nil"/>
                    <w:left w:val="nil"/>
                    <w:bottom w:val="nil"/>
                    <w:right w:val="nil"/>
                  </w:tcBorders>
                  <w:vAlign w:val="center"/>
                </w:tcPr>
                <w:p w14:paraId="17E8B53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-.092***</w:t>
                  </w:r>
                </w:p>
              </w:tc>
            </w:tr>
            <w:tr w:rsidR="00694090" w:rsidRPr="00F60760" w14:paraId="388AD645" w14:textId="77777777" w:rsidTr="00BC1F26">
              <w:tc>
                <w:tcPr>
                  <w:tcW w:w="1667" w:type="pct"/>
                  <w:tcBorders>
                    <w:top w:val="nil"/>
                    <w:left w:val="nil"/>
                    <w:bottom w:val="nil"/>
                    <w:right w:val="nil"/>
                  </w:tcBorders>
                </w:tcPr>
                <w:p w14:paraId="4ECE3174"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67" w:type="pct"/>
                  <w:tcBorders>
                    <w:top w:val="nil"/>
                    <w:left w:val="nil"/>
                    <w:bottom w:val="nil"/>
                    <w:right w:val="nil"/>
                  </w:tcBorders>
                  <w:vAlign w:val="center"/>
                </w:tcPr>
                <w:p w14:paraId="574C1B4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(-.840)</w:t>
                  </w:r>
                </w:p>
              </w:tc>
              <w:tc>
                <w:tcPr>
                  <w:tcW w:w="1666" w:type="pct"/>
                  <w:tcBorders>
                    <w:top w:val="nil"/>
                    <w:left w:val="nil"/>
                    <w:bottom w:val="nil"/>
                    <w:right w:val="nil"/>
                  </w:tcBorders>
                  <w:vAlign w:val="center"/>
                </w:tcPr>
                <w:p w14:paraId="1DBEB74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(-3.099)</w:t>
                  </w:r>
                </w:p>
              </w:tc>
            </w:tr>
            <w:tr w:rsidR="00694090" w:rsidRPr="00F60760" w14:paraId="77B9FE97" w14:textId="77777777" w:rsidTr="00BC1F26">
              <w:tc>
                <w:tcPr>
                  <w:tcW w:w="1667" w:type="pct"/>
                  <w:tcBorders>
                    <w:top w:val="nil"/>
                    <w:left w:val="nil"/>
                    <w:bottom w:val="nil"/>
                    <w:right w:val="nil"/>
                  </w:tcBorders>
                </w:tcPr>
                <w:p w14:paraId="414AF1F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deal_relatedness_dummy</w:t>
                  </w:r>
                </w:p>
              </w:tc>
              <w:tc>
                <w:tcPr>
                  <w:tcW w:w="1667" w:type="pct"/>
                  <w:tcBorders>
                    <w:top w:val="nil"/>
                    <w:left w:val="nil"/>
                    <w:bottom w:val="nil"/>
                    <w:right w:val="nil"/>
                  </w:tcBorders>
                  <w:vAlign w:val="center"/>
                </w:tcPr>
                <w:p w14:paraId="7331E6A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.008</w:t>
                  </w:r>
                </w:p>
              </w:tc>
              <w:tc>
                <w:tcPr>
                  <w:tcW w:w="1666" w:type="pct"/>
                  <w:tcBorders>
                    <w:top w:val="nil"/>
                    <w:left w:val="nil"/>
                    <w:bottom w:val="nil"/>
                    <w:right w:val="nil"/>
                  </w:tcBorders>
                  <w:vAlign w:val="center"/>
                </w:tcPr>
                <w:p w14:paraId="5C6A5E8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-.008</w:t>
                  </w:r>
                </w:p>
              </w:tc>
            </w:tr>
            <w:tr w:rsidR="00694090" w:rsidRPr="00F60760" w14:paraId="602092CD" w14:textId="77777777" w:rsidTr="00BC1F26">
              <w:tc>
                <w:tcPr>
                  <w:tcW w:w="1667" w:type="pct"/>
                  <w:tcBorders>
                    <w:top w:val="nil"/>
                    <w:left w:val="nil"/>
                    <w:bottom w:val="nil"/>
                    <w:right w:val="nil"/>
                  </w:tcBorders>
                </w:tcPr>
                <w:p w14:paraId="3568EFF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67" w:type="pct"/>
                  <w:tcBorders>
                    <w:top w:val="nil"/>
                    <w:left w:val="nil"/>
                    <w:bottom w:val="nil"/>
                    <w:right w:val="nil"/>
                  </w:tcBorders>
                  <w:vAlign w:val="center"/>
                </w:tcPr>
                <w:p w14:paraId="15CB0CE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(.321)</w:t>
                  </w:r>
                </w:p>
              </w:tc>
              <w:tc>
                <w:tcPr>
                  <w:tcW w:w="1666" w:type="pct"/>
                  <w:tcBorders>
                    <w:top w:val="nil"/>
                    <w:left w:val="nil"/>
                    <w:bottom w:val="nil"/>
                    <w:right w:val="nil"/>
                  </w:tcBorders>
                  <w:vAlign w:val="center"/>
                </w:tcPr>
                <w:p w14:paraId="29BA036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(-.421)</w:t>
                  </w:r>
                </w:p>
              </w:tc>
            </w:tr>
            <w:tr w:rsidR="00694090" w:rsidRPr="00F60760" w14:paraId="63CBA4CB" w14:textId="77777777" w:rsidTr="00BC1F26">
              <w:tc>
                <w:tcPr>
                  <w:tcW w:w="1667" w:type="pct"/>
                  <w:tcBorders>
                    <w:top w:val="nil"/>
                    <w:left w:val="nil"/>
                    <w:bottom w:val="nil"/>
                    <w:right w:val="nil"/>
                  </w:tcBorders>
                </w:tcPr>
                <w:p w14:paraId="5CACB84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acq_age</w:t>
                  </w:r>
                </w:p>
              </w:tc>
              <w:tc>
                <w:tcPr>
                  <w:tcW w:w="1667" w:type="pct"/>
                  <w:tcBorders>
                    <w:top w:val="nil"/>
                    <w:left w:val="nil"/>
                    <w:bottom w:val="nil"/>
                    <w:right w:val="nil"/>
                  </w:tcBorders>
                  <w:vAlign w:val="center"/>
                </w:tcPr>
                <w:p w14:paraId="6925AA7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-.0002</w:t>
                  </w:r>
                </w:p>
              </w:tc>
              <w:tc>
                <w:tcPr>
                  <w:tcW w:w="1666" w:type="pct"/>
                  <w:tcBorders>
                    <w:top w:val="nil"/>
                    <w:left w:val="nil"/>
                    <w:bottom w:val="nil"/>
                    <w:right w:val="nil"/>
                  </w:tcBorders>
                  <w:vAlign w:val="center"/>
                </w:tcPr>
                <w:p w14:paraId="650AA0E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.00003</w:t>
                  </w:r>
                </w:p>
              </w:tc>
            </w:tr>
            <w:tr w:rsidR="00694090" w:rsidRPr="00F60760" w14:paraId="0E2CA470" w14:textId="77777777" w:rsidTr="00BC1F26">
              <w:tc>
                <w:tcPr>
                  <w:tcW w:w="1667" w:type="pct"/>
                  <w:tcBorders>
                    <w:top w:val="nil"/>
                    <w:left w:val="nil"/>
                    <w:bottom w:val="nil"/>
                    <w:right w:val="nil"/>
                  </w:tcBorders>
                </w:tcPr>
                <w:p w14:paraId="167DE8A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67" w:type="pct"/>
                  <w:tcBorders>
                    <w:top w:val="nil"/>
                    <w:left w:val="nil"/>
                    <w:bottom w:val="nil"/>
                    <w:right w:val="nil"/>
                  </w:tcBorders>
                  <w:vAlign w:val="center"/>
                </w:tcPr>
                <w:p w14:paraId="7752E72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(-.986)</w:t>
                  </w:r>
                </w:p>
              </w:tc>
              <w:tc>
                <w:tcPr>
                  <w:tcW w:w="1666" w:type="pct"/>
                  <w:tcBorders>
                    <w:top w:val="nil"/>
                    <w:left w:val="nil"/>
                    <w:bottom w:val="nil"/>
                    <w:right w:val="nil"/>
                  </w:tcBorders>
                  <w:vAlign w:val="center"/>
                </w:tcPr>
                <w:p w14:paraId="427B45A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(.186)</w:t>
                  </w:r>
                </w:p>
              </w:tc>
            </w:tr>
            <w:tr w:rsidR="00694090" w:rsidRPr="00F60760" w14:paraId="55F8C4FE" w14:textId="77777777" w:rsidTr="00BC1F26">
              <w:tc>
                <w:tcPr>
                  <w:tcW w:w="1667" w:type="pct"/>
                  <w:tcBorders>
                    <w:top w:val="nil"/>
                    <w:left w:val="nil"/>
                    <w:bottom w:val="nil"/>
                    <w:right w:val="nil"/>
                  </w:tcBorders>
                </w:tcPr>
                <w:p w14:paraId="61AD2511"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acq_assets_lastyear_ln</w:t>
                  </w:r>
                </w:p>
              </w:tc>
              <w:tc>
                <w:tcPr>
                  <w:tcW w:w="1667" w:type="pct"/>
                  <w:tcBorders>
                    <w:top w:val="nil"/>
                    <w:left w:val="nil"/>
                    <w:bottom w:val="nil"/>
                    <w:right w:val="nil"/>
                  </w:tcBorders>
                  <w:vAlign w:val="center"/>
                </w:tcPr>
                <w:p w14:paraId="4A73E8D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-.009</w:t>
                  </w:r>
                </w:p>
              </w:tc>
              <w:tc>
                <w:tcPr>
                  <w:tcW w:w="1666" w:type="pct"/>
                  <w:tcBorders>
                    <w:top w:val="nil"/>
                    <w:left w:val="nil"/>
                    <w:bottom w:val="nil"/>
                    <w:right w:val="nil"/>
                  </w:tcBorders>
                  <w:vAlign w:val="center"/>
                </w:tcPr>
                <w:p w14:paraId="5BB8A75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-.007</w:t>
                  </w:r>
                </w:p>
              </w:tc>
            </w:tr>
            <w:tr w:rsidR="00694090" w:rsidRPr="00F60760" w14:paraId="6234EC65" w14:textId="77777777" w:rsidTr="00BC1F26">
              <w:tc>
                <w:tcPr>
                  <w:tcW w:w="1667" w:type="pct"/>
                  <w:tcBorders>
                    <w:top w:val="nil"/>
                    <w:left w:val="nil"/>
                    <w:bottom w:val="nil"/>
                    <w:right w:val="nil"/>
                  </w:tcBorders>
                </w:tcPr>
                <w:p w14:paraId="43AA1EF0"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67" w:type="pct"/>
                  <w:tcBorders>
                    <w:top w:val="nil"/>
                    <w:left w:val="nil"/>
                    <w:bottom w:val="nil"/>
                    <w:right w:val="nil"/>
                  </w:tcBorders>
                  <w:vAlign w:val="center"/>
                </w:tcPr>
                <w:p w14:paraId="7071AEC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(-1.182)</w:t>
                  </w:r>
                </w:p>
              </w:tc>
              <w:tc>
                <w:tcPr>
                  <w:tcW w:w="1666" w:type="pct"/>
                  <w:tcBorders>
                    <w:top w:val="nil"/>
                    <w:left w:val="nil"/>
                    <w:bottom w:val="nil"/>
                    <w:right w:val="nil"/>
                  </w:tcBorders>
                  <w:vAlign w:val="center"/>
                </w:tcPr>
                <w:p w14:paraId="544B277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(-1.293)</w:t>
                  </w:r>
                </w:p>
              </w:tc>
            </w:tr>
            <w:tr w:rsidR="00694090" w:rsidRPr="00F60760" w14:paraId="535C06F0" w14:textId="77777777" w:rsidTr="00BC1F26">
              <w:tc>
                <w:tcPr>
                  <w:tcW w:w="1667" w:type="pct"/>
                  <w:tcBorders>
                    <w:top w:val="nil"/>
                    <w:left w:val="nil"/>
                    <w:bottom w:val="nil"/>
                    <w:right w:val="nil"/>
                  </w:tcBorders>
                </w:tcPr>
                <w:p w14:paraId="235DD06F"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acq_roa_lastyear</w:t>
                  </w:r>
                </w:p>
              </w:tc>
              <w:tc>
                <w:tcPr>
                  <w:tcW w:w="1667" w:type="pct"/>
                  <w:tcBorders>
                    <w:top w:val="nil"/>
                    <w:left w:val="nil"/>
                    <w:bottom w:val="nil"/>
                    <w:right w:val="nil"/>
                  </w:tcBorders>
                  <w:vAlign w:val="center"/>
                </w:tcPr>
                <w:p w14:paraId="611201D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-.037***</w:t>
                  </w:r>
                </w:p>
              </w:tc>
              <w:tc>
                <w:tcPr>
                  <w:tcW w:w="1666" w:type="pct"/>
                  <w:tcBorders>
                    <w:top w:val="nil"/>
                    <w:left w:val="nil"/>
                    <w:bottom w:val="nil"/>
                    <w:right w:val="nil"/>
                  </w:tcBorders>
                  <w:vAlign w:val="center"/>
                </w:tcPr>
                <w:p w14:paraId="0ADCCAC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-.023**</w:t>
                  </w:r>
                </w:p>
              </w:tc>
            </w:tr>
            <w:tr w:rsidR="00694090" w:rsidRPr="00F60760" w14:paraId="411AC308" w14:textId="77777777" w:rsidTr="00BC1F26">
              <w:tc>
                <w:tcPr>
                  <w:tcW w:w="1667" w:type="pct"/>
                  <w:tcBorders>
                    <w:top w:val="nil"/>
                    <w:left w:val="nil"/>
                    <w:bottom w:val="nil"/>
                    <w:right w:val="nil"/>
                  </w:tcBorders>
                </w:tcPr>
                <w:p w14:paraId="0C830C71"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67" w:type="pct"/>
                  <w:tcBorders>
                    <w:top w:val="nil"/>
                    <w:left w:val="nil"/>
                    <w:bottom w:val="nil"/>
                    <w:right w:val="nil"/>
                  </w:tcBorders>
                  <w:vAlign w:val="center"/>
                </w:tcPr>
                <w:p w14:paraId="1A810A1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(-3.414)</w:t>
                  </w:r>
                </w:p>
              </w:tc>
              <w:tc>
                <w:tcPr>
                  <w:tcW w:w="1666" w:type="pct"/>
                  <w:tcBorders>
                    <w:top w:val="nil"/>
                    <w:left w:val="nil"/>
                    <w:bottom w:val="nil"/>
                    <w:right w:val="nil"/>
                  </w:tcBorders>
                  <w:vAlign w:val="center"/>
                </w:tcPr>
                <w:p w14:paraId="636BFEC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(-2.104)</w:t>
                  </w:r>
                </w:p>
              </w:tc>
            </w:tr>
            <w:tr w:rsidR="00694090" w:rsidRPr="00F60760" w14:paraId="6BD82B37" w14:textId="77777777" w:rsidTr="00BC1F26">
              <w:tc>
                <w:tcPr>
                  <w:tcW w:w="1667" w:type="pct"/>
                  <w:tcBorders>
                    <w:top w:val="nil"/>
                    <w:left w:val="nil"/>
                    <w:bottom w:val="nil"/>
                    <w:right w:val="nil"/>
                  </w:tcBorders>
                </w:tcPr>
                <w:p w14:paraId="3AB8EB7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acq_industrygrowth</w:t>
                  </w:r>
                </w:p>
              </w:tc>
              <w:tc>
                <w:tcPr>
                  <w:tcW w:w="1667" w:type="pct"/>
                  <w:tcBorders>
                    <w:top w:val="nil"/>
                    <w:left w:val="nil"/>
                    <w:bottom w:val="nil"/>
                    <w:right w:val="nil"/>
                  </w:tcBorders>
                  <w:vAlign w:val="center"/>
                </w:tcPr>
                <w:p w14:paraId="632DFAB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.145</w:t>
                  </w:r>
                </w:p>
              </w:tc>
              <w:tc>
                <w:tcPr>
                  <w:tcW w:w="1666" w:type="pct"/>
                  <w:tcBorders>
                    <w:top w:val="nil"/>
                    <w:left w:val="nil"/>
                    <w:bottom w:val="nil"/>
                    <w:right w:val="nil"/>
                  </w:tcBorders>
                  <w:vAlign w:val="center"/>
                </w:tcPr>
                <w:p w14:paraId="75F8FB9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.079</w:t>
                  </w:r>
                </w:p>
              </w:tc>
            </w:tr>
            <w:tr w:rsidR="00694090" w:rsidRPr="00F60760" w14:paraId="54C41A65" w14:textId="77777777" w:rsidTr="00BC1F26">
              <w:tc>
                <w:tcPr>
                  <w:tcW w:w="1667" w:type="pct"/>
                  <w:tcBorders>
                    <w:top w:val="nil"/>
                    <w:left w:val="nil"/>
                    <w:bottom w:val="nil"/>
                    <w:right w:val="nil"/>
                  </w:tcBorders>
                </w:tcPr>
                <w:p w14:paraId="5EFEBDB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67" w:type="pct"/>
                  <w:tcBorders>
                    <w:top w:val="nil"/>
                    <w:left w:val="nil"/>
                    <w:bottom w:val="nil"/>
                    <w:right w:val="nil"/>
                  </w:tcBorders>
                  <w:vAlign w:val="center"/>
                </w:tcPr>
                <w:p w14:paraId="6DC0DC2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(.639)</w:t>
                  </w:r>
                </w:p>
              </w:tc>
              <w:tc>
                <w:tcPr>
                  <w:tcW w:w="1666" w:type="pct"/>
                  <w:tcBorders>
                    <w:top w:val="nil"/>
                    <w:left w:val="nil"/>
                    <w:bottom w:val="nil"/>
                    <w:right w:val="nil"/>
                  </w:tcBorders>
                  <w:vAlign w:val="center"/>
                </w:tcPr>
                <w:p w14:paraId="1ACA0F9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(.504)</w:t>
                  </w:r>
                </w:p>
              </w:tc>
            </w:tr>
            <w:tr w:rsidR="00694090" w:rsidRPr="00F60760" w14:paraId="4C38A574" w14:textId="77777777" w:rsidTr="00BC1F26">
              <w:tc>
                <w:tcPr>
                  <w:tcW w:w="1667" w:type="pct"/>
                  <w:tcBorders>
                    <w:top w:val="nil"/>
                    <w:left w:val="nil"/>
                    <w:bottom w:val="nil"/>
                    <w:right w:val="nil"/>
                  </w:tcBorders>
                </w:tcPr>
                <w:p w14:paraId="0235840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acq_dealexperience</w:t>
                  </w:r>
                </w:p>
              </w:tc>
              <w:tc>
                <w:tcPr>
                  <w:tcW w:w="1667" w:type="pct"/>
                  <w:tcBorders>
                    <w:top w:val="nil"/>
                    <w:left w:val="nil"/>
                    <w:bottom w:val="nil"/>
                    <w:right w:val="nil"/>
                  </w:tcBorders>
                  <w:vAlign w:val="center"/>
                </w:tcPr>
                <w:p w14:paraId="5A1723F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.002</w:t>
                  </w:r>
                </w:p>
              </w:tc>
              <w:tc>
                <w:tcPr>
                  <w:tcW w:w="1666" w:type="pct"/>
                  <w:tcBorders>
                    <w:top w:val="nil"/>
                    <w:left w:val="nil"/>
                    <w:bottom w:val="nil"/>
                    <w:right w:val="nil"/>
                  </w:tcBorders>
                  <w:vAlign w:val="center"/>
                </w:tcPr>
                <w:p w14:paraId="44CB744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.011**</w:t>
                  </w:r>
                </w:p>
              </w:tc>
            </w:tr>
            <w:tr w:rsidR="00694090" w:rsidRPr="00F60760" w14:paraId="2AE359C7" w14:textId="77777777" w:rsidTr="00BC1F26">
              <w:tc>
                <w:tcPr>
                  <w:tcW w:w="1667" w:type="pct"/>
                  <w:tcBorders>
                    <w:top w:val="nil"/>
                    <w:left w:val="nil"/>
                    <w:bottom w:val="nil"/>
                    <w:right w:val="nil"/>
                  </w:tcBorders>
                </w:tcPr>
                <w:p w14:paraId="34302EEE"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67" w:type="pct"/>
                  <w:tcBorders>
                    <w:top w:val="nil"/>
                    <w:left w:val="nil"/>
                    <w:bottom w:val="nil"/>
                    <w:right w:val="nil"/>
                  </w:tcBorders>
                  <w:vAlign w:val="center"/>
                </w:tcPr>
                <w:p w14:paraId="3785277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(.301)</w:t>
                  </w:r>
                </w:p>
              </w:tc>
              <w:tc>
                <w:tcPr>
                  <w:tcW w:w="1666" w:type="pct"/>
                  <w:tcBorders>
                    <w:top w:val="nil"/>
                    <w:left w:val="nil"/>
                    <w:bottom w:val="nil"/>
                    <w:right w:val="nil"/>
                  </w:tcBorders>
                  <w:vAlign w:val="center"/>
                </w:tcPr>
                <w:p w14:paraId="0A48EE1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(2.454)</w:t>
                  </w:r>
                </w:p>
              </w:tc>
            </w:tr>
            <w:tr w:rsidR="00694090" w:rsidRPr="00F60760" w14:paraId="4FDCE2FF" w14:textId="77777777" w:rsidTr="00BC1F26">
              <w:tc>
                <w:tcPr>
                  <w:tcW w:w="1667" w:type="pct"/>
                  <w:tcBorders>
                    <w:top w:val="nil"/>
                    <w:left w:val="nil"/>
                    <w:bottom w:val="nil"/>
                    <w:right w:val="nil"/>
                  </w:tcBorders>
                </w:tcPr>
                <w:p w14:paraId="6EF7E435"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acq_rd_intensity</w:t>
                  </w:r>
                </w:p>
              </w:tc>
              <w:tc>
                <w:tcPr>
                  <w:tcW w:w="1667" w:type="pct"/>
                  <w:tcBorders>
                    <w:top w:val="nil"/>
                    <w:left w:val="nil"/>
                    <w:bottom w:val="nil"/>
                    <w:right w:val="nil"/>
                  </w:tcBorders>
                  <w:vAlign w:val="center"/>
                </w:tcPr>
                <w:p w14:paraId="36FAB8F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.107</w:t>
                  </w:r>
                </w:p>
              </w:tc>
              <w:tc>
                <w:tcPr>
                  <w:tcW w:w="1666" w:type="pct"/>
                  <w:tcBorders>
                    <w:top w:val="nil"/>
                    <w:left w:val="nil"/>
                    <w:bottom w:val="nil"/>
                    <w:right w:val="nil"/>
                  </w:tcBorders>
                  <w:vAlign w:val="center"/>
                </w:tcPr>
                <w:p w14:paraId="4B95E0C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.057</w:t>
                  </w:r>
                </w:p>
              </w:tc>
            </w:tr>
            <w:tr w:rsidR="00694090" w:rsidRPr="00F60760" w14:paraId="51FF06F3" w14:textId="77777777" w:rsidTr="00BC1F26">
              <w:tc>
                <w:tcPr>
                  <w:tcW w:w="1667" w:type="pct"/>
                  <w:tcBorders>
                    <w:top w:val="nil"/>
                    <w:left w:val="nil"/>
                    <w:bottom w:val="nil"/>
                    <w:right w:val="nil"/>
                  </w:tcBorders>
                </w:tcPr>
                <w:p w14:paraId="67FD2D05"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p>
              </w:tc>
              <w:tc>
                <w:tcPr>
                  <w:tcW w:w="1667" w:type="pct"/>
                  <w:tcBorders>
                    <w:top w:val="nil"/>
                    <w:left w:val="nil"/>
                    <w:bottom w:val="nil"/>
                    <w:right w:val="nil"/>
                  </w:tcBorders>
                  <w:vAlign w:val="center"/>
                </w:tcPr>
                <w:p w14:paraId="76B5179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(1.206)</w:t>
                  </w:r>
                </w:p>
              </w:tc>
              <w:tc>
                <w:tcPr>
                  <w:tcW w:w="1666" w:type="pct"/>
                  <w:tcBorders>
                    <w:top w:val="nil"/>
                    <w:left w:val="nil"/>
                    <w:bottom w:val="nil"/>
                    <w:right w:val="nil"/>
                  </w:tcBorders>
                  <w:vAlign w:val="center"/>
                </w:tcPr>
                <w:p w14:paraId="1C5708F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(.743)</w:t>
                  </w:r>
                </w:p>
              </w:tc>
            </w:tr>
            <w:tr w:rsidR="00694090" w:rsidRPr="00F60760" w14:paraId="47861E2B" w14:textId="77777777" w:rsidTr="00BC1F26">
              <w:tc>
                <w:tcPr>
                  <w:tcW w:w="1667" w:type="pct"/>
                  <w:tcBorders>
                    <w:top w:val="nil"/>
                    <w:left w:val="nil"/>
                    <w:bottom w:val="nil"/>
                    <w:right w:val="nil"/>
                  </w:tcBorders>
                </w:tcPr>
                <w:p w14:paraId="3FBA8CB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tar_age</w:t>
                  </w:r>
                </w:p>
              </w:tc>
              <w:tc>
                <w:tcPr>
                  <w:tcW w:w="1667" w:type="pct"/>
                  <w:tcBorders>
                    <w:top w:val="nil"/>
                    <w:left w:val="nil"/>
                    <w:bottom w:val="nil"/>
                    <w:right w:val="nil"/>
                  </w:tcBorders>
                  <w:vAlign w:val="center"/>
                </w:tcPr>
                <w:p w14:paraId="72B52CA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-.0003</w:t>
                  </w:r>
                </w:p>
              </w:tc>
              <w:tc>
                <w:tcPr>
                  <w:tcW w:w="1666" w:type="pct"/>
                  <w:tcBorders>
                    <w:top w:val="nil"/>
                    <w:left w:val="nil"/>
                    <w:bottom w:val="nil"/>
                    <w:right w:val="nil"/>
                  </w:tcBorders>
                  <w:vAlign w:val="center"/>
                </w:tcPr>
                <w:p w14:paraId="2B7F239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-.0004</w:t>
                  </w:r>
                </w:p>
              </w:tc>
            </w:tr>
            <w:tr w:rsidR="00694090" w:rsidRPr="00F60760" w14:paraId="11327771" w14:textId="77777777" w:rsidTr="00BC1F26">
              <w:tc>
                <w:tcPr>
                  <w:tcW w:w="1667" w:type="pct"/>
                  <w:tcBorders>
                    <w:top w:val="nil"/>
                    <w:left w:val="nil"/>
                    <w:bottom w:val="nil"/>
                    <w:right w:val="nil"/>
                  </w:tcBorders>
                </w:tcPr>
                <w:p w14:paraId="7F40332E"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67" w:type="pct"/>
                  <w:tcBorders>
                    <w:top w:val="nil"/>
                    <w:left w:val="nil"/>
                    <w:bottom w:val="nil"/>
                    <w:right w:val="nil"/>
                  </w:tcBorders>
                  <w:vAlign w:val="center"/>
                </w:tcPr>
                <w:p w14:paraId="5CF86A9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(-.952)</w:t>
                  </w:r>
                </w:p>
              </w:tc>
              <w:tc>
                <w:tcPr>
                  <w:tcW w:w="1666" w:type="pct"/>
                  <w:tcBorders>
                    <w:top w:val="nil"/>
                    <w:left w:val="nil"/>
                    <w:bottom w:val="nil"/>
                    <w:right w:val="nil"/>
                  </w:tcBorders>
                  <w:vAlign w:val="center"/>
                </w:tcPr>
                <w:p w14:paraId="411D041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(-1.399)</w:t>
                  </w:r>
                </w:p>
              </w:tc>
            </w:tr>
            <w:tr w:rsidR="00694090" w:rsidRPr="00F60760" w14:paraId="41467239" w14:textId="77777777" w:rsidTr="00BC1F26">
              <w:tc>
                <w:tcPr>
                  <w:tcW w:w="1667" w:type="pct"/>
                  <w:tcBorders>
                    <w:top w:val="nil"/>
                    <w:left w:val="nil"/>
                    <w:bottom w:val="nil"/>
                    <w:right w:val="nil"/>
                  </w:tcBorders>
                </w:tcPr>
                <w:p w14:paraId="581CED6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tar_assets_lastyear_ln</w:t>
                  </w:r>
                </w:p>
              </w:tc>
              <w:tc>
                <w:tcPr>
                  <w:tcW w:w="1667" w:type="pct"/>
                  <w:tcBorders>
                    <w:top w:val="nil"/>
                    <w:left w:val="nil"/>
                    <w:bottom w:val="nil"/>
                    <w:right w:val="nil"/>
                  </w:tcBorders>
                  <w:vAlign w:val="center"/>
                </w:tcPr>
                <w:p w14:paraId="68CCBA4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-.006</w:t>
                  </w:r>
                </w:p>
              </w:tc>
              <w:tc>
                <w:tcPr>
                  <w:tcW w:w="1666" w:type="pct"/>
                  <w:tcBorders>
                    <w:top w:val="nil"/>
                    <w:left w:val="nil"/>
                    <w:bottom w:val="nil"/>
                    <w:right w:val="nil"/>
                  </w:tcBorders>
                  <w:vAlign w:val="center"/>
                </w:tcPr>
                <w:p w14:paraId="1113D7B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.005</w:t>
                  </w:r>
                </w:p>
              </w:tc>
            </w:tr>
            <w:tr w:rsidR="00694090" w:rsidRPr="00F60760" w14:paraId="08263642" w14:textId="77777777" w:rsidTr="00BC1F26">
              <w:tc>
                <w:tcPr>
                  <w:tcW w:w="1667" w:type="pct"/>
                  <w:tcBorders>
                    <w:top w:val="nil"/>
                    <w:left w:val="nil"/>
                    <w:bottom w:val="nil"/>
                    <w:right w:val="nil"/>
                  </w:tcBorders>
                </w:tcPr>
                <w:p w14:paraId="4698D524"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67" w:type="pct"/>
                  <w:tcBorders>
                    <w:top w:val="nil"/>
                    <w:left w:val="nil"/>
                    <w:bottom w:val="nil"/>
                    <w:right w:val="nil"/>
                  </w:tcBorders>
                  <w:vAlign w:val="center"/>
                </w:tcPr>
                <w:p w14:paraId="7035972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(-.743)</w:t>
                  </w:r>
                </w:p>
              </w:tc>
              <w:tc>
                <w:tcPr>
                  <w:tcW w:w="1666" w:type="pct"/>
                  <w:tcBorders>
                    <w:top w:val="nil"/>
                    <w:left w:val="nil"/>
                    <w:bottom w:val="nil"/>
                    <w:right w:val="nil"/>
                  </w:tcBorders>
                  <w:vAlign w:val="center"/>
                </w:tcPr>
                <w:p w14:paraId="52F47B2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(.601)</w:t>
                  </w:r>
                </w:p>
              </w:tc>
            </w:tr>
            <w:tr w:rsidR="00694090" w:rsidRPr="00F60760" w14:paraId="523A9B7E" w14:textId="77777777" w:rsidTr="00BC1F26">
              <w:tc>
                <w:tcPr>
                  <w:tcW w:w="1667" w:type="pct"/>
                  <w:tcBorders>
                    <w:top w:val="nil"/>
                    <w:left w:val="nil"/>
                    <w:bottom w:val="nil"/>
                    <w:right w:val="nil"/>
                  </w:tcBorders>
                </w:tcPr>
                <w:p w14:paraId="3CFC2B5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tar_roa_lastyear</w:t>
                  </w:r>
                </w:p>
              </w:tc>
              <w:tc>
                <w:tcPr>
                  <w:tcW w:w="1667" w:type="pct"/>
                  <w:tcBorders>
                    <w:top w:val="nil"/>
                    <w:left w:val="nil"/>
                    <w:bottom w:val="nil"/>
                    <w:right w:val="nil"/>
                  </w:tcBorders>
                  <w:vAlign w:val="center"/>
                </w:tcPr>
                <w:p w14:paraId="3117664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.007</w:t>
                  </w:r>
                </w:p>
              </w:tc>
              <w:tc>
                <w:tcPr>
                  <w:tcW w:w="1666" w:type="pct"/>
                  <w:tcBorders>
                    <w:top w:val="nil"/>
                    <w:left w:val="nil"/>
                    <w:bottom w:val="nil"/>
                    <w:right w:val="nil"/>
                  </w:tcBorders>
                  <w:vAlign w:val="center"/>
                </w:tcPr>
                <w:p w14:paraId="69BB51B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.004</w:t>
                  </w:r>
                </w:p>
              </w:tc>
            </w:tr>
            <w:tr w:rsidR="00694090" w:rsidRPr="00F60760" w14:paraId="67DB2B4D" w14:textId="77777777" w:rsidTr="00BC1F26">
              <w:tc>
                <w:tcPr>
                  <w:tcW w:w="1667" w:type="pct"/>
                  <w:tcBorders>
                    <w:top w:val="nil"/>
                    <w:left w:val="nil"/>
                    <w:bottom w:val="nil"/>
                    <w:right w:val="nil"/>
                  </w:tcBorders>
                </w:tcPr>
                <w:p w14:paraId="2D6C0B97"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67" w:type="pct"/>
                  <w:tcBorders>
                    <w:top w:val="nil"/>
                    <w:left w:val="nil"/>
                    <w:bottom w:val="nil"/>
                    <w:right w:val="nil"/>
                  </w:tcBorders>
                  <w:vAlign w:val="center"/>
                </w:tcPr>
                <w:p w14:paraId="2505590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(.211)</w:t>
                  </w:r>
                </w:p>
              </w:tc>
              <w:tc>
                <w:tcPr>
                  <w:tcW w:w="1666" w:type="pct"/>
                  <w:tcBorders>
                    <w:top w:val="nil"/>
                    <w:left w:val="nil"/>
                    <w:bottom w:val="nil"/>
                    <w:right w:val="nil"/>
                  </w:tcBorders>
                  <w:vAlign w:val="center"/>
                </w:tcPr>
                <w:p w14:paraId="59352BB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(.209)</w:t>
                  </w:r>
                </w:p>
              </w:tc>
            </w:tr>
            <w:tr w:rsidR="00694090" w:rsidRPr="00F60760" w14:paraId="2E5F474A" w14:textId="77777777" w:rsidTr="00BC1F26">
              <w:tc>
                <w:tcPr>
                  <w:tcW w:w="1667" w:type="pct"/>
                  <w:tcBorders>
                    <w:top w:val="nil"/>
                    <w:left w:val="nil"/>
                    <w:bottom w:val="nil"/>
                    <w:right w:val="nil"/>
                  </w:tcBorders>
                </w:tcPr>
                <w:p w14:paraId="5E1913AB"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tar_mbratio</w:t>
                  </w:r>
                </w:p>
              </w:tc>
              <w:tc>
                <w:tcPr>
                  <w:tcW w:w="1667" w:type="pct"/>
                  <w:tcBorders>
                    <w:top w:val="nil"/>
                    <w:left w:val="nil"/>
                    <w:bottom w:val="nil"/>
                    <w:right w:val="nil"/>
                  </w:tcBorders>
                  <w:vAlign w:val="center"/>
                </w:tcPr>
                <w:p w14:paraId="03147A2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c>
                <w:tcPr>
                  <w:tcW w:w="1666" w:type="pct"/>
                  <w:tcBorders>
                    <w:top w:val="nil"/>
                    <w:left w:val="nil"/>
                    <w:bottom w:val="nil"/>
                    <w:right w:val="nil"/>
                  </w:tcBorders>
                  <w:vAlign w:val="center"/>
                </w:tcPr>
                <w:p w14:paraId="439E639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.002***</w:t>
                  </w:r>
                </w:p>
              </w:tc>
            </w:tr>
            <w:tr w:rsidR="00694090" w:rsidRPr="00F60760" w14:paraId="6F26C26A" w14:textId="77777777" w:rsidTr="00BC1F26">
              <w:tc>
                <w:tcPr>
                  <w:tcW w:w="1667" w:type="pct"/>
                  <w:tcBorders>
                    <w:top w:val="nil"/>
                    <w:left w:val="nil"/>
                    <w:bottom w:val="nil"/>
                    <w:right w:val="nil"/>
                  </w:tcBorders>
                </w:tcPr>
                <w:p w14:paraId="183EAB8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w:t>
                  </w:r>
                </w:p>
              </w:tc>
              <w:tc>
                <w:tcPr>
                  <w:tcW w:w="1667" w:type="pct"/>
                  <w:tcBorders>
                    <w:top w:val="nil"/>
                    <w:left w:val="nil"/>
                    <w:bottom w:val="nil"/>
                    <w:right w:val="nil"/>
                  </w:tcBorders>
                  <w:vAlign w:val="center"/>
                </w:tcPr>
                <w:p w14:paraId="374795D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(1.472)</w:t>
                  </w:r>
                </w:p>
              </w:tc>
              <w:tc>
                <w:tcPr>
                  <w:tcW w:w="1666" w:type="pct"/>
                  <w:tcBorders>
                    <w:top w:val="nil"/>
                    <w:left w:val="nil"/>
                    <w:bottom w:val="nil"/>
                    <w:right w:val="nil"/>
                  </w:tcBorders>
                  <w:vAlign w:val="center"/>
                </w:tcPr>
                <w:p w14:paraId="504B2DB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(5.045)</w:t>
                  </w:r>
                </w:p>
              </w:tc>
            </w:tr>
            <w:tr w:rsidR="00694090" w:rsidRPr="00F60760" w14:paraId="49902D15" w14:textId="77777777" w:rsidTr="00BC1F26">
              <w:tc>
                <w:tcPr>
                  <w:tcW w:w="1667" w:type="pct"/>
                  <w:tcBorders>
                    <w:top w:val="nil"/>
                    <w:left w:val="nil"/>
                    <w:bottom w:val="nil"/>
                    <w:right w:val="nil"/>
                  </w:tcBorders>
                </w:tcPr>
                <w:p w14:paraId="3CFD4808"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Observations</w:t>
                  </w:r>
                </w:p>
              </w:tc>
              <w:tc>
                <w:tcPr>
                  <w:tcW w:w="1667" w:type="pct"/>
                  <w:tcBorders>
                    <w:top w:val="nil"/>
                    <w:left w:val="nil"/>
                    <w:bottom w:val="nil"/>
                    <w:right w:val="nil"/>
                  </w:tcBorders>
                </w:tcPr>
                <w:p w14:paraId="5BC1278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243</w:t>
                  </w:r>
                </w:p>
              </w:tc>
              <w:tc>
                <w:tcPr>
                  <w:tcW w:w="1666" w:type="pct"/>
                  <w:tcBorders>
                    <w:top w:val="nil"/>
                    <w:left w:val="nil"/>
                    <w:bottom w:val="nil"/>
                    <w:right w:val="nil"/>
                  </w:tcBorders>
                </w:tcPr>
                <w:p w14:paraId="1C176BD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243</w:t>
                  </w:r>
                </w:p>
              </w:tc>
            </w:tr>
            <w:tr w:rsidR="00694090" w:rsidRPr="00F60760" w14:paraId="198343B7" w14:textId="77777777" w:rsidTr="00BC1F26">
              <w:tc>
                <w:tcPr>
                  <w:tcW w:w="1667" w:type="pct"/>
                  <w:tcBorders>
                    <w:top w:val="nil"/>
                    <w:left w:val="nil"/>
                    <w:bottom w:val="nil"/>
                    <w:right w:val="nil"/>
                  </w:tcBorders>
                </w:tcPr>
                <w:p w14:paraId="3B1E57A5"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Adj R2</w:t>
                  </w:r>
                </w:p>
              </w:tc>
              <w:tc>
                <w:tcPr>
                  <w:tcW w:w="1667" w:type="pct"/>
                  <w:tcBorders>
                    <w:top w:val="nil"/>
                    <w:left w:val="nil"/>
                    <w:bottom w:val="nil"/>
                    <w:right w:val="nil"/>
                  </w:tcBorders>
                  <w:vAlign w:val="center"/>
                </w:tcPr>
                <w:p w14:paraId="161526B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.003</w:t>
                  </w:r>
                </w:p>
              </w:tc>
              <w:tc>
                <w:tcPr>
                  <w:tcW w:w="1666" w:type="pct"/>
                  <w:tcBorders>
                    <w:top w:val="nil"/>
                    <w:left w:val="nil"/>
                    <w:bottom w:val="nil"/>
                    <w:right w:val="nil"/>
                  </w:tcBorders>
                  <w:vAlign w:val="center"/>
                </w:tcPr>
                <w:p w14:paraId="447A0E4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.042</w:t>
                  </w:r>
                </w:p>
              </w:tc>
            </w:tr>
            <w:tr w:rsidR="00694090" w:rsidRPr="00F60760" w14:paraId="4B0E0918" w14:textId="77777777" w:rsidTr="00BC1F26">
              <w:tc>
                <w:tcPr>
                  <w:tcW w:w="1667" w:type="pct"/>
                  <w:tcBorders>
                    <w:top w:val="nil"/>
                    <w:left w:val="nil"/>
                    <w:bottom w:val="nil"/>
                    <w:right w:val="nil"/>
                  </w:tcBorders>
                </w:tcPr>
                <w:p w14:paraId="5BC98F9B"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Industry FE</w:t>
                  </w:r>
                </w:p>
              </w:tc>
              <w:tc>
                <w:tcPr>
                  <w:tcW w:w="1667" w:type="pct"/>
                  <w:tcBorders>
                    <w:top w:val="nil"/>
                    <w:left w:val="nil"/>
                    <w:bottom w:val="nil"/>
                    <w:right w:val="nil"/>
                  </w:tcBorders>
                </w:tcPr>
                <w:p w14:paraId="5E971C2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1666" w:type="pct"/>
                  <w:tcBorders>
                    <w:top w:val="nil"/>
                    <w:left w:val="nil"/>
                    <w:bottom w:val="nil"/>
                    <w:right w:val="nil"/>
                  </w:tcBorders>
                </w:tcPr>
                <w:p w14:paraId="661EEA4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r>
            <w:tr w:rsidR="00694090" w:rsidRPr="00F60760" w14:paraId="3BD4A613" w14:textId="77777777" w:rsidTr="00BC1F26">
              <w:tc>
                <w:tcPr>
                  <w:tcW w:w="1667" w:type="pct"/>
                  <w:tcBorders>
                    <w:top w:val="nil"/>
                    <w:left w:val="nil"/>
                    <w:bottom w:val="nil"/>
                    <w:right w:val="nil"/>
                  </w:tcBorders>
                </w:tcPr>
                <w:p w14:paraId="747FC81D"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Year FE</w:t>
                  </w:r>
                </w:p>
              </w:tc>
              <w:tc>
                <w:tcPr>
                  <w:tcW w:w="1667" w:type="pct"/>
                  <w:tcBorders>
                    <w:top w:val="nil"/>
                    <w:left w:val="nil"/>
                    <w:bottom w:val="nil"/>
                    <w:right w:val="nil"/>
                  </w:tcBorders>
                </w:tcPr>
                <w:p w14:paraId="652CFE0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Yes</w:t>
                  </w:r>
                </w:p>
              </w:tc>
              <w:tc>
                <w:tcPr>
                  <w:tcW w:w="1666" w:type="pct"/>
                  <w:tcBorders>
                    <w:top w:val="nil"/>
                    <w:left w:val="nil"/>
                    <w:bottom w:val="nil"/>
                    <w:right w:val="nil"/>
                  </w:tcBorders>
                </w:tcPr>
                <w:p w14:paraId="0A1AA91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Yes</w:t>
                  </w:r>
                </w:p>
              </w:tc>
            </w:tr>
          </w:tbl>
          <w:p w14:paraId="67F409E1" w14:textId="77777777" w:rsidR="00694090" w:rsidRPr="00F60760" w:rsidRDefault="00694090" w:rsidP="00AB066F">
            <w:pPr>
              <w:jc w:val="left"/>
              <w:rPr>
                <w:color w:val="000000" w:themeColor="text1"/>
                <w:sz w:val="22"/>
                <w:lang w:val="en-US"/>
              </w:rPr>
            </w:pPr>
          </w:p>
        </w:tc>
      </w:tr>
      <w:tr w:rsidR="00694090" w:rsidRPr="00BE5632" w14:paraId="157DE80D" w14:textId="77777777" w:rsidTr="005E75E7">
        <w:trPr>
          <w:trHeight w:val="978"/>
        </w:trPr>
        <w:tc>
          <w:tcPr>
            <w:tcW w:w="9288" w:type="dxa"/>
            <w:tcBorders>
              <w:top w:val="single" w:sz="4" w:space="0" w:color="auto"/>
              <w:left w:val="nil"/>
              <w:right w:val="nil"/>
            </w:tcBorders>
            <w:shd w:val="clear" w:color="auto" w:fill="auto"/>
            <w:noWrap/>
          </w:tcPr>
          <w:p w14:paraId="6A45DEB6" w14:textId="77777777" w:rsidR="00694090" w:rsidRPr="00F60760" w:rsidRDefault="00694090" w:rsidP="00E74508">
            <w:pPr>
              <w:spacing w:before="120" w:line="240" w:lineRule="auto"/>
              <w:rPr>
                <w:color w:val="000000" w:themeColor="text1"/>
                <w:sz w:val="22"/>
                <w:lang w:val="en-US"/>
              </w:rPr>
            </w:pPr>
            <w:r w:rsidRPr="00F60760">
              <w:rPr>
                <w:i/>
                <w:iCs/>
                <w:color w:val="000000" w:themeColor="text1"/>
                <w:sz w:val="22"/>
                <w:lang w:val="en-US"/>
              </w:rPr>
              <w:t>Note</w:t>
            </w:r>
            <w:r w:rsidRPr="00F60760">
              <w:rPr>
                <w:color w:val="000000" w:themeColor="text1"/>
                <w:sz w:val="22"/>
                <w:lang w:val="en-US"/>
              </w:rPr>
              <w:t xml:space="preserve">. This table reports fixed effects linear OLS regression results predicting the effect of organizational cultural distance between acquirers and targets on deal announcement cumulative abnormal returns (CARs). The market portfolio was created using the Russell 3000 Index, a broadly diversified index that seeks to represent the overall U.S. equity market. The dependent variable for Models 1 and 2 is the acquirer’s cumulative abnormal return, with the day range being centered around announcement given in brackets. The main independent variable in Models 1 and 2 is </w:t>
            </w:r>
            <w:r w:rsidRPr="00F60760">
              <w:rPr>
                <w:i/>
                <w:color w:val="000000" w:themeColor="text1"/>
                <w:sz w:val="22"/>
                <w:lang w:val="en-US"/>
              </w:rPr>
              <w:lastRenderedPageBreak/>
              <w:t>deal_culturaldistance</w:t>
            </w:r>
            <w:r w:rsidRPr="00F60760">
              <w:rPr>
                <w:color w:val="000000" w:themeColor="text1"/>
                <w:sz w:val="22"/>
                <w:lang w:val="en-US"/>
              </w:rPr>
              <w:t xml:space="preserve"> with higher values indicating higher cultural dissimilarities between the acquirer and target. A detailed variable description can be found in Appendix B. Constant terms are estimated but not reported. We include the acquirer’s industry and year fixed effects in all models. We cluster standard errors at the 2-digit SIC industry level. t-statistics are reported in parentheses below the coefficients. *, **, *** denote statistical significance at the .10, .05, and .01 levels (using two-tailed tests).</w:t>
            </w:r>
          </w:p>
        </w:tc>
      </w:tr>
    </w:tbl>
    <w:p w14:paraId="7FE3D11E" w14:textId="77777777" w:rsidR="0011734B" w:rsidRDefault="0011734B">
      <w:pPr>
        <w:spacing w:after="160" w:line="259" w:lineRule="auto"/>
        <w:jc w:val="left"/>
        <w:rPr>
          <w:color w:val="000000" w:themeColor="text1"/>
          <w:lang w:val="en-US"/>
        </w:rPr>
      </w:pPr>
      <w:r>
        <w:rPr>
          <w:color w:val="000000" w:themeColor="text1"/>
          <w:lang w:val="en-US"/>
        </w:rPr>
        <w:lastRenderedPageBreak/>
        <w:br w:type="page"/>
      </w:r>
    </w:p>
    <w:p w14:paraId="24091F67" w14:textId="36965C68" w:rsidR="000F4B60" w:rsidRPr="00442048" w:rsidRDefault="000F4B60" w:rsidP="000F4B60">
      <w:pPr>
        <w:pStyle w:val="1fake"/>
      </w:pPr>
      <w:r w:rsidRPr="00442048">
        <w:lastRenderedPageBreak/>
        <w:t xml:space="preserve">ONLINE SUPPLEMENT </w:t>
      </w:r>
      <w:r>
        <w:t>26</w:t>
      </w:r>
    </w:p>
    <w:p w14:paraId="481B88C4" w14:textId="437730C5" w:rsidR="00011AF5" w:rsidRPr="000F4B60" w:rsidRDefault="00011AF5" w:rsidP="00011AF5">
      <w:pPr>
        <w:pStyle w:val="Beschriftung"/>
      </w:pPr>
      <w:bookmarkStart w:id="645" w:name="_Toc180594872"/>
      <w:r>
        <w:t xml:space="preserve">T - III - </w:t>
      </w:r>
      <w:r>
        <w:fldChar w:fldCharType="begin"/>
      </w:r>
      <w:r>
        <w:instrText xml:space="preserve"> SEQ T_-_III_- \* ARABIC </w:instrText>
      </w:r>
      <w:r>
        <w:fldChar w:fldCharType="separate"/>
      </w:r>
      <w:r w:rsidR="00E91088">
        <w:rPr>
          <w:noProof/>
        </w:rPr>
        <w:t>36</w:t>
      </w:r>
      <w:r>
        <w:fldChar w:fldCharType="end"/>
      </w:r>
      <w:r>
        <w:t xml:space="preserve">: </w:t>
      </w:r>
      <w:r w:rsidRPr="00980DBA">
        <w:t>Summary statistics for actual and pseudo deals</w:t>
      </w:r>
      <w:bookmarkEnd w:id="645"/>
    </w:p>
    <w:tbl>
      <w:tblPr>
        <w:tblW w:w="9072" w:type="dxa"/>
        <w:tblLayout w:type="fixed"/>
        <w:tblLook w:val="0000" w:firstRow="0" w:lastRow="0" w:firstColumn="0" w:lastColumn="0" w:noHBand="0" w:noVBand="0"/>
      </w:tblPr>
      <w:tblGrid>
        <w:gridCol w:w="2392"/>
        <w:gridCol w:w="1127"/>
        <w:gridCol w:w="1127"/>
        <w:gridCol w:w="902"/>
        <w:gridCol w:w="284"/>
        <w:gridCol w:w="1127"/>
        <w:gridCol w:w="1127"/>
        <w:gridCol w:w="986"/>
      </w:tblGrid>
      <w:tr w:rsidR="00FD2C31" w:rsidRPr="00F60760" w14:paraId="4543302F" w14:textId="77777777" w:rsidTr="00F76AFF">
        <w:tc>
          <w:tcPr>
            <w:tcW w:w="2410" w:type="dxa"/>
            <w:tcBorders>
              <w:top w:val="single" w:sz="4" w:space="0" w:color="auto"/>
            </w:tcBorders>
          </w:tcPr>
          <w:p w14:paraId="14DB221A" w14:textId="77777777" w:rsidR="00FD2C31" w:rsidRPr="00F60760" w:rsidRDefault="00FD2C31" w:rsidP="006F4762">
            <w:pPr>
              <w:widowControl w:val="0"/>
              <w:autoSpaceDE w:val="0"/>
              <w:autoSpaceDN w:val="0"/>
              <w:adjustRightInd w:val="0"/>
              <w:spacing w:line="240" w:lineRule="auto"/>
              <w:jc w:val="center"/>
              <w:rPr>
                <w:color w:val="000000" w:themeColor="text1"/>
                <w:sz w:val="22"/>
                <w:lang w:val="en-US"/>
              </w:rPr>
            </w:pPr>
          </w:p>
        </w:tc>
        <w:tc>
          <w:tcPr>
            <w:tcW w:w="3402" w:type="dxa"/>
            <w:gridSpan w:val="4"/>
            <w:tcBorders>
              <w:top w:val="single" w:sz="4" w:space="0" w:color="auto"/>
            </w:tcBorders>
          </w:tcPr>
          <w:p w14:paraId="35B7FB04" w14:textId="77777777" w:rsidR="00FD2C31" w:rsidRPr="00F60760" w:rsidRDefault="00FD2C31"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Actual Deals</w:t>
            </w:r>
            <w:r w:rsidRPr="00F60760">
              <w:rPr>
                <w:color w:val="000000" w:themeColor="text1"/>
                <w:sz w:val="22"/>
                <w:lang w:val="en-US"/>
              </w:rPr>
              <w:br/>
              <w:t>(N = 1</w:t>
            </w:r>
            <w:r w:rsidRPr="00F60760">
              <w:rPr>
                <w:color w:val="000000" w:themeColor="text1"/>
                <w:sz w:val="22"/>
              </w:rPr>
              <w:t>35</w:t>
            </w:r>
            <w:r w:rsidRPr="00F60760">
              <w:rPr>
                <w:color w:val="000000" w:themeColor="text1"/>
                <w:sz w:val="22"/>
                <w:lang w:val="en-US"/>
              </w:rPr>
              <w:t>)</w:t>
            </w:r>
          </w:p>
        </w:tc>
        <w:tc>
          <w:tcPr>
            <w:tcW w:w="3260" w:type="dxa"/>
            <w:gridSpan w:val="3"/>
            <w:tcBorders>
              <w:top w:val="single" w:sz="4" w:space="0" w:color="auto"/>
            </w:tcBorders>
          </w:tcPr>
          <w:p w14:paraId="3163305D" w14:textId="77777777" w:rsidR="00FD2C31" w:rsidRPr="00F60760" w:rsidRDefault="00FD2C31"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Pseudo Deals</w:t>
            </w:r>
            <w:r w:rsidRPr="00F60760">
              <w:rPr>
                <w:color w:val="000000" w:themeColor="text1"/>
                <w:sz w:val="22"/>
                <w:lang w:val="en-US"/>
              </w:rPr>
              <w:br/>
              <w:t>(N = 1200)</w:t>
            </w:r>
          </w:p>
        </w:tc>
      </w:tr>
      <w:tr w:rsidR="00FD2C31" w:rsidRPr="00F60760" w14:paraId="194C4C33" w14:textId="77777777" w:rsidTr="00F76AFF">
        <w:tc>
          <w:tcPr>
            <w:tcW w:w="2410" w:type="dxa"/>
          </w:tcPr>
          <w:p w14:paraId="3D9C5118"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   </w:t>
            </w:r>
          </w:p>
        </w:tc>
        <w:tc>
          <w:tcPr>
            <w:tcW w:w="1134" w:type="dxa"/>
          </w:tcPr>
          <w:p w14:paraId="30DFCD47"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Control</w:t>
            </w:r>
          </w:p>
        </w:tc>
        <w:tc>
          <w:tcPr>
            <w:tcW w:w="1134" w:type="dxa"/>
          </w:tcPr>
          <w:p w14:paraId="14D2E22E"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Treatment</w:t>
            </w:r>
          </w:p>
        </w:tc>
        <w:tc>
          <w:tcPr>
            <w:tcW w:w="907" w:type="dxa"/>
          </w:tcPr>
          <w:p w14:paraId="793BB9D4"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284" w:type="dxa"/>
          </w:tcPr>
          <w:p w14:paraId="0354DFEC"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1134" w:type="dxa"/>
          </w:tcPr>
          <w:p w14:paraId="6A1F1568"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Control</w:t>
            </w:r>
          </w:p>
        </w:tc>
        <w:tc>
          <w:tcPr>
            <w:tcW w:w="1134" w:type="dxa"/>
          </w:tcPr>
          <w:p w14:paraId="45852B39"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Treatment</w:t>
            </w:r>
          </w:p>
        </w:tc>
        <w:tc>
          <w:tcPr>
            <w:tcW w:w="907" w:type="dxa"/>
          </w:tcPr>
          <w:p w14:paraId="20D7FE87"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r>
      <w:tr w:rsidR="00FD2C31" w:rsidRPr="00F60760" w14:paraId="53EB2F37" w14:textId="77777777" w:rsidTr="00F76AFF">
        <w:tc>
          <w:tcPr>
            <w:tcW w:w="2410" w:type="dxa"/>
          </w:tcPr>
          <w:p w14:paraId="1F13FB20"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1134" w:type="dxa"/>
          </w:tcPr>
          <w:p w14:paraId="5C95AFBF"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(N = 97)</w:t>
            </w:r>
          </w:p>
        </w:tc>
        <w:tc>
          <w:tcPr>
            <w:tcW w:w="1134" w:type="dxa"/>
          </w:tcPr>
          <w:p w14:paraId="75842A45"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(N = 38)</w:t>
            </w:r>
          </w:p>
        </w:tc>
        <w:tc>
          <w:tcPr>
            <w:tcW w:w="907" w:type="dxa"/>
          </w:tcPr>
          <w:p w14:paraId="6A568AE1"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284" w:type="dxa"/>
          </w:tcPr>
          <w:p w14:paraId="151AD6A6"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1134" w:type="dxa"/>
          </w:tcPr>
          <w:p w14:paraId="41A949EA"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(N = 600)</w:t>
            </w:r>
          </w:p>
        </w:tc>
        <w:tc>
          <w:tcPr>
            <w:tcW w:w="1134" w:type="dxa"/>
          </w:tcPr>
          <w:p w14:paraId="168564E9"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(N = 600)</w:t>
            </w:r>
          </w:p>
        </w:tc>
        <w:tc>
          <w:tcPr>
            <w:tcW w:w="907" w:type="dxa"/>
          </w:tcPr>
          <w:p w14:paraId="167CFC63"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r>
      <w:tr w:rsidR="00FD2C31" w:rsidRPr="00F60760" w14:paraId="360CFB7A" w14:textId="77777777" w:rsidTr="00F76AFF">
        <w:tc>
          <w:tcPr>
            <w:tcW w:w="2410" w:type="dxa"/>
          </w:tcPr>
          <w:p w14:paraId="007F353D"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1134" w:type="dxa"/>
            <w:tcBorders>
              <w:bottom w:val="single" w:sz="4" w:space="0" w:color="auto"/>
            </w:tcBorders>
          </w:tcPr>
          <w:p w14:paraId="2B2A19FC"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Mean</w:t>
            </w:r>
          </w:p>
        </w:tc>
        <w:tc>
          <w:tcPr>
            <w:tcW w:w="1134" w:type="dxa"/>
            <w:tcBorders>
              <w:bottom w:val="single" w:sz="4" w:space="0" w:color="auto"/>
            </w:tcBorders>
          </w:tcPr>
          <w:p w14:paraId="0933B490"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Mean</w:t>
            </w:r>
          </w:p>
        </w:tc>
        <w:tc>
          <w:tcPr>
            <w:tcW w:w="907" w:type="dxa"/>
            <w:tcBorders>
              <w:bottom w:val="single" w:sz="4" w:space="0" w:color="auto"/>
            </w:tcBorders>
          </w:tcPr>
          <w:p w14:paraId="1FA2B964" w14:textId="33711022"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Diff</w:t>
            </w:r>
          </w:p>
        </w:tc>
        <w:tc>
          <w:tcPr>
            <w:tcW w:w="284" w:type="dxa"/>
          </w:tcPr>
          <w:p w14:paraId="40AEEE95"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1134" w:type="dxa"/>
            <w:tcBorders>
              <w:bottom w:val="single" w:sz="4" w:space="0" w:color="auto"/>
            </w:tcBorders>
          </w:tcPr>
          <w:p w14:paraId="1203A3A2"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Mean</w:t>
            </w:r>
          </w:p>
        </w:tc>
        <w:tc>
          <w:tcPr>
            <w:tcW w:w="1134" w:type="dxa"/>
            <w:tcBorders>
              <w:bottom w:val="single" w:sz="4" w:space="0" w:color="auto"/>
            </w:tcBorders>
          </w:tcPr>
          <w:p w14:paraId="30A94363"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Mean</w:t>
            </w:r>
          </w:p>
        </w:tc>
        <w:tc>
          <w:tcPr>
            <w:tcW w:w="907" w:type="dxa"/>
            <w:tcBorders>
              <w:bottom w:val="single" w:sz="4" w:space="0" w:color="auto"/>
            </w:tcBorders>
          </w:tcPr>
          <w:p w14:paraId="688AF605" w14:textId="778EFEED"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Diff</w:t>
            </w:r>
          </w:p>
        </w:tc>
      </w:tr>
      <w:tr w:rsidR="00FD2C31" w:rsidRPr="00F60760" w14:paraId="3480BE1B" w14:textId="77777777" w:rsidTr="00F76AFF">
        <w:trPr>
          <w:trHeight w:val="224"/>
        </w:trPr>
        <w:tc>
          <w:tcPr>
            <w:tcW w:w="2410" w:type="dxa"/>
          </w:tcPr>
          <w:p w14:paraId="2B18531C" w14:textId="77777777" w:rsidR="00BC1F26" w:rsidRPr="00F60760" w:rsidRDefault="00BC1F26" w:rsidP="006F4762">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acq_2yr_sales_growth</w:t>
            </w:r>
          </w:p>
        </w:tc>
        <w:tc>
          <w:tcPr>
            <w:tcW w:w="1134" w:type="dxa"/>
            <w:tcBorders>
              <w:top w:val="single" w:sz="4" w:space="0" w:color="auto"/>
            </w:tcBorders>
          </w:tcPr>
          <w:p w14:paraId="5F392034"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.254</w:t>
            </w:r>
          </w:p>
        </w:tc>
        <w:tc>
          <w:tcPr>
            <w:tcW w:w="1134" w:type="dxa"/>
            <w:tcBorders>
              <w:top w:val="single" w:sz="4" w:space="0" w:color="auto"/>
            </w:tcBorders>
          </w:tcPr>
          <w:p w14:paraId="2D954C39"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.163</w:t>
            </w:r>
          </w:p>
        </w:tc>
        <w:tc>
          <w:tcPr>
            <w:tcW w:w="907" w:type="dxa"/>
            <w:tcBorders>
              <w:top w:val="single" w:sz="4" w:space="0" w:color="auto"/>
            </w:tcBorders>
          </w:tcPr>
          <w:p w14:paraId="5399FEAC"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-.091</w:t>
            </w:r>
          </w:p>
        </w:tc>
        <w:tc>
          <w:tcPr>
            <w:tcW w:w="284" w:type="dxa"/>
            <w:vAlign w:val="center"/>
          </w:tcPr>
          <w:p w14:paraId="55CBEFC3"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1134" w:type="dxa"/>
            <w:tcBorders>
              <w:top w:val="single" w:sz="4" w:space="0" w:color="auto"/>
            </w:tcBorders>
          </w:tcPr>
          <w:p w14:paraId="0BB9FF88"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1134" w:type="dxa"/>
            <w:tcBorders>
              <w:top w:val="single" w:sz="4" w:space="0" w:color="auto"/>
            </w:tcBorders>
          </w:tcPr>
          <w:p w14:paraId="798CC943"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907" w:type="dxa"/>
            <w:tcBorders>
              <w:top w:val="single" w:sz="4" w:space="0" w:color="auto"/>
            </w:tcBorders>
          </w:tcPr>
          <w:p w14:paraId="29120CC6"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r>
      <w:tr w:rsidR="00FD2C31" w:rsidRPr="00F60760" w14:paraId="7CE9A154" w14:textId="77777777" w:rsidTr="00F76AFF">
        <w:tc>
          <w:tcPr>
            <w:tcW w:w="2410" w:type="dxa"/>
          </w:tcPr>
          <w:p w14:paraId="4A09D1CC" w14:textId="77777777" w:rsidR="00BC1F26" w:rsidRPr="00F60760" w:rsidRDefault="00BC1F26" w:rsidP="006F4762">
            <w:pPr>
              <w:widowControl w:val="0"/>
              <w:autoSpaceDE w:val="0"/>
              <w:autoSpaceDN w:val="0"/>
              <w:adjustRightInd w:val="0"/>
              <w:spacing w:line="240" w:lineRule="auto"/>
              <w:rPr>
                <w:color w:val="000000" w:themeColor="text1"/>
                <w:sz w:val="22"/>
                <w:lang w:val="en-US"/>
              </w:rPr>
            </w:pPr>
          </w:p>
        </w:tc>
        <w:tc>
          <w:tcPr>
            <w:tcW w:w="1134" w:type="dxa"/>
          </w:tcPr>
          <w:p w14:paraId="75C25D97"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1134" w:type="dxa"/>
          </w:tcPr>
          <w:p w14:paraId="3C8D6BEE"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907" w:type="dxa"/>
          </w:tcPr>
          <w:p w14:paraId="18726FE4"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284" w:type="dxa"/>
            <w:vAlign w:val="center"/>
          </w:tcPr>
          <w:p w14:paraId="793B3CEA"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1134" w:type="dxa"/>
          </w:tcPr>
          <w:p w14:paraId="709CDAF6"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1134" w:type="dxa"/>
          </w:tcPr>
          <w:p w14:paraId="4C88F63E"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907" w:type="dxa"/>
          </w:tcPr>
          <w:p w14:paraId="3D5B9180"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r>
      <w:tr w:rsidR="00FD2C31" w:rsidRPr="00F60760" w14:paraId="73B0231B" w14:textId="77777777" w:rsidTr="00F76AFF">
        <w:tc>
          <w:tcPr>
            <w:tcW w:w="2410" w:type="dxa"/>
          </w:tcPr>
          <w:p w14:paraId="29DF1ECF" w14:textId="77777777" w:rsidR="00BC1F26" w:rsidRPr="00F60760" w:rsidRDefault="00BC1F26" w:rsidP="006F4762">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c</w:t>
            </w:r>
            <w:r w:rsidRPr="00F60760">
              <w:rPr>
                <w:color w:val="000000" w:themeColor="text1"/>
                <w:sz w:val="22"/>
              </w:rPr>
              <w:t>omb</w:t>
            </w:r>
            <w:r w:rsidRPr="00F60760">
              <w:rPr>
                <w:color w:val="000000" w:themeColor="text1"/>
                <w:sz w:val="22"/>
                <w:lang w:val="en-US"/>
              </w:rPr>
              <w:t>_2yr_sales_growth</w:t>
            </w:r>
          </w:p>
        </w:tc>
        <w:tc>
          <w:tcPr>
            <w:tcW w:w="1134" w:type="dxa"/>
          </w:tcPr>
          <w:p w14:paraId="6FADB873"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1134" w:type="dxa"/>
          </w:tcPr>
          <w:p w14:paraId="7689F807"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907" w:type="dxa"/>
          </w:tcPr>
          <w:p w14:paraId="25FD263F"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284" w:type="dxa"/>
            <w:vAlign w:val="center"/>
          </w:tcPr>
          <w:p w14:paraId="7BB1028B"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1134" w:type="dxa"/>
          </w:tcPr>
          <w:p w14:paraId="50BB8F86"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.259</w:t>
            </w:r>
          </w:p>
        </w:tc>
        <w:tc>
          <w:tcPr>
            <w:tcW w:w="1134" w:type="dxa"/>
          </w:tcPr>
          <w:p w14:paraId="467DD96D"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.138</w:t>
            </w:r>
          </w:p>
        </w:tc>
        <w:tc>
          <w:tcPr>
            <w:tcW w:w="907" w:type="dxa"/>
          </w:tcPr>
          <w:p w14:paraId="650B0AF4"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-.121</w:t>
            </w:r>
          </w:p>
        </w:tc>
      </w:tr>
      <w:tr w:rsidR="00FD2C31" w:rsidRPr="00F60760" w14:paraId="591E321F" w14:textId="77777777" w:rsidTr="00F76AFF">
        <w:tc>
          <w:tcPr>
            <w:tcW w:w="2410" w:type="dxa"/>
          </w:tcPr>
          <w:p w14:paraId="473FB54D" w14:textId="77777777" w:rsidR="00BC1F26" w:rsidRPr="00F60760" w:rsidRDefault="00BC1F26" w:rsidP="006F4762">
            <w:pPr>
              <w:widowControl w:val="0"/>
              <w:autoSpaceDE w:val="0"/>
              <w:autoSpaceDN w:val="0"/>
              <w:adjustRightInd w:val="0"/>
              <w:spacing w:line="240" w:lineRule="auto"/>
              <w:rPr>
                <w:color w:val="000000" w:themeColor="text1"/>
                <w:sz w:val="22"/>
                <w:lang w:val="en-US"/>
              </w:rPr>
            </w:pPr>
          </w:p>
        </w:tc>
        <w:tc>
          <w:tcPr>
            <w:tcW w:w="1134" w:type="dxa"/>
          </w:tcPr>
          <w:p w14:paraId="721B136D"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1134" w:type="dxa"/>
          </w:tcPr>
          <w:p w14:paraId="13C52F3E"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907" w:type="dxa"/>
          </w:tcPr>
          <w:p w14:paraId="0EB20DB5"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284" w:type="dxa"/>
            <w:vAlign w:val="center"/>
          </w:tcPr>
          <w:p w14:paraId="5FC4845C"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1134" w:type="dxa"/>
          </w:tcPr>
          <w:p w14:paraId="1116B2B0"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1134" w:type="dxa"/>
          </w:tcPr>
          <w:p w14:paraId="2ED1C7AE"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907" w:type="dxa"/>
          </w:tcPr>
          <w:p w14:paraId="40E62B76"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r>
      <w:tr w:rsidR="00FD2C31" w:rsidRPr="00F60760" w14:paraId="5B4A3623" w14:textId="77777777" w:rsidTr="00F76AFF">
        <w:tc>
          <w:tcPr>
            <w:tcW w:w="2410" w:type="dxa"/>
          </w:tcPr>
          <w:p w14:paraId="7675AA72" w14:textId="77777777" w:rsidR="00BC1F26" w:rsidRPr="00F60760" w:rsidRDefault="00BC1F26" w:rsidP="006F4762">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deal_age_difference</w:t>
            </w:r>
          </w:p>
        </w:tc>
        <w:tc>
          <w:tcPr>
            <w:tcW w:w="1134" w:type="dxa"/>
          </w:tcPr>
          <w:p w14:paraId="1B18D9CB"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37.804</w:t>
            </w:r>
          </w:p>
        </w:tc>
        <w:tc>
          <w:tcPr>
            <w:tcW w:w="1134" w:type="dxa"/>
          </w:tcPr>
          <w:p w14:paraId="2367F652"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38.895</w:t>
            </w:r>
          </w:p>
        </w:tc>
        <w:tc>
          <w:tcPr>
            <w:tcW w:w="907" w:type="dxa"/>
          </w:tcPr>
          <w:p w14:paraId="66617CC1"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1.091</w:t>
            </w:r>
          </w:p>
        </w:tc>
        <w:tc>
          <w:tcPr>
            <w:tcW w:w="284" w:type="dxa"/>
            <w:vAlign w:val="center"/>
          </w:tcPr>
          <w:p w14:paraId="44FBF791"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1134" w:type="dxa"/>
          </w:tcPr>
          <w:p w14:paraId="11554E65"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52.343</w:t>
            </w:r>
          </w:p>
        </w:tc>
        <w:tc>
          <w:tcPr>
            <w:tcW w:w="1134" w:type="dxa"/>
          </w:tcPr>
          <w:p w14:paraId="10AD2E91"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51.288</w:t>
            </w:r>
          </w:p>
        </w:tc>
        <w:tc>
          <w:tcPr>
            <w:tcW w:w="907" w:type="dxa"/>
          </w:tcPr>
          <w:p w14:paraId="5EE03B27"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-1.055</w:t>
            </w:r>
          </w:p>
        </w:tc>
      </w:tr>
      <w:tr w:rsidR="00FD2C31" w:rsidRPr="00F60760" w14:paraId="6DB23062" w14:textId="77777777" w:rsidTr="00F76AFF">
        <w:tc>
          <w:tcPr>
            <w:tcW w:w="2410" w:type="dxa"/>
          </w:tcPr>
          <w:p w14:paraId="490BB6EE" w14:textId="77777777" w:rsidR="00BC1F26" w:rsidRPr="00F60760" w:rsidRDefault="00BC1F26" w:rsidP="006F4762">
            <w:pPr>
              <w:widowControl w:val="0"/>
              <w:autoSpaceDE w:val="0"/>
              <w:autoSpaceDN w:val="0"/>
              <w:adjustRightInd w:val="0"/>
              <w:spacing w:line="240" w:lineRule="auto"/>
              <w:rPr>
                <w:color w:val="000000" w:themeColor="text1"/>
                <w:sz w:val="22"/>
                <w:lang w:val="en-US"/>
              </w:rPr>
            </w:pPr>
          </w:p>
        </w:tc>
        <w:tc>
          <w:tcPr>
            <w:tcW w:w="1134" w:type="dxa"/>
          </w:tcPr>
          <w:p w14:paraId="6175969C"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1134" w:type="dxa"/>
          </w:tcPr>
          <w:p w14:paraId="771FC9D1"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907" w:type="dxa"/>
          </w:tcPr>
          <w:p w14:paraId="198E4D64"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284" w:type="dxa"/>
            <w:vAlign w:val="center"/>
          </w:tcPr>
          <w:p w14:paraId="033BAF8D"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1134" w:type="dxa"/>
          </w:tcPr>
          <w:p w14:paraId="23CA6CDF"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1134" w:type="dxa"/>
          </w:tcPr>
          <w:p w14:paraId="27BF66C8"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907" w:type="dxa"/>
          </w:tcPr>
          <w:p w14:paraId="74D6C0DF"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r>
      <w:tr w:rsidR="00FD2C31" w:rsidRPr="00F60760" w14:paraId="00B0E043" w14:textId="77777777" w:rsidTr="00F76AFF">
        <w:tc>
          <w:tcPr>
            <w:tcW w:w="2410" w:type="dxa"/>
          </w:tcPr>
          <w:p w14:paraId="67F705BA" w14:textId="77777777" w:rsidR="00BC1F26" w:rsidRPr="00F60760" w:rsidRDefault="00BC1F26" w:rsidP="006F4762">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deal_size_difference</w:t>
            </w:r>
          </w:p>
        </w:tc>
        <w:tc>
          <w:tcPr>
            <w:tcW w:w="1134" w:type="dxa"/>
          </w:tcPr>
          <w:p w14:paraId="0AA3A097"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1.812</w:t>
            </w:r>
          </w:p>
        </w:tc>
        <w:tc>
          <w:tcPr>
            <w:tcW w:w="1134" w:type="dxa"/>
          </w:tcPr>
          <w:p w14:paraId="42548989"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1.959</w:t>
            </w:r>
          </w:p>
        </w:tc>
        <w:tc>
          <w:tcPr>
            <w:tcW w:w="907" w:type="dxa"/>
          </w:tcPr>
          <w:p w14:paraId="402D2DF4"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.147</w:t>
            </w:r>
          </w:p>
        </w:tc>
        <w:tc>
          <w:tcPr>
            <w:tcW w:w="284" w:type="dxa"/>
            <w:vAlign w:val="center"/>
          </w:tcPr>
          <w:p w14:paraId="2048B3AC"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1134" w:type="dxa"/>
          </w:tcPr>
          <w:p w14:paraId="202192A5"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1.884   </w:t>
            </w:r>
          </w:p>
        </w:tc>
        <w:tc>
          <w:tcPr>
            <w:tcW w:w="1134" w:type="dxa"/>
          </w:tcPr>
          <w:p w14:paraId="43039085"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1.885   </w:t>
            </w:r>
          </w:p>
        </w:tc>
        <w:tc>
          <w:tcPr>
            <w:tcW w:w="907" w:type="dxa"/>
          </w:tcPr>
          <w:p w14:paraId="7ACC0A37"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-.001   </w:t>
            </w:r>
          </w:p>
        </w:tc>
      </w:tr>
      <w:tr w:rsidR="00FD2C31" w:rsidRPr="00F60760" w14:paraId="784FDFE8" w14:textId="77777777" w:rsidTr="00F76AFF">
        <w:tc>
          <w:tcPr>
            <w:tcW w:w="2410" w:type="dxa"/>
          </w:tcPr>
          <w:p w14:paraId="1C981C9F" w14:textId="77777777" w:rsidR="00BC1F26" w:rsidRPr="00F60760" w:rsidRDefault="00BC1F26" w:rsidP="006F4762">
            <w:pPr>
              <w:widowControl w:val="0"/>
              <w:autoSpaceDE w:val="0"/>
              <w:autoSpaceDN w:val="0"/>
              <w:adjustRightInd w:val="0"/>
              <w:spacing w:line="240" w:lineRule="auto"/>
              <w:rPr>
                <w:color w:val="000000" w:themeColor="text1"/>
                <w:sz w:val="22"/>
                <w:lang w:val="en-US"/>
              </w:rPr>
            </w:pPr>
          </w:p>
        </w:tc>
        <w:tc>
          <w:tcPr>
            <w:tcW w:w="1134" w:type="dxa"/>
          </w:tcPr>
          <w:p w14:paraId="128EAEAC"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1134" w:type="dxa"/>
          </w:tcPr>
          <w:p w14:paraId="06CFB03A"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907" w:type="dxa"/>
          </w:tcPr>
          <w:p w14:paraId="68A85196"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284" w:type="dxa"/>
            <w:vAlign w:val="center"/>
          </w:tcPr>
          <w:p w14:paraId="1C4EC5A4"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1134" w:type="dxa"/>
          </w:tcPr>
          <w:p w14:paraId="1500F428"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1134" w:type="dxa"/>
          </w:tcPr>
          <w:p w14:paraId="60A35242"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907" w:type="dxa"/>
          </w:tcPr>
          <w:p w14:paraId="7497A2DD"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r>
      <w:tr w:rsidR="00FD2C31" w:rsidRPr="00F60760" w14:paraId="6F71E381" w14:textId="77777777" w:rsidTr="00F76AFF">
        <w:tc>
          <w:tcPr>
            <w:tcW w:w="2410" w:type="dxa"/>
          </w:tcPr>
          <w:p w14:paraId="2B4DCF94" w14:textId="77777777" w:rsidR="00BC1F26" w:rsidRPr="00F60760" w:rsidRDefault="00BC1F26" w:rsidP="006F4762">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deal_hofstede_distance</w:t>
            </w:r>
          </w:p>
        </w:tc>
        <w:tc>
          <w:tcPr>
            <w:tcW w:w="1134" w:type="dxa"/>
          </w:tcPr>
          <w:p w14:paraId="632123D3"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.020</w:t>
            </w:r>
          </w:p>
        </w:tc>
        <w:tc>
          <w:tcPr>
            <w:tcW w:w="1134" w:type="dxa"/>
          </w:tcPr>
          <w:p w14:paraId="0968454D"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.020</w:t>
            </w:r>
          </w:p>
        </w:tc>
        <w:tc>
          <w:tcPr>
            <w:tcW w:w="907" w:type="dxa"/>
          </w:tcPr>
          <w:p w14:paraId="003740D1"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-.00004</w:t>
            </w:r>
          </w:p>
        </w:tc>
        <w:tc>
          <w:tcPr>
            <w:tcW w:w="284" w:type="dxa"/>
            <w:vAlign w:val="center"/>
          </w:tcPr>
          <w:p w14:paraId="62BE3AFC"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1134" w:type="dxa"/>
          </w:tcPr>
          <w:p w14:paraId="36E9C412"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.263</w:t>
            </w:r>
          </w:p>
        </w:tc>
        <w:tc>
          <w:tcPr>
            <w:tcW w:w="1134" w:type="dxa"/>
          </w:tcPr>
          <w:p w14:paraId="4113A554"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.253</w:t>
            </w:r>
          </w:p>
        </w:tc>
        <w:tc>
          <w:tcPr>
            <w:tcW w:w="907" w:type="dxa"/>
          </w:tcPr>
          <w:p w14:paraId="29BA6999"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-.010</w:t>
            </w:r>
          </w:p>
        </w:tc>
      </w:tr>
      <w:tr w:rsidR="00FD2C31" w:rsidRPr="00F60760" w14:paraId="5DBB45EA" w14:textId="77777777" w:rsidTr="00F76AFF">
        <w:tc>
          <w:tcPr>
            <w:tcW w:w="2410" w:type="dxa"/>
          </w:tcPr>
          <w:p w14:paraId="7F31AC4B" w14:textId="77777777" w:rsidR="00BC1F26" w:rsidRPr="00F60760" w:rsidRDefault="00BC1F26" w:rsidP="006F4762">
            <w:pPr>
              <w:widowControl w:val="0"/>
              <w:autoSpaceDE w:val="0"/>
              <w:autoSpaceDN w:val="0"/>
              <w:adjustRightInd w:val="0"/>
              <w:spacing w:line="240" w:lineRule="auto"/>
              <w:rPr>
                <w:color w:val="000000" w:themeColor="text1"/>
                <w:sz w:val="22"/>
                <w:lang w:val="en-US"/>
              </w:rPr>
            </w:pPr>
          </w:p>
        </w:tc>
        <w:tc>
          <w:tcPr>
            <w:tcW w:w="1134" w:type="dxa"/>
          </w:tcPr>
          <w:p w14:paraId="2FABB0C2"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1134" w:type="dxa"/>
          </w:tcPr>
          <w:p w14:paraId="68A8D186"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907" w:type="dxa"/>
          </w:tcPr>
          <w:p w14:paraId="2F7AF3B9"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284" w:type="dxa"/>
            <w:vAlign w:val="center"/>
          </w:tcPr>
          <w:p w14:paraId="1AE4C538"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1134" w:type="dxa"/>
          </w:tcPr>
          <w:p w14:paraId="556EB3FC"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1134" w:type="dxa"/>
          </w:tcPr>
          <w:p w14:paraId="12FB9EB2"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907" w:type="dxa"/>
          </w:tcPr>
          <w:p w14:paraId="5A03C577"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r>
      <w:tr w:rsidR="00FD2C31" w:rsidRPr="00F60760" w14:paraId="21509D9C" w14:textId="77777777" w:rsidTr="00F76AFF">
        <w:tc>
          <w:tcPr>
            <w:tcW w:w="2410" w:type="dxa"/>
          </w:tcPr>
          <w:p w14:paraId="7475FA1F" w14:textId="77777777" w:rsidR="00BC1F26" w:rsidRPr="00F60760" w:rsidRDefault="00BC1F26" w:rsidP="006F4762">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deal_roa_difference</w:t>
            </w:r>
          </w:p>
        </w:tc>
        <w:tc>
          <w:tcPr>
            <w:tcW w:w="1134" w:type="dxa"/>
          </w:tcPr>
          <w:p w14:paraId="6D09687A"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.412</w:t>
            </w:r>
          </w:p>
        </w:tc>
        <w:tc>
          <w:tcPr>
            <w:tcW w:w="1134" w:type="dxa"/>
          </w:tcPr>
          <w:p w14:paraId="1CF9FBD8"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.495</w:t>
            </w:r>
          </w:p>
        </w:tc>
        <w:tc>
          <w:tcPr>
            <w:tcW w:w="907" w:type="dxa"/>
          </w:tcPr>
          <w:p w14:paraId="3D3F5A1F"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.083</w:t>
            </w:r>
          </w:p>
        </w:tc>
        <w:tc>
          <w:tcPr>
            <w:tcW w:w="284" w:type="dxa"/>
            <w:vAlign w:val="center"/>
          </w:tcPr>
          <w:p w14:paraId="42712A22"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1134" w:type="dxa"/>
          </w:tcPr>
          <w:p w14:paraId="0A6A3026"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.590</w:t>
            </w:r>
          </w:p>
        </w:tc>
        <w:tc>
          <w:tcPr>
            <w:tcW w:w="1134" w:type="dxa"/>
          </w:tcPr>
          <w:p w14:paraId="26C5D475"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.560</w:t>
            </w:r>
          </w:p>
        </w:tc>
        <w:tc>
          <w:tcPr>
            <w:tcW w:w="907" w:type="dxa"/>
          </w:tcPr>
          <w:p w14:paraId="0E745E41"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-.030</w:t>
            </w:r>
          </w:p>
        </w:tc>
      </w:tr>
      <w:tr w:rsidR="00FD2C31" w:rsidRPr="00F60760" w14:paraId="6A1D4044" w14:textId="77777777" w:rsidTr="00F76AFF">
        <w:tc>
          <w:tcPr>
            <w:tcW w:w="2410" w:type="dxa"/>
          </w:tcPr>
          <w:p w14:paraId="2CBB33C7" w14:textId="77777777" w:rsidR="00BC1F26" w:rsidRPr="00F60760" w:rsidRDefault="00BC1F26" w:rsidP="006F4762">
            <w:pPr>
              <w:widowControl w:val="0"/>
              <w:autoSpaceDE w:val="0"/>
              <w:autoSpaceDN w:val="0"/>
              <w:adjustRightInd w:val="0"/>
              <w:spacing w:line="240" w:lineRule="auto"/>
              <w:rPr>
                <w:color w:val="000000" w:themeColor="text1"/>
                <w:sz w:val="22"/>
                <w:lang w:val="en-US"/>
              </w:rPr>
            </w:pPr>
          </w:p>
        </w:tc>
        <w:tc>
          <w:tcPr>
            <w:tcW w:w="1134" w:type="dxa"/>
          </w:tcPr>
          <w:p w14:paraId="24BE256C"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1134" w:type="dxa"/>
          </w:tcPr>
          <w:p w14:paraId="2DAE68B1"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907" w:type="dxa"/>
          </w:tcPr>
          <w:p w14:paraId="16F31A95"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284" w:type="dxa"/>
            <w:vAlign w:val="center"/>
          </w:tcPr>
          <w:p w14:paraId="074F7629"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1134" w:type="dxa"/>
          </w:tcPr>
          <w:p w14:paraId="0E74C6EF"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1134" w:type="dxa"/>
          </w:tcPr>
          <w:p w14:paraId="31006F9B"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907" w:type="dxa"/>
          </w:tcPr>
          <w:p w14:paraId="78C64A4C"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r>
      <w:tr w:rsidR="00FD2C31" w:rsidRPr="00F60760" w14:paraId="46A0B5DB" w14:textId="77777777" w:rsidTr="00F76AFF">
        <w:tc>
          <w:tcPr>
            <w:tcW w:w="2410" w:type="dxa"/>
          </w:tcPr>
          <w:p w14:paraId="7F3757E0" w14:textId="77777777" w:rsidR="00BC1F26" w:rsidRPr="00F60760" w:rsidRDefault="00BC1F26" w:rsidP="006F4762">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deal_sic_difference</w:t>
            </w:r>
          </w:p>
        </w:tc>
        <w:tc>
          <w:tcPr>
            <w:tcW w:w="1134" w:type="dxa"/>
          </w:tcPr>
          <w:p w14:paraId="09333127"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533.959</w:t>
            </w:r>
          </w:p>
        </w:tc>
        <w:tc>
          <w:tcPr>
            <w:tcW w:w="1134" w:type="dxa"/>
          </w:tcPr>
          <w:p w14:paraId="0BF1538D"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599.079</w:t>
            </w:r>
          </w:p>
        </w:tc>
        <w:tc>
          <w:tcPr>
            <w:tcW w:w="907" w:type="dxa"/>
          </w:tcPr>
          <w:p w14:paraId="441F0C68"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65.120</w:t>
            </w:r>
          </w:p>
        </w:tc>
        <w:tc>
          <w:tcPr>
            <w:tcW w:w="284" w:type="dxa"/>
            <w:vAlign w:val="center"/>
          </w:tcPr>
          <w:p w14:paraId="762BD6DB"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p>
        </w:tc>
        <w:tc>
          <w:tcPr>
            <w:tcW w:w="1134" w:type="dxa"/>
          </w:tcPr>
          <w:p w14:paraId="0ADE910A"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2332.827</w:t>
            </w:r>
          </w:p>
        </w:tc>
        <w:tc>
          <w:tcPr>
            <w:tcW w:w="1134" w:type="dxa"/>
          </w:tcPr>
          <w:p w14:paraId="176EDB51"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2251.220</w:t>
            </w:r>
          </w:p>
        </w:tc>
        <w:tc>
          <w:tcPr>
            <w:tcW w:w="907" w:type="dxa"/>
          </w:tcPr>
          <w:p w14:paraId="12E06C20" w14:textId="77777777" w:rsidR="00BC1F26" w:rsidRPr="00F60760" w:rsidRDefault="00BC1F26" w:rsidP="006F4762">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-81.607</w:t>
            </w:r>
          </w:p>
        </w:tc>
      </w:tr>
      <w:tr w:rsidR="00F76AFF" w:rsidRPr="00BE5632" w14:paraId="733AF6E8" w14:textId="77777777" w:rsidTr="00F76AFF">
        <w:tc>
          <w:tcPr>
            <w:tcW w:w="9072" w:type="dxa"/>
            <w:gridSpan w:val="8"/>
            <w:tcBorders>
              <w:top w:val="single" w:sz="4" w:space="0" w:color="auto"/>
            </w:tcBorders>
          </w:tcPr>
          <w:p w14:paraId="7FA18A13" w14:textId="2B8D7460" w:rsidR="00F76AFF" w:rsidRPr="00F60760" w:rsidRDefault="00F76AFF" w:rsidP="00D137E4">
            <w:pPr>
              <w:widowControl w:val="0"/>
              <w:autoSpaceDE w:val="0"/>
              <w:autoSpaceDN w:val="0"/>
              <w:adjustRightInd w:val="0"/>
              <w:spacing w:line="240" w:lineRule="auto"/>
              <w:rPr>
                <w:color w:val="000000" w:themeColor="text1"/>
                <w:sz w:val="22"/>
                <w:lang w:val="en-US"/>
              </w:rPr>
            </w:pPr>
            <w:r w:rsidRPr="00F60760">
              <w:rPr>
                <w:i/>
                <w:iCs/>
                <w:color w:val="000000" w:themeColor="text1"/>
                <w:sz w:val="22"/>
                <w:lang w:val="en-US"/>
              </w:rPr>
              <w:t>Note</w:t>
            </w:r>
            <w:r w:rsidRPr="00F60760">
              <w:rPr>
                <w:color w:val="000000" w:themeColor="text1"/>
                <w:sz w:val="22"/>
                <w:lang w:val="en-US"/>
              </w:rPr>
              <w:t>. This table reports summary statistics for the treatment and control groups among actual and pseudo deals. Actual deals consist of the same deals analyzed as in our main analysis. The control and treatment groups for actual deals were matched using three-to-one matching. Following Bena and Li (2014) and Bereskin et al. (2018), we also generate a control sample of pseudo acquirer-target pairs by randomly drawing a sample from all possible acquirer-target combinations of our main sample. The treatment groups consist of all deals with an organizational cultural distance above the 0.8 percentile, representing high cultural distance deals (</w:t>
            </w:r>
            <w:r w:rsidRPr="00F60760">
              <w:rPr>
                <w:i/>
                <w:iCs/>
                <w:color w:val="000000" w:themeColor="text1"/>
                <w:sz w:val="22"/>
                <w:lang w:val="en-US"/>
              </w:rPr>
              <w:t>deal_high_culturaldistance</w:t>
            </w:r>
            <w:r w:rsidRPr="00F60760">
              <w:rPr>
                <w:color w:val="000000" w:themeColor="text1"/>
                <w:sz w:val="22"/>
                <w:lang w:val="en-US"/>
              </w:rPr>
              <w:t>). The control groups consist of all deals with an organizational cultural distance below the 0.8 percentile in both the actual deals and the dummy control deals. The control and treatment groups for pseudo deals were matched using one-to-one matching. The matching criteria used to construct the control sample controlled for differences in firm age (</w:t>
            </w:r>
            <w:r w:rsidRPr="00F60760">
              <w:rPr>
                <w:i/>
                <w:iCs/>
                <w:color w:val="000000" w:themeColor="text1"/>
                <w:sz w:val="22"/>
                <w:lang w:val="en-US"/>
              </w:rPr>
              <w:t>deal_age_difference</w:t>
            </w:r>
            <w:r w:rsidRPr="00F60760">
              <w:rPr>
                <w:color w:val="000000" w:themeColor="text1"/>
                <w:sz w:val="22"/>
                <w:lang w:val="en-US"/>
              </w:rPr>
              <w:t>), size (</w:t>
            </w:r>
            <w:r w:rsidRPr="00F60760">
              <w:rPr>
                <w:i/>
                <w:iCs/>
                <w:color w:val="000000" w:themeColor="text1"/>
                <w:sz w:val="22"/>
                <w:lang w:val="en-US"/>
              </w:rPr>
              <w:t>deal_size_difference</w:t>
            </w:r>
            <w:r w:rsidRPr="00F60760">
              <w:rPr>
                <w:color w:val="000000" w:themeColor="text1"/>
                <w:sz w:val="22"/>
                <w:lang w:val="en-US"/>
              </w:rPr>
              <w:t>), performance (</w:t>
            </w:r>
            <w:r w:rsidRPr="00F60760">
              <w:rPr>
                <w:i/>
                <w:iCs/>
                <w:color w:val="000000" w:themeColor="text1"/>
                <w:sz w:val="22"/>
                <w:lang w:val="en-US"/>
              </w:rPr>
              <w:t>deal_roa_difference</w:t>
            </w:r>
            <w:r w:rsidRPr="00F60760">
              <w:rPr>
                <w:color w:val="000000" w:themeColor="text1"/>
                <w:sz w:val="22"/>
                <w:lang w:val="en-US"/>
              </w:rPr>
              <w:t>), industry (</w:t>
            </w:r>
            <w:r w:rsidRPr="00F60760">
              <w:rPr>
                <w:i/>
                <w:iCs/>
                <w:color w:val="000000" w:themeColor="text1"/>
                <w:sz w:val="22"/>
                <w:lang w:val="en-US"/>
              </w:rPr>
              <w:t>deal_sic_difference</w:t>
            </w:r>
            <w:r w:rsidRPr="00F60760">
              <w:rPr>
                <w:color w:val="000000" w:themeColor="text1"/>
                <w:sz w:val="22"/>
                <w:lang w:val="en-US"/>
              </w:rPr>
              <w:t>), and national cultural distance (</w:t>
            </w:r>
            <w:r w:rsidRPr="00F60760">
              <w:rPr>
                <w:i/>
                <w:iCs/>
                <w:color w:val="000000" w:themeColor="text1"/>
                <w:sz w:val="22"/>
                <w:lang w:val="en-US"/>
              </w:rPr>
              <w:t>deal_hofstede_distance</w:t>
            </w:r>
            <w:r w:rsidRPr="00F60760">
              <w:rPr>
                <w:color w:val="000000" w:themeColor="text1"/>
                <w:sz w:val="22"/>
                <w:lang w:val="en-US"/>
              </w:rPr>
              <w:t>), which have been shown to drive M&amp;A deals (e.g., Andrade et al. 2001; Arikan and Stulz 2016; Bauer and Matzler 2014; Kumar 1985; Ramas-wamy 1997). A detailed variable description can be found in Appendix B.</w:t>
            </w:r>
          </w:p>
        </w:tc>
      </w:tr>
    </w:tbl>
    <w:p w14:paraId="5D5B5BBC" w14:textId="77777777" w:rsidR="00BC1F26" w:rsidRDefault="00BC1F26">
      <w:pPr>
        <w:spacing w:after="160" w:line="259" w:lineRule="auto"/>
        <w:jc w:val="left"/>
        <w:rPr>
          <w:rFonts w:eastAsiaTheme="majorEastAsia" w:cstheme="majorBidi"/>
          <w:b/>
          <w:caps/>
          <w:szCs w:val="32"/>
          <w:lang w:val="en-US"/>
        </w:rPr>
      </w:pPr>
    </w:p>
    <w:p w14:paraId="6641CCD9" w14:textId="77777777" w:rsidR="00F76AFF" w:rsidRDefault="00F76AFF">
      <w:pPr>
        <w:spacing w:after="160" w:line="259" w:lineRule="auto"/>
        <w:jc w:val="left"/>
        <w:rPr>
          <w:rFonts w:eastAsiaTheme="majorEastAsia" w:cstheme="majorBidi"/>
          <w:b/>
          <w:caps/>
          <w:szCs w:val="32"/>
          <w:lang w:val="en-US"/>
        </w:rPr>
      </w:pPr>
      <w:r w:rsidRPr="00BE5632">
        <w:rPr>
          <w:lang w:val="en-US"/>
        </w:rPr>
        <w:br w:type="page"/>
      </w:r>
    </w:p>
    <w:p w14:paraId="3346B9D8" w14:textId="0B9174FD" w:rsidR="000F4B60" w:rsidRPr="00442048" w:rsidRDefault="000F4B60" w:rsidP="000F4B60">
      <w:pPr>
        <w:pStyle w:val="1fake"/>
      </w:pPr>
      <w:r w:rsidRPr="00442048">
        <w:lastRenderedPageBreak/>
        <w:t xml:space="preserve">ONLINE SUPPLEMENT </w:t>
      </w:r>
      <w:r>
        <w:t>27</w:t>
      </w:r>
    </w:p>
    <w:p w14:paraId="75FAB26E" w14:textId="43998802" w:rsidR="00011AF5" w:rsidRPr="00CC0559" w:rsidRDefault="00011AF5" w:rsidP="00011AF5">
      <w:pPr>
        <w:pStyle w:val="Beschriftung"/>
        <w:rPr>
          <w:color w:val="000000" w:themeColor="text1"/>
        </w:rPr>
      </w:pPr>
      <w:bookmarkStart w:id="646" w:name="_Toc180594873"/>
      <w:r>
        <w:t xml:space="preserve">T - III - </w:t>
      </w:r>
      <w:r>
        <w:fldChar w:fldCharType="begin"/>
      </w:r>
      <w:r>
        <w:instrText xml:space="preserve"> SEQ T_-_III_- \* ARABIC </w:instrText>
      </w:r>
      <w:r>
        <w:fldChar w:fldCharType="separate"/>
      </w:r>
      <w:r w:rsidR="00E91088">
        <w:rPr>
          <w:noProof/>
        </w:rPr>
        <w:t>37</w:t>
      </w:r>
      <w:r>
        <w:fldChar w:fldCharType="end"/>
      </w:r>
      <w:r>
        <w:t xml:space="preserve">: </w:t>
      </w:r>
      <w:r w:rsidRPr="000D1308">
        <w:t>H1b: Long-term operating synergies – Matched actual and pseudo deals</w:t>
      </w:r>
      <w:bookmarkEnd w:id="646"/>
    </w:p>
    <w:tbl>
      <w:tblPr>
        <w:tblW w:w="9072" w:type="dxa"/>
        <w:tblLayout w:type="fixed"/>
        <w:tblLook w:val="04A0" w:firstRow="1" w:lastRow="0" w:firstColumn="1" w:lastColumn="0" w:noHBand="0" w:noVBand="1"/>
      </w:tblPr>
      <w:tblGrid>
        <w:gridCol w:w="9072"/>
      </w:tblGrid>
      <w:tr w:rsidR="00694090" w:rsidRPr="00F60760" w14:paraId="0F5B114C" w14:textId="77777777" w:rsidTr="005E75E7">
        <w:trPr>
          <w:trHeight w:val="328"/>
        </w:trPr>
        <w:tc>
          <w:tcPr>
            <w:tcW w:w="5000" w:type="pct"/>
            <w:tcBorders>
              <w:top w:val="single" w:sz="4" w:space="0" w:color="auto"/>
              <w:left w:val="nil"/>
              <w:bottom w:val="single" w:sz="4" w:space="0" w:color="auto"/>
              <w:right w:val="nil"/>
            </w:tcBorders>
            <w:shd w:val="clear" w:color="auto" w:fill="auto"/>
          </w:tcPr>
          <w:tbl>
            <w:tblPr>
              <w:tblW w:w="9072" w:type="dxa"/>
              <w:jc w:val="center"/>
              <w:tblLayout w:type="fixed"/>
              <w:tblLook w:val="0000" w:firstRow="0" w:lastRow="0" w:firstColumn="0" w:lastColumn="0" w:noHBand="0" w:noVBand="0"/>
            </w:tblPr>
            <w:tblGrid>
              <w:gridCol w:w="2964"/>
              <w:gridCol w:w="1467"/>
              <w:gridCol w:w="1467"/>
              <w:gridCol w:w="240"/>
              <w:gridCol w:w="1467"/>
              <w:gridCol w:w="1467"/>
            </w:tblGrid>
            <w:tr w:rsidR="00694090" w:rsidRPr="00F60760" w14:paraId="194F47E0" w14:textId="77777777" w:rsidTr="005E75E7">
              <w:trPr>
                <w:jc w:val="center"/>
              </w:trPr>
              <w:tc>
                <w:tcPr>
                  <w:tcW w:w="3231" w:type="dxa"/>
                  <w:tcBorders>
                    <w:top w:val="nil"/>
                    <w:left w:val="nil"/>
                    <w:right w:val="nil"/>
                  </w:tcBorders>
                </w:tcPr>
                <w:p w14:paraId="5AE84CA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3174" w:type="dxa"/>
                  <w:gridSpan w:val="2"/>
                  <w:tcBorders>
                    <w:left w:val="nil"/>
                    <w:right w:val="nil"/>
                  </w:tcBorders>
                </w:tcPr>
                <w:p w14:paraId="1CD16FD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Actual Deals</w:t>
                  </w:r>
                </w:p>
              </w:tc>
              <w:tc>
                <w:tcPr>
                  <w:tcW w:w="240" w:type="dxa"/>
                  <w:tcBorders>
                    <w:left w:val="nil"/>
                    <w:right w:val="nil"/>
                  </w:tcBorders>
                </w:tcPr>
                <w:p w14:paraId="29BC8EC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3174" w:type="dxa"/>
                  <w:gridSpan w:val="2"/>
                  <w:tcBorders>
                    <w:left w:val="nil"/>
                    <w:right w:val="nil"/>
                  </w:tcBorders>
                </w:tcPr>
                <w:p w14:paraId="41BD616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Pseudo Deals</w:t>
                  </w:r>
                </w:p>
              </w:tc>
            </w:tr>
            <w:tr w:rsidR="00694090" w:rsidRPr="00F60760" w14:paraId="0209001F" w14:textId="77777777" w:rsidTr="005E75E7">
              <w:trPr>
                <w:trHeight w:val="224"/>
                <w:jc w:val="center"/>
              </w:trPr>
              <w:tc>
                <w:tcPr>
                  <w:tcW w:w="3231" w:type="dxa"/>
                  <w:tcBorders>
                    <w:left w:val="nil"/>
                    <w:bottom w:val="single" w:sz="4" w:space="0" w:color="auto"/>
                    <w:right w:val="nil"/>
                  </w:tcBorders>
                </w:tcPr>
                <w:p w14:paraId="11851579"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p>
              </w:tc>
              <w:tc>
                <w:tcPr>
                  <w:tcW w:w="1587" w:type="dxa"/>
                  <w:tcBorders>
                    <w:top w:val="single" w:sz="4" w:space="0" w:color="auto"/>
                    <w:left w:val="nil"/>
                    <w:bottom w:val="single" w:sz="4" w:space="0" w:color="auto"/>
                    <w:right w:val="nil"/>
                  </w:tcBorders>
                </w:tcPr>
                <w:p w14:paraId="3995862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 acq_2yr_sales_growth</w:t>
                  </w:r>
                </w:p>
              </w:tc>
              <w:tc>
                <w:tcPr>
                  <w:tcW w:w="1587" w:type="dxa"/>
                  <w:tcBorders>
                    <w:top w:val="single" w:sz="4" w:space="0" w:color="auto"/>
                    <w:left w:val="nil"/>
                    <w:bottom w:val="single" w:sz="4" w:space="0" w:color="auto"/>
                    <w:right w:val="nil"/>
                  </w:tcBorders>
                </w:tcPr>
                <w:p w14:paraId="3848F6D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 acq_2yr_sales_growth</w:t>
                  </w:r>
                </w:p>
              </w:tc>
              <w:tc>
                <w:tcPr>
                  <w:tcW w:w="240" w:type="dxa"/>
                  <w:tcBorders>
                    <w:left w:val="nil"/>
                    <w:bottom w:val="single" w:sz="4" w:space="0" w:color="auto"/>
                    <w:right w:val="nil"/>
                  </w:tcBorders>
                  <w:vAlign w:val="center"/>
                </w:tcPr>
                <w:p w14:paraId="62325A1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top w:val="single" w:sz="4" w:space="0" w:color="auto"/>
                    <w:left w:val="nil"/>
                    <w:bottom w:val="single" w:sz="4" w:space="0" w:color="auto"/>
                    <w:right w:val="nil"/>
                  </w:tcBorders>
                </w:tcPr>
                <w:p w14:paraId="40B60E5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 c</w:t>
                  </w:r>
                  <w:r w:rsidRPr="00F60760">
                    <w:rPr>
                      <w:color w:val="000000" w:themeColor="text1"/>
                      <w:sz w:val="22"/>
                    </w:rPr>
                    <w:t>omb</w:t>
                  </w:r>
                  <w:r w:rsidRPr="00F60760">
                    <w:rPr>
                      <w:color w:val="000000" w:themeColor="text1"/>
                      <w:sz w:val="22"/>
                      <w:lang w:val="en-US"/>
                    </w:rPr>
                    <w:t>_2yr_sales_growth</w:t>
                  </w:r>
                </w:p>
              </w:tc>
              <w:tc>
                <w:tcPr>
                  <w:tcW w:w="1587" w:type="dxa"/>
                  <w:tcBorders>
                    <w:top w:val="single" w:sz="4" w:space="0" w:color="auto"/>
                    <w:left w:val="nil"/>
                    <w:bottom w:val="single" w:sz="4" w:space="0" w:color="auto"/>
                    <w:right w:val="nil"/>
                  </w:tcBorders>
                </w:tcPr>
                <w:p w14:paraId="235153C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 c</w:t>
                  </w:r>
                  <w:r w:rsidRPr="00F60760">
                    <w:rPr>
                      <w:color w:val="000000" w:themeColor="text1"/>
                      <w:sz w:val="22"/>
                    </w:rPr>
                    <w:t>omb</w:t>
                  </w:r>
                  <w:r w:rsidRPr="00F60760">
                    <w:rPr>
                      <w:color w:val="000000" w:themeColor="text1"/>
                      <w:sz w:val="22"/>
                      <w:lang w:val="en-US"/>
                    </w:rPr>
                    <w:t>_2yr_sales_growth</w:t>
                  </w:r>
                </w:p>
              </w:tc>
            </w:tr>
            <w:tr w:rsidR="00694090" w:rsidRPr="00F60760" w14:paraId="3596ABA9" w14:textId="77777777" w:rsidTr="005E75E7">
              <w:trPr>
                <w:trHeight w:val="224"/>
                <w:jc w:val="center"/>
              </w:trPr>
              <w:tc>
                <w:tcPr>
                  <w:tcW w:w="3231" w:type="dxa"/>
                  <w:tcBorders>
                    <w:top w:val="single" w:sz="4" w:space="0" w:color="auto"/>
                    <w:left w:val="nil"/>
                    <w:bottom w:val="nil"/>
                    <w:right w:val="nil"/>
                  </w:tcBorders>
                </w:tcPr>
                <w:p w14:paraId="2E56698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deal_high_culturaldistance</w:t>
                  </w:r>
                </w:p>
              </w:tc>
              <w:tc>
                <w:tcPr>
                  <w:tcW w:w="1587" w:type="dxa"/>
                  <w:tcBorders>
                    <w:top w:val="single" w:sz="4" w:space="0" w:color="auto"/>
                    <w:left w:val="nil"/>
                    <w:right w:val="nil"/>
                  </w:tcBorders>
                </w:tcPr>
                <w:p w14:paraId="441AFF5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-.089**</w:t>
                  </w:r>
                </w:p>
              </w:tc>
              <w:tc>
                <w:tcPr>
                  <w:tcW w:w="1587" w:type="dxa"/>
                  <w:tcBorders>
                    <w:top w:val="single" w:sz="4" w:space="0" w:color="auto"/>
                    <w:left w:val="nil"/>
                    <w:right w:val="nil"/>
                  </w:tcBorders>
                </w:tcPr>
                <w:p w14:paraId="5AC380C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-.100**</w:t>
                  </w:r>
                </w:p>
              </w:tc>
              <w:tc>
                <w:tcPr>
                  <w:tcW w:w="240" w:type="dxa"/>
                  <w:tcBorders>
                    <w:top w:val="single" w:sz="4" w:space="0" w:color="auto"/>
                    <w:left w:val="nil"/>
                    <w:right w:val="nil"/>
                  </w:tcBorders>
                  <w:vAlign w:val="center"/>
                </w:tcPr>
                <w:p w14:paraId="1930450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top w:val="single" w:sz="4" w:space="0" w:color="auto"/>
                    <w:left w:val="nil"/>
                    <w:right w:val="nil"/>
                  </w:tcBorders>
                </w:tcPr>
                <w:p w14:paraId="6BD43B1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-.122***</w:t>
                  </w:r>
                </w:p>
              </w:tc>
              <w:tc>
                <w:tcPr>
                  <w:tcW w:w="1587" w:type="dxa"/>
                  <w:tcBorders>
                    <w:top w:val="single" w:sz="4" w:space="0" w:color="auto"/>
                    <w:left w:val="nil"/>
                    <w:right w:val="nil"/>
                  </w:tcBorders>
                </w:tcPr>
                <w:p w14:paraId="47EBA14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-.115***</w:t>
                  </w:r>
                </w:p>
              </w:tc>
            </w:tr>
            <w:tr w:rsidR="00694090" w:rsidRPr="00F60760" w14:paraId="724E70E4" w14:textId="77777777" w:rsidTr="005E75E7">
              <w:trPr>
                <w:jc w:val="center"/>
              </w:trPr>
              <w:tc>
                <w:tcPr>
                  <w:tcW w:w="3231" w:type="dxa"/>
                  <w:tcBorders>
                    <w:top w:val="nil"/>
                    <w:left w:val="nil"/>
                    <w:bottom w:val="nil"/>
                    <w:right w:val="nil"/>
                  </w:tcBorders>
                </w:tcPr>
                <w:p w14:paraId="704432D5"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p>
              </w:tc>
              <w:tc>
                <w:tcPr>
                  <w:tcW w:w="1587" w:type="dxa"/>
                  <w:tcBorders>
                    <w:left w:val="nil"/>
                    <w:right w:val="nil"/>
                  </w:tcBorders>
                </w:tcPr>
                <w:p w14:paraId="035EF75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 xml:space="preserve">(-2.588)  </w:t>
                  </w:r>
                </w:p>
              </w:tc>
              <w:tc>
                <w:tcPr>
                  <w:tcW w:w="1587" w:type="dxa"/>
                  <w:tcBorders>
                    <w:left w:val="nil"/>
                    <w:right w:val="nil"/>
                  </w:tcBorders>
                </w:tcPr>
                <w:p w14:paraId="6D427B1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(-2.578)</w:t>
                  </w:r>
                </w:p>
              </w:tc>
              <w:tc>
                <w:tcPr>
                  <w:tcW w:w="240" w:type="dxa"/>
                  <w:tcBorders>
                    <w:left w:val="nil"/>
                    <w:right w:val="nil"/>
                  </w:tcBorders>
                  <w:vAlign w:val="center"/>
                </w:tcPr>
                <w:p w14:paraId="2A7A43E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tcPr>
                <w:p w14:paraId="2F8BE7A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(-3.006)</w:t>
                  </w:r>
                </w:p>
              </w:tc>
              <w:tc>
                <w:tcPr>
                  <w:tcW w:w="1587" w:type="dxa"/>
                  <w:tcBorders>
                    <w:left w:val="nil"/>
                    <w:right w:val="nil"/>
                  </w:tcBorders>
                </w:tcPr>
                <w:p w14:paraId="25420F3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(-3.013)</w:t>
                  </w:r>
                </w:p>
              </w:tc>
            </w:tr>
            <w:tr w:rsidR="00694090" w:rsidRPr="00F60760" w14:paraId="0F08A73E" w14:textId="77777777" w:rsidTr="005E75E7">
              <w:trPr>
                <w:jc w:val="center"/>
              </w:trPr>
              <w:tc>
                <w:tcPr>
                  <w:tcW w:w="3231" w:type="dxa"/>
                  <w:tcBorders>
                    <w:top w:val="nil"/>
                    <w:left w:val="nil"/>
                    <w:bottom w:val="nil"/>
                    <w:right w:val="nil"/>
                  </w:tcBorders>
                </w:tcPr>
                <w:p w14:paraId="464DD8B5"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deal_age_difference</w:t>
                  </w:r>
                </w:p>
              </w:tc>
              <w:tc>
                <w:tcPr>
                  <w:tcW w:w="1587" w:type="dxa"/>
                  <w:tcBorders>
                    <w:left w:val="nil"/>
                    <w:right w:val="nil"/>
                  </w:tcBorders>
                </w:tcPr>
                <w:p w14:paraId="337F779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tcPr>
                <w:p w14:paraId="3C1B9B8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-.0002</w:t>
                  </w:r>
                </w:p>
              </w:tc>
              <w:tc>
                <w:tcPr>
                  <w:tcW w:w="240" w:type="dxa"/>
                  <w:tcBorders>
                    <w:left w:val="nil"/>
                    <w:right w:val="nil"/>
                  </w:tcBorders>
                  <w:vAlign w:val="center"/>
                </w:tcPr>
                <w:p w14:paraId="0A2B0C7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tcPr>
                <w:p w14:paraId="308A43C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tcPr>
                <w:p w14:paraId="4357815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-.002</w:t>
                  </w:r>
                </w:p>
              </w:tc>
            </w:tr>
            <w:tr w:rsidR="00694090" w:rsidRPr="00F60760" w14:paraId="5F217B5B" w14:textId="77777777" w:rsidTr="005E75E7">
              <w:trPr>
                <w:jc w:val="center"/>
              </w:trPr>
              <w:tc>
                <w:tcPr>
                  <w:tcW w:w="3231" w:type="dxa"/>
                  <w:tcBorders>
                    <w:top w:val="nil"/>
                    <w:left w:val="nil"/>
                    <w:bottom w:val="nil"/>
                    <w:right w:val="nil"/>
                  </w:tcBorders>
                </w:tcPr>
                <w:p w14:paraId="5A04AC7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p>
              </w:tc>
              <w:tc>
                <w:tcPr>
                  <w:tcW w:w="1587" w:type="dxa"/>
                  <w:tcBorders>
                    <w:left w:val="nil"/>
                    <w:right w:val="nil"/>
                  </w:tcBorders>
                </w:tcPr>
                <w:p w14:paraId="005870B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tcPr>
                <w:p w14:paraId="5BE944D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(-.369)</w:t>
                  </w:r>
                </w:p>
              </w:tc>
              <w:tc>
                <w:tcPr>
                  <w:tcW w:w="240" w:type="dxa"/>
                  <w:tcBorders>
                    <w:left w:val="nil"/>
                    <w:right w:val="nil"/>
                  </w:tcBorders>
                  <w:vAlign w:val="center"/>
                </w:tcPr>
                <w:p w14:paraId="1F02F1EE"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tcPr>
                <w:p w14:paraId="4F08090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tcPr>
                <w:p w14:paraId="025056E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(-1.126)</w:t>
                  </w:r>
                </w:p>
              </w:tc>
            </w:tr>
            <w:tr w:rsidR="00694090" w:rsidRPr="00F60760" w14:paraId="5693DF42" w14:textId="77777777" w:rsidTr="005E75E7">
              <w:trPr>
                <w:jc w:val="center"/>
              </w:trPr>
              <w:tc>
                <w:tcPr>
                  <w:tcW w:w="3231" w:type="dxa"/>
                  <w:tcBorders>
                    <w:top w:val="nil"/>
                    <w:left w:val="nil"/>
                    <w:bottom w:val="nil"/>
                    <w:right w:val="nil"/>
                  </w:tcBorders>
                </w:tcPr>
                <w:p w14:paraId="228643CE"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deal_size_difference</w:t>
                  </w:r>
                </w:p>
              </w:tc>
              <w:tc>
                <w:tcPr>
                  <w:tcW w:w="1587" w:type="dxa"/>
                  <w:tcBorders>
                    <w:left w:val="nil"/>
                    <w:right w:val="nil"/>
                  </w:tcBorders>
                </w:tcPr>
                <w:p w14:paraId="13E3F5F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tcPr>
                <w:p w14:paraId="2B603DE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-.065***</w:t>
                  </w:r>
                </w:p>
              </w:tc>
              <w:tc>
                <w:tcPr>
                  <w:tcW w:w="240" w:type="dxa"/>
                  <w:tcBorders>
                    <w:left w:val="nil"/>
                    <w:right w:val="nil"/>
                  </w:tcBorders>
                  <w:vAlign w:val="center"/>
                </w:tcPr>
                <w:p w14:paraId="2632B43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tcPr>
                <w:p w14:paraId="02383C6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tcPr>
                <w:p w14:paraId="4273265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-.00000**</w:t>
                  </w:r>
                </w:p>
              </w:tc>
            </w:tr>
            <w:tr w:rsidR="00694090" w:rsidRPr="00F60760" w14:paraId="4CC65DAF" w14:textId="77777777" w:rsidTr="005E75E7">
              <w:trPr>
                <w:jc w:val="center"/>
              </w:trPr>
              <w:tc>
                <w:tcPr>
                  <w:tcW w:w="3231" w:type="dxa"/>
                  <w:tcBorders>
                    <w:top w:val="nil"/>
                    <w:left w:val="nil"/>
                    <w:bottom w:val="nil"/>
                    <w:right w:val="nil"/>
                  </w:tcBorders>
                </w:tcPr>
                <w:p w14:paraId="01E8C22B"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p>
              </w:tc>
              <w:tc>
                <w:tcPr>
                  <w:tcW w:w="1587" w:type="dxa"/>
                  <w:tcBorders>
                    <w:left w:val="nil"/>
                    <w:right w:val="nil"/>
                  </w:tcBorders>
                </w:tcPr>
                <w:p w14:paraId="596DA14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tcPr>
                <w:p w14:paraId="5DD0B00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(-3.500)</w:t>
                  </w:r>
                </w:p>
              </w:tc>
              <w:tc>
                <w:tcPr>
                  <w:tcW w:w="240" w:type="dxa"/>
                  <w:tcBorders>
                    <w:left w:val="nil"/>
                    <w:right w:val="nil"/>
                  </w:tcBorders>
                  <w:vAlign w:val="center"/>
                </w:tcPr>
                <w:p w14:paraId="29FD025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tcPr>
                <w:p w14:paraId="6A4F6D4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tcPr>
                <w:p w14:paraId="041FA33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(-4.276)</w:t>
                  </w:r>
                </w:p>
              </w:tc>
            </w:tr>
            <w:tr w:rsidR="00694090" w:rsidRPr="00F60760" w14:paraId="06CD4FA8" w14:textId="77777777" w:rsidTr="005E75E7">
              <w:trPr>
                <w:jc w:val="center"/>
              </w:trPr>
              <w:tc>
                <w:tcPr>
                  <w:tcW w:w="3231" w:type="dxa"/>
                  <w:tcBorders>
                    <w:top w:val="nil"/>
                    <w:left w:val="nil"/>
                    <w:bottom w:val="nil"/>
                    <w:right w:val="nil"/>
                  </w:tcBorders>
                </w:tcPr>
                <w:p w14:paraId="7104EC72"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deal_hofstede_distance</w:t>
                  </w:r>
                </w:p>
              </w:tc>
              <w:tc>
                <w:tcPr>
                  <w:tcW w:w="1587" w:type="dxa"/>
                  <w:tcBorders>
                    <w:left w:val="nil"/>
                    <w:right w:val="nil"/>
                  </w:tcBorders>
                </w:tcPr>
                <w:p w14:paraId="64EFC48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tcPr>
                <w:p w14:paraId="5D5262B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-.435**</w:t>
                  </w:r>
                </w:p>
              </w:tc>
              <w:tc>
                <w:tcPr>
                  <w:tcW w:w="240" w:type="dxa"/>
                  <w:tcBorders>
                    <w:left w:val="nil"/>
                    <w:right w:val="nil"/>
                  </w:tcBorders>
                  <w:vAlign w:val="center"/>
                </w:tcPr>
                <w:p w14:paraId="3CA1651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tcPr>
                <w:p w14:paraId="16AEF03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tcPr>
                <w:p w14:paraId="5041C91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-.0001</w:t>
                  </w:r>
                </w:p>
              </w:tc>
            </w:tr>
            <w:tr w:rsidR="00694090" w:rsidRPr="00F60760" w14:paraId="4CB3335E" w14:textId="77777777" w:rsidTr="005E75E7">
              <w:trPr>
                <w:jc w:val="center"/>
              </w:trPr>
              <w:tc>
                <w:tcPr>
                  <w:tcW w:w="3231" w:type="dxa"/>
                  <w:tcBorders>
                    <w:top w:val="nil"/>
                    <w:left w:val="nil"/>
                    <w:bottom w:val="nil"/>
                    <w:right w:val="nil"/>
                  </w:tcBorders>
                </w:tcPr>
                <w:p w14:paraId="0D7585A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p>
              </w:tc>
              <w:tc>
                <w:tcPr>
                  <w:tcW w:w="1587" w:type="dxa"/>
                  <w:tcBorders>
                    <w:left w:val="nil"/>
                    <w:right w:val="nil"/>
                  </w:tcBorders>
                </w:tcPr>
                <w:p w14:paraId="7094EBD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tcPr>
                <w:p w14:paraId="1C27D22D"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(-2.589)</w:t>
                  </w:r>
                </w:p>
              </w:tc>
              <w:tc>
                <w:tcPr>
                  <w:tcW w:w="240" w:type="dxa"/>
                  <w:tcBorders>
                    <w:left w:val="nil"/>
                    <w:right w:val="nil"/>
                  </w:tcBorders>
                  <w:vAlign w:val="center"/>
                </w:tcPr>
                <w:p w14:paraId="3EB6B7A1"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tcPr>
                <w:p w14:paraId="02AF669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tcPr>
                <w:p w14:paraId="1DFEA2A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r>
            <w:tr w:rsidR="00694090" w:rsidRPr="00F60760" w14:paraId="6ACE9474" w14:textId="77777777" w:rsidTr="005E75E7">
              <w:trPr>
                <w:jc w:val="center"/>
              </w:trPr>
              <w:tc>
                <w:tcPr>
                  <w:tcW w:w="3231" w:type="dxa"/>
                  <w:tcBorders>
                    <w:top w:val="nil"/>
                    <w:left w:val="nil"/>
                    <w:bottom w:val="nil"/>
                    <w:right w:val="nil"/>
                  </w:tcBorders>
                </w:tcPr>
                <w:p w14:paraId="11C6854D"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deal_roa_difference</w:t>
                  </w:r>
                </w:p>
              </w:tc>
              <w:tc>
                <w:tcPr>
                  <w:tcW w:w="1587" w:type="dxa"/>
                  <w:tcBorders>
                    <w:left w:val="nil"/>
                    <w:right w:val="nil"/>
                  </w:tcBorders>
                </w:tcPr>
                <w:p w14:paraId="07F4A0E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tcPr>
                <w:p w14:paraId="4ECCC3A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.158**</w:t>
                  </w:r>
                </w:p>
              </w:tc>
              <w:tc>
                <w:tcPr>
                  <w:tcW w:w="240" w:type="dxa"/>
                  <w:tcBorders>
                    <w:left w:val="nil"/>
                    <w:right w:val="nil"/>
                  </w:tcBorders>
                  <w:vAlign w:val="center"/>
                </w:tcPr>
                <w:p w14:paraId="207A0D4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tcPr>
                <w:p w14:paraId="055BEDBB"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tcPr>
                <w:p w14:paraId="32BBD45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0.607***</w:t>
                  </w:r>
                </w:p>
              </w:tc>
            </w:tr>
            <w:tr w:rsidR="00694090" w:rsidRPr="00F60760" w14:paraId="6F094A1B" w14:textId="77777777" w:rsidTr="005E75E7">
              <w:trPr>
                <w:jc w:val="center"/>
              </w:trPr>
              <w:tc>
                <w:tcPr>
                  <w:tcW w:w="3231" w:type="dxa"/>
                  <w:tcBorders>
                    <w:top w:val="nil"/>
                    <w:left w:val="nil"/>
                    <w:bottom w:val="nil"/>
                    <w:right w:val="nil"/>
                  </w:tcBorders>
                </w:tcPr>
                <w:p w14:paraId="1222077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p>
              </w:tc>
              <w:tc>
                <w:tcPr>
                  <w:tcW w:w="1587" w:type="dxa"/>
                  <w:tcBorders>
                    <w:left w:val="nil"/>
                    <w:right w:val="nil"/>
                  </w:tcBorders>
                </w:tcPr>
                <w:p w14:paraId="3E85850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tcPr>
                <w:p w14:paraId="234C14E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(2.421)</w:t>
                  </w:r>
                </w:p>
              </w:tc>
              <w:tc>
                <w:tcPr>
                  <w:tcW w:w="240" w:type="dxa"/>
                  <w:tcBorders>
                    <w:left w:val="nil"/>
                    <w:right w:val="nil"/>
                  </w:tcBorders>
                  <w:vAlign w:val="center"/>
                </w:tcPr>
                <w:p w14:paraId="38CA11A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tcPr>
                <w:p w14:paraId="3B14B8B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tcPr>
                <w:p w14:paraId="24FF3E6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(3.144)</w:t>
                  </w:r>
                </w:p>
              </w:tc>
            </w:tr>
            <w:tr w:rsidR="00694090" w:rsidRPr="00F60760" w14:paraId="704A7A72" w14:textId="77777777" w:rsidTr="005E75E7">
              <w:trPr>
                <w:jc w:val="center"/>
              </w:trPr>
              <w:tc>
                <w:tcPr>
                  <w:tcW w:w="3231" w:type="dxa"/>
                  <w:tcBorders>
                    <w:top w:val="nil"/>
                    <w:left w:val="nil"/>
                    <w:bottom w:val="nil"/>
                    <w:right w:val="nil"/>
                  </w:tcBorders>
                </w:tcPr>
                <w:p w14:paraId="526CEE76"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deal_sic_difference</w:t>
                  </w:r>
                </w:p>
              </w:tc>
              <w:tc>
                <w:tcPr>
                  <w:tcW w:w="1587" w:type="dxa"/>
                  <w:tcBorders>
                    <w:left w:val="nil"/>
                    <w:right w:val="nil"/>
                  </w:tcBorders>
                </w:tcPr>
                <w:p w14:paraId="3804FA1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tcPr>
                <w:p w14:paraId="31F9FF72"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.00002</w:t>
                  </w:r>
                </w:p>
              </w:tc>
              <w:tc>
                <w:tcPr>
                  <w:tcW w:w="240" w:type="dxa"/>
                  <w:tcBorders>
                    <w:left w:val="nil"/>
                    <w:right w:val="nil"/>
                  </w:tcBorders>
                  <w:vAlign w:val="center"/>
                </w:tcPr>
                <w:p w14:paraId="5EC984C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tcPr>
                <w:p w14:paraId="73F7309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tcPr>
                <w:p w14:paraId="6D0EEA96"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.00001</w:t>
                  </w:r>
                </w:p>
              </w:tc>
            </w:tr>
            <w:tr w:rsidR="00694090" w:rsidRPr="00F60760" w14:paraId="65CCECE4" w14:textId="77777777" w:rsidTr="005E75E7">
              <w:trPr>
                <w:jc w:val="center"/>
              </w:trPr>
              <w:tc>
                <w:tcPr>
                  <w:tcW w:w="3231" w:type="dxa"/>
                  <w:tcBorders>
                    <w:top w:val="nil"/>
                    <w:left w:val="nil"/>
                    <w:bottom w:val="nil"/>
                    <w:right w:val="nil"/>
                  </w:tcBorders>
                </w:tcPr>
                <w:p w14:paraId="74484E4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p>
              </w:tc>
              <w:tc>
                <w:tcPr>
                  <w:tcW w:w="1587" w:type="dxa"/>
                  <w:tcBorders>
                    <w:left w:val="nil"/>
                    <w:right w:val="nil"/>
                  </w:tcBorders>
                </w:tcPr>
                <w:p w14:paraId="14F055D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tcPr>
                <w:p w14:paraId="631A9ED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(1.555)</w:t>
                  </w:r>
                </w:p>
              </w:tc>
              <w:tc>
                <w:tcPr>
                  <w:tcW w:w="240" w:type="dxa"/>
                  <w:tcBorders>
                    <w:left w:val="nil"/>
                    <w:right w:val="nil"/>
                  </w:tcBorders>
                  <w:vAlign w:val="center"/>
                </w:tcPr>
                <w:p w14:paraId="0F4C16E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tcPr>
                <w:p w14:paraId="7517D80F"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tcPr>
                <w:p w14:paraId="2EC8BB79"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(.167)</w:t>
                  </w:r>
                </w:p>
              </w:tc>
            </w:tr>
            <w:tr w:rsidR="00694090" w:rsidRPr="00F60760" w14:paraId="30873D03" w14:textId="77777777" w:rsidTr="005E75E7">
              <w:trPr>
                <w:jc w:val="center"/>
              </w:trPr>
              <w:tc>
                <w:tcPr>
                  <w:tcW w:w="3231" w:type="dxa"/>
                  <w:tcBorders>
                    <w:top w:val="nil"/>
                    <w:left w:val="nil"/>
                    <w:bottom w:val="nil"/>
                    <w:right w:val="nil"/>
                  </w:tcBorders>
                </w:tcPr>
                <w:p w14:paraId="01A8E22A"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Observations</w:t>
                  </w:r>
                </w:p>
              </w:tc>
              <w:tc>
                <w:tcPr>
                  <w:tcW w:w="1587" w:type="dxa"/>
                  <w:tcBorders>
                    <w:left w:val="nil"/>
                    <w:right w:val="nil"/>
                  </w:tcBorders>
                  <w:vAlign w:val="center"/>
                </w:tcPr>
                <w:p w14:paraId="46F917FC"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135</w:t>
                  </w:r>
                </w:p>
              </w:tc>
              <w:tc>
                <w:tcPr>
                  <w:tcW w:w="1587" w:type="dxa"/>
                  <w:tcBorders>
                    <w:left w:val="nil"/>
                    <w:right w:val="nil"/>
                  </w:tcBorders>
                  <w:vAlign w:val="center"/>
                </w:tcPr>
                <w:p w14:paraId="5D19F743"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135</w:t>
                  </w:r>
                </w:p>
              </w:tc>
              <w:tc>
                <w:tcPr>
                  <w:tcW w:w="240" w:type="dxa"/>
                  <w:tcBorders>
                    <w:left w:val="nil"/>
                    <w:right w:val="nil"/>
                  </w:tcBorders>
                </w:tcPr>
                <w:p w14:paraId="482FAD0A"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680E417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1200</w:t>
                  </w:r>
                </w:p>
              </w:tc>
              <w:tc>
                <w:tcPr>
                  <w:tcW w:w="1587" w:type="dxa"/>
                  <w:tcBorders>
                    <w:left w:val="nil"/>
                    <w:right w:val="nil"/>
                  </w:tcBorders>
                  <w:vAlign w:val="center"/>
                </w:tcPr>
                <w:p w14:paraId="05F203C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1200</w:t>
                  </w:r>
                </w:p>
              </w:tc>
            </w:tr>
            <w:tr w:rsidR="00694090" w:rsidRPr="00F60760" w14:paraId="65AF90D7" w14:textId="77777777" w:rsidTr="005E75E7">
              <w:trPr>
                <w:jc w:val="center"/>
              </w:trPr>
              <w:tc>
                <w:tcPr>
                  <w:tcW w:w="3231" w:type="dxa"/>
                  <w:tcBorders>
                    <w:top w:val="nil"/>
                    <w:left w:val="nil"/>
                    <w:bottom w:val="nil"/>
                    <w:right w:val="nil"/>
                  </w:tcBorders>
                </w:tcPr>
                <w:p w14:paraId="4F3C6884" w14:textId="77777777" w:rsidR="00694090" w:rsidRPr="00F60760" w:rsidRDefault="00694090" w:rsidP="00AB066F">
                  <w:pPr>
                    <w:widowControl w:val="0"/>
                    <w:autoSpaceDE w:val="0"/>
                    <w:autoSpaceDN w:val="0"/>
                    <w:adjustRightInd w:val="0"/>
                    <w:spacing w:line="240" w:lineRule="auto"/>
                    <w:rPr>
                      <w:color w:val="000000" w:themeColor="text1"/>
                      <w:sz w:val="22"/>
                      <w:lang w:val="en-US"/>
                    </w:rPr>
                  </w:pPr>
                  <w:r w:rsidRPr="00F60760">
                    <w:rPr>
                      <w:color w:val="000000" w:themeColor="text1"/>
                      <w:sz w:val="22"/>
                      <w:lang w:val="en-US"/>
                    </w:rPr>
                    <w:t xml:space="preserve"> Adj R2</w:t>
                  </w:r>
                </w:p>
              </w:tc>
              <w:tc>
                <w:tcPr>
                  <w:tcW w:w="1587" w:type="dxa"/>
                  <w:tcBorders>
                    <w:left w:val="nil"/>
                    <w:right w:val="nil"/>
                  </w:tcBorders>
                  <w:vAlign w:val="center"/>
                </w:tcPr>
                <w:p w14:paraId="5B827448"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.001</w:t>
                  </w:r>
                </w:p>
              </w:tc>
              <w:tc>
                <w:tcPr>
                  <w:tcW w:w="1587" w:type="dxa"/>
                  <w:tcBorders>
                    <w:left w:val="nil"/>
                    <w:right w:val="nil"/>
                  </w:tcBorders>
                  <w:vAlign w:val="center"/>
                </w:tcPr>
                <w:p w14:paraId="36B3D050"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.036</w:t>
                  </w:r>
                </w:p>
              </w:tc>
              <w:tc>
                <w:tcPr>
                  <w:tcW w:w="240" w:type="dxa"/>
                  <w:tcBorders>
                    <w:left w:val="nil"/>
                    <w:right w:val="nil"/>
                  </w:tcBorders>
                  <w:vAlign w:val="center"/>
                </w:tcPr>
                <w:p w14:paraId="2B4B64F4"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p>
              </w:tc>
              <w:tc>
                <w:tcPr>
                  <w:tcW w:w="1587" w:type="dxa"/>
                  <w:tcBorders>
                    <w:left w:val="nil"/>
                    <w:right w:val="nil"/>
                  </w:tcBorders>
                  <w:vAlign w:val="center"/>
                </w:tcPr>
                <w:p w14:paraId="066CC0F5"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.007</w:t>
                  </w:r>
                </w:p>
              </w:tc>
              <w:tc>
                <w:tcPr>
                  <w:tcW w:w="1587" w:type="dxa"/>
                  <w:tcBorders>
                    <w:left w:val="nil"/>
                    <w:right w:val="nil"/>
                  </w:tcBorders>
                  <w:vAlign w:val="center"/>
                </w:tcPr>
                <w:p w14:paraId="15332217" w14:textId="77777777" w:rsidR="00694090" w:rsidRPr="00F60760" w:rsidRDefault="00694090" w:rsidP="00AB066F">
                  <w:pPr>
                    <w:widowControl w:val="0"/>
                    <w:autoSpaceDE w:val="0"/>
                    <w:autoSpaceDN w:val="0"/>
                    <w:adjustRightInd w:val="0"/>
                    <w:spacing w:line="240" w:lineRule="auto"/>
                    <w:jc w:val="center"/>
                    <w:rPr>
                      <w:color w:val="000000" w:themeColor="text1"/>
                      <w:sz w:val="22"/>
                      <w:lang w:val="en-US"/>
                    </w:rPr>
                  </w:pPr>
                  <w:r w:rsidRPr="00F60760">
                    <w:rPr>
                      <w:color w:val="000000" w:themeColor="text1"/>
                      <w:sz w:val="22"/>
                      <w:lang w:val="en-US"/>
                    </w:rPr>
                    <w:t>.056</w:t>
                  </w:r>
                </w:p>
              </w:tc>
            </w:tr>
          </w:tbl>
          <w:p w14:paraId="1B5462B2" w14:textId="77777777" w:rsidR="00694090" w:rsidRPr="00F60760" w:rsidRDefault="00694090" w:rsidP="00AB066F">
            <w:pPr>
              <w:jc w:val="left"/>
              <w:rPr>
                <w:color w:val="000000" w:themeColor="text1"/>
                <w:sz w:val="22"/>
                <w:lang w:val="en-US"/>
              </w:rPr>
            </w:pPr>
          </w:p>
        </w:tc>
      </w:tr>
      <w:tr w:rsidR="00694090" w:rsidRPr="00BE5632" w14:paraId="7EC9575A" w14:textId="77777777" w:rsidTr="005E75E7">
        <w:trPr>
          <w:trHeight w:val="978"/>
        </w:trPr>
        <w:tc>
          <w:tcPr>
            <w:tcW w:w="5000" w:type="pct"/>
            <w:tcBorders>
              <w:top w:val="single" w:sz="4" w:space="0" w:color="auto"/>
              <w:left w:val="nil"/>
              <w:right w:val="nil"/>
            </w:tcBorders>
            <w:shd w:val="clear" w:color="auto" w:fill="auto"/>
            <w:noWrap/>
          </w:tcPr>
          <w:p w14:paraId="33B340CA" w14:textId="77777777" w:rsidR="00694090" w:rsidRPr="00F60760" w:rsidRDefault="00694090" w:rsidP="00E74508">
            <w:pPr>
              <w:spacing w:before="120" w:line="240" w:lineRule="auto"/>
              <w:rPr>
                <w:color w:val="000000" w:themeColor="text1"/>
                <w:sz w:val="22"/>
                <w:lang w:val="en-US"/>
              </w:rPr>
            </w:pPr>
            <w:r w:rsidRPr="00F60760">
              <w:rPr>
                <w:i/>
                <w:iCs/>
                <w:color w:val="000000" w:themeColor="text1"/>
                <w:sz w:val="22"/>
                <w:lang w:val="en-US"/>
              </w:rPr>
              <w:t>Note</w:t>
            </w:r>
            <w:r w:rsidRPr="00F60760">
              <w:rPr>
                <w:color w:val="000000" w:themeColor="text1"/>
                <w:sz w:val="22"/>
                <w:lang w:val="en-US"/>
              </w:rPr>
              <w:t>. This table reports the results of linear OLS regressions predicting the effect of high organizational cultural distance (</w:t>
            </w:r>
            <w:r w:rsidRPr="00F60760">
              <w:rPr>
                <w:i/>
                <w:iCs/>
                <w:color w:val="000000" w:themeColor="text1"/>
                <w:sz w:val="22"/>
                <w:lang w:val="en-US"/>
              </w:rPr>
              <w:t>deal_high_culturaldistance</w:t>
            </w:r>
            <w:r w:rsidRPr="00F60760">
              <w:rPr>
                <w:color w:val="000000" w:themeColor="text1"/>
                <w:sz w:val="22"/>
                <w:lang w:val="en-US"/>
              </w:rPr>
              <w:t>) between acquirers and targets on long-term synergy gains. The dependent variable for the actual deals in models 1 and 2 is the acquirer's sales growth two years after the acquisition compared to the year before the acquisition. The dependent variable for the pseudo deals in models 3 and 4 is the combined sales growth of the acquirer and the target two years after the pseudo deal compared to one year before the deal. A detailed variable description can be found in Appendix B. Constant terms are estimated but not reported. *, **, *** denote statistical significance at the .10, .05, and .01 levels (using two-tailed tests).</w:t>
            </w:r>
          </w:p>
        </w:tc>
      </w:tr>
    </w:tbl>
    <w:p w14:paraId="0D290CF6" w14:textId="77777777" w:rsidR="00694090" w:rsidRPr="00CC0559" w:rsidRDefault="00694090" w:rsidP="00694090">
      <w:pPr>
        <w:rPr>
          <w:color w:val="000000" w:themeColor="text1"/>
          <w:lang w:val="en-US"/>
        </w:rPr>
      </w:pPr>
    </w:p>
    <w:p w14:paraId="1E9A7CAD" w14:textId="59FB3407" w:rsidR="00095FAA" w:rsidRDefault="00095FAA" w:rsidP="0011589D">
      <w:pPr>
        <w:pStyle w:val="berschrift1"/>
        <w:rPr>
          <w:lang w:val="en-US"/>
        </w:rPr>
        <w:sectPr w:rsidR="00095FAA" w:rsidSect="00794C6C">
          <w:headerReference w:type="first" r:id="rId69"/>
          <w:pgSz w:w="11906" w:h="16838"/>
          <w:pgMar w:top="1417" w:right="1417" w:bottom="1134" w:left="1417" w:header="709" w:footer="709" w:gutter="0"/>
          <w:cols w:space="708"/>
          <w:docGrid w:linePitch="360"/>
        </w:sectPr>
      </w:pPr>
    </w:p>
    <w:p w14:paraId="4DE46861" w14:textId="77777777" w:rsidR="0081057F" w:rsidRPr="00932F58" w:rsidRDefault="0081057F" w:rsidP="0081057F">
      <w:pPr>
        <w:pStyle w:val="berschrift1"/>
        <w:rPr>
          <w:lang w:val="en-US"/>
        </w:rPr>
      </w:pPr>
      <w:bookmarkStart w:id="647" w:name="_Toc180963631"/>
      <w:r w:rsidRPr="00932F58">
        <w:rPr>
          <w:lang w:val="en-US"/>
        </w:rPr>
        <w:lastRenderedPageBreak/>
        <w:t>CONCLUSION</w:t>
      </w:r>
      <w:bookmarkEnd w:id="647"/>
    </w:p>
    <w:p w14:paraId="4E853BA3" w14:textId="77777777" w:rsidR="0081057F" w:rsidRDefault="0081057F" w:rsidP="0081057F">
      <w:pPr>
        <w:pStyle w:val="Paragraph"/>
        <w:ind w:firstLine="708"/>
        <w:jc w:val="both"/>
        <w:rPr>
          <w:rFonts w:eastAsiaTheme="majorEastAsia"/>
        </w:rPr>
      </w:pPr>
      <w:r w:rsidRPr="003A5DC7">
        <w:rPr>
          <w:rFonts w:eastAsiaTheme="majorEastAsia"/>
        </w:rPr>
        <w:t>This doctoral thesis set out to examine how firms navigate the complexities of modern competition through the dual lenses of organizational networks and organizational culture. The introduction emphasized the increasing importance of these intangible and contextual influences in shaping firm performance</w:t>
      </w:r>
      <w:r>
        <w:rPr>
          <w:rFonts w:eastAsiaTheme="majorEastAsia"/>
        </w:rPr>
        <w:t xml:space="preserve"> (Barczak, Kafel, &amp; Magliocca, 2021; Hoskisson, Hitt, Wan, &amp; Yiu, 1999)</w:t>
      </w:r>
      <w:r w:rsidRPr="003A5DC7">
        <w:rPr>
          <w:rFonts w:eastAsiaTheme="majorEastAsia"/>
        </w:rPr>
        <w:t>. In an</w:t>
      </w:r>
      <w:r>
        <w:rPr>
          <w:rFonts w:eastAsiaTheme="majorEastAsia"/>
        </w:rPr>
        <w:t xml:space="preserve"> increasingly</w:t>
      </w:r>
      <w:r w:rsidRPr="003A5DC7">
        <w:rPr>
          <w:rFonts w:eastAsiaTheme="majorEastAsia"/>
        </w:rPr>
        <w:t xml:space="preserve"> interconnected environment, the ability to effectively exploit opportunities arising from the external environment has emerged as a critical determinant of sustainable competitive advantage</w:t>
      </w:r>
      <w:r>
        <w:rPr>
          <w:rFonts w:eastAsiaTheme="majorEastAsia"/>
        </w:rPr>
        <w:t>.</w:t>
      </w:r>
      <w:r w:rsidRPr="003A5DC7">
        <w:rPr>
          <w:rFonts w:eastAsiaTheme="majorEastAsia"/>
        </w:rPr>
        <w:t xml:space="preserve"> Therefore, this </w:t>
      </w:r>
      <w:r>
        <w:rPr>
          <w:rFonts w:eastAsiaTheme="majorEastAsia"/>
        </w:rPr>
        <w:t>thesis</w:t>
      </w:r>
      <w:r w:rsidRPr="003A5DC7">
        <w:rPr>
          <w:rFonts w:eastAsiaTheme="majorEastAsia"/>
        </w:rPr>
        <w:t xml:space="preserve"> sought to provide a nuanced understanding of how these organizational factors influence firm success, both independently and in combination.</w:t>
      </w:r>
    </w:p>
    <w:p w14:paraId="684DB35B" w14:textId="77777777" w:rsidR="0081057F" w:rsidRDefault="0081057F" w:rsidP="0081057F">
      <w:pPr>
        <w:pStyle w:val="Paragraph"/>
        <w:jc w:val="both"/>
        <w:rPr>
          <w:rFonts w:eastAsiaTheme="majorEastAsia"/>
        </w:rPr>
      </w:pPr>
      <w:r w:rsidRPr="00CE044D">
        <w:rPr>
          <w:rFonts w:eastAsiaTheme="majorEastAsia"/>
        </w:rPr>
        <w:t>Taken together, the three studies presented in this thesis provide insight into the significant role that inter-firm networks and cultural differences play in determining firm performance. Study 1 demonstrates the complex dynamics through which board interlocks</w:t>
      </w:r>
      <w:r>
        <w:rPr>
          <w:rFonts w:eastAsiaTheme="majorEastAsia"/>
        </w:rPr>
        <w:t xml:space="preserve"> </w:t>
      </w:r>
      <w:r w:rsidRPr="00CE044D">
        <w:rPr>
          <w:rFonts w:eastAsiaTheme="majorEastAsia"/>
        </w:rPr>
        <w:t xml:space="preserve">influence firm outcomes, </w:t>
      </w:r>
      <w:r>
        <w:rPr>
          <w:rFonts w:eastAsiaTheme="majorEastAsia"/>
        </w:rPr>
        <w:t>emphasizing</w:t>
      </w:r>
      <w:r w:rsidRPr="00CE044D">
        <w:rPr>
          <w:rFonts w:eastAsiaTheme="majorEastAsia"/>
        </w:rPr>
        <w:t xml:space="preserve"> both their role in providing access to valuable resources and the governance challenges they pose</w:t>
      </w:r>
      <w:r>
        <w:rPr>
          <w:rFonts w:eastAsiaTheme="majorEastAsia"/>
        </w:rPr>
        <w:t xml:space="preserve"> (Mizruchi, 1996)</w:t>
      </w:r>
      <w:r w:rsidRPr="00CE044D">
        <w:rPr>
          <w:rFonts w:eastAsiaTheme="majorEastAsia"/>
        </w:rPr>
        <w:t>. It also highlighted the role of board power relations and the institutional environment in shaping the effects of board interlocks. Study 2 extended this understanding by examining board interlocks within strategic alliances, showing that these ties inherently represent a competitive mechanism that allows one firm to generate private benefits at the expense of the other. Study 3 shifted the focus to mergers and acquisitions, illustrating how organizational cultural distance shapes post-acquisition outcomes by affecting synergy realization and innovation potential.</w:t>
      </w:r>
    </w:p>
    <w:p w14:paraId="07E68D6B" w14:textId="77777777" w:rsidR="0081057F" w:rsidRPr="002E403D" w:rsidRDefault="0081057F" w:rsidP="0081057F">
      <w:pPr>
        <w:pStyle w:val="Paragraph"/>
        <w:jc w:val="both"/>
        <w:rPr>
          <w:rFonts w:eastAsiaTheme="majorEastAsia"/>
        </w:rPr>
      </w:pPr>
      <w:r w:rsidRPr="002E403D">
        <w:t>Collectively, these studies confirm that successful firms are those that can effectively navigate and leverage both their external networks and internal cultural attributes. By synthesizing perspectives from resource dependence theory</w:t>
      </w:r>
      <w:r>
        <w:t xml:space="preserve"> (Pfeffer &amp; Salancik, 1978)</w:t>
      </w:r>
      <w:r w:rsidRPr="002E403D">
        <w:t>, agency theory</w:t>
      </w:r>
      <w:r>
        <w:t xml:space="preserve"> (Jensen &amp; Meckling, 1976)</w:t>
      </w:r>
      <w:r w:rsidRPr="002E403D">
        <w:t xml:space="preserve">, </w:t>
      </w:r>
      <w:r>
        <w:t>organizational learning (Crossan, Lane, &amp; White, 1999)</w:t>
      </w:r>
      <w:r w:rsidRPr="002E403D">
        <w:t>, and cultural frameworks such as the competing values framework</w:t>
      </w:r>
      <w:r>
        <w:t xml:space="preserve"> (Quinn &amp; Rohrbaugh, 1981)</w:t>
      </w:r>
      <w:r w:rsidRPr="002E403D">
        <w:t xml:space="preserve">, </w:t>
      </w:r>
      <w:r w:rsidRPr="002E403D">
        <w:lastRenderedPageBreak/>
        <w:t>this dissertation contributes to the emerging network paradigm within strategic management research, which posits that firm performance is co-created through interactions with the broader social and cultural environment</w:t>
      </w:r>
      <w:r>
        <w:t xml:space="preserve"> (Barczak et al., 2021)</w:t>
      </w:r>
      <w:r w:rsidRPr="002E403D">
        <w:t>. Ultimately, organizational success depends on the ability to effectively integrate and leverage these intangible assets</w:t>
      </w:r>
      <w:r>
        <w:t xml:space="preserve"> (Gulati, Nohria, &amp; Zaheer, 2000)</w:t>
      </w:r>
      <w:r w:rsidRPr="002E403D">
        <w:t>.</w:t>
      </w:r>
    </w:p>
    <w:p w14:paraId="32CBEFCE" w14:textId="77777777" w:rsidR="0081057F" w:rsidRPr="00DB709B" w:rsidRDefault="0081057F" w:rsidP="0081057F">
      <w:pPr>
        <w:pStyle w:val="3"/>
        <w:jc w:val="both"/>
        <w:rPr>
          <w:b/>
          <w:bCs/>
        </w:rPr>
      </w:pPr>
      <w:r w:rsidRPr="00DB709B">
        <w:rPr>
          <w:b/>
          <w:bCs/>
        </w:rPr>
        <w:t>Summary of theoretical contributions</w:t>
      </w:r>
    </w:p>
    <w:p w14:paraId="54BB7293" w14:textId="77777777" w:rsidR="0081057F" w:rsidRPr="00305C95" w:rsidRDefault="0081057F" w:rsidP="0081057F">
      <w:pPr>
        <w:pStyle w:val="Paragraph"/>
        <w:jc w:val="both"/>
        <w:rPr>
          <w:rFonts w:eastAsiaTheme="majorEastAsia"/>
        </w:rPr>
      </w:pPr>
      <w:r w:rsidRPr="00A6019E">
        <w:rPr>
          <w:rFonts w:eastAsiaTheme="majorEastAsia"/>
        </w:rPr>
        <w:t>Each of the studies presented in this dissertation makes important contributions and provides specific theoretical insights.</w:t>
      </w:r>
      <w:r>
        <w:rPr>
          <w:rFonts w:eastAsiaTheme="majorEastAsia"/>
        </w:rPr>
        <w:t xml:space="preserve"> </w:t>
      </w:r>
      <w:r w:rsidRPr="002E403D">
        <w:rPr>
          <w:rFonts w:eastAsiaTheme="majorEastAsia"/>
        </w:rPr>
        <w:t>Study 1 conducted a comprehensive meta-analysis to examine the multifaceted role of board interlocks in shaping firm performance. The results show that board interlocks serve a dual purpose: they provide access to valuable external resources such as information, expertise, and strategic opportunities, but they also increase agency costs when directors are overcommitted or when internal power dynamics prevent effective monitoring. This duality highlights the need for firms to carefully balance the benefits and risks associated with interlocks to determine their net effect on firm outcomes. A key theoretical contribution of this study is the</w:t>
      </w:r>
      <w:r w:rsidRPr="00305C95">
        <w:rPr>
          <w:rFonts w:eastAsiaTheme="majorEastAsia"/>
        </w:rPr>
        <w:t xml:space="preserve"> identification and empirical testing of two distinct mechanisms through which board interlocks affect firm performance - resource provision and agency costs. Our results suggest that board interlocks enhance firm performance by facilitating the access to critical resources, thereby improving strategic decision-making and resource integration. Conversely, they can lead to increased agency costs, particularly when interlocked directors lack the capacity to effectively </w:t>
      </w:r>
      <w:r>
        <w:rPr>
          <w:rFonts w:eastAsiaTheme="majorEastAsia"/>
        </w:rPr>
        <w:t>monitor</w:t>
      </w:r>
      <w:r w:rsidRPr="00305C95">
        <w:rPr>
          <w:rFonts w:eastAsiaTheme="majorEastAsia"/>
        </w:rPr>
        <w:t xml:space="preserve"> management. This duality underscores the importance of understanding the trade-offs associated with board interlocks and suggests that their impact on firm performance is not universally positive or negative, but rather context-dependent.</w:t>
      </w:r>
    </w:p>
    <w:p w14:paraId="362748D8" w14:textId="77777777" w:rsidR="0081057F" w:rsidRPr="00305C95" w:rsidRDefault="0081057F" w:rsidP="0081057F">
      <w:pPr>
        <w:pStyle w:val="Paragraph"/>
        <w:jc w:val="both"/>
        <w:rPr>
          <w:rFonts w:eastAsiaTheme="majorEastAsia"/>
        </w:rPr>
      </w:pPr>
      <w:r w:rsidRPr="00305C95">
        <w:t>The study also provides nuanced insights into important contingencies that moderate the effects of board interlocks</w:t>
      </w:r>
      <w:r w:rsidRPr="00305C95">
        <w:rPr>
          <w:rFonts w:eastAsiaTheme="majorEastAsia"/>
        </w:rPr>
        <w:t xml:space="preserve">. At the board level, the findings emphasize the crucial role of internal power dynamics, particularly the relationship between the CEO and the board. </w:t>
      </w:r>
      <w:r>
        <w:rPr>
          <w:rFonts w:eastAsiaTheme="majorEastAsia"/>
        </w:rPr>
        <w:t xml:space="preserve">Our results </w:t>
      </w:r>
      <w:r>
        <w:rPr>
          <w:rFonts w:eastAsiaTheme="majorEastAsia"/>
        </w:rPr>
        <w:lastRenderedPageBreak/>
        <w:t>suggest that w</w:t>
      </w:r>
      <w:r w:rsidRPr="00305C95">
        <w:rPr>
          <w:rFonts w:eastAsiaTheme="majorEastAsia"/>
        </w:rPr>
        <w:t xml:space="preserve">hen CEOs wield substantial power, the benefits of resource provision from </w:t>
      </w:r>
      <w:r>
        <w:rPr>
          <w:rFonts w:eastAsiaTheme="majorEastAsia"/>
        </w:rPr>
        <w:t xml:space="preserve">board </w:t>
      </w:r>
      <w:r w:rsidRPr="00305C95">
        <w:rPr>
          <w:rFonts w:eastAsiaTheme="majorEastAsia"/>
        </w:rPr>
        <w:t>interlocks tend to diminish, while agency costs are exacerbated. In contrast, in contexts where the CEO holds less power, boards can better leverage interlocks to influence firm strategy and performance through external knowledge and expertise. This suggests that the relationship between board interlocks and firm performance is significantly shaped by internal governance structures.</w:t>
      </w:r>
    </w:p>
    <w:p w14:paraId="1C225F56" w14:textId="77777777" w:rsidR="0081057F" w:rsidRPr="00305C95" w:rsidRDefault="0081057F" w:rsidP="0081057F">
      <w:pPr>
        <w:pStyle w:val="Paragraph"/>
        <w:jc w:val="both"/>
        <w:rPr>
          <w:rFonts w:eastAsiaTheme="majorEastAsia"/>
        </w:rPr>
      </w:pPr>
      <w:r w:rsidRPr="00305C95">
        <w:rPr>
          <w:rFonts w:eastAsiaTheme="majorEastAsia"/>
        </w:rPr>
        <w:t>At the institutional level, the study's subgroup analyses show that the effectiveness of board interlocks is not simply a function of geographic boundaries but is influenced by the broader institutional environment. In environments with strong formal institutions - characterized by robust regulations and</w:t>
      </w:r>
      <w:r>
        <w:rPr>
          <w:rFonts w:eastAsiaTheme="majorEastAsia"/>
        </w:rPr>
        <w:t xml:space="preserve"> high</w:t>
      </w:r>
      <w:r w:rsidRPr="00305C95">
        <w:rPr>
          <w:rFonts w:eastAsiaTheme="majorEastAsia"/>
        </w:rPr>
        <w:t xml:space="preserve"> governance standards - board interlocks are more likely to produce positive outcomes by enhancing the board's resource provision role and mitigating agency risks. Informal institutions, such as cultural norms and societal openness, further shape the impact of board interlocks. For example, in societies with an open culture that encourages knowledge sharing, board interlocks are more effective in promoting firm success. These findings highlight that the true impact of board interlocks is shaped by the broader cultural and institutional environment in which firms operate.</w:t>
      </w:r>
    </w:p>
    <w:p w14:paraId="6DB02A0D" w14:textId="77777777" w:rsidR="0081057F" w:rsidRPr="0064671D" w:rsidRDefault="0081057F" w:rsidP="0081057F">
      <w:pPr>
        <w:pStyle w:val="Paragraph"/>
        <w:jc w:val="both"/>
        <w:rPr>
          <w:rFonts w:eastAsiaTheme="majorEastAsia"/>
        </w:rPr>
      </w:pPr>
      <w:r w:rsidRPr="00305C95">
        <w:rPr>
          <w:rFonts w:eastAsiaTheme="majorEastAsia"/>
        </w:rPr>
        <w:t xml:space="preserve">The theoretical contributions of Study 1 are threefold. First, by integrating resource dependence theory </w:t>
      </w:r>
      <w:r>
        <w:rPr>
          <w:rFonts w:eastAsiaTheme="majorEastAsia"/>
        </w:rPr>
        <w:t xml:space="preserve">(Pfeffer &amp; Salancik, 1978) </w:t>
      </w:r>
      <w:r w:rsidRPr="00305C95">
        <w:rPr>
          <w:rFonts w:eastAsiaTheme="majorEastAsia"/>
        </w:rPr>
        <w:t>and agency theory</w:t>
      </w:r>
      <w:r>
        <w:rPr>
          <w:rFonts w:eastAsiaTheme="majorEastAsia"/>
        </w:rPr>
        <w:t xml:space="preserve"> (Jensen &amp; Meckling, 1976)</w:t>
      </w:r>
      <w:r w:rsidRPr="00305C95">
        <w:rPr>
          <w:rFonts w:eastAsiaTheme="majorEastAsia"/>
        </w:rPr>
        <w:t xml:space="preserve">, the study provides a more holistic explanation of how board interlocks affect firm performance. Resource dependence theory emphasizes how interlocks facilitate access to external resources, while agency theory highlights the risks associated with conflicting interests and weakened monitoring. This integration allows for a balanced view of board interlocks, suggesting that firms must carefully manage these relationships to maximize benefits while minimizing risks. Second, the study identifies the multilevel nature of the factors that shape the impact of board interlocks. At the board level, internal power dynamics and the CEO-board relationship are key determinants of how interlocks affect firm outcomes. At the institutional level, both formal and </w:t>
      </w:r>
      <w:r w:rsidRPr="00305C95">
        <w:rPr>
          <w:rFonts w:eastAsiaTheme="majorEastAsia"/>
        </w:rPr>
        <w:lastRenderedPageBreak/>
        <w:t xml:space="preserve">informal institutions significantly affect the effectiveness of board interlocks, with informal norms and cultural openness playing a critical role in shaping their influence on firm performance. Finally, the study </w:t>
      </w:r>
      <w:r w:rsidRPr="0064671D">
        <w:rPr>
          <w:rFonts w:eastAsiaTheme="majorEastAsia"/>
        </w:rPr>
        <w:t>contextualizes the effectiveness of board interlocks by demonstrating that their impact is highly dependent on the broader organizational and environmental context.</w:t>
      </w:r>
    </w:p>
    <w:p w14:paraId="1A4A1D53" w14:textId="77777777" w:rsidR="0081057F" w:rsidRPr="0064671D" w:rsidRDefault="0081057F" w:rsidP="0081057F">
      <w:pPr>
        <w:pStyle w:val="Paragraph"/>
        <w:jc w:val="both"/>
      </w:pPr>
      <w:r w:rsidRPr="0064671D">
        <w:t>Study 2 builds on the findings of Study 1 by shifting the focus from a single-firm analysis of board interlocks to a dyadic perspective on inter-firm relationships within strategic alliances. While Study 1 examined how board interlocks affect the performance of individual firms (ego perspective), it did not address whether these interlocks facilitate cooperative gains for both alliance partners or function as a competitive mechanism that disproportionately benefits one firm. Study 2 fills this gap</w:t>
      </w:r>
      <w:r>
        <w:t xml:space="preserve"> in the literature</w:t>
      </w:r>
      <w:r w:rsidRPr="0064671D">
        <w:t xml:space="preserve"> by examining the role of board interlocks in strategic alliances, highlighting their ability to enable resource appropriation and the generation of private benefits.</w:t>
      </w:r>
    </w:p>
    <w:p w14:paraId="2853C282" w14:textId="77777777" w:rsidR="0081057F" w:rsidRPr="00305C95" w:rsidRDefault="0081057F" w:rsidP="0081057F">
      <w:pPr>
        <w:pStyle w:val="Paragraph"/>
        <w:jc w:val="both"/>
      </w:pPr>
      <w:r w:rsidRPr="0064671D">
        <w:t xml:space="preserve">The results show that board interlocks </w:t>
      </w:r>
      <w:r>
        <w:t>can</w:t>
      </w:r>
      <w:r w:rsidRPr="0064671D">
        <w:t xml:space="preserve"> function as competit</w:t>
      </w:r>
      <w:r>
        <w:t>ive mechanisms, allowing one firm to capture a disproportionate share of alliance benefits rather than fostering equitable resource sharing, knowledge transfer, and mutual learning. This competitive dynamic is particularly pronounced when one firm is more receptive to its partner's resources, as indicated by differences in board power or firm status (Shropshire, 2010). Consequently, board interlocks can create imbalances that undermine the collaborative nature of alliances and generate competitive tensions. These findings deepen our understanding of how network relationships operate within strategic alliances and underscore the need for firms to carefully manage their organizational ties to balance cooperation and competition.</w:t>
      </w:r>
    </w:p>
    <w:p w14:paraId="3059C866" w14:textId="77777777" w:rsidR="0081057F" w:rsidRPr="00305C95" w:rsidRDefault="0081057F" w:rsidP="0081057F">
      <w:pPr>
        <w:pStyle w:val="Paragraph"/>
        <w:jc w:val="both"/>
      </w:pPr>
      <w:r w:rsidRPr="0064671D">
        <w:t>Study 2 makes several theoretical contributions by conceptualizing board interlocks as one of many simultaneous network relationships in which firms are embedded. Unlike Study 1, which</w:t>
      </w:r>
      <w:r>
        <w:t xml:space="preserve"> exclusively</w:t>
      </w:r>
      <w:r w:rsidRPr="0064671D">
        <w:t xml:space="preserve"> focused on board interlocks from a single-firm perspective, this study adopts a dyadic approach to examine how interlocks influence alliance outcomes by affecting both </w:t>
      </w:r>
      <w:r w:rsidRPr="0064671D">
        <w:lastRenderedPageBreak/>
        <w:t>partners. By integrating resource dependence theory and organizational learning theory, the study examines how resource flows within alliances shape firm performance in complex interorganizational settings. In addition, Study 2 contributes to the literature on relational pluralism</w:t>
      </w:r>
      <w:r>
        <w:t xml:space="preserve"> (Shipilov, Gulati, Kilduff, Li, &amp; Tsai, 2014)</w:t>
      </w:r>
      <w:r w:rsidRPr="0064671D">
        <w:t xml:space="preserve">, which typically views multiple simultaneous relationships between economic actors as indicators of trust and close cooperation, often associated with positive firm outcomes. Contrary to this view, our findings suggest that not all inter-firm relationships are equally beneficial; some may function as mechanisms of coopetition, where one partner gains more than the other. Another important contribution is the examination of firms' receptiveness to external information within alliances. The results suggest that firms are not uniformly receptive to their partners' resources. Rather, they exhibit different levels of receptiveness, similar to the concept of absorptive capacity in </w:t>
      </w:r>
      <w:r>
        <w:t>other fields of the</w:t>
      </w:r>
      <w:r w:rsidRPr="0064671D">
        <w:t xml:space="preserve"> strategic management literature. Firms with high receptivity to external network information </w:t>
      </w:r>
      <w:r>
        <w:t xml:space="preserve">tend to </w:t>
      </w:r>
      <w:r w:rsidRPr="0064671D">
        <w:t>gain more from their connections than firms with low receptivity. These differences in receptivity can influence power asymmetries, affect the distribution of value, and affect the sustainability of collaboration between partners.</w:t>
      </w:r>
    </w:p>
    <w:p w14:paraId="7F69BC5B" w14:textId="2AF910F0" w:rsidR="0081057F" w:rsidRPr="00DB709B" w:rsidRDefault="0081057F" w:rsidP="0081057F">
      <w:pPr>
        <w:pStyle w:val="Paragraph"/>
        <w:jc w:val="both"/>
        <w:rPr>
          <w:rFonts w:eastAsiaTheme="majorEastAsia"/>
        </w:rPr>
      </w:pPr>
      <w:r w:rsidRPr="00305C95">
        <w:rPr>
          <w:rFonts w:eastAsiaTheme="majorEastAsia"/>
        </w:rPr>
        <w:t>Study 3 explores the complex role of organizational cultural distance in shaping M&amp;A outcomes, providing new insights into how cultural differences between acquiring and target firms influence both short-term and long-term post-acquisition performance. The results show that</w:t>
      </w:r>
      <w:r w:rsidRPr="00DB709B">
        <w:rPr>
          <w:rFonts w:eastAsiaTheme="majorEastAsia"/>
        </w:rPr>
        <w:t xml:space="preserve"> </w:t>
      </w:r>
      <w:r w:rsidR="00C564EC">
        <w:rPr>
          <w:rFonts w:eastAsiaTheme="majorEastAsia"/>
        </w:rPr>
        <w:t xml:space="preserve">organizational </w:t>
      </w:r>
      <w:r w:rsidRPr="00DB709B">
        <w:rPr>
          <w:rFonts w:eastAsiaTheme="majorEastAsia"/>
        </w:rPr>
        <w:t xml:space="preserve">cultural distance negatively affects announcement day market returns and post-merger synergy realization, aligning with the cultural friction hypothesis. This hypothesis suggests that differences in organizational culture increase coordination and integration costs, thereby hindering the realization of synergistic gains and reducing overall M&amp;A performance. Specifically, the study finds that cultural distance leads to lower post-deal performance, as evidenced by reduced long-term sales growth and profitability of the combined entity. This effect is particularly pronounced when acquiring and target firms have conflicting market-oriented cultures, which prioritize distinct strategic objectives and management practices. Such </w:t>
      </w:r>
      <w:r w:rsidRPr="00DB709B">
        <w:rPr>
          <w:rFonts w:eastAsiaTheme="majorEastAsia"/>
        </w:rPr>
        <w:lastRenderedPageBreak/>
        <w:t>misalignment creates friction during integration, resulting in misunderstandings, strategic missteps, and inefficient resource allocation.</w:t>
      </w:r>
      <w:r>
        <w:rPr>
          <w:rFonts w:eastAsiaTheme="majorEastAsia"/>
        </w:rPr>
        <w:t xml:space="preserve"> </w:t>
      </w:r>
      <w:r w:rsidRPr="00DB709B">
        <w:rPr>
          <w:rFonts w:eastAsiaTheme="majorEastAsia"/>
        </w:rPr>
        <w:t>The study also shows that organizational cultural distance has a significant impact on acquisition premiums</w:t>
      </w:r>
      <w:r w:rsidR="00C564EC">
        <w:rPr>
          <w:rFonts w:eastAsiaTheme="majorEastAsia"/>
        </w:rPr>
        <w:t>, suggesting that a</w:t>
      </w:r>
      <w:r w:rsidRPr="00DB709B">
        <w:rPr>
          <w:rFonts w:eastAsiaTheme="majorEastAsia"/>
        </w:rPr>
        <w:t>cquiring firms tend to overpay for targets with vastly different cultural profiles, as cultural misalignment complicates the accurate assessment of the target’s value and integration costs. This overpayment reflects a failure to consider the risks associated with cultural integration, leading to reduced long-term performance and diminished post-acquisition synergy realization.</w:t>
      </w:r>
      <w:r>
        <w:rPr>
          <w:rFonts w:eastAsiaTheme="majorEastAsia"/>
        </w:rPr>
        <w:t xml:space="preserve"> </w:t>
      </w:r>
      <w:r w:rsidRPr="00DB709B">
        <w:rPr>
          <w:rFonts w:eastAsiaTheme="majorEastAsia"/>
        </w:rPr>
        <w:t>Furthermore, the study finds that cultural distance negatively influences post-M&amp;A innovation outcomes. Acquiring firms experience lower growth in patent filings and reduced new product development when the target’s culture significantly differs from their own. This detrimental effect is especially pronounced in cases where there is a misalignment between adhocracy and hierarchy cultures. While adhocracy-oriented cultures emphasize flexibility and innovation, hierarchy-oriented cultures focus on stability and control. When these two orientations clash, the integration process disrupts knowledge sharing, hinders creative collaboration, and reduces the combined entity’s ability to innovate effectively.</w:t>
      </w:r>
    </w:p>
    <w:p w14:paraId="166BDDF5" w14:textId="77777777" w:rsidR="0081057F" w:rsidRPr="00DB709B" w:rsidRDefault="0081057F" w:rsidP="0081057F">
      <w:pPr>
        <w:pStyle w:val="Paragraph"/>
        <w:jc w:val="both"/>
        <w:rPr>
          <w:rFonts w:eastAsiaTheme="majorEastAsia"/>
        </w:rPr>
      </w:pPr>
      <w:r w:rsidRPr="00DB709B">
        <w:rPr>
          <w:rFonts w:eastAsiaTheme="majorEastAsia"/>
        </w:rPr>
        <w:t xml:space="preserve">The contributions of Study 3 are multifaceted. First, by leveraging the Competing Values Framework </w:t>
      </w:r>
      <w:r>
        <w:rPr>
          <w:rFonts w:eastAsiaTheme="majorEastAsia"/>
        </w:rPr>
        <w:t>(Quinn &amp; Rohrbaugh, 1981)</w:t>
      </w:r>
      <w:r w:rsidRPr="00DB709B">
        <w:rPr>
          <w:rFonts w:eastAsiaTheme="majorEastAsia"/>
        </w:rPr>
        <w:t xml:space="preserve"> to assess cultural distance, the study provides a robust measure of organizational culture that overcomes the methodological limitations of prior research. The use of large-scale text analysis on employee reviews offers an objective and comprehensive view of organizational culture, enabling a more nuanced understanding of how specific cultural attributes influence M&amp;A outcomes. This approach addresses the common reliance on subjective survey data and small sample sizes, providing a more reliable and sophisticated measure of cultural distance</w:t>
      </w:r>
      <w:r>
        <w:rPr>
          <w:rFonts w:eastAsiaTheme="majorEastAsia"/>
        </w:rPr>
        <w:t xml:space="preserve"> (Rottig, 2017)</w:t>
      </w:r>
      <w:r w:rsidRPr="00DB709B">
        <w:rPr>
          <w:rFonts w:eastAsiaTheme="majorEastAsia"/>
        </w:rPr>
        <w:t>.</w:t>
      </w:r>
    </w:p>
    <w:p w14:paraId="432EACE3" w14:textId="77777777" w:rsidR="0081057F" w:rsidRPr="00DB709B" w:rsidRDefault="0081057F" w:rsidP="0081057F">
      <w:pPr>
        <w:pStyle w:val="Paragraph"/>
        <w:jc w:val="both"/>
        <w:rPr>
          <w:rFonts w:eastAsiaTheme="majorEastAsia"/>
        </w:rPr>
      </w:pPr>
      <w:r>
        <w:rPr>
          <w:rFonts w:eastAsiaTheme="majorEastAsia"/>
        </w:rPr>
        <w:t>Second</w:t>
      </w:r>
      <w:r w:rsidRPr="00DB709B">
        <w:rPr>
          <w:rFonts w:eastAsiaTheme="majorEastAsia"/>
        </w:rPr>
        <w:t xml:space="preserve">, the study contributes methodologically by employing advanced natural language processing (NLP) techniques to objectively measure cultural distance. By analyzing employee reviews, the study captures subtle yet critical aspects of organizational culture that </w:t>
      </w:r>
      <w:r w:rsidRPr="00DB709B">
        <w:rPr>
          <w:rFonts w:eastAsiaTheme="majorEastAsia"/>
        </w:rPr>
        <w:lastRenderedPageBreak/>
        <w:t>are difficult to quantify through conventional surveys. This methodological innovation enhances the precision of cultural assessments and provides a scalable solution for measuring cultural attributes across large and diverse samples. This approach sets a new standard for cultural research in strategic management and paves the way for future studies to explore cultural dynamics in a more data-driven and comprehensive manner.</w:t>
      </w:r>
    </w:p>
    <w:p w14:paraId="70AB52BC" w14:textId="77777777" w:rsidR="0081057F" w:rsidRPr="00CC62FC" w:rsidRDefault="0081057F" w:rsidP="0081057F">
      <w:pPr>
        <w:pStyle w:val="Paragraph"/>
        <w:jc w:val="both"/>
        <w:rPr>
          <w:rFonts w:eastAsiaTheme="majorEastAsia"/>
        </w:rPr>
      </w:pPr>
      <w:r w:rsidRPr="00CC62FC">
        <w:rPr>
          <w:rFonts w:eastAsiaTheme="majorEastAsia"/>
        </w:rPr>
        <w:t>Finally, the study extends the discourse on cultural distance by elucidating its impact on post-M&amp;A innovation outcomes, an area that has been relatively underexplored in the existing literature. The results show that cultural misalignment, particularly between adhocracy and hierarchy cultures, can stifle creativity and reduce innovation capabilities within the merged firm. By linking cultural distance to innovation outcomes, the study provides new insights into how cultural integration affects not only the operational and strategic aspects of M&amp;A, but also the innovative potential and long-term growth trajectory of the combined entity. This contribution encourages future research to delve deeper into the interplay between specific cultural dimensions and innovation capabilities in post-M&amp;A contexts.</w:t>
      </w:r>
    </w:p>
    <w:p w14:paraId="7791E111" w14:textId="77777777" w:rsidR="0081057F" w:rsidRPr="008158C3" w:rsidRDefault="0081057F" w:rsidP="0081057F">
      <w:pPr>
        <w:pStyle w:val="3"/>
        <w:jc w:val="both"/>
        <w:rPr>
          <w:b/>
          <w:bCs/>
        </w:rPr>
      </w:pPr>
      <w:r w:rsidRPr="008158C3">
        <w:rPr>
          <w:b/>
          <w:bCs/>
        </w:rPr>
        <w:t>Limitations</w:t>
      </w:r>
      <w:r>
        <w:rPr>
          <w:b/>
          <w:bCs/>
        </w:rPr>
        <w:t xml:space="preserve"> and future research avenues</w:t>
      </w:r>
    </w:p>
    <w:p w14:paraId="3274433C" w14:textId="77777777" w:rsidR="0081057F" w:rsidRPr="00DB709B" w:rsidRDefault="0081057F" w:rsidP="0081057F">
      <w:pPr>
        <w:pStyle w:val="Paragraph"/>
        <w:ind w:firstLine="708"/>
        <w:jc w:val="both"/>
        <w:rPr>
          <w:rFonts w:eastAsiaTheme="majorEastAsia"/>
        </w:rPr>
      </w:pPr>
      <w:r w:rsidRPr="00DB709B">
        <w:rPr>
          <w:rFonts w:eastAsiaTheme="majorEastAsia"/>
        </w:rPr>
        <w:t xml:space="preserve">The limitations of Study 1 highlight several methodological and theoretical challenges that should be addressed in future research to provide a more nuanced understanding of the relationship between board interlocks and firm performance. </w:t>
      </w:r>
    </w:p>
    <w:p w14:paraId="31442A97" w14:textId="77777777" w:rsidR="0081057F" w:rsidRDefault="0081057F" w:rsidP="0081057F">
      <w:pPr>
        <w:pStyle w:val="Paragraph"/>
        <w:jc w:val="both"/>
        <w:rPr>
          <w:rFonts w:eastAsiaTheme="majorEastAsia"/>
        </w:rPr>
      </w:pPr>
      <w:r w:rsidRPr="00FC0A71">
        <w:rPr>
          <w:rFonts w:eastAsiaTheme="majorEastAsia"/>
        </w:rPr>
        <w:t xml:space="preserve">First, the meta-analysis relied exclusively on degree centrality as a measure of board interlocks, which focuses on the number of direct connections a firm has through its board members. Although degree centrality is widely used and provides a simple measure of board interlocks, it does not capture other potentially important dimensions of network centrality. Including measures such as betweenness or eigenvector centrality could have provided additional insights by taking into account the quality and strategic positioning of these connections. Betweenness centrality, for example, could reflect the extent to which a firm acts as a bridge between otherwise unrelated firms, providing access to unique resources and </w:t>
      </w:r>
      <w:r w:rsidRPr="00FC0A71">
        <w:rPr>
          <w:rFonts w:eastAsiaTheme="majorEastAsia"/>
        </w:rPr>
        <w:lastRenderedPageBreak/>
        <w:t>information. Similarly, eigenvector centrality could indicate a firm's influence within a broader network by taking into account the connectivity of the firms to which it is linked. These alternative measures could reveal different dynamics in how board connections contribute to firm performance and help distinguish between beneficial and detrimental connections.</w:t>
      </w:r>
      <w:r>
        <w:rPr>
          <w:rFonts w:eastAsiaTheme="majorEastAsia"/>
        </w:rPr>
        <w:t xml:space="preserve"> </w:t>
      </w:r>
      <w:r w:rsidRPr="00496D71">
        <w:rPr>
          <w:rFonts w:eastAsiaTheme="majorEastAsia"/>
        </w:rPr>
        <w:t xml:space="preserve">Second, the availability of complete data across industries and geographic regions was a limitation in terms of sample heterogeneity. Therefore, the results of the study may not be fully generalizable across </w:t>
      </w:r>
      <w:r>
        <w:rPr>
          <w:rFonts w:eastAsiaTheme="majorEastAsia"/>
        </w:rPr>
        <w:t xml:space="preserve">all </w:t>
      </w:r>
      <w:r w:rsidRPr="00496D71">
        <w:rPr>
          <w:rFonts w:eastAsiaTheme="majorEastAsia"/>
        </w:rPr>
        <w:t>different institutional settings or industry contexts. Although the meta-analysis controlled for most important moderating factors, such as firm-specific characteristics and broader economic conditions, it could not account for all possible influences. Future studies could use longitudinal designs and more comprehensive datasets that capture industry- and country-specific variables to better contextualize the findings and explore the role of additional moderators.</w:t>
      </w:r>
      <w:r>
        <w:rPr>
          <w:rFonts w:eastAsiaTheme="majorEastAsia"/>
        </w:rPr>
        <w:t xml:space="preserve"> </w:t>
      </w:r>
      <w:r w:rsidRPr="00BA493B">
        <w:rPr>
          <w:rFonts w:eastAsiaTheme="majorEastAsia"/>
        </w:rPr>
        <w:t>Third, the theoretical scope of the study was somewhat limited by its</w:t>
      </w:r>
      <w:r>
        <w:rPr>
          <w:rFonts w:eastAsiaTheme="majorEastAsia"/>
        </w:rPr>
        <w:t xml:space="preserve"> exclusive</w:t>
      </w:r>
      <w:r w:rsidRPr="00BA493B">
        <w:rPr>
          <w:rFonts w:eastAsiaTheme="majorEastAsia"/>
        </w:rPr>
        <w:t xml:space="preserve"> focus on resource dependence and agency </w:t>
      </w:r>
      <w:r>
        <w:rPr>
          <w:rFonts w:eastAsiaTheme="majorEastAsia"/>
        </w:rPr>
        <w:t>theory</w:t>
      </w:r>
      <w:r w:rsidRPr="00BA493B">
        <w:rPr>
          <w:rFonts w:eastAsiaTheme="majorEastAsia"/>
        </w:rPr>
        <w:t>. Although these theories are the most prominent perspectives in the board interlocks literature and provide valuable insights into the dual effects of board interlocks as both a resource access mechanism and a source of agency costs, they do not take into account other relevant theoretical perspectives. For example, social capital theory could provide a more relational view of board interlocks, emphasizing the role of trust, reciprocity, and shared norms within interlocking networks. Future research should integrate these additional theoretical lenses to capture the full complexity of board interlocks and their impact on firm performance.</w:t>
      </w:r>
      <w:r>
        <w:rPr>
          <w:rFonts w:eastAsiaTheme="majorEastAsia"/>
        </w:rPr>
        <w:t xml:space="preserve"> </w:t>
      </w:r>
      <w:r w:rsidRPr="00BA493B">
        <w:rPr>
          <w:rFonts w:eastAsiaTheme="majorEastAsia"/>
        </w:rPr>
        <w:t xml:space="preserve">Finally, the study did not address the dynamic nature of board interlocks over time. Board interlocks are not static; their influence may change as the interorganizational network evolves. For example, shifts in network positions, changes in board composition, or the emergence of new competitors could alter the effects of interlocks on firm performance. Incorporating temporal dynamics through longitudinal analyses would provide a more complete understanding of how the role of board interlocks changes over time and how firms can strategically manage these connections to optimize performance. Addressing these </w:t>
      </w:r>
      <w:r w:rsidRPr="00BA493B">
        <w:rPr>
          <w:rFonts w:eastAsiaTheme="majorEastAsia"/>
        </w:rPr>
        <w:lastRenderedPageBreak/>
        <w:t>limitations in future research could significantly improve the robustness and generalizability of findings on the impact of board interlocks on firm outcomes.</w:t>
      </w:r>
    </w:p>
    <w:p w14:paraId="1F22BBDF" w14:textId="77777777" w:rsidR="0081057F" w:rsidRDefault="0081057F" w:rsidP="0081057F">
      <w:pPr>
        <w:pStyle w:val="Paragraph"/>
        <w:jc w:val="both"/>
        <w:rPr>
          <w:rFonts w:eastAsiaTheme="majorEastAsia"/>
        </w:rPr>
      </w:pPr>
      <w:r>
        <w:rPr>
          <w:rFonts w:eastAsiaTheme="majorEastAsia"/>
        </w:rPr>
        <w:t>Study 2</w:t>
      </w:r>
      <w:r w:rsidRPr="00744F70">
        <w:rPr>
          <w:rFonts w:eastAsiaTheme="majorEastAsia"/>
        </w:rPr>
        <w:t xml:space="preserve"> has several limitations that merit attention. First, the sample selection process poses a constraint. Out of a general population of </w:t>
      </w:r>
      <w:r w:rsidRPr="00EB137B">
        <w:rPr>
          <w:color w:val="000000" w:themeColor="text1"/>
        </w:rPr>
        <w:t xml:space="preserve">89,241 </w:t>
      </w:r>
      <w:r w:rsidRPr="00744F70">
        <w:rPr>
          <w:rFonts w:eastAsiaTheme="majorEastAsia"/>
        </w:rPr>
        <w:t>alliances formed during the observation period, the study considers only a small subset due to limited data availability. The requirement that both alliance partners be publicly listed companies further narrows the sample, potentially introducing biases that could undermine the generalizability of the findings.</w:t>
      </w:r>
      <w:r>
        <w:rPr>
          <w:rFonts w:eastAsiaTheme="majorEastAsia"/>
        </w:rPr>
        <w:t xml:space="preserve"> </w:t>
      </w:r>
      <w:r w:rsidRPr="00744F70">
        <w:rPr>
          <w:rFonts w:eastAsiaTheme="majorEastAsia"/>
        </w:rPr>
        <w:t>Second, the measures used in this study may not fully capture the complexity of alliance performance. Relying on abnormal returns around the announcement date as a basis for measuring differential benefits may oversimplify the multifaceted nature of resource appropriation and cooperative behavior in alliances. Future research should consider incorporating more nuanced metrics that better reflect the diverse aspects of board interlocks and alliance dynamics.</w:t>
      </w:r>
      <w:r>
        <w:rPr>
          <w:rFonts w:eastAsiaTheme="majorEastAsia"/>
        </w:rPr>
        <w:t xml:space="preserve"> </w:t>
      </w:r>
      <w:r w:rsidRPr="00744F70">
        <w:rPr>
          <w:rFonts w:eastAsiaTheme="majorEastAsia"/>
        </w:rPr>
        <w:t>Third, the study’s reliance on cross-sectional data limits its ability to capture the dynamic nature of board interlocks and their evolving impact on alliance performance. Changes in board composition and the progression of alliance relationships over time can significantly influence the role and effectiveness of interlocks. To address this limitation, future research should adopt longitudinal designs that track these changes, providing deeper insights into how board interlocks evolve and affect value creation and appropriation in alliances.</w:t>
      </w:r>
      <w:r>
        <w:rPr>
          <w:rFonts w:eastAsiaTheme="majorEastAsia"/>
        </w:rPr>
        <w:t xml:space="preserve"> </w:t>
      </w:r>
      <w:r w:rsidRPr="00744F70">
        <w:rPr>
          <w:rFonts w:eastAsiaTheme="majorEastAsia"/>
        </w:rPr>
        <w:t>Lastly, the study is subject to potential endogeneity issues. The relationship between board interlocks and alliance performance may be influenced by unobserved variables, such as firm strategy, prior relationships, or director motivations, which could bias the results. Addressing endogeneity through advanced statistical techniques, such as instrumental variable approaches or panel data methods, would help mitigate this issue and provide more reliable insights into causality.</w:t>
      </w:r>
    </w:p>
    <w:p w14:paraId="128E2BC3" w14:textId="77777777" w:rsidR="0081057F" w:rsidRPr="00E73524" w:rsidRDefault="0081057F" w:rsidP="0081057F">
      <w:pPr>
        <w:pStyle w:val="Paragraph"/>
        <w:jc w:val="both"/>
      </w:pPr>
      <w:r>
        <w:t>Study 3</w:t>
      </w:r>
      <w:r w:rsidRPr="00C97A10">
        <w:t xml:space="preserve">, which examines the impact of organizational cultural distance on M&amp;A outcomes, </w:t>
      </w:r>
      <w:r>
        <w:t xml:space="preserve">also </w:t>
      </w:r>
      <w:r w:rsidRPr="00C97A10">
        <w:t xml:space="preserve">has several notable limitations that should be considered when interpreting its results. First, the study relies on employee reviews from Glassdoor.com as its primary data </w:t>
      </w:r>
      <w:r w:rsidRPr="00C97A10">
        <w:lastRenderedPageBreak/>
        <w:t>source for measuring organizational culture. While these reviews offer detailed insights, their voluntary nature may introduce biases. Employees who choose to submit reviews may have particularly strong positive or negative opinions, potentially leading to skewed results and limiting the generalizability of the findings. Second, the study is confined to M&amp;A transactions involving firms in major English-speaking economies, which restricts its applicability to other geographical contexts. The cultural and institutional environments in these regions may not reflect those of non-English-speaking countries or emerging markets, where cultural differences could have varying effects on M&amp;A outcomes. Future research could address this limitation by expanding the geographic scope to include a more diverse set of countries and incorporating reviews from local platforms to provide a more comprehensive analysis.</w:t>
      </w:r>
      <w:r>
        <w:t xml:space="preserve"> </w:t>
      </w:r>
      <w:r w:rsidRPr="00C97A10">
        <w:t>Third, the study assumes that capital markets react efficiently to M&amp;A announcements, incorporating all relevant information, including cultural differences, into share prices. If, however, market participants do not fully account for these differences or misinterpret them, the observed market reactions may not accurately reflect the long-term implications of these deals. Consequently, the findings on short-term market reactions could be influenced by external factors such as market sentiment or unrelated economic events. Fourth, the study only includes completed M&amp;A transactions, which introduces potential sample selection bias. Deals that were withdrawn due to high cultural distance or perceived integration risks are excluded from the analysis. As a result, the study may underestimate the true impact of cultural distance on M&amp;A outcomes by focusing only on transactions that reached completion. Future research could investigate whether firms with high cultural distance are more likely to abandon announced deals, as well as explore potential self-selection issues in the relationship between cultural distance and acquisition outcomes.</w:t>
      </w:r>
      <w:r>
        <w:t xml:space="preserve"> </w:t>
      </w:r>
      <w:r w:rsidRPr="00C97A10">
        <w:t xml:space="preserve">Finally, the study does not account for varying levels of post-merger integration, despite prior research showing that the degree of integration significantly influences the effect of cultural distance on M&amp;A performance. Deals with high levels of integration are likely to face greater cultural friction, while those with lower levels </w:t>
      </w:r>
      <w:r w:rsidRPr="00C97A10">
        <w:lastRenderedPageBreak/>
        <w:t>may experience fewer cultural challenges. By not considering these differences, the study is limited in its ability to fully capture how cultural distance affects M&amp;A success. Future research should examine the moderating role of integration levels to provide a more nuanced understanding of the cultural dynamics in M&amp;A transactions</w:t>
      </w:r>
      <w:r w:rsidRPr="00DB709B">
        <w:rPr>
          <w:rFonts w:eastAsiaTheme="majorEastAsia"/>
        </w:rPr>
        <w:t>.</w:t>
      </w:r>
    </w:p>
    <w:p w14:paraId="733191D5" w14:textId="77777777" w:rsidR="0081057F" w:rsidRPr="008158C3" w:rsidRDefault="0081057F" w:rsidP="0081057F">
      <w:pPr>
        <w:pStyle w:val="3"/>
        <w:jc w:val="both"/>
        <w:rPr>
          <w:b/>
          <w:bCs/>
        </w:rPr>
      </w:pPr>
      <w:r w:rsidRPr="008158C3">
        <w:rPr>
          <w:b/>
          <w:bCs/>
        </w:rPr>
        <w:t>Practical Implications</w:t>
      </w:r>
    </w:p>
    <w:p w14:paraId="4FB488D8" w14:textId="77777777" w:rsidR="0081057F" w:rsidRPr="00DB709B" w:rsidRDefault="0081057F" w:rsidP="0081057F">
      <w:pPr>
        <w:pStyle w:val="Paragraph"/>
        <w:ind w:firstLine="708"/>
        <w:jc w:val="both"/>
        <w:rPr>
          <w:rFonts w:eastAsiaTheme="majorEastAsia"/>
        </w:rPr>
      </w:pPr>
      <w:r w:rsidRPr="00DB709B">
        <w:rPr>
          <w:rFonts w:eastAsiaTheme="majorEastAsia"/>
        </w:rPr>
        <w:t xml:space="preserve">The findings of this </w:t>
      </w:r>
      <w:r>
        <w:rPr>
          <w:rFonts w:eastAsiaTheme="majorEastAsia"/>
        </w:rPr>
        <w:t>doctoral thesis</w:t>
      </w:r>
      <w:r w:rsidRPr="00DB709B">
        <w:rPr>
          <w:rFonts w:eastAsiaTheme="majorEastAsia"/>
        </w:rPr>
        <w:t xml:space="preserve"> have several practical implications for managers and practitioners</w:t>
      </w:r>
      <w:r>
        <w:rPr>
          <w:rFonts w:eastAsiaTheme="majorEastAsia"/>
        </w:rPr>
        <w:t xml:space="preserve"> in the field of strategic management</w:t>
      </w:r>
      <w:r w:rsidRPr="00DB709B">
        <w:rPr>
          <w:rFonts w:eastAsiaTheme="majorEastAsia"/>
        </w:rPr>
        <w:t>.</w:t>
      </w:r>
    </w:p>
    <w:p w14:paraId="5BF2B908" w14:textId="77777777" w:rsidR="0081057F" w:rsidRDefault="0081057F" w:rsidP="0081057F">
      <w:pPr>
        <w:pStyle w:val="Paragraph"/>
        <w:jc w:val="both"/>
        <w:rPr>
          <w:rFonts w:eastAsiaTheme="majorEastAsia"/>
        </w:rPr>
      </w:pPr>
      <w:r>
        <w:rPr>
          <w:rFonts w:eastAsiaTheme="majorEastAsia"/>
        </w:rPr>
        <w:t>Study 1</w:t>
      </w:r>
      <w:r w:rsidRPr="00381948">
        <w:rPr>
          <w:rFonts w:eastAsiaTheme="majorEastAsia"/>
        </w:rPr>
        <w:t>, which examines the effects of board interlocks on firm performance through a meta-analytic approach, provides important insights for practitioners and policymakers involved in corporate governance. The results suggest that board interlocks can enhance firm performance by providing access to external resources, but they can also increase agency costs due to potential conflicts of interest and weakened monitoring. For firms, this underscores the need for careful selection and composition of their boards.</w:t>
      </w:r>
      <w:r>
        <w:rPr>
          <w:rFonts w:eastAsiaTheme="majorEastAsia"/>
        </w:rPr>
        <w:t xml:space="preserve"> </w:t>
      </w:r>
      <w:r w:rsidRPr="00381948">
        <w:rPr>
          <w:rFonts w:eastAsiaTheme="majorEastAsia"/>
        </w:rPr>
        <w:t xml:space="preserve">While board interlocks can be important in providing access to new resources, networks and strategic opportunities, they should be managed to prevent directors from becoming over-committed. Firms should consider limiting the number of </w:t>
      </w:r>
      <w:r>
        <w:rPr>
          <w:rFonts w:eastAsiaTheme="majorEastAsia"/>
        </w:rPr>
        <w:t>board mandates</w:t>
      </w:r>
      <w:r w:rsidRPr="00381948">
        <w:rPr>
          <w:rFonts w:eastAsiaTheme="majorEastAsia"/>
        </w:rPr>
        <w:t xml:space="preserve"> held by individual directors to maintain effective oversight and ensure that directors do not compromise their governance role through excessive commitments. In addition, </w:t>
      </w:r>
      <w:r>
        <w:rPr>
          <w:rFonts w:eastAsiaTheme="majorEastAsia"/>
        </w:rPr>
        <w:t>firms</w:t>
      </w:r>
      <w:r w:rsidRPr="00381948">
        <w:rPr>
          <w:rFonts w:eastAsiaTheme="majorEastAsia"/>
        </w:rPr>
        <w:t xml:space="preserve"> can use interlocks strategically to gain access to valuable external resources such as industry expertise, strategic partnerships and market intelligence - benefits that are particularly beneficial in complex environments or when entering new markets. However, the potential benefits of interlocks should outweigh any governance-related costs. Regular evaluation of interlocking directorate contributions and alignment with the company's strategic objectives can help maintain this balance.</w:t>
      </w:r>
    </w:p>
    <w:p w14:paraId="09B15DB2" w14:textId="77777777" w:rsidR="0081057F" w:rsidRPr="00381948" w:rsidRDefault="0081057F" w:rsidP="0081057F">
      <w:pPr>
        <w:pStyle w:val="Paragraph"/>
        <w:jc w:val="both"/>
        <w:rPr>
          <w:rFonts w:eastAsiaTheme="majorEastAsia"/>
        </w:rPr>
      </w:pPr>
      <w:r w:rsidRPr="00381948">
        <w:rPr>
          <w:rFonts w:eastAsiaTheme="majorEastAsia"/>
        </w:rPr>
        <w:t xml:space="preserve">The study also highlights the importance of monitoring CEO power and internal board dynamics. A dominant CEO may undermine the board’s ability to utilize external resources obtained through interlocks, thereby exacerbating agency costs and diminishing the board’s </w:t>
      </w:r>
      <w:r w:rsidRPr="00381948">
        <w:rPr>
          <w:rFonts w:eastAsiaTheme="majorEastAsia"/>
        </w:rPr>
        <w:lastRenderedPageBreak/>
        <w:t>oversight capacity. To mitigate these risks, firms should implement governance practices that balance power within the board, such as maintaining a higher proportion of independent directors, establishing strong board committees, or separating the roles of CEO and board chair.</w:t>
      </w:r>
    </w:p>
    <w:p w14:paraId="74643DD1" w14:textId="77777777" w:rsidR="0081057F" w:rsidRPr="00381948" w:rsidRDefault="0081057F" w:rsidP="0081057F">
      <w:pPr>
        <w:pStyle w:val="Paragraph"/>
        <w:jc w:val="both"/>
        <w:rPr>
          <w:rFonts w:eastAsiaTheme="majorEastAsia"/>
        </w:rPr>
      </w:pPr>
      <w:r w:rsidRPr="00381948">
        <w:rPr>
          <w:rFonts w:eastAsiaTheme="majorEastAsia"/>
        </w:rPr>
        <w:t>The study further emphasizes that the institutional environment—both formal (e.g., regulations and legal frameworks) and informal (e.g., cultural norms)—significantly influences the effects of board interlocks. In regions with strong formal institutions, the positive resource-provision effects of interlocks are enhanced, while agency costs are minimized. Conversely, in environments with weaker governance standards, firms should implement additional safeguards, such as stricter internal controls and enhanced board monitoring, to ensure that board interlocks do not undermine governance quality.</w:t>
      </w:r>
    </w:p>
    <w:p w14:paraId="44A4780E" w14:textId="77777777" w:rsidR="0081057F" w:rsidRPr="00381948" w:rsidRDefault="0081057F" w:rsidP="0081057F">
      <w:pPr>
        <w:pStyle w:val="Paragraph"/>
        <w:jc w:val="both"/>
        <w:rPr>
          <w:rFonts w:eastAsiaTheme="majorEastAsia"/>
        </w:rPr>
      </w:pPr>
      <w:r w:rsidRPr="00381948">
        <w:rPr>
          <w:rFonts w:eastAsiaTheme="majorEastAsia"/>
        </w:rPr>
        <w:t>For policymakers and regulators, the study suggests that a robust regulatory framework with clear guidelines on board composition and interlocks can help mitigate the risks of director overcommitment. Policies that limit the number of board seats a director can hold may reduce negative outcomes such as weakened monitoring and increased agency costs. Additionally, enhancing transparency and reporting requirements can further strengthen the governance function of boards, particularly in contexts with limited regulatory oversight. Policymakers should consider encouraging firms to disclose detailed information on the nature and extent of board interlocks, providing greater transparency to investors and stakeholders about how these connections may influence governance and performance.</w:t>
      </w:r>
    </w:p>
    <w:p w14:paraId="749E981C" w14:textId="77777777" w:rsidR="0081057F" w:rsidRPr="00381948" w:rsidRDefault="0081057F" w:rsidP="0081057F">
      <w:pPr>
        <w:pStyle w:val="Paragraph"/>
        <w:jc w:val="both"/>
        <w:rPr>
          <w:rFonts w:eastAsiaTheme="majorEastAsia"/>
        </w:rPr>
      </w:pPr>
      <w:r w:rsidRPr="00381948">
        <w:rPr>
          <w:rFonts w:eastAsiaTheme="majorEastAsia"/>
        </w:rPr>
        <w:t>The findings also hold important implications for investors. When evaluating potential investments, investors should recognize the dual nature of board interlocks. While they can signal valuable access to resources and industry connections, they may also indicate governance risks. A thorough examination of a firm’s board composition and the potential influence of interlocks on strategic decision-making can enable investors to make more informed decisions and better assess corporate governance quality.</w:t>
      </w:r>
    </w:p>
    <w:p w14:paraId="033E6103" w14:textId="77777777" w:rsidR="0081057F" w:rsidRPr="00DB709B" w:rsidRDefault="0081057F" w:rsidP="0081057F">
      <w:pPr>
        <w:pStyle w:val="Paragraph"/>
        <w:jc w:val="both"/>
        <w:rPr>
          <w:rFonts w:eastAsiaTheme="majorEastAsia"/>
        </w:rPr>
      </w:pPr>
      <w:r w:rsidRPr="00E12E12">
        <w:rPr>
          <w:rFonts w:eastAsiaTheme="majorEastAsia"/>
        </w:rPr>
        <w:lastRenderedPageBreak/>
        <w:t>Overall, the practical implications of this study underscore the need for a nuanced approach to the use of board interlocks. While interlocks can provide significant strategic benefits, they must be carefully managed to avoid governance pitfalls. Companies, policymakers, and investors should consider the complex trade-offs highlighted in this study when evaluating the role of board interlocks in enhancing corporate performance and governance effectiveness.</w:t>
      </w:r>
    </w:p>
    <w:p w14:paraId="0B1C66DE" w14:textId="77777777" w:rsidR="0081057F" w:rsidRDefault="0081057F" w:rsidP="0081057F">
      <w:pPr>
        <w:pStyle w:val="Paragraph"/>
        <w:jc w:val="both"/>
        <w:rPr>
          <w:rFonts w:eastAsiaTheme="majorEastAsia"/>
        </w:rPr>
      </w:pPr>
      <w:r w:rsidRPr="00E12E12">
        <w:rPr>
          <w:rFonts w:eastAsiaTheme="majorEastAsia"/>
        </w:rPr>
        <w:t>The practical implications of Study 2, which examines the role of board interlocks in strategic alliances, are relevant to both corporate practitioners and policy makers. First, the study underscores the importance of carefully managing board interlocks within alliances to balance cooperation and competition. Since board interlocks can function as competitive mechanisms that enable resource appropriation, firms need to establish governance structures that guard against opportunistic behavior, especially in the presence of power asymmetries. This means that alliance partners should not only assess the potential benefits of resource sharing through board interlocks, but also implement controls that mitigate the risk of one firm benefiting disproportionately at the expense of the other.</w:t>
      </w:r>
    </w:p>
    <w:p w14:paraId="5BA2FDA9" w14:textId="77777777" w:rsidR="0081057F" w:rsidRPr="00DB709B" w:rsidRDefault="0081057F" w:rsidP="0081057F">
      <w:pPr>
        <w:pStyle w:val="Paragraph"/>
        <w:jc w:val="both"/>
        <w:rPr>
          <w:rFonts w:eastAsiaTheme="majorEastAsia"/>
        </w:rPr>
      </w:pPr>
      <w:r w:rsidRPr="00DB709B">
        <w:rPr>
          <w:rFonts w:eastAsiaTheme="majorEastAsia"/>
        </w:rPr>
        <w:t xml:space="preserve">One way to achieve this balance is by establishing clear contractual agreements that delineate the roles, responsibilities, and boundaries of interlocked directors. By doing so, firms can enhance transparency and reduce ambiguity in decision-making processes, thereby minimizing the chances of </w:t>
      </w:r>
      <w:r>
        <w:rPr>
          <w:rFonts w:eastAsiaTheme="majorEastAsia"/>
        </w:rPr>
        <w:t xml:space="preserve">board </w:t>
      </w:r>
      <w:r w:rsidRPr="00DB709B">
        <w:rPr>
          <w:rFonts w:eastAsiaTheme="majorEastAsia"/>
        </w:rPr>
        <w:t>interlocks being used for opportunistic purposes. Additionally, firms should invest in building relational quality and trust between alliance partners. High levels of trust can reduce the likelihood of opportunistic behavior and enable a more collaborative approach to managing the alliance, maximizing the potential for joint value creation. Therefore, firms should not solely focus on formal governance structures but also emphasize the development of strong relational ties to support cooperative behavior.</w:t>
      </w:r>
    </w:p>
    <w:p w14:paraId="16EA10E8" w14:textId="77777777" w:rsidR="0081057F" w:rsidRPr="00DB709B" w:rsidRDefault="0081057F" w:rsidP="0081057F">
      <w:pPr>
        <w:pStyle w:val="Paragraph"/>
        <w:jc w:val="both"/>
        <w:rPr>
          <w:rFonts w:eastAsiaTheme="majorEastAsia"/>
        </w:rPr>
      </w:pPr>
      <w:r w:rsidRPr="00DB709B">
        <w:rPr>
          <w:rFonts w:eastAsiaTheme="majorEastAsia"/>
        </w:rPr>
        <w:t xml:space="preserve">Furthermore, the study’s findings suggest that firms should consider the broader institutional environment when forming alliances. In contexts where formal governance </w:t>
      </w:r>
      <w:r w:rsidRPr="00DB709B">
        <w:rPr>
          <w:rFonts w:eastAsiaTheme="majorEastAsia"/>
        </w:rPr>
        <w:lastRenderedPageBreak/>
        <w:t>mechanisms are weak, the risks associated with board interlocks may be exacerbated, making it crucial for firms to rely more on relational governance mechanisms, such as trust and social embeddedness, to counterbalance these risks. Firms operating in countries with robust legal frameworks and regulatory standards, on the other hand, may experience fewer governance-related issues due to the external enforcement of norms and expectations. Therefore, the strategic use of board interlocks should be adapted to the specific institutional environment to ensure that the intended benefits are realized while minimizing potential drawbacks.</w:t>
      </w:r>
    </w:p>
    <w:p w14:paraId="2C975AA4" w14:textId="77777777" w:rsidR="0081057F" w:rsidRDefault="0081057F" w:rsidP="0081057F">
      <w:pPr>
        <w:pStyle w:val="Paragraph"/>
        <w:jc w:val="both"/>
        <w:rPr>
          <w:rFonts w:eastAsiaTheme="majorEastAsia"/>
        </w:rPr>
      </w:pPr>
      <w:r w:rsidRPr="00177FAD">
        <w:rPr>
          <w:rFonts w:eastAsiaTheme="majorEastAsia"/>
        </w:rPr>
        <w:t>The practical implications of Study 3, which examines organizational culture and mergers and acquisitions, are particularly relevant to practitioners involved in M&amp;A activities. The findings suggest several actionable strategies to enhance M&amp;A success, mitigate cultural risks, and optimize post-deal integration.</w:t>
      </w:r>
    </w:p>
    <w:p w14:paraId="457D0E8F" w14:textId="77777777" w:rsidR="0081057F" w:rsidRPr="00177FAD" w:rsidRDefault="0081057F" w:rsidP="0081057F">
      <w:pPr>
        <w:pStyle w:val="Paragraph"/>
        <w:jc w:val="both"/>
        <w:rPr>
          <w:rFonts w:eastAsiaTheme="majorEastAsia"/>
        </w:rPr>
      </w:pPr>
      <w:r w:rsidRPr="00177FAD">
        <w:rPr>
          <w:rFonts w:eastAsiaTheme="majorEastAsia"/>
        </w:rPr>
        <w:t xml:space="preserve">First, the study highlights the critical role of cultural fit in determining both short- and long-term M&amp;A outcomes. </w:t>
      </w:r>
      <w:r>
        <w:rPr>
          <w:rFonts w:eastAsiaTheme="majorEastAsia"/>
        </w:rPr>
        <w:t>Firms</w:t>
      </w:r>
      <w:r w:rsidRPr="00177FAD">
        <w:rPr>
          <w:rFonts w:eastAsiaTheme="majorEastAsia"/>
        </w:rPr>
        <w:t xml:space="preserve"> should evaluate not only a target's strategic and financial fit, but also its cultural fit. This comprehensive assessment should include an in-depth analysis of the target's organizational culture to identify areas of potential synergy or conflict. For example, the study shows that differences in market culture have a particularly negative impact on M&amp;A success, affecting both the acquisition premium and post-deal performance. As a result, acquirers should focus on ensuring that cultural differences do not impede the achievement of strategic goals and value creation during the integration phase.</w:t>
      </w:r>
    </w:p>
    <w:p w14:paraId="69A45AA4" w14:textId="77777777" w:rsidR="0081057F" w:rsidRPr="00DB709B" w:rsidRDefault="0081057F" w:rsidP="0081057F">
      <w:pPr>
        <w:pStyle w:val="Paragraph"/>
        <w:jc w:val="both"/>
        <w:rPr>
          <w:rFonts w:eastAsiaTheme="majorEastAsia"/>
        </w:rPr>
      </w:pPr>
      <w:r w:rsidRPr="00177FAD">
        <w:rPr>
          <w:rFonts w:eastAsiaTheme="majorEastAsia"/>
        </w:rPr>
        <w:t xml:space="preserve">Second, the findings underscore the importance of accurate target valuation. The study shows that cultural distance can hinder an acquirer's ability to accurately assess a target's true value, leading to overpayment and inflated acquisition premiums. This suggests that acquiring firms need to adopt more sophisticated valuation techniques that include organizational culture as a key consideration to avoid overestimating synergy potential and mispricing the acquisition. Incorporating qualitative data, such as employee evaluations, can provide a more nuanced </w:t>
      </w:r>
      <w:r w:rsidRPr="00177FAD">
        <w:rPr>
          <w:rFonts w:eastAsiaTheme="majorEastAsia"/>
        </w:rPr>
        <w:lastRenderedPageBreak/>
        <w:t>understanding of the target's cultural characteristics, reduce information gaps, and facilitate a more accurate valuation.</w:t>
      </w:r>
    </w:p>
    <w:p w14:paraId="6136257C" w14:textId="77777777" w:rsidR="0081057F" w:rsidRPr="00DB709B" w:rsidRDefault="0081057F" w:rsidP="0081057F">
      <w:pPr>
        <w:pStyle w:val="Paragraph"/>
        <w:jc w:val="both"/>
        <w:rPr>
          <w:rFonts w:eastAsiaTheme="majorEastAsia"/>
        </w:rPr>
      </w:pPr>
      <w:r w:rsidRPr="00177FAD">
        <w:rPr>
          <w:rFonts w:eastAsiaTheme="majorEastAsia"/>
        </w:rPr>
        <w:t>Third, the study provides insights into the impact of cultural distance on post-deal innovation. We find that high levels of cultural distance, especially in terms of the dimensions of adhocracy and hierarchy, negatively affect the acquiring firm's long-term innovation capabilities. To mitigate these effects, acquiring firms should establish integration teams that focus on bridging cultural differences and fostering collaborative innovation efforts. These teams should include members from both firms and be empowered to create a shared cultural framework that facilitates innovation and knowledge sharing.</w:t>
      </w:r>
    </w:p>
    <w:p w14:paraId="7548F311" w14:textId="77777777" w:rsidR="0081057F" w:rsidRPr="00177FAD" w:rsidRDefault="0081057F" w:rsidP="0081057F">
      <w:pPr>
        <w:pStyle w:val="Paragraph"/>
        <w:jc w:val="both"/>
        <w:rPr>
          <w:rFonts w:eastAsiaTheme="majorEastAsia"/>
        </w:rPr>
      </w:pPr>
      <w:r>
        <w:rPr>
          <w:rFonts w:eastAsiaTheme="majorEastAsia"/>
        </w:rPr>
        <w:t>Forth</w:t>
      </w:r>
      <w:r w:rsidRPr="00177FAD">
        <w:rPr>
          <w:rFonts w:eastAsiaTheme="majorEastAsia"/>
        </w:rPr>
        <w:t xml:space="preserve">, the study advises </w:t>
      </w:r>
      <w:r>
        <w:rPr>
          <w:rFonts w:eastAsiaTheme="majorEastAsia"/>
        </w:rPr>
        <w:t>firms</w:t>
      </w:r>
      <w:r w:rsidRPr="00177FAD">
        <w:rPr>
          <w:rFonts w:eastAsiaTheme="majorEastAsia"/>
        </w:rPr>
        <w:t xml:space="preserve"> to adopt a tailored integration strategy based on the specific cultural dimensions in which the acquirer and target differ. For example, when integrating a target with a significantly different market culture, firms should emphasize alignment in strategic priorities and goal setting to reduce friction. On the other hand, when there are differences in hierarchy culture, integration efforts should focus on creating compatible structures and decision-making processes to avoid conflicts and disruptions in operations.</w:t>
      </w:r>
    </w:p>
    <w:p w14:paraId="0AA1B808" w14:textId="77777777" w:rsidR="0081057F" w:rsidRDefault="0081057F" w:rsidP="0081057F">
      <w:pPr>
        <w:pStyle w:val="Paragraph"/>
        <w:jc w:val="both"/>
        <w:rPr>
          <w:rFonts w:eastAsiaTheme="majorEastAsia"/>
        </w:rPr>
      </w:pPr>
      <w:r w:rsidRPr="00177FAD">
        <w:rPr>
          <w:rFonts w:eastAsiaTheme="majorEastAsia"/>
        </w:rPr>
        <w:t>Finally, the study suggests that effective leadership and communication are critical to managing cultural integration in M&amp;A. Leaders should proactively communicate the vision, goals and cultural values of the combined entity to employees at all levels to foster a shared identity and reduce uncertainty. By engaging employees from both organizations and encouraging open dialogue, leaders can build trust and facilitate cultural alignment, ultimately enhancing the success of the integration process.</w:t>
      </w:r>
    </w:p>
    <w:p w14:paraId="791DD143" w14:textId="246872FB" w:rsidR="0081057F" w:rsidRDefault="0081057F" w:rsidP="0081057F">
      <w:pPr>
        <w:pStyle w:val="Paragraph"/>
        <w:jc w:val="both"/>
        <w:rPr>
          <w:rFonts w:eastAsiaTheme="majorEastAsia"/>
        </w:rPr>
      </w:pPr>
      <w:r>
        <w:rPr>
          <w:rFonts w:eastAsiaTheme="majorEastAsia"/>
        </w:rPr>
        <w:t>Finally, t</w:t>
      </w:r>
      <w:r w:rsidRPr="00177FAD">
        <w:rPr>
          <w:rFonts w:eastAsiaTheme="majorEastAsia"/>
        </w:rPr>
        <w:t xml:space="preserve">he study also highlights the importance of post-merger integration monitoring. </w:t>
      </w:r>
      <w:r>
        <w:rPr>
          <w:rFonts w:eastAsiaTheme="majorEastAsia"/>
        </w:rPr>
        <w:t>Firms</w:t>
      </w:r>
      <w:r w:rsidRPr="00177FAD">
        <w:rPr>
          <w:rFonts w:eastAsiaTheme="majorEastAsia"/>
        </w:rPr>
        <w:t xml:space="preserve"> should implement mechanisms to track the progress of cultural integration, identify emerging cultural conflicts, and take corrective action as needed. Regular assessments and </w:t>
      </w:r>
      <w:r w:rsidRPr="00177FAD">
        <w:rPr>
          <w:rFonts w:eastAsiaTheme="majorEastAsia"/>
        </w:rPr>
        <w:lastRenderedPageBreak/>
        <w:t>feedback loops can help companies stay on track with their integration goals and ensure that cultural alignment is effectively achieved.</w:t>
      </w:r>
    </w:p>
    <w:p w14:paraId="560FBAA9" w14:textId="77777777" w:rsidR="0081057F" w:rsidRDefault="0081057F">
      <w:pPr>
        <w:spacing w:after="160" w:line="259" w:lineRule="auto"/>
        <w:jc w:val="left"/>
        <w:rPr>
          <w:rFonts w:eastAsiaTheme="majorEastAsia" w:cs="Times New Roman"/>
          <w:szCs w:val="24"/>
          <w:lang w:val="en-US" w:eastAsia="de-DE"/>
        </w:rPr>
      </w:pPr>
      <w:r w:rsidRPr="00932F58">
        <w:rPr>
          <w:rFonts w:eastAsiaTheme="majorEastAsia"/>
          <w:lang w:val="en-US"/>
        </w:rPr>
        <w:br w:type="page"/>
      </w:r>
    </w:p>
    <w:p w14:paraId="07F1E6B0" w14:textId="77777777" w:rsidR="0081057F" w:rsidRPr="00932F58" w:rsidRDefault="0081057F" w:rsidP="0081057F">
      <w:pPr>
        <w:pStyle w:val="berschrift1"/>
        <w:rPr>
          <w:lang w:val="en-US"/>
        </w:rPr>
      </w:pPr>
      <w:bookmarkStart w:id="648" w:name="_Toc180963632"/>
      <w:r w:rsidRPr="00932F58">
        <w:rPr>
          <w:lang w:val="en-US"/>
        </w:rPr>
        <w:lastRenderedPageBreak/>
        <w:t>REFERENCES</w:t>
      </w:r>
      <w:bookmarkEnd w:id="648"/>
    </w:p>
    <w:p w14:paraId="662B9E6A" w14:textId="77777777" w:rsidR="0081057F" w:rsidRDefault="0081057F" w:rsidP="0081057F">
      <w:pPr>
        <w:pStyle w:val="CitaviBibliographyEntry"/>
      </w:pPr>
      <w:bookmarkStart w:id="649" w:name="_CTVL0013c900922f93f46969def81716e4194c1"/>
      <w:r>
        <w:t>Barczak, B., Kafel, T., &amp; Magliocca, P. 2021. Network approaches and strategic management: Exploration opportunities and new trends.</w:t>
      </w:r>
      <w:bookmarkEnd w:id="649"/>
      <w:r>
        <w:t xml:space="preserve"> </w:t>
      </w:r>
      <w:r w:rsidRPr="0073257C">
        <w:rPr>
          <w:i/>
        </w:rPr>
        <w:t>Journal of Entrepreneurship, Management and Innovation</w:t>
      </w:r>
      <w:r w:rsidRPr="0073257C">
        <w:t>, 17: 7-35.</w:t>
      </w:r>
    </w:p>
    <w:p w14:paraId="3269365B" w14:textId="77777777" w:rsidR="0081057F" w:rsidRDefault="0081057F" w:rsidP="0081057F">
      <w:pPr>
        <w:pStyle w:val="CitaviBibliographyEntry"/>
      </w:pPr>
      <w:bookmarkStart w:id="650" w:name="_CTVL001f9c410ecdc78467c93ca7cdb188e8a48"/>
      <w:r>
        <w:t>Crossan, M. M., Lane, H. W., &amp; White, R. E. 1999. An Organizational Learning Framework: From Intuition to Institution.</w:t>
      </w:r>
      <w:bookmarkEnd w:id="650"/>
      <w:r>
        <w:t xml:space="preserve"> </w:t>
      </w:r>
      <w:r w:rsidRPr="0073257C">
        <w:rPr>
          <w:i/>
        </w:rPr>
        <w:t>Academy of Management Review</w:t>
      </w:r>
      <w:r w:rsidRPr="0073257C">
        <w:t>, 24: 522.</w:t>
      </w:r>
    </w:p>
    <w:p w14:paraId="0956FF7A" w14:textId="77777777" w:rsidR="0081057F" w:rsidRDefault="0081057F" w:rsidP="0081057F">
      <w:pPr>
        <w:pStyle w:val="CitaviBibliographyEntry"/>
      </w:pPr>
      <w:bookmarkStart w:id="651" w:name="_CTVL001daab3cf35f8140bb98e6eebe6261fe7e"/>
      <w:r>
        <w:t>Gulati, R., Nohria, N., &amp; Zaheer, A. 2000. Strategic networks.</w:t>
      </w:r>
      <w:bookmarkEnd w:id="651"/>
      <w:r>
        <w:t xml:space="preserve"> </w:t>
      </w:r>
      <w:r w:rsidRPr="0073257C">
        <w:rPr>
          <w:i/>
        </w:rPr>
        <w:t>Strategic Management Journal</w:t>
      </w:r>
      <w:r w:rsidRPr="0073257C">
        <w:t>, 21: 203-215.</w:t>
      </w:r>
    </w:p>
    <w:p w14:paraId="6993AA8F" w14:textId="77777777" w:rsidR="0081057F" w:rsidRDefault="0081057F" w:rsidP="0081057F">
      <w:pPr>
        <w:pStyle w:val="CitaviBibliographyEntry"/>
      </w:pPr>
      <w:bookmarkStart w:id="652" w:name="_CTVL00171b8b60fdb4e40bda9401a0d6e8c0dd7"/>
      <w:r>
        <w:t>Hoskisson, R. E., Hitt, M. A., Wan, W. P., &amp; Yiu, D. 1999. Theory and research in strategic management: Swings of a pendulum.</w:t>
      </w:r>
      <w:bookmarkEnd w:id="652"/>
      <w:r>
        <w:t xml:space="preserve"> </w:t>
      </w:r>
      <w:r w:rsidRPr="0073257C">
        <w:rPr>
          <w:i/>
        </w:rPr>
        <w:t>Journal of Management</w:t>
      </w:r>
      <w:r w:rsidRPr="0073257C">
        <w:t>, 25: 417-456.</w:t>
      </w:r>
    </w:p>
    <w:p w14:paraId="6103157A" w14:textId="77777777" w:rsidR="0081057F" w:rsidRDefault="0081057F" w:rsidP="0081057F">
      <w:pPr>
        <w:pStyle w:val="CitaviBibliographyEntry"/>
      </w:pPr>
      <w:bookmarkStart w:id="653" w:name="_CTVL001723caaba54e5484f9f409a988a0b1693"/>
      <w:r w:rsidRPr="00932F58">
        <w:t xml:space="preserve">Jensen, M. C., &amp; Meckling, W. 1976. </w:t>
      </w:r>
      <w:r>
        <w:t>Theory of the firm: Managerial behavior, agency costs and ownership structure.</w:t>
      </w:r>
      <w:bookmarkEnd w:id="653"/>
      <w:r>
        <w:t xml:space="preserve"> </w:t>
      </w:r>
      <w:r w:rsidRPr="0073257C">
        <w:rPr>
          <w:i/>
        </w:rPr>
        <w:t>Journal of Financial Economics</w:t>
      </w:r>
      <w:r w:rsidRPr="0073257C">
        <w:t>: 305-360.</w:t>
      </w:r>
    </w:p>
    <w:p w14:paraId="4E5BC7E1" w14:textId="77777777" w:rsidR="0081057F" w:rsidRDefault="0081057F" w:rsidP="0081057F">
      <w:pPr>
        <w:pStyle w:val="CitaviBibliographyEntry"/>
      </w:pPr>
      <w:bookmarkStart w:id="654" w:name="_CTVL0013e4f0110524f41da9b6e5068eced7d70"/>
      <w:r>
        <w:t>Mizruchi, M. S. 1996. What Do Interlocks Do? An Analysis, Critique, and Assessment of Research on Interlocking Directorates.</w:t>
      </w:r>
      <w:bookmarkEnd w:id="654"/>
      <w:r>
        <w:t xml:space="preserve"> </w:t>
      </w:r>
      <w:r w:rsidRPr="0073257C">
        <w:rPr>
          <w:i/>
        </w:rPr>
        <w:t>Annual Review of Sociology</w:t>
      </w:r>
      <w:r w:rsidRPr="0073257C">
        <w:t>, 22: 271-298.</w:t>
      </w:r>
    </w:p>
    <w:p w14:paraId="320FE56C" w14:textId="77777777" w:rsidR="0081057F" w:rsidRDefault="0081057F" w:rsidP="0081057F">
      <w:pPr>
        <w:pStyle w:val="CitaviBibliographyEntry"/>
      </w:pPr>
      <w:r>
        <w:t xml:space="preserve">Pfeffer, J., &amp; Salancik, G. R. 1978. </w:t>
      </w:r>
      <w:r w:rsidRPr="0073257C">
        <w:rPr>
          <w:i/>
        </w:rPr>
        <w:t>The external control of organizations: A resource depende nce perspective</w:t>
      </w:r>
      <w:r w:rsidRPr="0073257C">
        <w:t>. New York: Harper &amp; Row.</w:t>
      </w:r>
    </w:p>
    <w:p w14:paraId="26E11C2E" w14:textId="77777777" w:rsidR="0081057F" w:rsidRDefault="0081057F" w:rsidP="0081057F">
      <w:pPr>
        <w:pStyle w:val="CitaviBibliographyEntry"/>
      </w:pPr>
      <w:bookmarkStart w:id="655" w:name="_CTVL0019b4aa001899a4b888b344adbe1689fda"/>
      <w:r>
        <w:t>Quinn, R. E., &amp; Rohrbaugh, J. 1981. A Competing Values Approach to Organizational Effectiveness.</w:t>
      </w:r>
      <w:bookmarkEnd w:id="655"/>
      <w:r>
        <w:t xml:space="preserve"> </w:t>
      </w:r>
      <w:r w:rsidRPr="0073257C">
        <w:rPr>
          <w:i/>
        </w:rPr>
        <w:t>Public Productivity Review</w:t>
      </w:r>
      <w:r w:rsidRPr="0073257C">
        <w:t>, 5: 122.</w:t>
      </w:r>
    </w:p>
    <w:p w14:paraId="2502D02D" w14:textId="77777777" w:rsidR="0081057F" w:rsidRDefault="0081057F" w:rsidP="0081057F">
      <w:pPr>
        <w:pStyle w:val="CitaviBibliographyEntry"/>
      </w:pPr>
      <w:bookmarkStart w:id="656" w:name="_CTVL001700a832dc2f549228641eb9b4f3c5bc0"/>
      <w:r>
        <w:t>Rottig, D. 2017. Meta-analyses of culture’s consequences for acquisition performance.</w:t>
      </w:r>
      <w:bookmarkEnd w:id="656"/>
      <w:r>
        <w:t xml:space="preserve"> </w:t>
      </w:r>
      <w:r w:rsidRPr="0073257C">
        <w:rPr>
          <w:i/>
        </w:rPr>
        <w:t>International Journal of Emerging Markets</w:t>
      </w:r>
      <w:r w:rsidRPr="0073257C">
        <w:t>, 12: 8-37.</w:t>
      </w:r>
    </w:p>
    <w:p w14:paraId="77F9226A" w14:textId="77777777" w:rsidR="0081057F" w:rsidRDefault="0081057F" w:rsidP="0081057F">
      <w:pPr>
        <w:pStyle w:val="CitaviBibliographyEntry"/>
      </w:pPr>
      <w:bookmarkStart w:id="657" w:name="_CTVL00115cbeba9a8a549988b4d856e68688413"/>
      <w:r>
        <w:t>Shipilov, A., Gulati, R., Kilduff, M., Li, S., &amp; Tsai, W. 2014. Relational Pluralism Within and Between Organizations.</w:t>
      </w:r>
      <w:bookmarkEnd w:id="657"/>
      <w:r>
        <w:t xml:space="preserve"> </w:t>
      </w:r>
      <w:r w:rsidRPr="0073257C">
        <w:rPr>
          <w:i/>
        </w:rPr>
        <w:t>Academy of Management Journal</w:t>
      </w:r>
      <w:r w:rsidRPr="0073257C">
        <w:t>, 57: 449-459.</w:t>
      </w:r>
    </w:p>
    <w:p w14:paraId="2BAA3512" w14:textId="77777777" w:rsidR="0081057F" w:rsidRPr="0081057F" w:rsidRDefault="0081057F" w:rsidP="0081057F">
      <w:pPr>
        <w:pStyle w:val="CitaviBibliographyEntry"/>
        <w:rPr>
          <w:lang w:val="de-DE"/>
        </w:rPr>
      </w:pPr>
      <w:bookmarkStart w:id="658" w:name="_CTVL0014e887330ae1a48129a42d51b7f5d19ce"/>
      <w:r>
        <w:t>Shropshire, C. 2010. The Role of the Interlocking Director and Board Receptivity in the Diffusion of Practices.</w:t>
      </w:r>
      <w:bookmarkEnd w:id="658"/>
      <w:r>
        <w:t xml:space="preserve"> </w:t>
      </w:r>
      <w:r w:rsidRPr="0081057F">
        <w:rPr>
          <w:i/>
          <w:lang w:val="de-DE"/>
        </w:rPr>
        <w:t>Academy of Management Review</w:t>
      </w:r>
      <w:r w:rsidRPr="0081057F">
        <w:rPr>
          <w:lang w:val="de-DE"/>
        </w:rPr>
        <w:t>, 35: 246-264.</w:t>
      </w:r>
    </w:p>
    <w:p w14:paraId="0CB6F9B3" w14:textId="17B32022" w:rsidR="0018580D" w:rsidRPr="0081057F" w:rsidRDefault="0018580D" w:rsidP="00177FAD">
      <w:pPr>
        <w:pStyle w:val="Paragraph"/>
        <w:jc w:val="both"/>
        <w:rPr>
          <w:rFonts w:eastAsiaTheme="majorEastAsia"/>
          <w:lang w:val="de-DE"/>
        </w:rPr>
        <w:sectPr w:rsidR="0018580D" w:rsidRPr="0081057F" w:rsidSect="00794C6C">
          <w:headerReference w:type="default" r:id="rId70"/>
          <w:pgSz w:w="11906" w:h="16838"/>
          <w:pgMar w:top="1417" w:right="1417" w:bottom="1134" w:left="1417" w:header="709" w:footer="709" w:gutter="0"/>
          <w:cols w:space="708"/>
          <w:docGrid w:linePitch="360"/>
        </w:sectPr>
      </w:pPr>
    </w:p>
    <w:p w14:paraId="7A22063C" w14:textId="1589AA41" w:rsidR="005F5787" w:rsidRDefault="003A0A9A" w:rsidP="003A0A9A">
      <w:pPr>
        <w:pStyle w:val="berschrift1"/>
      </w:pPr>
      <w:bookmarkStart w:id="659" w:name="_Toc180963633"/>
      <w:r>
        <w:lastRenderedPageBreak/>
        <w:t>AFFIDAVIT</w:t>
      </w:r>
      <w:bookmarkEnd w:id="659"/>
    </w:p>
    <w:p w14:paraId="1F12407B" w14:textId="50CA9579" w:rsidR="007270C2" w:rsidRDefault="007270C2" w:rsidP="004800A4">
      <w:r>
        <w:t>Ich erkläre hiermit, dass ich die vorgelegten und nachfolgend aufgelisteten Aufsätze selbstständig und nur mit den Hilfen angefertigt habe, die im jeweiligen Aufsatz angegeben oder zusätzlich in der nachfolgenden Liste aufgeführt sind. In der Zusammenarbeit mit den angeführten Koautoren war ich mindestens anteilig beteiligt. Bei den von mir durchgeführten und in den Aufsätzen erwähnten Untersuchungen habe ich die Grundsätze guter wissenschaftlicher Praxis, wie sie in der Satzung der Justus-Liebig-Universität Gießen zur Sicherung guter wissenschaftlicher Praxis niedergelegt sind, eingehalten.</w:t>
      </w:r>
    </w:p>
    <w:p w14:paraId="387992E3" w14:textId="77777777" w:rsidR="007270C2" w:rsidRDefault="007270C2" w:rsidP="007270C2"/>
    <w:p w14:paraId="0BEF663C" w14:textId="6EFBB073" w:rsidR="007270C2" w:rsidRDefault="00E24BB9" w:rsidP="007270C2">
      <w:r>
        <w:t>Gießen, 28. Oktober 2024</w:t>
      </w:r>
    </w:p>
    <w:p w14:paraId="33BFAD7D" w14:textId="77777777" w:rsidR="00E24BB9" w:rsidRDefault="00E24BB9" w:rsidP="007270C2"/>
    <w:p w14:paraId="595627EB" w14:textId="77777777" w:rsidR="00E24BB9" w:rsidRDefault="00E24BB9" w:rsidP="007270C2"/>
    <w:p w14:paraId="7E454C1D" w14:textId="77777777" w:rsidR="0018580D" w:rsidRDefault="0018580D" w:rsidP="007270C2"/>
    <w:p w14:paraId="76BD1292" w14:textId="1BEDD995" w:rsidR="00E24BB9" w:rsidRDefault="00E24BB9" w:rsidP="007270C2">
      <w:r>
        <w:t>(Marius Brede)</w:t>
      </w:r>
    </w:p>
    <w:p w14:paraId="1740BEF8" w14:textId="77777777" w:rsidR="00E24BB9" w:rsidRDefault="00E24BB9" w:rsidP="007270C2"/>
    <w:p w14:paraId="541E018E" w14:textId="77777777" w:rsidR="008267AB" w:rsidRDefault="008267AB" w:rsidP="007270C2"/>
    <w:p w14:paraId="31F2B7AE" w14:textId="77777777" w:rsidR="00E24BB9" w:rsidRDefault="00E24BB9" w:rsidP="007270C2"/>
    <w:p w14:paraId="0E852332" w14:textId="06439AB4" w:rsidR="00E24BB9" w:rsidRPr="006413AE" w:rsidRDefault="00E24BB9">
      <w:pPr>
        <w:pStyle w:val="Listenabsatz"/>
        <w:numPr>
          <w:ilvl w:val="0"/>
          <w:numId w:val="20"/>
        </w:numPr>
        <w:rPr>
          <w:lang w:val="en-US"/>
        </w:rPr>
      </w:pPr>
      <w:r>
        <w:t>Brede, M., Kraft, P. S., &amp; Bausch, A. (2024)</w:t>
      </w:r>
      <w:r w:rsidR="006413AE">
        <w:t xml:space="preserve">. </w:t>
      </w:r>
      <w:r w:rsidR="006413AE" w:rsidRPr="006413AE">
        <w:rPr>
          <w:lang w:val="en-US"/>
        </w:rPr>
        <w:t xml:space="preserve">Board Interlocks and Firm Performance: A Meta-Analysis. </w:t>
      </w:r>
      <w:r w:rsidR="006413AE" w:rsidRPr="006413AE">
        <w:rPr>
          <w:i/>
          <w:iCs/>
          <w:lang w:val="en-US"/>
        </w:rPr>
        <w:t>Working Paper</w:t>
      </w:r>
    </w:p>
    <w:p w14:paraId="7243DC4D" w14:textId="4E98DD5D" w:rsidR="00E24BB9" w:rsidRPr="00A34421" w:rsidRDefault="00E24BB9">
      <w:pPr>
        <w:pStyle w:val="Listenabsatz"/>
        <w:numPr>
          <w:ilvl w:val="0"/>
          <w:numId w:val="20"/>
        </w:numPr>
        <w:rPr>
          <w:lang w:val="en-US"/>
        </w:rPr>
      </w:pPr>
      <w:r w:rsidRPr="00A34421">
        <w:rPr>
          <w:lang w:val="en-US"/>
        </w:rPr>
        <w:t>Brede, M., &amp; Bausch, A. (2024)</w:t>
      </w:r>
      <w:r w:rsidR="006413AE" w:rsidRPr="00A34421">
        <w:rPr>
          <w:lang w:val="en-US"/>
        </w:rPr>
        <w:t xml:space="preserve">. Resource Appropriation in Strategic Alliances: The Impact of Board Interlocks on Differential Benefits. </w:t>
      </w:r>
      <w:r w:rsidR="006413AE" w:rsidRPr="00A34421">
        <w:rPr>
          <w:i/>
          <w:iCs/>
          <w:lang w:val="en-US"/>
        </w:rPr>
        <w:t>Working Paper</w:t>
      </w:r>
    </w:p>
    <w:p w14:paraId="0FBDBDE0" w14:textId="57DAD54B" w:rsidR="00A34421" w:rsidRPr="00A34421" w:rsidRDefault="00E24BB9" w:rsidP="00694A14">
      <w:pPr>
        <w:pStyle w:val="Listenabsatz"/>
        <w:numPr>
          <w:ilvl w:val="0"/>
          <w:numId w:val="20"/>
        </w:numPr>
        <w:rPr>
          <w:lang w:val="en-US"/>
        </w:rPr>
      </w:pPr>
      <w:r w:rsidRPr="00A34421">
        <w:t xml:space="preserve">Brede, M., </w:t>
      </w:r>
      <w:r w:rsidR="006413AE" w:rsidRPr="00A34421">
        <w:t>Gerstel, H., Wöhrmann, A., &amp;</w:t>
      </w:r>
      <w:r w:rsidRPr="00A34421">
        <w:t xml:space="preserve"> Bausch, A. (</w:t>
      </w:r>
      <w:r w:rsidR="00A34421" w:rsidRPr="00A34421">
        <w:t>2024</w:t>
      </w:r>
      <w:r w:rsidRPr="00A34421">
        <w:t>)</w:t>
      </w:r>
      <w:r w:rsidR="006413AE" w:rsidRPr="00A34421">
        <w:t xml:space="preserve">. </w:t>
      </w:r>
      <w:r w:rsidR="00A34421" w:rsidRPr="00A34421">
        <w:rPr>
          <w:lang w:val="en-US"/>
        </w:rPr>
        <w:t>Mind the gap: the effect of cultural distance on mergers and acquisitions—evidence from glassdoor reviews</w:t>
      </w:r>
      <w:r w:rsidR="006413AE" w:rsidRPr="00A34421">
        <w:rPr>
          <w:lang w:val="en-US"/>
        </w:rPr>
        <w:t xml:space="preserve">. </w:t>
      </w:r>
      <w:r w:rsidR="006413AE" w:rsidRPr="00A34421">
        <w:rPr>
          <w:i/>
          <w:iCs/>
          <w:lang w:val="en-US"/>
        </w:rPr>
        <w:t>Review of Managerial Science</w:t>
      </w:r>
      <w:r w:rsidR="006413AE" w:rsidRPr="00A34421">
        <w:rPr>
          <w:lang w:val="en-US"/>
        </w:rPr>
        <w:t>.</w:t>
      </w:r>
      <w:r w:rsidR="00A34421" w:rsidRPr="00A34421">
        <w:rPr>
          <w:lang w:val="en-US"/>
        </w:rPr>
        <w:t xml:space="preserve"> 10.1007/s11846-024-00811-8.</w:t>
      </w:r>
    </w:p>
    <w:sectPr w:rsidR="00A34421" w:rsidRPr="00A34421" w:rsidSect="00794C6C">
      <w:headerReference w:type="default" r:id="rId71"/>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88118" w14:textId="77777777" w:rsidR="006D2003" w:rsidRDefault="006D2003" w:rsidP="00142BA0">
      <w:pPr>
        <w:spacing w:line="240" w:lineRule="auto"/>
      </w:pPr>
      <w:r>
        <w:separator/>
      </w:r>
    </w:p>
    <w:p w14:paraId="511D285F" w14:textId="77777777" w:rsidR="006D2003" w:rsidRDefault="006D2003"/>
  </w:endnote>
  <w:endnote w:type="continuationSeparator" w:id="0">
    <w:p w14:paraId="066B4257" w14:textId="77777777" w:rsidR="006D2003" w:rsidRDefault="006D2003" w:rsidP="00142BA0">
      <w:pPr>
        <w:spacing w:line="240" w:lineRule="auto"/>
      </w:pPr>
      <w:r>
        <w:continuationSeparator/>
      </w:r>
    </w:p>
    <w:p w14:paraId="5BDCA758" w14:textId="77777777" w:rsidR="006D2003" w:rsidRDefault="006D2003"/>
  </w:endnote>
  <w:endnote w:id="1">
    <w:p w14:paraId="6F937187" w14:textId="77777777" w:rsidR="006822EF" w:rsidRPr="004F0D7F" w:rsidRDefault="006822EF" w:rsidP="00921EC5">
      <w:pPr>
        <w:pStyle w:val="Endnotentext"/>
        <w:jc w:val="both"/>
        <w:rPr>
          <w:i/>
          <w:iCs/>
        </w:rPr>
      </w:pPr>
      <w:r w:rsidRPr="004F0D7F">
        <w:rPr>
          <w:rStyle w:val="Endnotenzeichen"/>
        </w:rPr>
        <w:endnoteRef/>
      </w:r>
      <w:r w:rsidRPr="004F0D7F">
        <w:rPr>
          <w:i/>
          <w:iCs/>
        </w:rPr>
        <w:t xml:space="preserve"> Academy of Management Journal, </w:t>
      </w:r>
      <w:r w:rsidRPr="004F0D7F">
        <w:rPr>
          <w:rFonts w:eastAsia="SimSun"/>
          <w:i/>
          <w:iCs/>
          <w:kern w:val="2"/>
          <w:lang w:eastAsia="zh-CN"/>
        </w:rPr>
        <w:t xml:space="preserve">Accounting Review, </w:t>
      </w:r>
      <w:r w:rsidRPr="004F0D7F">
        <w:rPr>
          <w:i/>
          <w:iCs/>
        </w:rPr>
        <w:t xml:space="preserve">Administrative Science Quarterly, </w:t>
      </w:r>
      <w:r w:rsidRPr="004F0D7F">
        <w:rPr>
          <w:rFonts w:eastAsia="SimSun"/>
          <w:i/>
          <w:iCs/>
          <w:kern w:val="2"/>
          <w:lang w:eastAsia="zh-CN"/>
        </w:rPr>
        <w:t>Corporate Governance</w:t>
      </w:r>
      <w:r w:rsidRPr="004F0D7F">
        <w:rPr>
          <w:i/>
          <w:iCs/>
        </w:rPr>
        <w:t xml:space="preserve"> – An international review, </w:t>
      </w:r>
      <w:r w:rsidRPr="004F0D7F">
        <w:rPr>
          <w:rFonts w:eastAsia="SimSun"/>
          <w:i/>
          <w:iCs/>
          <w:kern w:val="2"/>
          <w:lang w:eastAsia="zh-CN"/>
        </w:rPr>
        <w:t xml:space="preserve">International Business Review, </w:t>
      </w:r>
      <w:r w:rsidRPr="004F0D7F">
        <w:rPr>
          <w:i/>
          <w:iCs/>
        </w:rPr>
        <w:t xml:space="preserve">Journal of Corporate Finance, Journal of Family Business Strategy, The Journal of Finance, Journal of Financial Economics, Journal of Management, Journal of Management Studies, Journal of Small Business Management, </w:t>
      </w:r>
      <w:r w:rsidRPr="004F0D7F">
        <w:rPr>
          <w:rFonts w:eastAsia="SimSun"/>
          <w:i/>
          <w:iCs/>
          <w:kern w:val="2"/>
          <w:lang w:eastAsia="zh-CN"/>
        </w:rPr>
        <w:t xml:space="preserve">Long Range Planning, </w:t>
      </w:r>
      <w:r w:rsidRPr="004F0D7F">
        <w:rPr>
          <w:i/>
          <w:iCs/>
        </w:rPr>
        <w:t xml:space="preserve">Management Science, Organization Science, </w:t>
      </w:r>
    </w:p>
    <w:p w14:paraId="06774DB8" w14:textId="77777777" w:rsidR="006822EF" w:rsidRPr="004F0D7F" w:rsidRDefault="006822EF" w:rsidP="00921EC5">
      <w:pPr>
        <w:pStyle w:val="Endnotentext"/>
        <w:jc w:val="both"/>
        <w:rPr>
          <w:i/>
          <w:iCs/>
        </w:rPr>
      </w:pPr>
      <w:r w:rsidRPr="004F0D7F">
        <w:rPr>
          <w:i/>
          <w:iCs/>
        </w:rPr>
        <w:t xml:space="preserve">Organization Studies, </w:t>
      </w:r>
      <w:r w:rsidRPr="004F0D7F">
        <w:rPr>
          <w:rFonts w:eastAsia="SimSun"/>
          <w:i/>
          <w:iCs/>
          <w:kern w:val="2"/>
          <w:lang w:eastAsia="zh-CN"/>
        </w:rPr>
        <w:t xml:space="preserve">Strategic Organization, </w:t>
      </w:r>
      <w:r w:rsidRPr="004F0D7F">
        <w:rPr>
          <w:i/>
          <w:iCs/>
        </w:rPr>
        <w:t>Strategic Entrepreneurship Journal, and Strategic Management Journal</w:t>
      </w:r>
    </w:p>
  </w:endnote>
  <w:endnote w:id="2">
    <w:p w14:paraId="29ED411F" w14:textId="77777777" w:rsidR="006822EF" w:rsidRPr="004F0D7F" w:rsidRDefault="006822EF" w:rsidP="00921EC5">
      <w:pPr>
        <w:pStyle w:val="Endnotentext"/>
        <w:jc w:val="both"/>
      </w:pPr>
      <w:r w:rsidRPr="004F0D7F">
        <w:rPr>
          <w:rStyle w:val="Endnotenzeichen"/>
        </w:rPr>
        <w:endnoteRef/>
      </w:r>
      <w:r w:rsidRPr="004F0D7F">
        <w:t xml:space="preserve"> Studies reporting only beta coefficients were excluded from our meta-analysis because estimation procedures based on correlation coefficients often significantly outperform beta estimation procedures (Roth et al., 2018).</w:t>
      </w:r>
    </w:p>
  </w:endnote>
  <w:endnote w:id="3">
    <w:p w14:paraId="0DE7FB5C" w14:textId="77777777" w:rsidR="006822EF" w:rsidRPr="004F0D7F" w:rsidRDefault="006822EF" w:rsidP="00921EC5">
      <w:pPr>
        <w:pStyle w:val="Endnotentext"/>
        <w:jc w:val="both"/>
      </w:pPr>
      <w:r w:rsidRPr="004F0D7F">
        <w:rPr>
          <w:rStyle w:val="Endnotenzeichen"/>
        </w:rPr>
        <w:endnoteRef/>
      </w:r>
      <w:r w:rsidRPr="004F0D7F">
        <w:t xml:space="preserve"> Accounting-based measures include </w:t>
      </w:r>
      <w:r w:rsidRPr="004F0D7F">
        <w:rPr>
          <w:i/>
          <w:iCs/>
        </w:rPr>
        <w:t>Free Cashflow, Growth, Net income, Revenue, Return on Assets Return on capital employed (ROCE), Return on equity (ROE), Return on sales (ROS), and Sales</w:t>
      </w:r>
    </w:p>
  </w:endnote>
  <w:endnote w:id="4">
    <w:p w14:paraId="17A2BBA3" w14:textId="77777777" w:rsidR="006822EF" w:rsidRPr="004F0D7F" w:rsidRDefault="006822EF" w:rsidP="00921EC5">
      <w:pPr>
        <w:pStyle w:val="Endnotentext"/>
        <w:jc w:val="both"/>
        <w:rPr>
          <w:i/>
          <w:iCs/>
        </w:rPr>
      </w:pPr>
      <w:r w:rsidRPr="004F0D7F">
        <w:rPr>
          <w:rStyle w:val="Endnotenzeichen"/>
        </w:rPr>
        <w:endnoteRef/>
      </w:r>
      <w:r w:rsidRPr="004F0D7F">
        <w:t xml:space="preserve"> Market-based measures include </w:t>
      </w:r>
      <w:r w:rsidRPr="004F0D7F">
        <w:rPr>
          <w:i/>
          <w:iCs/>
        </w:rPr>
        <w:t>Cumulative abnormal return (CAR), Market-to-book Ratio, Tobin’s Q, and Shareholder Return</w:t>
      </w:r>
    </w:p>
  </w:endnote>
  <w:endnote w:id="5">
    <w:p w14:paraId="59050D11" w14:textId="77777777" w:rsidR="006822EF" w:rsidRPr="004F0D7F" w:rsidRDefault="006822EF" w:rsidP="00921EC5">
      <w:pPr>
        <w:pStyle w:val="Endnotentext"/>
        <w:jc w:val="both"/>
      </w:pPr>
      <w:r w:rsidRPr="004F0D7F">
        <w:rPr>
          <w:rStyle w:val="Endnotenzeichen"/>
        </w:rPr>
        <w:endnoteRef/>
      </w:r>
      <w:r w:rsidRPr="004F0D7F">
        <w:t>A discussion on common methods for handling dependent effect sizes in the context of meta-analysis can be found at Cheung (2014c).</w:t>
      </w:r>
    </w:p>
  </w:endnote>
  <w:endnote w:id="6">
    <w:p w14:paraId="31D32F80" w14:textId="77777777" w:rsidR="006822EF" w:rsidRPr="004F0D7F" w:rsidRDefault="006822EF" w:rsidP="00921EC5">
      <w:pPr>
        <w:pStyle w:val="Endnotentext"/>
        <w:jc w:val="both"/>
      </w:pPr>
      <w:r w:rsidRPr="004F0D7F">
        <w:rPr>
          <w:rStyle w:val="Endnotenzeichen"/>
        </w:rPr>
        <w:endnoteRef/>
      </w:r>
      <w:r w:rsidRPr="004F0D7F">
        <w:t xml:space="preserve">  We included the pooled correlation matrix only for transparency, as OSMASEM does not rely on the two-step process often used by other MASEM procedures, where a pooled correlation matrix is first generated and then path effects are estimated (Viswesvaran &amp; Ones, 1995). The pooled correlation matrix was generated using the tssem1 function from the metaSEM package (Cheung, 2014b), which is used to perform the first step of the TSSEM approach.</w:t>
      </w:r>
    </w:p>
  </w:endnote>
  <w:endnote w:id="7">
    <w:p w14:paraId="4EFCDAF6" w14:textId="5E4B94F6" w:rsidR="006822EF" w:rsidRPr="00A42CC8" w:rsidRDefault="006822EF" w:rsidP="004F0D7F">
      <w:pPr>
        <w:pStyle w:val="Endnotentext"/>
        <w:jc w:val="both"/>
      </w:pPr>
      <w:r w:rsidRPr="004F0D7F">
        <w:rPr>
          <w:rStyle w:val="Endnotenzeichen"/>
        </w:rPr>
        <w:endnoteRef/>
      </w:r>
      <w:r w:rsidRPr="004F0D7F">
        <w:t xml:space="preserve"> The direct effects pertain to the influence that board interlocks have on firm performance without the involvement of mediators. In contrast, the indirect effects are the result of the pathways connecting board interlocks to resource provision and agency costs, which in turn impact firm performance. The overall effects are the combined sum of both the direct and indirect effects.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Helvetica">
    <w:panose1 w:val="00000000000000000000"/>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557965"/>
      <w:docPartObj>
        <w:docPartGallery w:val="Page Numbers (Bottom of Page)"/>
        <w:docPartUnique/>
      </w:docPartObj>
    </w:sdtPr>
    <w:sdtContent>
      <w:p w14:paraId="7A0BA242" w14:textId="6C67220D" w:rsidR="00C24D10" w:rsidRDefault="00C24D10">
        <w:pPr>
          <w:pStyle w:val="Fuzeile"/>
          <w:jc w:val="right"/>
        </w:pPr>
        <w:r>
          <w:t xml:space="preserve">Introduction | </w:t>
        </w:r>
        <w:r>
          <w:fldChar w:fldCharType="begin"/>
        </w:r>
        <w:r>
          <w:instrText>PAGE   \* MERGEFORMAT</w:instrText>
        </w:r>
        <w:r>
          <w:fldChar w:fldCharType="separate"/>
        </w:r>
        <w:r>
          <w:rPr>
            <w:noProof/>
          </w:rPr>
          <w:t>3</w:t>
        </w:r>
        <w:r>
          <w:fldChar w:fldCharType="end"/>
        </w:r>
      </w:p>
    </w:sdtContent>
  </w:sdt>
  <w:p w14:paraId="2B5CC197" w14:textId="77777777" w:rsidR="00C24D10" w:rsidRDefault="00C24D10">
    <w:pPr>
      <w:pStyle w:val="Fuzeil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411370"/>
      <w:docPartObj>
        <w:docPartGallery w:val="Page Numbers (Bottom of Page)"/>
        <w:docPartUnique/>
      </w:docPartObj>
    </w:sdtPr>
    <w:sdtContent>
      <w:p w14:paraId="57B342AC" w14:textId="77777777" w:rsidR="00406027" w:rsidRDefault="00406027">
        <w:pPr>
          <w:pStyle w:val="Fuzeile"/>
          <w:jc w:val="right"/>
        </w:pPr>
        <w:r>
          <w:fldChar w:fldCharType="begin"/>
        </w:r>
        <w:r>
          <w:instrText>PAGE   \* MERGEFORMAT</w:instrText>
        </w:r>
        <w:r>
          <w:fldChar w:fldCharType="separate"/>
        </w:r>
        <w:r>
          <w:t>2</w:t>
        </w:r>
        <w:r>
          <w:fldChar w:fldCharType="end"/>
        </w:r>
      </w:p>
    </w:sdtContent>
  </w:sdt>
  <w:p w14:paraId="1311AD49" w14:textId="77777777" w:rsidR="00406027" w:rsidRDefault="00406027">
    <w:pPr>
      <w:pStyle w:val="Fuzeile"/>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1718067"/>
      <w:docPartObj>
        <w:docPartGallery w:val="Page Numbers (Bottom of Page)"/>
        <w:docPartUnique/>
      </w:docPartObj>
    </w:sdtPr>
    <w:sdtContent>
      <w:p w14:paraId="6589C794" w14:textId="0F020815" w:rsidR="00D03577" w:rsidRPr="0085320F" w:rsidRDefault="00D03577" w:rsidP="0085320F">
        <w:pPr>
          <w:pStyle w:val="Fuzeile"/>
          <w:jc w:val="right"/>
          <w:rPr>
            <w:lang w:val="en-US"/>
          </w:rPr>
        </w:pPr>
        <w:r>
          <w:fldChar w:fldCharType="begin"/>
        </w:r>
        <w:r w:rsidRPr="0085320F">
          <w:rPr>
            <w:lang w:val="en-US"/>
          </w:rPr>
          <w:instrText>PAGE   \* MERGEFORMAT</w:instrText>
        </w:r>
        <w:r>
          <w:fldChar w:fldCharType="separate"/>
        </w:r>
        <w:r>
          <w:rPr>
            <w:noProof/>
            <w:lang w:val="en-US"/>
          </w:rPr>
          <w:t>11</w:t>
        </w:r>
        <w:r>
          <w:fldChar w:fldCharType="end"/>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684964"/>
      <w:docPartObj>
        <w:docPartGallery w:val="Page Numbers (Bottom of Page)"/>
        <w:docPartUnique/>
      </w:docPartObj>
    </w:sdtPr>
    <w:sdtContent>
      <w:p w14:paraId="2A7E09D2" w14:textId="23F73860" w:rsidR="00403DA7" w:rsidRDefault="00403DA7" w:rsidP="004F0D7F">
        <w:pPr>
          <w:pStyle w:val="Fuzeile"/>
          <w:jc w:val="right"/>
        </w:pPr>
        <w:r>
          <w:fldChar w:fldCharType="begin"/>
        </w:r>
        <w:r>
          <w:instrText>PAGE   \* MERGEFORMAT</w:instrText>
        </w:r>
        <w:r>
          <w:fldChar w:fldCharType="separate"/>
        </w:r>
        <w:r>
          <w:t>2</w:t>
        </w:r>
        <w: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0039529"/>
      <w:docPartObj>
        <w:docPartGallery w:val="Page Numbers (Bottom of Page)"/>
        <w:docPartUnique/>
      </w:docPartObj>
    </w:sdtPr>
    <w:sdtEndPr>
      <w:rPr>
        <w:color w:val="FFFFFF" w:themeColor="background1"/>
      </w:rPr>
    </w:sdtEndPr>
    <w:sdtContent>
      <w:p w14:paraId="2E5C2563" w14:textId="77777777" w:rsidR="00403DA7" w:rsidRPr="003B7AA2" w:rsidRDefault="00403DA7">
        <w:pPr>
          <w:pStyle w:val="Fuzeile"/>
          <w:jc w:val="right"/>
          <w:rPr>
            <w:color w:val="FFFFFF" w:themeColor="background1"/>
          </w:rPr>
        </w:pPr>
        <w:r w:rsidRPr="003B7AA2">
          <w:rPr>
            <w:color w:val="FFFFFF" w:themeColor="background1"/>
          </w:rPr>
          <w:fldChar w:fldCharType="begin"/>
        </w:r>
        <w:r w:rsidRPr="003B7AA2">
          <w:rPr>
            <w:color w:val="FFFFFF" w:themeColor="background1"/>
          </w:rPr>
          <w:instrText>PAGE   \* MERGEFORMAT</w:instrText>
        </w:r>
        <w:r w:rsidRPr="003B7AA2">
          <w:rPr>
            <w:color w:val="FFFFFF" w:themeColor="background1"/>
          </w:rPr>
          <w:fldChar w:fldCharType="separate"/>
        </w:r>
        <w:r w:rsidRPr="003B7AA2">
          <w:rPr>
            <w:color w:val="FFFFFF" w:themeColor="background1"/>
          </w:rPr>
          <w:t>2</w:t>
        </w:r>
        <w:r w:rsidRPr="003B7AA2">
          <w:rPr>
            <w:color w:val="FFFFFF" w:themeColor="background1"/>
          </w:rPr>
          <w:fldChar w:fldCharType="end"/>
        </w:r>
      </w:p>
    </w:sdtContent>
  </w:sdt>
  <w:p w14:paraId="20131079" w14:textId="77777777" w:rsidR="00403DA7" w:rsidRDefault="00403DA7">
    <w:pPr>
      <w:pStyle w:val="Fuzeile"/>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82F11" w14:textId="77777777" w:rsidR="00403DA7" w:rsidRDefault="00403DA7">
    <w:pPr>
      <w:pStyle w:val="Fuzeile"/>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489683"/>
      <w:docPartObj>
        <w:docPartGallery w:val="Page Numbers (Bottom of Page)"/>
        <w:docPartUnique/>
      </w:docPartObj>
    </w:sdtPr>
    <w:sdtContent>
      <w:p w14:paraId="0B1D89A0" w14:textId="77777777" w:rsidR="00403DA7" w:rsidRDefault="00403DA7">
        <w:pPr>
          <w:pStyle w:val="Fuzeile"/>
          <w:jc w:val="right"/>
        </w:pPr>
        <w:r>
          <w:fldChar w:fldCharType="begin"/>
        </w:r>
        <w:r>
          <w:instrText>PAGE   \* MERGEFORMAT</w:instrText>
        </w:r>
        <w:r>
          <w:fldChar w:fldCharType="separate"/>
        </w:r>
        <w:r>
          <w:t>2</w:t>
        </w:r>
        <w:r>
          <w:fldChar w:fldCharType="end"/>
        </w:r>
      </w:p>
    </w:sdtContent>
  </w:sdt>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959083"/>
      <w:docPartObj>
        <w:docPartGallery w:val="Page Numbers (Bottom of Page)"/>
        <w:docPartUnique/>
      </w:docPartObj>
    </w:sdtPr>
    <w:sdtContent>
      <w:p w14:paraId="03D2B484" w14:textId="77777777" w:rsidR="00403DA7" w:rsidRDefault="00403DA7">
        <w:pPr>
          <w:pStyle w:val="Fuzeile"/>
          <w:jc w:val="right"/>
        </w:pPr>
        <w:r>
          <w:fldChar w:fldCharType="begin"/>
        </w:r>
        <w:r>
          <w:instrText>PAGE   \* MERGEFORMAT</w:instrText>
        </w:r>
        <w:r>
          <w:fldChar w:fldCharType="separate"/>
        </w:r>
        <w:r>
          <w:t>2</w:t>
        </w:r>
        <w:r>
          <w:fldChar w:fldCharType="end"/>
        </w:r>
      </w:p>
    </w:sdtContent>
  </w:sdt>
  <w:p w14:paraId="4563DF5B" w14:textId="77777777" w:rsidR="00403DA7" w:rsidRDefault="00403DA7">
    <w:pPr>
      <w:pStyle w:val="Fuzeile"/>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116C8" w14:textId="77777777" w:rsidR="00403DA7" w:rsidRDefault="00403DA7">
    <w:pPr>
      <w:pStyle w:val="Fuzeile"/>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6525204"/>
      <w:docPartObj>
        <w:docPartGallery w:val="Page Numbers (Bottom of Page)"/>
        <w:docPartUnique/>
      </w:docPartObj>
    </w:sdtPr>
    <w:sdtContent>
      <w:p w14:paraId="19969DB6" w14:textId="77777777" w:rsidR="00403DA7" w:rsidRDefault="00403DA7">
        <w:pPr>
          <w:pStyle w:val="Fuzeile"/>
          <w:jc w:val="right"/>
        </w:pPr>
        <w:r>
          <w:fldChar w:fldCharType="begin"/>
        </w:r>
        <w:r>
          <w:instrText>PAGE   \* MERGEFORMAT</w:instrText>
        </w:r>
        <w:r>
          <w:fldChar w:fldCharType="separate"/>
        </w:r>
        <w:r>
          <w:t>2</w:t>
        </w:r>
        <w:r>
          <w:fldChar w:fldCharType="end"/>
        </w:r>
      </w:p>
    </w:sdtContent>
  </w:sdt>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763595"/>
      <w:docPartObj>
        <w:docPartGallery w:val="Page Numbers (Bottom of Page)"/>
        <w:docPartUnique/>
      </w:docPartObj>
    </w:sdtPr>
    <w:sdtContent>
      <w:p w14:paraId="5F188951" w14:textId="77777777" w:rsidR="00403DA7" w:rsidRDefault="00403DA7">
        <w:pPr>
          <w:pStyle w:val="Fuzeile"/>
          <w:jc w:val="right"/>
        </w:pPr>
        <w:r>
          <w:fldChar w:fldCharType="begin"/>
        </w:r>
        <w:r>
          <w:instrText>PAGE   \* MERGEFORMAT</w:instrText>
        </w:r>
        <w:r>
          <w:fldChar w:fldCharType="separate"/>
        </w:r>
        <w:r>
          <w:t>2</w:t>
        </w:r>
        <w:r>
          <w:fldChar w:fldCharType="end"/>
        </w:r>
      </w:p>
    </w:sdtContent>
  </w:sdt>
  <w:p w14:paraId="4B58CF9A" w14:textId="77777777" w:rsidR="00403DA7" w:rsidRDefault="00403DA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728985"/>
      <w:docPartObj>
        <w:docPartGallery w:val="Page Numbers (Bottom of Page)"/>
        <w:docPartUnique/>
      </w:docPartObj>
    </w:sdtPr>
    <w:sdtContent>
      <w:p w14:paraId="02AA86AA" w14:textId="39F48C08" w:rsidR="00C24D10" w:rsidRDefault="00C24D10" w:rsidP="0085320F">
        <w:pPr>
          <w:pStyle w:val="Fuzeile"/>
          <w:jc w:val="right"/>
        </w:pPr>
        <w:r>
          <w:fldChar w:fldCharType="begin"/>
        </w:r>
        <w:r>
          <w:instrText>PAGE   \* MERGEFORMAT</w:instrText>
        </w:r>
        <w:r>
          <w:fldChar w:fldCharType="separate"/>
        </w:r>
        <w:r w:rsidR="00D9682F">
          <w:rPr>
            <w:noProof/>
          </w:rPr>
          <w:t>5</w:t>
        </w:r>
        <w:r>
          <w:fldChar w:fldCharType="end"/>
        </w:r>
      </w:p>
    </w:sdtContent>
  </w:sdt>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5E03B" w14:textId="77777777" w:rsidR="00403DA7" w:rsidRDefault="00403DA7">
    <w:pPr>
      <w:pStyle w:val="Fuzeile"/>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1501137"/>
      <w:docPartObj>
        <w:docPartGallery w:val="Page Numbers (Bottom of Page)"/>
        <w:docPartUnique/>
      </w:docPartObj>
    </w:sdtPr>
    <w:sdtContent>
      <w:p w14:paraId="05DA03F0" w14:textId="2BFC0809" w:rsidR="00403DA7" w:rsidRDefault="00403DA7" w:rsidP="00174E70">
        <w:pPr>
          <w:pStyle w:val="Fuzeile"/>
          <w:jc w:val="right"/>
        </w:pPr>
        <w:r>
          <w:fldChar w:fldCharType="begin"/>
        </w:r>
        <w:r>
          <w:instrText>PAGE   \* MERGEFORMAT</w:instrText>
        </w:r>
        <w:r>
          <w:fldChar w:fldCharType="separate"/>
        </w:r>
        <w:r>
          <w:t>2</w:t>
        </w:r>
        <w:r>
          <w:fldChar w:fldCharType="end"/>
        </w:r>
      </w:p>
    </w:sdtContent>
  </w:sdt>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194936"/>
      <w:docPartObj>
        <w:docPartGallery w:val="Page Numbers (Bottom of Page)"/>
        <w:docPartUnique/>
      </w:docPartObj>
    </w:sdtPr>
    <w:sdtContent>
      <w:p w14:paraId="00FEA694" w14:textId="77777777" w:rsidR="00403DA7" w:rsidRDefault="00403DA7">
        <w:pPr>
          <w:pStyle w:val="Fuzeile"/>
          <w:jc w:val="right"/>
        </w:pPr>
        <w:r>
          <w:fldChar w:fldCharType="begin"/>
        </w:r>
        <w:r>
          <w:instrText>PAGE   \* MERGEFORMAT</w:instrText>
        </w:r>
        <w:r>
          <w:fldChar w:fldCharType="separate"/>
        </w:r>
        <w:r>
          <w:t>2</w:t>
        </w:r>
        <w:r>
          <w:fldChar w:fldCharType="end"/>
        </w:r>
      </w:p>
    </w:sdtContent>
  </w:sdt>
  <w:p w14:paraId="44493DB4" w14:textId="77777777" w:rsidR="00403DA7" w:rsidRDefault="00403DA7">
    <w:pPr>
      <w:pStyle w:val="Fuzeile"/>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E7B25" w14:textId="209BE8CF" w:rsidR="005F5787" w:rsidRDefault="00000000" w:rsidP="00174E70">
    <w:pPr>
      <w:pStyle w:val="Fuzeile"/>
      <w:jc w:val="right"/>
    </w:pPr>
    <w:sdt>
      <w:sdtPr>
        <w:id w:val="-403528875"/>
        <w:docPartObj>
          <w:docPartGallery w:val="Page Numbers (Bottom of Page)"/>
          <w:docPartUnique/>
        </w:docPartObj>
      </w:sdtPr>
      <w:sdtContent>
        <w:r w:rsidR="005F5787">
          <w:fldChar w:fldCharType="begin"/>
        </w:r>
        <w:r w:rsidR="005F5787">
          <w:instrText>PAGE   \* MERGEFORMAT</w:instrText>
        </w:r>
        <w:r w:rsidR="005F5787">
          <w:fldChar w:fldCharType="separate"/>
        </w:r>
        <w:r w:rsidR="005F5787">
          <w:t>2</w:t>
        </w:r>
        <w:r w:rsidR="005F5787">
          <w:fldChar w:fldCharType="end"/>
        </w:r>
      </w:sdtContent>
    </w:sdt>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1661679"/>
      <w:docPartObj>
        <w:docPartGallery w:val="Page Numbers (Bottom of Page)"/>
        <w:docPartUnique/>
      </w:docPartObj>
    </w:sdtPr>
    <w:sdtContent>
      <w:p w14:paraId="3F4ABDBC" w14:textId="77777777" w:rsidR="00D14819" w:rsidRDefault="00D14819">
        <w:pPr>
          <w:pStyle w:val="Fuzeile"/>
          <w:jc w:val="right"/>
        </w:pPr>
        <w:r>
          <w:fldChar w:fldCharType="begin"/>
        </w:r>
        <w:r>
          <w:instrText>PAGE   \* MERGEFORMAT</w:instrText>
        </w:r>
        <w:r>
          <w:fldChar w:fldCharType="separate"/>
        </w:r>
        <w:r>
          <w:t>2</w:t>
        </w:r>
        <w:r>
          <w:fldChar w:fldCharType="end"/>
        </w:r>
      </w:p>
    </w:sdtContent>
  </w:sdt>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4523156"/>
      <w:docPartObj>
        <w:docPartGallery w:val="Page Numbers (Bottom of Page)"/>
        <w:docPartUnique/>
      </w:docPartObj>
    </w:sdtPr>
    <w:sdtContent>
      <w:p w14:paraId="231924AA" w14:textId="6BFA70F2" w:rsidR="00D14819" w:rsidRDefault="00D14819" w:rsidP="008267AB">
        <w:pPr>
          <w:pStyle w:val="Fuzeile"/>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409116"/>
      <w:docPartObj>
        <w:docPartGallery w:val="Page Numbers (Bottom of Page)"/>
        <w:docPartUnique/>
      </w:docPartObj>
    </w:sdtPr>
    <w:sdtContent>
      <w:p w14:paraId="25782929" w14:textId="4BAB9956" w:rsidR="00097991" w:rsidRDefault="00097991">
        <w:pPr>
          <w:pStyle w:val="Fuzeile"/>
          <w:jc w:val="right"/>
        </w:pPr>
        <w:r>
          <w:fldChar w:fldCharType="begin"/>
        </w:r>
        <w:r>
          <w:instrText>PAGE   \* MERGEFORMAT</w:instrText>
        </w:r>
        <w:r>
          <w:fldChar w:fldCharType="separate"/>
        </w:r>
        <w: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2830483"/>
      <w:docPartObj>
        <w:docPartGallery w:val="Page Numbers (Bottom of Page)"/>
        <w:docPartUnique/>
      </w:docPartObj>
    </w:sdtPr>
    <w:sdtContent>
      <w:p w14:paraId="62F0A3BC" w14:textId="77777777" w:rsidR="007B21A5" w:rsidRDefault="007B21A5" w:rsidP="0085320F">
        <w:pPr>
          <w:pStyle w:val="Fuzeile"/>
          <w:jc w:val="right"/>
        </w:pPr>
        <w:r>
          <w:fldChar w:fldCharType="begin"/>
        </w:r>
        <w:r>
          <w:instrText>PAGE   \* MERGEFORMAT</w:instrText>
        </w:r>
        <w:r>
          <w:fldChar w:fldCharType="separate"/>
        </w:r>
        <w:r>
          <w:rPr>
            <w:noProof/>
          </w:rPr>
          <w:t>6</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C8FD1" w14:textId="77777777" w:rsidR="006822EF" w:rsidRDefault="006822EF">
    <w:pPr>
      <w:pStyle w:val="Fu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E9239" w14:textId="77777777" w:rsidR="006822EF" w:rsidRDefault="00000000" w:rsidP="001D4681">
    <w:pPr>
      <w:pStyle w:val="Fuzeile"/>
      <w:jc w:val="right"/>
    </w:pPr>
    <w:sdt>
      <w:sdtPr>
        <w:id w:val="872894505"/>
        <w:docPartObj>
          <w:docPartGallery w:val="Page Numbers (Bottom of Page)"/>
          <w:docPartUnique/>
        </w:docPartObj>
      </w:sdtPr>
      <w:sdtContent>
        <w:r w:rsidR="006822EF">
          <w:fldChar w:fldCharType="begin"/>
        </w:r>
        <w:r w:rsidR="006822EF">
          <w:instrText>PAGE   \* MERGEFORMAT</w:instrText>
        </w:r>
        <w:r w:rsidR="006822EF">
          <w:fldChar w:fldCharType="separate"/>
        </w:r>
        <w:r w:rsidR="006822EF">
          <w:t>2</w:t>
        </w:r>
        <w:r w:rsidR="006822EF">
          <w:fldChar w:fldCharType="end"/>
        </w:r>
      </w:sdtContent>
    </w:sdt>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5744216"/>
      <w:docPartObj>
        <w:docPartGallery w:val="Page Numbers (Bottom of Page)"/>
        <w:docPartUnique/>
      </w:docPartObj>
    </w:sdtPr>
    <w:sdtContent>
      <w:p w14:paraId="3BA7C917" w14:textId="77777777" w:rsidR="006822EF" w:rsidRDefault="006822EF">
        <w:pPr>
          <w:pStyle w:val="Fuzeile"/>
          <w:jc w:val="right"/>
        </w:pPr>
        <w:r>
          <w:fldChar w:fldCharType="begin"/>
        </w:r>
        <w:r>
          <w:instrText>PAGE   \* MERGEFORMAT</w:instrText>
        </w:r>
        <w:r>
          <w:fldChar w:fldCharType="separate"/>
        </w:r>
        <w:r>
          <w:t>2</w:t>
        </w:r>
        <w:r>
          <w:fldChar w:fldCharType="end"/>
        </w:r>
      </w:p>
    </w:sdtContent>
  </w:sdt>
  <w:p w14:paraId="2EDA4EF3" w14:textId="77777777" w:rsidR="006822EF" w:rsidRDefault="006822EF">
    <w:pPr>
      <w:pStyle w:val="Fuzeil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4A737" w14:textId="77777777" w:rsidR="00406027" w:rsidRDefault="00406027">
    <w:pPr>
      <w:pStyle w:val="Fuzeil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7521E" w14:textId="77777777" w:rsidR="00406027" w:rsidRDefault="00000000" w:rsidP="001D4681">
    <w:pPr>
      <w:pStyle w:val="Fuzeile"/>
      <w:jc w:val="right"/>
    </w:pPr>
    <w:sdt>
      <w:sdtPr>
        <w:id w:val="304292156"/>
        <w:docPartObj>
          <w:docPartGallery w:val="Page Numbers (Bottom of Page)"/>
          <w:docPartUnique/>
        </w:docPartObj>
      </w:sdtPr>
      <w:sdtContent>
        <w:r w:rsidR="00406027">
          <w:fldChar w:fldCharType="begin"/>
        </w:r>
        <w:r w:rsidR="00406027">
          <w:instrText>PAGE   \* MERGEFORMAT</w:instrText>
        </w:r>
        <w:r w:rsidR="00406027">
          <w:fldChar w:fldCharType="separate"/>
        </w:r>
        <w:r w:rsidR="00406027">
          <w:t>2</w:t>
        </w:r>
        <w:r w:rsidR="00406027">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F0736" w14:textId="77777777" w:rsidR="006D2003" w:rsidRDefault="006D2003" w:rsidP="00142BA0">
      <w:pPr>
        <w:spacing w:line="240" w:lineRule="auto"/>
      </w:pPr>
      <w:r>
        <w:separator/>
      </w:r>
    </w:p>
    <w:p w14:paraId="789471AA" w14:textId="77777777" w:rsidR="006D2003" w:rsidRDefault="006D2003"/>
  </w:footnote>
  <w:footnote w:type="continuationSeparator" w:id="0">
    <w:p w14:paraId="3EFC15A2" w14:textId="77777777" w:rsidR="006D2003" w:rsidRDefault="006D2003" w:rsidP="00142BA0">
      <w:pPr>
        <w:spacing w:line="240" w:lineRule="auto"/>
      </w:pPr>
      <w:r>
        <w:continuationSeparator/>
      </w:r>
    </w:p>
    <w:p w14:paraId="67D6B480" w14:textId="77777777" w:rsidR="006D2003" w:rsidRDefault="006D2003"/>
  </w:footnote>
  <w:footnote w:id="1">
    <w:p w14:paraId="28CAA8E9" w14:textId="77777777" w:rsidR="003156EF" w:rsidRPr="00D74AC2" w:rsidRDefault="003156EF" w:rsidP="00D15253">
      <w:pPr>
        <w:pStyle w:val="Funotentext"/>
        <w:ind w:left="142" w:hanging="142"/>
        <w:jc w:val="both"/>
      </w:pPr>
      <w:r>
        <w:rPr>
          <w:rStyle w:val="Funotenzeichen"/>
        </w:rPr>
        <w:footnoteRef/>
      </w:r>
      <w:r w:rsidRPr="00E779DF">
        <w:t xml:space="preserve"> In </w:t>
      </w:r>
      <w:r>
        <w:t xml:space="preserve">models analyzing effects around the announcement date (e.g., announcement cumulative abnormal returns and </w:t>
      </w:r>
      <w:r w:rsidRPr="004A6724">
        <w:t>acquisition premiums</w:t>
      </w:r>
      <w:r>
        <w:t>), we use the year when the deal was publicly announced for the first time by an involved party. In all other deal outcome models, the year fixed effects refer to the year in which the entire deal was completed.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1569" w14:textId="14A5A9F7" w:rsidR="00D92EDA" w:rsidRPr="0051333B" w:rsidRDefault="0051333B" w:rsidP="008B3809">
    <w:pPr>
      <w:pStyle w:val="Paragraph"/>
      <w:ind w:firstLine="0"/>
    </w:pPr>
    <w:r>
      <w:t>INTRODUCTION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D97DB" w14:textId="450AAA90" w:rsidR="009D07DB" w:rsidRPr="005C0D3D" w:rsidRDefault="009D07DB" w:rsidP="005C0D3D">
    <w:pPr>
      <w:pStyle w:val="Kopfzeile"/>
      <w:tabs>
        <w:tab w:val="clear" w:pos="9072"/>
        <w:tab w:val="left" w:pos="6032"/>
      </w:tabs>
      <w:rPr>
        <w:lang w:val="en-US"/>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D3874" w14:textId="77777777" w:rsidR="00403DA7" w:rsidRPr="001A1819" w:rsidRDefault="00403DA7" w:rsidP="001A1819">
    <w:pPr>
      <w:pStyle w:val="Kopfzeile"/>
      <w:rPr>
        <w:lang w:val="en-US"/>
      </w:rPr>
    </w:pPr>
    <w:r>
      <w:ptab w:relativeTo="margin" w:alignment="center" w:leader="none"/>
    </w:r>
    <w:r w:rsidRPr="00D70A3D">
      <w:rPr>
        <w:lang w:val="en-US"/>
      </w:rPr>
      <w:t xml:space="preserve"> </w:t>
    </w:r>
    <w:r>
      <w:rPr>
        <w:lang w:val="en-US"/>
      </w:rPr>
      <w:t>DIRECTOR REPUTATION</w:t>
    </w:r>
    <w:r>
      <w:ptab w:relativeTo="margin" w:alignment="right" w:leader="none"/>
    </w:r>
    <w:r>
      <w:fldChar w:fldCharType="begin"/>
    </w:r>
    <w:r w:rsidRPr="00F800C5">
      <w:rPr>
        <w:lang w:val="en-US"/>
      </w:rPr>
      <w:instrText>PAGE   \* MERGEFORMAT</w:instrText>
    </w:r>
    <w:r>
      <w:fldChar w:fldCharType="separate"/>
    </w:r>
    <w:r>
      <w:rPr>
        <w:noProof/>
        <w:lang w:val="en-US"/>
      </w:rPr>
      <w:t>2</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7A21D" w14:textId="58FA0233" w:rsidR="00403DA7" w:rsidRPr="001A1819" w:rsidRDefault="009D07DB" w:rsidP="009D07DB">
    <w:pPr>
      <w:pStyle w:val="Kopfzeile"/>
      <w:tabs>
        <w:tab w:val="clear" w:pos="9072"/>
        <w:tab w:val="left" w:pos="6032"/>
      </w:tabs>
      <w:rPr>
        <w:lang w:val="en-US"/>
      </w:rPr>
    </w:pPr>
    <w:r>
      <w:rPr>
        <w:lang w:val="en-US"/>
      </w:rPr>
      <w:t>RESOURCE APPROPRIATION IN STRATEGIC ALLIANCES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C192B" w14:textId="77777777" w:rsidR="00403DA7" w:rsidRDefault="00403DA7">
    <w:pPr>
      <w:pStyle w:val="Kopfzeile"/>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EC659" w14:textId="77777777" w:rsidR="00403DA7" w:rsidRPr="001A1819" w:rsidRDefault="00403DA7" w:rsidP="001A1819">
    <w:pPr>
      <w:pStyle w:val="Kopfzeile"/>
      <w:rPr>
        <w:lang w:val="en-US"/>
      </w:rPr>
    </w:pPr>
    <w:r>
      <w:ptab w:relativeTo="margin" w:alignment="center" w:leader="none"/>
    </w:r>
    <w:r w:rsidRPr="00D70A3D">
      <w:rPr>
        <w:lang w:val="en-US"/>
      </w:rPr>
      <w:t xml:space="preserve"> </w:t>
    </w:r>
    <w:r>
      <w:rPr>
        <w:lang w:val="en-US"/>
      </w:rPr>
      <w:t>DIRECTOR REPUTATION</w:t>
    </w:r>
    <w:r>
      <w:ptab w:relativeTo="margin" w:alignment="right" w:leader="none"/>
    </w:r>
    <w:r>
      <w:fldChar w:fldCharType="begin"/>
    </w:r>
    <w:r w:rsidRPr="00F800C5">
      <w:rPr>
        <w:lang w:val="en-US"/>
      </w:rPr>
      <w:instrText>PAGE   \* MERGEFORMAT</w:instrText>
    </w:r>
    <w:r>
      <w:fldChar w:fldCharType="separate"/>
    </w:r>
    <w:r>
      <w:rPr>
        <w:noProof/>
        <w:lang w:val="en-US"/>
      </w:rPr>
      <w:t>2</w: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732CD" w14:textId="6D00AC74" w:rsidR="00403DA7" w:rsidRPr="001A1819" w:rsidRDefault="009D07DB" w:rsidP="009D07DB">
    <w:pPr>
      <w:pStyle w:val="Kopfzeile"/>
      <w:tabs>
        <w:tab w:val="clear" w:pos="9072"/>
        <w:tab w:val="left" w:pos="6032"/>
      </w:tabs>
      <w:rPr>
        <w:lang w:val="en-US"/>
      </w:rPr>
    </w:pPr>
    <w:r>
      <w:rPr>
        <w:lang w:val="en-US"/>
      </w:rPr>
      <w:t>RESOURCE APPROPRIATION IN STRATEGIC ALLIANCES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38036" w14:textId="40900666" w:rsidR="00403DA7" w:rsidRPr="009D07DB" w:rsidRDefault="009D07DB" w:rsidP="009D07DB">
    <w:pPr>
      <w:pStyle w:val="Kopfzeile"/>
      <w:tabs>
        <w:tab w:val="clear" w:pos="9072"/>
        <w:tab w:val="left" w:pos="6032"/>
      </w:tabs>
      <w:rPr>
        <w:lang w:val="en-US"/>
      </w:rPr>
    </w:pPr>
    <w:r>
      <w:rPr>
        <w:lang w:val="en-US"/>
      </w:rPr>
      <w:t>RESOURCE APPROPRIATION IN STRATEGIC ALLIANCES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0642" w14:textId="77777777" w:rsidR="00403DA7" w:rsidRPr="001A1819" w:rsidRDefault="00403DA7" w:rsidP="001A1819">
    <w:pPr>
      <w:pStyle w:val="Kopfzeile"/>
      <w:rPr>
        <w:lang w:val="en-US"/>
      </w:rPr>
    </w:pPr>
    <w:r>
      <w:ptab w:relativeTo="margin" w:alignment="center" w:leader="none"/>
    </w:r>
    <w:r w:rsidRPr="00D70A3D">
      <w:rPr>
        <w:lang w:val="en-US"/>
      </w:rPr>
      <w:t xml:space="preserve"> </w:t>
    </w:r>
    <w:r>
      <w:rPr>
        <w:lang w:val="en-US"/>
      </w:rPr>
      <w:t>DIRECTOR REPUTATION</w:t>
    </w:r>
    <w:r>
      <w:ptab w:relativeTo="margin" w:alignment="right" w:leader="none"/>
    </w:r>
    <w:r>
      <w:fldChar w:fldCharType="begin"/>
    </w:r>
    <w:r w:rsidRPr="00F800C5">
      <w:rPr>
        <w:lang w:val="en-US"/>
      </w:rPr>
      <w:instrText>PAGE   \* MERGEFORMAT</w:instrText>
    </w:r>
    <w:r>
      <w:fldChar w:fldCharType="separate"/>
    </w:r>
    <w:r>
      <w:rPr>
        <w:noProof/>
        <w:lang w:val="en-US"/>
      </w:rPr>
      <w:t>2</w:t>
    </w:r>
    <w: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88F57" w14:textId="259BCC29" w:rsidR="00403DA7" w:rsidRPr="001A1819" w:rsidRDefault="009D07DB" w:rsidP="009D07DB">
    <w:pPr>
      <w:pStyle w:val="Kopfzeile"/>
      <w:tabs>
        <w:tab w:val="clear" w:pos="9072"/>
        <w:tab w:val="left" w:pos="6032"/>
      </w:tabs>
      <w:rPr>
        <w:lang w:val="en-US"/>
      </w:rPr>
    </w:pPr>
    <w:r>
      <w:rPr>
        <w:lang w:val="en-US"/>
      </w:rPr>
      <w:t>RESOURCE APPROPRIATION IN STRATEGIC ALLIANCES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F8565" w14:textId="77777777" w:rsidR="00403DA7" w:rsidRDefault="00403DA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8E349" w14:textId="77777777" w:rsidR="006822EF" w:rsidRPr="001A1819" w:rsidRDefault="006822EF" w:rsidP="001A1819">
    <w:pPr>
      <w:pStyle w:val="Kopfzeile"/>
      <w:rPr>
        <w:lang w:val="en-US"/>
      </w:rPr>
    </w:pPr>
    <w:r>
      <w:ptab w:relativeTo="margin" w:alignment="center" w:leader="none"/>
    </w:r>
    <w:r w:rsidRPr="00D70A3D">
      <w:rPr>
        <w:lang w:val="en-US"/>
      </w:rPr>
      <w:t xml:space="preserve"> </w:t>
    </w:r>
    <w:r>
      <w:rPr>
        <w:lang w:val="en-US"/>
      </w:rPr>
      <w:t>DIRECTOR REPUTATION</w:t>
    </w:r>
    <w:r>
      <w:ptab w:relativeTo="margin" w:alignment="right" w:leader="none"/>
    </w:r>
    <w:r>
      <w:fldChar w:fldCharType="begin"/>
    </w:r>
    <w:r w:rsidRPr="00F800C5">
      <w:rPr>
        <w:lang w:val="en-US"/>
      </w:rPr>
      <w:instrText>PAGE   \* MERGEFORMAT</w:instrText>
    </w:r>
    <w:r>
      <w:fldChar w:fldCharType="separate"/>
    </w:r>
    <w:r>
      <w:rPr>
        <w:noProof/>
        <w:lang w:val="en-US"/>
      </w:rPr>
      <w:t>2</w:t>
    </w:r>
    <w:r>
      <w:fldChar w:fldCharType="end"/>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6F407" w14:textId="77777777" w:rsidR="005F5787" w:rsidRPr="001A1819" w:rsidRDefault="005F5787" w:rsidP="001A1819">
    <w:pPr>
      <w:pStyle w:val="Kopfzeile"/>
      <w:rPr>
        <w:lang w:val="en-US"/>
      </w:rPr>
    </w:pPr>
    <w:r>
      <w:ptab w:relativeTo="margin" w:alignment="center" w:leader="none"/>
    </w:r>
    <w:r w:rsidRPr="00D70A3D">
      <w:rPr>
        <w:lang w:val="en-US"/>
      </w:rPr>
      <w:t xml:space="preserve"> </w:t>
    </w:r>
    <w:r>
      <w:rPr>
        <w:lang w:val="en-US"/>
      </w:rPr>
      <w:t>DIRECTOR REPUTATION</w:t>
    </w:r>
    <w:r>
      <w:ptab w:relativeTo="margin" w:alignment="right" w:leader="none"/>
    </w:r>
    <w:r>
      <w:fldChar w:fldCharType="begin"/>
    </w:r>
    <w:r w:rsidRPr="00F800C5">
      <w:rPr>
        <w:lang w:val="en-US"/>
      </w:rPr>
      <w:instrText>PAGE   \* MERGEFORMAT</w:instrText>
    </w:r>
    <w:r>
      <w:fldChar w:fldCharType="separate"/>
    </w:r>
    <w:r>
      <w:rPr>
        <w:noProof/>
        <w:lang w:val="en-US"/>
      </w:rPr>
      <w:t>2</w:t>
    </w:r>
    <w: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295F6" w14:textId="52A8581B" w:rsidR="005F5787" w:rsidRPr="001A1819" w:rsidRDefault="009D07DB" w:rsidP="009D07DB">
    <w:pPr>
      <w:pStyle w:val="Kopfzeile"/>
      <w:tabs>
        <w:tab w:val="clear" w:pos="9072"/>
        <w:tab w:val="left" w:pos="6032"/>
      </w:tabs>
      <w:rPr>
        <w:lang w:val="en-US"/>
      </w:rPr>
    </w:pPr>
    <w:r>
      <w:rPr>
        <w:lang w:val="en-US"/>
      </w:rPr>
      <w:t>RESOURCE APPROPRIATION IN STRATEGIC ALLIANCES</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82BE7" w14:textId="59BE803E" w:rsidR="009000FB" w:rsidRPr="009000FB" w:rsidRDefault="009000FB" w:rsidP="009000FB">
    <w:pPr>
      <w:pStyle w:val="Kopfzeile"/>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C6EA2" w14:textId="4DA9A75A" w:rsidR="009000FB" w:rsidRPr="009000FB" w:rsidRDefault="009000FB" w:rsidP="009000FB">
    <w:pPr>
      <w:pStyle w:val="Kopfzeile"/>
    </w:pPr>
    <w:r>
      <w:t>CULTURAL DISTANCE AND M&amp;A</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6B857" w14:textId="77777777" w:rsidR="009000FB" w:rsidRDefault="009000FB">
    <w:pPr>
      <w:pStyle w:val="Kopfzeile"/>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9EA39" w14:textId="432B4DD2" w:rsidR="00954779" w:rsidRPr="005C0D3D" w:rsidRDefault="00954779" w:rsidP="005C0D3D">
    <w:pPr>
      <w:pStyle w:val="Kopfzeile"/>
      <w:tabs>
        <w:tab w:val="clear" w:pos="9072"/>
        <w:tab w:val="left" w:pos="6032"/>
      </w:tabs>
      <w:rPr>
        <w:lang w:val="en-US"/>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B83B9" w14:textId="43C749AB" w:rsidR="00095FAA" w:rsidRPr="0018580D" w:rsidRDefault="0018580D" w:rsidP="0018580D">
    <w:pPr>
      <w:pStyle w:val="Kopfzeile"/>
    </w:pPr>
    <w:r>
      <w:t>CONCLUSION</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8BD2" w14:textId="77777777" w:rsidR="0018580D" w:rsidRPr="0018580D" w:rsidRDefault="0018580D" w:rsidP="0018580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01B20" w14:textId="77777777" w:rsidR="006822EF" w:rsidRPr="005C0D3D" w:rsidRDefault="006822EF" w:rsidP="005C0D3D">
    <w:pPr>
      <w:pStyle w:val="Kopfzeile"/>
      <w:tabs>
        <w:tab w:val="clear" w:pos="9072"/>
        <w:tab w:val="left" w:pos="6032"/>
      </w:tabs>
      <w:rPr>
        <w:lang w:val="en-US"/>
      </w:rPr>
    </w:pPr>
    <w:r w:rsidRPr="00E83E29">
      <w:t>BOARD INTERLOCKS AND FIRM PERFORMANCE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3CBB" w14:textId="56971236" w:rsidR="006822EF" w:rsidRPr="009E1CFF" w:rsidRDefault="006822EF" w:rsidP="009E1CFF">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FE850" w14:textId="77777777" w:rsidR="00406027" w:rsidRPr="001A1819" w:rsidRDefault="00406027" w:rsidP="001A1819">
    <w:pPr>
      <w:pStyle w:val="Kopfzeile"/>
      <w:rPr>
        <w:lang w:val="en-US"/>
      </w:rPr>
    </w:pPr>
    <w:r>
      <w:ptab w:relativeTo="margin" w:alignment="center" w:leader="none"/>
    </w:r>
    <w:r w:rsidRPr="00D70A3D">
      <w:rPr>
        <w:lang w:val="en-US"/>
      </w:rPr>
      <w:t xml:space="preserve"> </w:t>
    </w:r>
    <w:r>
      <w:rPr>
        <w:lang w:val="en-US"/>
      </w:rPr>
      <w:t>DIRECTOR REPUTATION</w:t>
    </w:r>
    <w:r>
      <w:ptab w:relativeTo="margin" w:alignment="right" w:leader="none"/>
    </w:r>
    <w:r>
      <w:fldChar w:fldCharType="begin"/>
    </w:r>
    <w:r w:rsidRPr="00F800C5">
      <w:rPr>
        <w:lang w:val="en-US"/>
      </w:rPr>
      <w:instrText>PAGE   \* MERGEFORMAT</w:instrText>
    </w:r>
    <w:r>
      <w:fldChar w:fldCharType="separate"/>
    </w:r>
    <w:r>
      <w:rPr>
        <w:noProof/>
        <w:lang w:val="en-US"/>
      </w:rPr>
      <w:t>2</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C99FE" w14:textId="40D70752" w:rsidR="00406027" w:rsidRPr="00902176" w:rsidRDefault="00406027" w:rsidP="005C0D3D">
    <w:pPr>
      <w:pStyle w:val="Kopfzeile"/>
      <w:tabs>
        <w:tab w:val="clear" w:pos="9072"/>
        <w:tab w:val="left" w:pos="6032"/>
      </w:tabs>
    </w:pPr>
    <w:r w:rsidRPr="00E83E29">
      <w:t>BOARD INTERLOCKS AND FIRM PERFORMANC</w:t>
    </w:r>
    <w:r w:rsidR="00902176">
      <w:t>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D71DD" w14:textId="33CD6ACA" w:rsidR="00406027" w:rsidRPr="005C0D3D" w:rsidRDefault="00406027" w:rsidP="005C0D3D">
    <w:pPr>
      <w:pStyle w:val="Kopfzeile"/>
      <w:tabs>
        <w:tab w:val="clear" w:pos="9072"/>
        <w:tab w:val="left" w:pos="6032"/>
      </w:tabs>
      <w:rPr>
        <w:lang w:val="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5DFBE" w14:textId="77777777" w:rsidR="00403DA7" w:rsidRPr="001A1819" w:rsidRDefault="00403DA7" w:rsidP="001A1819">
    <w:pPr>
      <w:pStyle w:val="Kopfzeile"/>
      <w:rPr>
        <w:lang w:val="en-US"/>
      </w:rPr>
    </w:pPr>
    <w:r>
      <w:ptab w:relativeTo="margin" w:alignment="center" w:leader="none"/>
    </w:r>
    <w:r w:rsidRPr="00D70A3D">
      <w:rPr>
        <w:lang w:val="en-US"/>
      </w:rPr>
      <w:t xml:space="preserve"> </w:t>
    </w:r>
    <w:r>
      <w:rPr>
        <w:lang w:val="en-US"/>
      </w:rPr>
      <w:t>DIRECTOR REPUTATION</w:t>
    </w:r>
    <w:r>
      <w:ptab w:relativeTo="margin" w:alignment="right" w:leader="none"/>
    </w:r>
    <w:r>
      <w:fldChar w:fldCharType="begin"/>
    </w:r>
    <w:r w:rsidRPr="00F800C5">
      <w:rPr>
        <w:lang w:val="en-US"/>
      </w:rPr>
      <w:instrText>PAGE   \* MERGEFORMAT</w:instrText>
    </w:r>
    <w:r>
      <w:fldChar w:fldCharType="separate"/>
    </w:r>
    <w:r>
      <w:rPr>
        <w:noProof/>
        <w:lang w:val="en-US"/>
      </w:rPr>
      <w:t>2</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17B1E" w14:textId="0AF4640C" w:rsidR="00403DA7" w:rsidRPr="001A1819" w:rsidRDefault="009D07DB" w:rsidP="009D07DB">
    <w:pPr>
      <w:pStyle w:val="Kopfzeile"/>
      <w:tabs>
        <w:tab w:val="clear" w:pos="9072"/>
        <w:tab w:val="left" w:pos="6032"/>
      </w:tabs>
      <w:rPr>
        <w:lang w:val="en-US"/>
      </w:rPr>
    </w:pPr>
    <w:r>
      <w:rPr>
        <w:lang w:val="en-US"/>
      </w:rPr>
      <w:t>RESOURCE APPROPRIATION IN STRATEGIC ALLIANCES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BFAC5A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938BD1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C93ECDC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B7CEAF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DB26D74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C8721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D22EE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BFA063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844B42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F024D8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1406D9"/>
    <w:multiLevelType w:val="hybridMultilevel"/>
    <w:tmpl w:val="AFB0A456"/>
    <w:lvl w:ilvl="0" w:tplc="1B607752">
      <w:start w:val="1"/>
      <w:numFmt w:val="lowerRoman"/>
      <w:pStyle w:val="AufzhlungiKapitel4"/>
      <w:lvlText w:val="(%1)"/>
      <w:lvlJc w:val="left"/>
      <w:pPr>
        <w:ind w:left="720" w:hanging="360"/>
      </w:pPr>
      <w:rPr>
        <w:rFonts w:ascii="Times New Roman" w:hAnsi="Times New Roman" w:hint="default"/>
        <w:b w:val="0"/>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46D6A86"/>
    <w:multiLevelType w:val="multilevel"/>
    <w:tmpl w:val="2E0A7F42"/>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CDF7A46"/>
    <w:multiLevelType w:val="hybridMultilevel"/>
    <w:tmpl w:val="935E123E"/>
    <w:lvl w:ilvl="0" w:tplc="6B0C10F2">
      <w:start w:val="1"/>
      <w:numFmt w:val="upperRoman"/>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13F71C9A"/>
    <w:multiLevelType w:val="hybridMultilevel"/>
    <w:tmpl w:val="A1560ACE"/>
    <w:lvl w:ilvl="0" w:tplc="FFFFFFFF">
      <w:start w:val="1"/>
      <w:numFmt w:val="lowerRoman"/>
      <w:pStyle w:val="AufzhlungiKapitel3"/>
      <w:lvlText w:val="(%1)"/>
      <w:lvlJc w:val="left"/>
      <w:pPr>
        <w:ind w:left="1440" w:hanging="360"/>
      </w:pPr>
      <w:rPr>
        <w:b w:val="0"/>
        <w:i/>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4" w15:restartNumberingAfterBreak="0">
    <w:nsid w:val="15157CEA"/>
    <w:multiLevelType w:val="hybridMultilevel"/>
    <w:tmpl w:val="C3FC37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ABC4823"/>
    <w:multiLevelType w:val="hybridMultilevel"/>
    <w:tmpl w:val="88B610B6"/>
    <w:lvl w:ilvl="0" w:tplc="51DE0D20">
      <w:start w:val="1"/>
      <w:numFmt w:val="lowerRoman"/>
      <w:pStyle w:val="Aufzhlungi"/>
      <w:lvlText w:val="(%1)"/>
      <w:lvlJc w:val="left"/>
      <w:pPr>
        <w:ind w:left="643" w:hanging="360"/>
      </w:pPr>
      <w:rPr>
        <w:rFonts w:ascii="Times New Roman" w:hAnsi="Times New Roman" w:hint="default"/>
        <w:b w:val="0"/>
        <w:i/>
      </w:rPr>
    </w:lvl>
    <w:lvl w:ilvl="1" w:tplc="04070019" w:tentative="1">
      <w:start w:val="1"/>
      <w:numFmt w:val="lowerLetter"/>
      <w:lvlText w:val="%2."/>
      <w:lvlJc w:val="left"/>
      <w:pPr>
        <w:ind w:left="1581" w:hanging="360"/>
      </w:pPr>
    </w:lvl>
    <w:lvl w:ilvl="2" w:tplc="0407001B" w:tentative="1">
      <w:start w:val="1"/>
      <w:numFmt w:val="lowerRoman"/>
      <w:lvlText w:val="%3."/>
      <w:lvlJc w:val="right"/>
      <w:pPr>
        <w:ind w:left="2301" w:hanging="180"/>
      </w:pPr>
    </w:lvl>
    <w:lvl w:ilvl="3" w:tplc="0407000F" w:tentative="1">
      <w:start w:val="1"/>
      <w:numFmt w:val="decimal"/>
      <w:lvlText w:val="%4."/>
      <w:lvlJc w:val="left"/>
      <w:pPr>
        <w:ind w:left="3021" w:hanging="360"/>
      </w:pPr>
    </w:lvl>
    <w:lvl w:ilvl="4" w:tplc="04070019" w:tentative="1">
      <w:start w:val="1"/>
      <w:numFmt w:val="lowerLetter"/>
      <w:lvlText w:val="%5."/>
      <w:lvlJc w:val="left"/>
      <w:pPr>
        <w:ind w:left="3741" w:hanging="360"/>
      </w:pPr>
    </w:lvl>
    <w:lvl w:ilvl="5" w:tplc="0407001B" w:tentative="1">
      <w:start w:val="1"/>
      <w:numFmt w:val="lowerRoman"/>
      <w:lvlText w:val="%6."/>
      <w:lvlJc w:val="right"/>
      <w:pPr>
        <w:ind w:left="4461" w:hanging="180"/>
      </w:pPr>
    </w:lvl>
    <w:lvl w:ilvl="6" w:tplc="0407000F" w:tentative="1">
      <w:start w:val="1"/>
      <w:numFmt w:val="decimal"/>
      <w:lvlText w:val="%7."/>
      <w:lvlJc w:val="left"/>
      <w:pPr>
        <w:ind w:left="5181" w:hanging="360"/>
      </w:pPr>
    </w:lvl>
    <w:lvl w:ilvl="7" w:tplc="04070019" w:tentative="1">
      <w:start w:val="1"/>
      <w:numFmt w:val="lowerLetter"/>
      <w:lvlText w:val="%8."/>
      <w:lvlJc w:val="left"/>
      <w:pPr>
        <w:ind w:left="5901" w:hanging="360"/>
      </w:pPr>
    </w:lvl>
    <w:lvl w:ilvl="8" w:tplc="0407001B" w:tentative="1">
      <w:start w:val="1"/>
      <w:numFmt w:val="lowerRoman"/>
      <w:lvlText w:val="%9."/>
      <w:lvlJc w:val="right"/>
      <w:pPr>
        <w:ind w:left="6621" w:hanging="180"/>
      </w:pPr>
    </w:lvl>
  </w:abstractNum>
  <w:abstractNum w:abstractNumId="16" w15:restartNumberingAfterBreak="0">
    <w:nsid w:val="258472CA"/>
    <w:multiLevelType w:val="multilevel"/>
    <w:tmpl w:val="05E2E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6B4474"/>
    <w:multiLevelType w:val="hybridMultilevel"/>
    <w:tmpl w:val="D390FCBC"/>
    <w:lvl w:ilvl="0" w:tplc="70305110">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29F135AA"/>
    <w:multiLevelType w:val="hybridMultilevel"/>
    <w:tmpl w:val="0A1C162A"/>
    <w:lvl w:ilvl="0" w:tplc="4176D02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2A816286"/>
    <w:multiLevelType w:val="hybridMultilevel"/>
    <w:tmpl w:val="1096A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5A4174B"/>
    <w:multiLevelType w:val="hybridMultilevel"/>
    <w:tmpl w:val="94088B78"/>
    <w:lvl w:ilvl="0" w:tplc="2F28625A">
      <w:start w:val="1998"/>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C682B43"/>
    <w:multiLevelType w:val="hybridMultilevel"/>
    <w:tmpl w:val="BF7A340C"/>
    <w:lvl w:ilvl="0" w:tplc="E01414CE">
      <w:start w:val="1"/>
      <w:numFmt w:val="lowerLetter"/>
      <w:pStyle w:val="Aufzhlunga"/>
      <w:lvlText w:val="(%1)"/>
      <w:lvlJc w:val="left"/>
      <w:pPr>
        <w:ind w:left="720" w:hanging="360"/>
      </w:pPr>
      <w:rPr>
        <w:rFonts w:ascii="Times New Roman" w:hAnsi="Times New Roman" w:hint="default"/>
        <w:b w:val="0"/>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D831071"/>
    <w:multiLevelType w:val="hybridMultilevel"/>
    <w:tmpl w:val="3B7C97DE"/>
    <w:lvl w:ilvl="0" w:tplc="70305110">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2B139A3"/>
    <w:multiLevelType w:val="hybridMultilevel"/>
    <w:tmpl w:val="FD3C78E2"/>
    <w:lvl w:ilvl="0" w:tplc="E8CA47A6">
      <w:start w:val="1"/>
      <w:numFmt w:val="bullet"/>
      <w:pStyle w:val="Fragen"/>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3525EB6"/>
    <w:multiLevelType w:val="hybridMultilevel"/>
    <w:tmpl w:val="52A263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49C5D76"/>
    <w:multiLevelType w:val="multilevel"/>
    <w:tmpl w:val="04090023"/>
    <w:styleLink w:val="ArtikelAbschnitt"/>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59B1B2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pStyle w:val="berschrift7"/>
      <w:lvlText w:val="%7."/>
      <w:lvlJc w:val="left"/>
      <w:pPr>
        <w:ind w:left="2520" w:hanging="360"/>
      </w:pPr>
    </w:lvl>
    <w:lvl w:ilvl="7">
      <w:start w:val="1"/>
      <w:numFmt w:val="lowerLetter"/>
      <w:pStyle w:val="berschrift8"/>
      <w:lvlText w:val="%8."/>
      <w:lvlJc w:val="left"/>
      <w:pPr>
        <w:ind w:left="2880" w:hanging="360"/>
      </w:pPr>
    </w:lvl>
    <w:lvl w:ilvl="8">
      <w:start w:val="1"/>
      <w:numFmt w:val="lowerRoman"/>
      <w:pStyle w:val="berschrift9"/>
      <w:lvlText w:val="%9."/>
      <w:lvlJc w:val="left"/>
      <w:pPr>
        <w:ind w:left="3240" w:hanging="360"/>
      </w:pPr>
    </w:lvl>
  </w:abstractNum>
  <w:abstractNum w:abstractNumId="27" w15:restartNumberingAfterBreak="0">
    <w:nsid w:val="4C731C02"/>
    <w:multiLevelType w:val="hybridMultilevel"/>
    <w:tmpl w:val="55A0550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2292DA8"/>
    <w:multiLevelType w:val="hybridMultilevel"/>
    <w:tmpl w:val="649296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2F52776"/>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7ED3EC6"/>
    <w:multiLevelType w:val="hybridMultilevel"/>
    <w:tmpl w:val="AF142186"/>
    <w:lvl w:ilvl="0" w:tplc="04070013">
      <w:start w:val="1"/>
      <w:numFmt w:val="upperRoman"/>
      <w:lvlText w:val="%1."/>
      <w:lvlJc w:val="righ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690A7D54"/>
    <w:multiLevelType w:val="hybridMultilevel"/>
    <w:tmpl w:val="818C5B6E"/>
    <w:lvl w:ilvl="0" w:tplc="24344230">
      <w:start w:val="69"/>
      <w:numFmt w:val="bullet"/>
      <w:lvlText w:val="-"/>
      <w:lvlJc w:val="left"/>
      <w:pPr>
        <w:ind w:left="1069" w:hanging="360"/>
      </w:pPr>
      <w:rPr>
        <w:rFonts w:ascii="Times New Roman" w:eastAsia="Times New Roman" w:hAnsi="Times New Roman" w:cs="Times New Roman"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32" w15:restartNumberingAfterBreak="0">
    <w:nsid w:val="6B2B0C81"/>
    <w:multiLevelType w:val="hybridMultilevel"/>
    <w:tmpl w:val="C8B425F8"/>
    <w:lvl w:ilvl="0" w:tplc="7030511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5B03214"/>
    <w:multiLevelType w:val="hybridMultilevel"/>
    <w:tmpl w:val="ABA692DC"/>
    <w:lvl w:ilvl="0" w:tplc="70305110">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63089652">
    <w:abstractNumId w:val="0"/>
  </w:num>
  <w:num w:numId="2" w16cid:durableId="1798644501">
    <w:abstractNumId w:val="1"/>
  </w:num>
  <w:num w:numId="3" w16cid:durableId="2068453517">
    <w:abstractNumId w:val="2"/>
  </w:num>
  <w:num w:numId="4" w16cid:durableId="1360544657">
    <w:abstractNumId w:val="3"/>
  </w:num>
  <w:num w:numId="5" w16cid:durableId="1546940514">
    <w:abstractNumId w:val="4"/>
  </w:num>
  <w:num w:numId="6" w16cid:durableId="1689021503">
    <w:abstractNumId w:val="5"/>
  </w:num>
  <w:num w:numId="7" w16cid:durableId="1005204759">
    <w:abstractNumId w:val="6"/>
  </w:num>
  <w:num w:numId="8" w16cid:durableId="777912478">
    <w:abstractNumId w:val="7"/>
  </w:num>
  <w:num w:numId="9" w16cid:durableId="1014914335">
    <w:abstractNumId w:val="8"/>
  </w:num>
  <w:num w:numId="10" w16cid:durableId="671369802">
    <w:abstractNumId w:val="9"/>
  </w:num>
  <w:num w:numId="11" w16cid:durableId="419108582">
    <w:abstractNumId w:val="29"/>
  </w:num>
  <w:num w:numId="12" w16cid:durableId="666634806">
    <w:abstractNumId w:val="26"/>
  </w:num>
  <w:num w:numId="13" w16cid:durableId="1205406478">
    <w:abstractNumId w:val="25"/>
  </w:num>
  <w:num w:numId="14" w16cid:durableId="535196093">
    <w:abstractNumId w:val="23"/>
  </w:num>
  <w:num w:numId="15" w16cid:durableId="1667704604">
    <w:abstractNumId w:val="15"/>
  </w:num>
  <w:num w:numId="16" w16cid:durableId="147329592">
    <w:abstractNumId w:val="21"/>
  </w:num>
  <w:num w:numId="17" w16cid:durableId="1121412317">
    <w:abstractNumId w:val="10"/>
  </w:num>
  <w:num w:numId="18" w16cid:durableId="2024043551">
    <w:abstractNumId w:val="13"/>
  </w:num>
  <w:num w:numId="19" w16cid:durableId="50347993">
    <w:abstractNumId w:val="12"/>
  </w:num>
  <w:num w:numId="20" w16cid:durableId="1796287886">
    <w:abstractNumId w:val="30"/>
  </w:num>
  <w:num w:numId="21" w16cid:durableId="1749689349">
    <w:abstractNumId w:val="22"/>
  </w:num>
  <w:num w:numId="22" w16cid:durableId="222058129">
    <w:abstractNumId w:val="14"/>
  </w:num>
  <w:num w:numId="23" w16cid:durableId="1774084656">
    <w:abstractNumId w:val="20"/>
  </w:num>
  <w:num w:numId="24" w16cid:durableId="601255640">
    <w:abstractNumId w:val="11"/>
  </w:num>
  <w:num w:numId="25" w16cid:durableId="1733314178">
    <w:abstractNumId w:val="17"/>
  </w:num>
  <w:num w:numId="26" w16cid:durableId="100300450">
    <w:abstractNumId w:val="32"/>
  </w:num>
  <w:num w:numId="27" w16cid:durableId="483163166">
    <w:abstractNumId w:val="27"/>
  </w:num>
  <w:num w:numId="28" w16cid:durableId="53896043">
    <w:abstractNumId w:val="24"/>
  </w:num>
  <w:num w:numId="29" w16cid:durableId="1411729020">
    <w:abstractNumId w:val="33"/>
  </w:num>
  <w:num w:numId="30" w16cid:durableId="2046520765">
    <w:abstractNumId w:val="19"/>
  </w:num>
  <w:num w:numId="31" w16cid:durableId="882984638">
    <w:abstractNumId w:val="18"/>
  </w:num>
  <w:num w:numId="32" w16cid:durableId="483281694">
    <w:abstractNumId w:val="16"/>
  </w:num>
  <w:num w:numId="33" w16cid:durableId="445537934">
    <w:abstractNumId w:val="28"/>
  </w:num>
  <w:num w:numId="34" w16cid:durableId="626854208">
    <w:abstractNumId w:val="3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EyNDAyM7E0MTMxNDVT0lEKTi0uzszPAykwMaoFAKxSh9MtAAAA"/>
  </w:docVars>
  <w:rsids>
    <w:rsidRoot w:val="00A63E33"/>
    <w:rsid w:val="000020F7"/>
    <w:rsid w:val="00004775"/>
    <w:rsid w:val="00010489"/>
    <w:rsid w:val="0001126E"/>
    <w:rsid w:val="00011AF5"/>
    <w:rsid w:val="00017BD2"/>
    <w:rsid w:val="0002054F"/>
    <w:rsid w:val="0002274D"/>
    <w:rsid w:val="00024B2F"/>
    <w:rsid w:val="00026F8B"/>
    <w:rsid w:val="000302C0"/>
    <w:rsid w:val="00036A72"/>
    <w:rsid w:val="00037061"/>
    <w:rsid w:val="000374DB"/>
    <w:rsid w:val="0004147B"/>
    <w:rsid w:val="00042C0F"/>
    <w:rsid w:val="00044B66"/>
    <w:rsid w:val="0005400E"/>
    <w:rsid w:val="00056C14"/>
    <w:rsid w:val="00064037"/>
    <w:rsid w:val="000648FE"/>
    <w:rsid w:val="00075DEA"/>
    <w:rsid w:val="00077534"/>
    <w:rsid w:val="00077C9E"/>
    <w:rsid w:val="000815A3"/>
    <w:rsid w:val="00082882"/>
    <w:rsid w:val="0008300E"/>
    <w:rsid w:val="00087A4C"/>
    <w:rsid w:val="00091F88"/>
    <w:rsid w:val="00092681"/>
    <w:rsid w:val="0009468E"/>
    <w:rsid w:val="00095C82"/>
    <w:rsid w:val="00095FAA"/>
    <w:rsid w:val="00097991"/>
    <w:rsid w:val="000A1C6E"/>
    <w:rsid w:val="000A1D86"/>
    <w:rsid w:val="000A4083"/>
    <w:rsid w:val="000A60FC"/>
    <w:rsid w:val="000B5F25"/>
    <w:rsid w:val="000B787B"/>
    <w:rsid w:val="000C2E05"/>
    <w:rsid w:val="000D252E"/>
    <w:rsid w:val="000D2F8F"/>
    <w:rsid w:val="000D4B04"/>
    <w:rsid w:val="000D5844"/>
    <w:rsid w:val="000D69F1"/>
    <w:rsid w:val="000E63BB"/>
    <w:rsid w:val="000F4B60"/>
    <w:rsid w:val="000F7B42"/>
    <w:rsid w:val="00100DF5"/>
    <w:rsid w:val="00102919"/>
    <w:rsid w:val="0010410C"/>
    <w:rsid w:val="00105015"/>
    <w:rsid w:val="0010503E"/>
    <w:rsid w:val="00106E8D"/>
    <w:rsid w:val="00107C6C"/>
    <w:rsid w:val="001150D0"/>
    <w:rsid w:val="0011589D"/>
    <w:rsid w:val="00115E35"/>
    <w:rsid w:val="00116DEC"/>
    <w:rsid w:val="0011734B"/>
    <w:rsid w:val="00120578"/>
    <w:rsid w:val="00126314"/>
    <w:rsid w:val="001265DC"/>
    <w:rsid w:val="00126FAD"/>
    <w:rsid w:val="00132BE6"/>
    <w:rsid w:val="00141E55"/>
    <w:rsid w:val="00142BA0"/>
    <w:rsid w:val="00143F3C"/>
    <w:rsid w:val="00147B32"/>
    <w:rsid w:val="001525C2"/>
    <w:rsid w:val="00154921"/>
    <w:rsid w:val="001563F2"/>
    <w:rsid w:val="00160012"/>
    <w:rsid w:val="00165286"/>
    <w:rsid w:val="00165D73"/>
    <w:rsid w:val="00167BC6"/>
    <w:rsid w:val="00173107"/>
    <w:rsid w:val="00174A20"/>
    <w:rsid w:val="00174E70"/>
    <w:rsid w:val="00177FAD"/>
    <w:rsid w:val="0018580D"/>
    <w:rsid w:val="00186F91"/>
    <w:rsid w:val="00190E59"/>
    <w:rsid w:val="00192A3D"/>
    <w:rsid w:val="001930F6"/>
    <w:rsid w:val="00195C14"/>
    <w:rsid w:val="001964CB"/>
    <w:rsid w:val="00196F58"/>
    <w:rsid w:val="001978EB"/>
    <w:rsid w:val="001A091C"/>
    <w:rsid w:val="001A0F01"/>
    <w:rsid w:val="001A1FB2"/>
    <w:rsid w:val="001B21D3"/>
    <w:rsid w:val="001B693C"/>
    <w:rsid w:val="001C194D"/>
    <w:rsid w:val="001D31C7"/>
    <w:rsid w:val="001D491F"/>
    <w:rsid w:val="001D666B"/>
    <w:rsid w:val="001D729E"/>
    <w:rsid w:val="001D7403"/>
    <w:rsid w:val="001E38C5"/>
    <w:rsid w:val="002045D9"/>
    <w:rsid w:val="00207A7A"/>
    <w:rsid w:val="00216611"/>
    <w:rsid w:val="00222F2D"/>
    <w:rsid w:val="00227788"/>
    <w:rsid w:val="002313C0"/>
    <w:rsid w:val="002315F0"/>
    <w:rsid w:val="002323D7"/>
    <w:rsid w:val="00236A78"/>
    <w:rsid w:val="00236ED6"/>
    <w:rsid w:val="0024251D"/>
    <w:rsid w:val="00242832"/>
    <w:rsid w:val="002446A2"/>
    <w:rsid w:val="00247348"/>
    <w:rsid w:val="00250AE3"/>
    <w:rsid w:val="00255541"/>
    <w:rsid w:val="00264D0A"/>
    <w:rsid w:val="00266C1C"/>
    <w:rsid w:val="002759D7"/>
    <w:rsid w:val="00280281"/>
    <w:rsid w:val="00281583"/>
    <w:rsid w:val="00281E19"/>
    <w:rsid w:val="00284207"/>
    <w:rsid w:val="00284DD1"/>
    <w:rsid w:val="0028705A"/>
    <w:rsid w:val="0029259E"/>
    <w:rsid w:val="002932E5"/>
    <w:rsid w:val="0029334A"/>
    <w:rsid w:val="0029437E"/>
    <w:rsid w:val="002A6889"/>
    <w:rsid w:val="002A6E5D"/>
    <w:rsid w:val="002C684D"/>
    <w:rsid w:val="002E403D"/>
    <w:rsid w:val="002E57E8"/>
    <w:rsid w:val="002E7371"/>
    <w:rsid w:val="002F006E"/>
    <w:rsid w:val="002F5281"/>
    <w:rsid w:val="002F6DDF"/>
    <w:rsid w:val="003024FF"/>
    <w:rsid w:val="0030292A"/>
    <w:rsid w:val="00302F93"/>
    <w:rsid w:val="00303BEA"/>
    <w:rsid w:val="0030412C"/>
    <w:rsid w:val="00305C95"/>
    <w:rsid w:val="003105FF"/>
    <w:rsid w:val="003108A1"/>
    <w:rsid w:val="0031341F"/>
    <w:rsid w:val="003156EF"/>
    <w:rsid w:val="003163CF"/>
    <w:rsid w:val="00322A66"/>
    <w:rsid w:val="0032381D"/>
    <w:rsid w:val="00330D48"/>
    <w:rsid w:val="00331B63"/>
    <w:rsid w:val="00333204"/>
    <w:rsid w:val="00336DCD"/>
    <w:rsid w:val="00336F0E"/>
    <w:rsid w:val="003374C5"/>
    <w:rsid w:val="00346770"/>
    <w:rsid w:val="00346984"/>
    <w:rsid w:val="00346E0F"/>
    <w:rsid w:val="00346ED4"/>
    <w:rsid w:val="00353CD6"/>
    <w:rsid w:val="0035407A"/>
    <w:rsid w:val="003664CC"/>
    <w:rsid w:val="00371474"/>
    <w:rsid w:val="0037709C"/>
    <w:rsid w:val="003776C7"/>
    <w:rsid w:val="00381948"/>
    <w:rsid w:val="00394BE7"/>
    <w:rsid w:val="003953A5"/>
    <w:rsid w:val="00396F00"/>
    <w:rsid w:val="003A0A9A"/>
    <w:rsid w:val="003A1036"/>
    <w:rsid w:val="003A5DC7"/>
    <w:rsid w:val="003A63F4"/>
    <w:rsid w:val="003A640A"/>
    <w:rsid w:val="003A7173"/>
    <w:rsid w:val="003B1D35"/>
    <w:rsid w:val="003B2BB0"/>
    <w:rsid w:val="003B3BEA"/>
    <w:rsid w:val="003B417A"/>
    <w:rsid w:val="003B60C8"/>
    <w:rsid w:val="003C0AF1"/>
    <w:rsid w:val="003C4AE8"/>
    <w:rsid w:val="003C5E32"/>
    <w:rsid w:val="003D297E"/>
    <w:rsid w:val="003E3F6C"/>
    <w:rsid w:val="003E667C"/>
    <w:rsid w:val="003F34E4"/>
    <w:rsid w:val="003F79DF"/>
    <w:rsid w:val="0040299F"/>
    <w:rsid w:val="00403DA7"/>
    <w:rsid w:val="00406027"/>
    <w:rsid w:val="00406108"/>
    <w:rsid w:val="00427C05"/>
    <w:rsid w:val="0043322F"/>
    <w:rsid w:val="00435428"/>
    <w:rsid w:val="00437318"/>
    <w:rsid w:val="0044011E"/>
    <w:rsid w:val="00442048"/>
    <w:rsid w:val="004455D6"/>
    <w:rsid w:val="0045275D"/>
    <w:rsid w:val="00465897"/>
    <w:rsid w:val="00467564"/>
    <w:rsid w:val="004723A0"/>
    <w:rsid w:val="0047429D"/>
    <w:rsid w:val="0047479C"/>
    <w:rsid w:val="004763D6"/>
    <w:rsid w:val="004800A4"/>
    <w:rsid w:val="004830E1"/>
    <w:rsid w:val="00493C06"/>
    <w:rsid w:val="00496028"/>
    <w:rsid w:val="00496D71"/>
    <w:rsid w:val="00496F5E"/>
    <w:rsid w:val="004A0528"/>
    <w:rsid w:val="004A21CC"/>
    <w:rsid w:val="004B07AD"/>
    <w:rsid w:val="004B64EE"/>
    <w:rsid w:val="004B6FFB"/>
    <w:rsid w:val="004C011D"/>
    <w:rsid w:val="004C6174"/>
    <w:rsid w:val="004D1808"/>
    <w:rsid w:val="004D67EF"/>
    <w:rsid w:val="004D7CC1"/>
    <w:rsid w:val="004E47CB"/>
    <w:rsid w:val="004E606E"/>
    <w:rsid w:val="004E741A"/>
    <w:rsid w:val="004E776D"/>
    <w:rsid w:val="004F0D7F"/>
    <w:rsid w:val="004F19E8"/>
    <w:rsid w:val="004F6BD1"/>
    <w:rsid w:val="004F7333"/>
    <w:rsid w:val="00504709"/>
    <w:rsid w:val="005065C0"/>
    <w:rsid w:val="0050668D"/>
    <w:rsid w:val="00510203"/>
    <w:rsid w:val="0051333B"/>
    <w:rsid w:val="00515F7C"/>
    <w:rsid w:val="005326EB"/>
    <w:rsid w:val="00533768"/>
    <w:rsid w:val="00543C89"/>
    <w:rsid w:val="005455F4"/>
    <w:rsid w:val="0055119A"/>
    <w:rsid w:val="00554CC1"/>
    <w:rsid w:val="00556491"/>
    <w:rsid w:val="00557DEA"/>
    <w:rsid w:val="00564959"/>
    <w:rsid w:val="00566C8C"/>
    <w:rsid w:val="0058101E"/>
    <w:rsid w:val="00581B36"/>
    <w:rsid w:val="00597CD6"/>
    <w:rsid w:val="005A060A"/>
    <w:rsid w:val="005A2B47"/>
    <w:rsid w:val="005A4B99"/>
    <w:rsid w:val="005A6746"/>
    <w:rsid w:val="005A7AF3"/>
    <w:rsid w:val="005B064E"/>
    <w:rsid w:val="005C0A31"/>
    <w:rsid w:val="005C5640"/>
    <w:rsid w:val="005C6CB9"/>
    <w:rsid w:val="005D6C9C"/>
    <w:rsid w:val="005E57A0"/>
    <w:rsid w:val="005E5E88"/>
    <w:rsid w:val="005E75E7"/>
    <w:rsid w:val="005F2718"/>
    <w:rsid w:val="005F5787"/>
    <w:rsid w:val="00601F29"/>
    <w:rsid w:val="006025B8"/>
    <w:rsid w:val="006055E5"/>
    <w:rsid w:val="00620C10"/>
    <w:rsid w:val="006214DB"/>
    <w:rsid w:val="00622328"/>
    <w:rsid w:val="0062431D"/>
    <w:rsid w:val="006257B7"/>
    <w:rsid w:val="006263BB"/>
    <w:rsid w:val="00630329"/>
    <w:rsid w:val="00631275"/>
    <w:rsid w:val="00640244"/>
    <w:rsid w:val="00640871"/>
    <w:rsid w:val="006413AE"/>
    <w:rsid w:val="00643B0B"/>
    <w:rsid w:val="0064671D"/>
    <w:rsid w:val="00647BA6"/>
    <w:rsid w:val="00647D7C"/>
    <w:rsid w:val="006508CE"/>
    <w:rsid w:val="00650FE2"/>
    <w:rsid w:val="00660A20"/>
    <w:rsid w:val="00663110"/>
    <w:rsid w:val="006663F2"/>
    <w:rsid w:val="00666A10"/>
    <w:rsid w:val="00667330"/>
    <w:rsid w:val="00676E49"/>
    <w:rsid w:val="00677B96"/>
    <w:rsid w:val="006822EF"/>
    <w:rsid w:val="006837B3"/>
    <w:rsid w:val="00687B46"/>
    <w:rsid w:val="00694090"/>
    <w:rsid w:val="006A37BF"/>
    <w:rsid w:val="006B1B51"/>
    <w:rsid w:val="006B233C"/>
    <w:rsid w:val="006B252E"/>
    <w:rsid w:val="006B5420"/>
    <w:rsid w:val="006B5F45"/>
    <w:rsid w:val="006B7D20"/>
    <w:rsid w:val="006B7D9F"/>
    <w:rsid w:val="006C1B3B"/>
    <w:rsid w:val="006C2955"/>
    <w:rsid w:val="006C77FE"/>
    <w:rsid w:val="006D06D3"/>
    <w:rsid w:val="006D2003"/>
    <w:rsid w:val="006D20FD"/>
    <w:rsid w:val="006D4474"/>
    <w:rsid w:val="006D5643"/>
    <w:rsid w:val="006D79A1"/>
    <w:rsid w:val="006E2F6A"/>
    <w:rsid w:val="006E52A0"/>
    <w:rsid w:val="006E7B55"/>
    <w:rsid w:val="006F732E"/>
    <w:rsid w:val="00702BCA"/>
    <w:rsid w:val="007041E2"/>
    <w:rsid w:val="00705301"/>
    <w:rsid w:val="0070731D"/>
    <w:rsid w:val="007115F2"/>
    <w:rsid w:val="00712D32"/>
    <w:rsid w:val="00713DD0"/>
    <w:rsid w:val="007161A3"/>
    <w:rsid w:val="00716633"/>
    <w:rsid w:val="00726F38"/>
    <w:rsid w:val="007270C2"/>
    <w:rsid w:val="007275FB"/>
    <w:rsid w:val="00730285"/>
    <w:rsid w:val="00735351"/>
    <w:rsid w:val="007400BA"/>
    <w:rsid w:val="007441F5"/>
    <w:rsid w:val="0074446D"/>
    <w:rsid w:val="00744F70"/>
    <w:rsid w:val="00752A7B"/>
    <w:rsid w:val="007539E8"/>
    <w:rsid w:val="00755C90"/>
    <w:rsid w:val="00764DAC"/>
    <w:rsid w:val="00770557"/>
    <w:rsid w:val="0077131B"/>
    <w:rsid w:val="00771923"/>
    <w:rsid w:val="0077460C"/>
    <w:rsid w:val="007755EE"/>
    <w:rsid w:val="00783C7A"/>
    <w:rsid w:val="00785128"/>
    <w:rsid w:val="00794C6C"/>
    <w:rsid w:val="007A4E79"/>
    <w:rsid w:val="007A61A4"/>
    <w:rsid w:val="007B04C3"/>
    <w:rsid w:val="007B21A5"/>
    <w:rsid w:val="007B50C0"/>
    <w:rsid w:val="007B6191"/>
    <w:rsid w:val="007B7E3F"/>
    <w:rsid w:val="007C2D63"/>
    <w:rsid w:val="007C4B31"/>
    <w:rsid w:val="007D447E"/>
    <w:rsid w:val="007E1B91"/>
    <w:rsid w:val="007E3F5D"/>
    <w:rsid w:val="007E4D6F"/>
    <w:rsid w:val="007E6AC7"/>
    <w:rsid w:val="007E7736"/>
    <w:rsid w:val="007F0491"/>
    <w:rsid w:val="007F0680"/>
    <w:rsid w:val="007F2A4F"/>
    <w:rsid w:val="007F2F08"/>
    <w:rsid w:val="007F379C"/>
    <w:rsid w:val="00803A3A"/>
    <w:rsid w:val="00804FF9"/>
    <w:rsid w:val="0081057F"/>
    <w:rsid w:val="00811581"/>
    <w:rsid w:val="00811640"/>
    <w:rsid w:val="00811B94"/>
    <w:rsid w:val="00812B7C"/>
    <w:rsid w:val="00814CD2"/>
    <w:rsid w:val="008158C3"/>
    <w:rsid w:val="00815E89"/>
    <w:rsid w:val="008207D1"/>
    <w:rsid w:val="008208F8"/>
    <w:rsid w:val="0082138A"/>
    <w:rsid w:val="00821641"/>
    <w:rsid w:val="008267AB"/>
    <w:rsid w:val="00827768"/>
    <w:rsid w:val="00833FC7"/>
    <w:rsid w:val="008411D3"/>
    <w:rsid w:val="008454E1"/>
    <w:rsid w:val="00846329"/>
    <w:rsid w:val="00852DD3"/>
    <w:rsid w:val="0085320F"/>
    <w:rsid w:val="00864F68"/>
    <w:rsid w:val="00865357"/>
    <w:rsid w:val="00867EBB"/>
    <w:rsid w:val="00872FF1"/>
    <w:rsid w:val="008733AC"/>
    <w:rsid w:val="00873D13"/>
    <w:rsid w:val="00874656"/>
    <w:rsid w:val="008772A3"/>
    <w:rsid w:val="008778BA"/>
    <w:rsid w:val="0088157B"/>
    <w:rsid w:val="00882210"/>
    <w:rsid w:val="00893C52"/>
    <w:rsid w:val="008955CE"/>
    <w:rsid w:val="00895F66"/>
    <w:rsid w:val="008A454A"/>
    <w:rsid w:val="008B1EA2"/>
    <w:rsid w:val="008B1F06"/>
    <w:rsid w:val="008B25AE"/>
    <w:rsid w:val="008B3452"/>
    <w:rsid w:val="008B3809"/>
    <w:rsid w:val="008B519D"/>
    <w:rsid w:val="008B54AB"/>
    <w:rsid w:val="008C25CC"/>
    <w:rsid w:val="008C6AF8"/>
    <w:rsid w:val="008D24D1"/>
    <w:rsid w:val="008D38BA"/>
    <w:rsid w:val="008D395C"/>
    <w:rsid w:val="008D3B08"/>
    <w:rsid w:val="008D47BE"/>
    <w:rsid w:val="008D6C7B"/>
    <w:rsid w:val="008E14A8"/>
    <w:rsid w:val="008E4775"/>
    <w:rsid w:val="008F41A3"/>
    <w:rsid w:val="009000FB"/>
    <w:rsid w:val="00902176"/>
    <w:rsid w:val="00902A38"/>
    <w:rsid w:val="00911727"/>
    <w:rsid w:val="009129EC"/>
    <w:rsid w:val="00913893"/>
    <w:rsid w:val="00916201"/>
    <w:rsid w:val="009172A7"/>
    <w:rsid w:val="00917A5B"/>
    <w:rsid w:val="009216E9"/>
    <w:rsid w:val="00921EC5"/>
    <w:rsid w:val="00927125"/>
    <w:rsid w:val="00932F58"/>
    <w:rsid w:val="00941A31"/>
    <w:rsid w:val="00941A7A"/>
    <w:rsid w:val="00947673"/>
    <w:rsid w:val="00951F5E"/>
    <w:rsid w:val="00954212"/>
    <w:rsid w:val="00954779"/>
    <w:rsid w:val="00954EC7"/>
    <w:rsid w:val="00955912"/>
    <w:rsid w:val="009565C3"/>
    <w:rsid w:val="009567F5"/>
    <w:rsid w:val="009572A7"/>
    <w:rsid w:val="009579F1"/>
    <w:rsid w:val="00963B2F"/>
    <w:rsid w:val="00970541"/>
    <w:rsid w:val="009754FF"/>
    <w:rsid w:val="00975971"/>
    <w:rsid w:val="009779E2"/>
    <w:rsid w:val="00987693"/>
    <w:rsid w:val="00993C5A"/>
    <w:rsid w:val="009A6095"/>
    <w:rsid w:val="009A66C3"/>
    <w:rsid w:val="009A709E"/>
    <w:rsid w:val="009A73BC"/>
    <w:rsid w:val="009B08E2"/>
    <w:rsid w:val="009B201F"/>
    <w:rsid w:val="009B715C"/>
    <w:rsid w:val="009C444F"/>
    <w:rsid w:val="009C4934"/>
    <w:rsid w:val="009C7671"/>
    <w:rsid w:val="009D07DB"/>
    <w:rsid w:val="009D218B"/>
    <w:rsid w:val="009E1CFF"/>
    <w:rsid w:val="009E2418"/>
    <w:rsid w:val="009E77BD"/>
    <w:rsid w:val="009F06E2"/>
    <w:rsid w:val="009F25E6"/>
    <w:rsid w:val="00A05CDA"/>
    <w:rsid w:val="00A06BDE"/>
    <w:rsid w:val="00A073F7"/>
    <w:rsid w:val="00A11C55"/>
    <w:rsid w:val="00A12AC1"/>
    <w:rsid w:val="00A21F6C"/>
    <w:rsid w:val="00A22E5E"/>
    <w:rsid w:val="00A25699"/>
    <w:rsid w:val="00A30BF8"/>
    <w:rsid w:val="00A34421"/>
    <w:rsid w:val="00A412EB"/>
    <w:rsid w:val="00A427E8"/>
    <w:rsid w:val="00A529C2"/>
    <w:rsid w:val="00A54E82"/>
    <w:rsid w:val="00A6019E"/>
    <w:rsid w:val="00A63E33"/>
    <w:rsid w:val="00A6717C"/>
    <w:rsid w:val="00A7042B"/>
    <w:rsid w:val="00A71058"/>
    <w:rsid w:val="00A7726F"/>
    <w:rsid w:val="00A8351E"/>
    <w:rsid w:val="00A8510D"/>
    <w:rsid w:val="00A87D45"/>
    <w:rsid w:val="00A94880"/>
    <w:rsid w:val="00AA10CB"/>
    <w:rsid w:val="00AA161B"/>
    <w:rsid w:val="00AA39E4"/>
    <w:rsid w:val="00AA4CC6"/>
    <w:rsid w:val="00AA548D"/>
    <w:rsid w:val="00AB4909"/>
    <w:rsid w:val="00AB5353"/>
    <w:rsid w:val="00AB555B"/>
    <w:rsid w:val="00AC195C"/>
    <w:rsid w:val="00AC6EC6"/>
    <w:rsid w:val="00AD1ABE"/>
    <w:rsid w:val="00AD3011"/>
    <w:rsid w:val="00AE0A47"/>
    <w:rsid w:val="00AE1C7F"/>
    <w:rsid w:val="00AE2E52"/>
    <w:rsid w:val="00AF3D3A"/>
    <w:rsid w:val="00AF6483"/>
    <w:rsid w:val="00AF7B6C"/>
    <w:rsid w:val="00B001A0"/>
    <w:rsid w:val="00B02FE3"/>
    <w:rsid w:val="00B1627F"/>
    <w:rsid w:val="00B22EA4"/>
    <w:rsid w:val="00B23184"/>
    <w:rsid w:val="00B24005"/>
    <w:rsid w:val="00B27507"/>
    <w:rsid w:val="00B27BA2"/>
    <w:rsid w:val="00B3290C"/>
    <w:rsid w:val="00B34DB2"/>
    <w:rsid w:val="00B402D1"/>
    <w:rsid w:val="00B45D50"/>
    <w:rsid w:val="00B47BD6"/>
    <w:rsid w:val="00B6286E"/>
    <w:rsid w:val="00B637F6"/>
    <w:rsid w:val="00B70C28"/>
    <w:rsid w:val="00B7359B"/>
    <w:rsid w:val="00B73C76"/>
    <w:rsid w:val="00B7491A"/>
    <w:rsid w:val="00B80B0F"/>
    <w:rsid w:val="00B84006"/>
    <w:rsid w:val="00B92628"/>
    <w:rsid w:val="00B92A09"/>
    <w:rsid w:val="00B92D99"/>
    <w:rsid w:val="00B95EF7"/>
    <w:rsid w:val="00BA2405"/>
    <w:rsid w:val="00BA493B"/>
    <w:rsid w:val="00BA6C74"/>
    <w:rsid w:val="00BB069D"/>
    <w:rsid w:val="00BB280B"/>
    <w:rsid w:val="00BB3924"/>
    <w:rsid w:val="00BB64E8"/>
    <w:rsid w:val="00BC1290"/>
    <w:rsid w:val="00BC1F26"/>
    <w:rsid w:val="00BC6D95"/>
    <w:rsid w:val="00BD06F5"/>
    <w:rsid w:val="00BD29D5"/>
    <w:rsid w:val="00BD48F7"/>
    <w:rsid w:val="00BE0266"/>
    <w:rsid w:val="00BE0607"/>
    <w:rsid w:val="00BE0F65"/>
    <w:rsid w:val="00BE21D2"/>
    <w:rsid w:val="00BE4768"/>
    <w:rsid w:val="00BE5632"/>
    <w:rsid w:val="00BE7B27"/>
    <w:rsid w:val="00BE7C74"/>
    <w:rsid w:val="00BE7E1E"/>
    <w:rsid w:val="00BF0E55"/>
    <w:rsid w:val="00BF54C6"/>
    <w:rsid w:val="00C009BF"/>
    <w:rsid w:val="00C03263"/>
    <w:rsid w:val="00C03FD1"/>
    <w:rsid w:val="00C078D4"/>
    <w:rsid w:val="00C14475"/>
    <w:rsid w:val="00C20BC6"/>
    <w:rsid w:val="00C22C83"/>
    <w:rsid w:val="00C23D92"/>
    <w:rsid w:val="00C23E0D"/>
    <w:rsid w:val="00C24D10"/>
    <w:rsid w:val="00C26DCE"/>
    <w:rsid w:val="00C27B12"/>
    <w:rsid w:val="00C31C0E"/>
    <w:rsid w:val="00C33079"/>
    <w:rsid w:val="00C358DD"/>
    <w:rsid w:val="00C35A77"/>
    <w:rsid w:val="00C41B39"/>
    <w:rsid w:val="00C44B2B"/>
    <w:rsid w:val="00C4504B"/>
    <w:rsid w:val="00C45648"/>
    <w:rsid w:val="00C564EC"/>
    <w:rsid w:val="00C623E2"/>
    <w:rsid w:val="00C62F68"/>
    <w:rsid w:val="00C656B2"/>
    <w:rsid w:val="00C6576D"/>
    <w:rsid w:val="00C6738D"/>
    <w:rsid w:val="00C6779D"/>
    <w:rsid w:val="00C70EE1"/>
    <w:rsid w:val="00C71301"/>
    <w:rsid w:val="00C7354B"/>
    <w:rsid w:val="00C82841"/>
    <w:rsid w:val="00C83C66"/>
    <w:rsid w:val="00C8796C"/>
    <w:rsid w:val="00C90C0A"/>
    <w:rsid w:val="00C91DF9"/>
    <w:rsid w:val="00C93D12"/>
    <w:rsid w:val="00C95632"/>
    <w:rsid w:val="00C96C3C"/>
    <w:rsid w:val="00C97A10"/>
    <w:rsid w:val="00CA010D"/>
    <w:rsid w:val="00CA039A"/>
    <w:rsid w:val="00CA0B4E"/>
    <w:rsid w:val="00CA4B5F"/>
    <w:rsid w:val="00CB0ADE"/>
    <w:rsid w:val="00CB0FA1"/>
    <w:rsid w:val="00CB58BB"/>
    <w:rsid w:val="00CC62FC"/>
    <w:rsid w:val="00CD5FF1"/>
    <w:rsid w:val="00CE03DC"/>
    <w:rsid w:val="00CE64D4"/>
    <w:rsid w:val="00CF05B6"/>
    <w:rsid w:val="00CF0AFF"/>
    <w:rsid w:val="00CF5E26"/>
    <w:rsid w:val="00D00CBC"/>
    <w:rsid w:val="00D021C0"/>
    <w:rsid w:val="00D03577"/>
    <w:rsid w:val="00D049B6"/>
    <w:rsid w:val="00D05541"/>
    <w:rsid w:val="00D11E19"/>
    <w:rsid w:val="00D136C7"/>
    <w:rsid w:val="00D137E4"/>
    <w:rsid w:val="00D13AFA"/>
    <w:rsid w:val="00D14819"/>
    <w:rsid w:val="00D15253"/>
    <w:rsid w:val="00D248BB"/>
    <w:rsid w:val="00D312C5"/>
    <w:rsid w:val="00D31A03"/>
    <w:rsid w:val="00D33FC4"/>
    <w:rsid w:val="00D42A16"/>
    <w:rsid w:val="00D438D5"/>
    <w:rsid w:val="00D4741D"/>
    <w:rsid w:val="00D50B9D"/>
    <w:rsid w:val="00D53F05"/>
    <w:rsid w:val="00D53FC5"/>
    <w:rsid w:val="00D54901"/>
    <w:rsid w:val="00D571DB"/>
    <w:rsid w:val="00D617CF"/>
    <w:rsid w:val="00D64B43"/>
    <w:rsid w:val="00D71661"/>
    <w:rsid w:val="00D72AFE"/>
    <w:rsid w:val="00D759B9"/>
    <w:rsid w:val="00D91AA3"/>
    <w:rsid w:val="00D92EDA"/>
    <w:rsid w:val="00D943CE"/>
    <w:rsid w:val="00D9682F"/>
    <w:rsid w:val="00DA0026"/>
    <w:rsid w:val="00DA14A7"/>
    <w:rsid w:val="00DA30BE"/>
    <w:rsid w:val="00DA5543"/>
    <w:rsid w:val="00DA58F0"/>
    <w:rsid w:val="00DA6528"/>
    <w:rsid w:val="00DA7607"/>
    <w:rsid w:val="00DA7AFE"/>
    <w:rsid w:val="00DB067E"/>
    <w:rsid w:val="00DB5DA3"/>
    <w:rsid w:val="00DB6539"/>
    <w:rsid w:val="00DB709B"/>
    <w:rsid w:val="00DC7CE3"/>
    <w:rsid w:val="00DD3CB4"/>
    <w:rsid w:val="00DD66E8"/>
    <w:rsid w:val="00DD7734"/>
    <w:rsid w:val="00DE10C7"/>
    <w:rsid w:val="00DE57B9"/>
    <w:rsid w:val="00DE609C"/>
    <w:rsid w:val="00DF09F2"/>
    <w:rsid w:val="00E012EC"/>
    <w:rsid w:val="00E036C8"/>
    <w:rsid w:val="00E12E12"/>
    <w:rsid w:val="00E150C1"/>
    <w:rsid w:val="00E16EA8"/>
    <w:rsid w:val="00E24BB9"/>
    <w:rsid w:val="00E3348F"/>
    <w:rsid w:val="00E378A6"/>
    <w:rsid w:val="00E44D8A"/>
    <w:rsid w:val="00E466A1"/>
    <w:rsid w:val="00E52EBD"/>
    <w:rsid w:val="00E670F5"/>
    <w:rsid w:val="00E73524"/>
    <w:rsid w:val="00E74508"/>
    <w:rsid w:val="00E77CBF"/>
    <w:rsid w:val="00E82CF7"/>
    <w:rsid w:val="00E84286"/>
    <w:rsid w:val="00E8448F"/>
    <w:rsid w:val="00E876F5"/>
    <w:rsid w:val="00E91088"/>
    <w:rsid w:val="00E958CA"/>
    <w:rsid w:val="00E9665D"/>
    <w:rsid w:val="00EA13AD"/>
    <w:rsid w:val="00EA15D5"/>
    <w:rsid w:val="00EA286F"/>
    <w:rsid w:val="00EA56D3"/>
    <w:rsid w:val="00EB468D"/>
    <w:rsid w:val="00EC255F"/>
    <w:rsid w:val="00EC3B4A"/>
    <w:rsid w:val="00EC432A"/>
    <w:rsid w:val="00ED6296"/>
    <w:rsid w:val="00EE1C32"/>
    <w:rsid w:val="00EE402D"/>
    <w:rsid w:val="00EE481F"/>
    <w:rsid w:val="00EE4EBA"/>
    <w:rsid w:val="00EE521F"/>
    <w:rsid w:val="00EF4E3B"/>
    <w:rsid w:val="00EF4EE3"/>
    <w:rsid w:val="00EF5572"/>
    <w:rsid w:val="00F01589"/>
    <w:rsid w:val="00F0175C"/>
    <w:rsid w:val="00F024CE"/>
    <w:rsid w:val="00F0387B"/>
    <w:rsid w:val="00F140A9"/>
    <w:rsid w:val="00F14DFC"/>
    <w:rsid w:val="00F16A71"/>
    <w:rsid w:val="00F26FAE"/>
    <w:rsid w:val="00F2792F"/>
    <w:rsid w:val="00F27E57"/>
    <w:rsid w:val="00F3036A"/>
    <w:rsid w:val="00F334E6"/>
    <w:rsid w:val="00F345A7"/>
    <w:rsid w:val="00F351C7"/>
    <w:rsid w:val="00F41E67"/>
    <w:rsid w:val="00F4229F"/>
    <w:rsid w:val="00F507B9"/>
    <w:rsid w:val="00F51C95"/>
    <w:rsid w:val="00F60760"/>
    <w:rsid w:val="00F61940"/>
    <w:rsid w:val="00F62903"/>
    <w:rsid w:val="00F64245"/>
    <w:rsid w:val="00F71395"/>
    <w:rsid w:val="00F73602"/>
    <w:rsid w:val="00F76857"/>
    <w:rsid w:val="00F76AFF"/>
    <w:rsid w:val="00F77A57"/>
    <w:rsid w:val="00F77DD9"/>
    <w:rsid w:val="00F846E4"/>
    <w:rsid w:val="00F9065F"/>
    <w:rsid w:val="00F95D53"/>
    <w:rsid w:val="00F97F8A"/>
    <w:rsid w:val="00FA13DD"/>
    <w:rsid w:val="00FA78F4"/>
    <w:rsid w:val="00FB5C54"/>
    <w:rsid w:val="00FB6AB0"/>
    <w:rsid w:val="00FC0A71"/>
    <w:rsid w:val="00FC6A10"/>
    <w:rsid w:val="00FC7473"/>
    <w:rsid w:val="00FD009F"/>
    <w:rsid w:val="00FD2405"/>
    <w:rsid w:val="00FD2C31"/>
    <w:rsid w:val="00FE2F9A"/>
    <w:rsid w:val="00FE3A94"/>
    <w:rsid w:val="00FE41D4"/>
    <w:rsid w:val="00FF15D0"/>
    <w:rsid w:val="00FF35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68634"/>
  <w15:chartTrackingRefBased/>
  <w15:docId w15:val="{F37B1693-5D2A-4E9C-B97E-8D9458104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C1F26"/>
    <w:pPr>
      <w:spacing w:after="0" w:line="480" w:lineRule="auto"/>
      <w:jc w:val="both"/>
    </w:pPr>
    <w:rPr>
      <w:rFonts w:ascii="Times New Roman" w:hAnsi="Times New Roman"/>
      <w:sz w:val="24"/>
    </w:rPr>
  </w:style>
  <w:style w:type="paragraph" w:styleId="berschrift1">
    <w:name w:val="heading 1"/>
    <w:next w:val="Standard"/>
    <w:link w:val="berschrift1Zchn"/>
    <w:qFormat/>
    <w:rsid w:val="009A66C3"/>
    <w:pPr>
      <w:keepNext/>
      <w:keepLines/>
      <w:spacing w:after="0" w:line="480" w:lineRule="auto"/>
      <w:jc w:val="center"/>
      <w:outlineLvl w:val="0"/>
    </w:pPr>
    <w:rPr>
      <w:rFonts w:ascii="Times New Roman" w:eastAsiaTheme="majorEastAsia" w:hAnsi="Times New Roman" w:cstheme="majorBidi"/>
      <w:b/>
      <w:caps/>
      <w:sz w:val="24"/>
      <w:szCs w:val="32"/>
    </w:rPr>
  </w:style>
  <w:style w:type="paragraph" w:styleId="berschrift2">
    <w:name w:val="heading 2"/>
    <w:basedOn w:val="berschrift1"/>
    <w:next w:val="Standard"/>
    <w:link w:val="berschrift2Zchn"/>
    <w:unhideWhenUsed/>
    <w:qFormat/>
    <w:rsid w:val="0082138A"/>
    <w:pPr>
      <w:outlineLvl w:val="1"/>
    </w:pPr>
    <w:rPr>
      <w:rFonts w:cs="Times New Roman"/>
      <w:color w:val="000000" w:themeColor="text1"/>
    </w:rPr>
  </w:style>
  <w:style w:type="paragraph" w:styleId="berschrift3">
    <w:name w:val="heading 3"/>
    <w:basedOn w:val="berschrift2"/>
    <w:next w:val="Standard"/>
    <w:link w:val="berschrift3Zchn"/>
    <w:unhideWhenUsed/>
    <w:qFormat/>
    <w:rsid w:val="00D03577"/>
    <w:pPr>
      <w:jc w:val="left"/>
      <w:outlineLvl w:val="2"/>
    </w:pPr>
    <w:rPr>
      <w:caps w:val="0"/>
      <w:lang w:val="en-US"/>
    </w:rPr>
  </w:style>
  <w:style w:type="paragraph" w:styleId="berschrift4">
    <w:name w:val="heading 4"/>
    <w:basedOn w:val="Paragraph"/>
    <w:next w:val="Standard"/>
    <w:link w:val="berschrift4Zchn"/>
    <w:unhideWhenUsed/>
    <w:qFormat/>
    <w:rsid w:val="0082138A"/>
    <w:pPr>
      <w:outlineLvl w:val="3"/>
    </w:pPr>
  </w:style>
  <w:style w:type="paragraph" w:styleId="berschrift5">
    <w:name w:val="heading 5"/>
    <w:basedOn w:val="Standard"/>
    <w:next w:val="Standard"/>
    <w:link w:val="berschrift5Zchn"/>
    <w:unhideWhenUsed/>
    <w:qFormat/>
    <w:rsid w:val="009A66C3"/>
    <w:pPr>
      <w:keepNext/>
      <w:keepLines/>
      <w:outlineLvl w:val="4"/>
    </w:pPr>
    <w:rPr>
      <w:rFonts w:eastAsiaTheme="majorEastAsia" w:cstheme="majorBidi"/>
      <w:i/>
    </w:rPr>
  </w:style>
  <w:style w:type="paragraph" w:styleId="berschrift6">
    <w:name w:val="heading 6"/>
    <w:basedOn w:val="Standard"/>
    <w:next w:val="Standard"/>
    <w:link w:val="berschrift6Zchn"/>
    <w:unhideWhenUsed/>
    <w:qFormat/>
    <w:rsid w:val="009A66C3"/>
    <w:pPr>
      <w:keepNext/>
      <w:keepLines/>
      <w:spacing w:before="40"/>
      <w:outlineLvl w:val="5"/>
    </w:pPr>
    <w:rPr>
      <w:rFonts w:eastAsiaTheme="majorEastAsia" w:cstheme="majorBidi"/>
    </w:rPr>
  </w:style>
  <w:style w:type="paragraph" w:styleId="berschrift7">
    <w:name w:val="heading 7"/>
    <w:basedOn w:val="Standard"/>
    <w:next w:val="Standard"/>
    <w:link w:val="berschrift7Zchn"/>
    <w:unhideWhenUsed/>
    <w:qFormat/>
    <w:rsid w:val="009A66C3"/>
    <w:pPr>
      <w:keepNext/>
      <w:keepLines/>
      <w:numPr>
        <w:ilvl w:val="6"/>
        <w:numId w:val="12"/>
      </w:numPr>
      <w:spacing w:before="40"/>
      <w:ind w:left="1296" w:hanging="288"/>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nhideWhenUsed/>
    <w:qFormat/>
    <w:rsid w:val="009A66C3"/>
    <w:pPr>
      <w:keepNext/>
      <w:keepLines/>
      <w:numPr>
        <w:ilvl w:val="7"/>
        <w:numId w:val="12"/>
      </w:numPr>
      <w:spacing w:before="40"/>
      <w:ind w:left="1440" w:hanging="432"/>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9A66C3"/>
    <w:pPr>
      <w:keepNext/>
      <w:keepLines/>
      <w:numPr>
        <w:ilvl w:val="8"/>
        <w:numId w:val="12"/>
      </w:numPr>
      <w:spacing w:before="40"/>
      <w:ind w:left="1584" w:hanging="144"/>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0503E"/>
    <w:pPr>
      <w:ind w:left="720"/>
      <w:contextualSpacing/>
    </w:pPr>
  </w:style>
  <w:style w:type="character" w:customStyle="1" w:styleId="berschrift2Zchn">
    <w:name w:val="Überschrift 2 Zchn"/>
    <w:basedOn w:val="Absatz-Standardschriftart"/>
    <w:link w:val="berschrift2"/>
    <w:rsid w:val="0082138A"/>
    <w:rPr>
      <w:rFonts w:ascii="Times New Roman" w:eastAsiaTheme="majorEastAsia" w:hAnsi="Times New Roman" w:cs="Times New Roman"/>
      <w:b/>
      <w:caps/>
      <w:color w:val="000000" w:themeColor="text1"/>
      <w:sz w:val="24"/>
      <w:szCs w:val="32"/>
    </w:rPr>
  </w:style>
  <w:style w:type="character" w:customStyle="1" w:styleId="berschrift1Zchn">
    <w:name w:val="Überschrift 1 Zchn"/>
    <w:basedOn w:val="Absatz-Standardschriftart"/>
    <w:link w:val="berschrift1"/>
    <w:rsid w:val="009A66C3"/>
    <w:rPr>
      <w:rFonts w:ascii="Times New Roman" w:eastAsiaTheme="majorEastAsia" w:hAnsi="Times New Roman" w:cstheme="majorBidi"/>
      <w:b/>
      <w:caps/>
      <w:sz w:val="24"/>
      <w:szCs w:val="32"/>
    </w:rPr>
  </w:style>
  <w:style w:type="paragraph" w:styleId="Inhaltsverzeichnisberschrift">
    <w:name w:val="TOC Heading"/>
    <w:basedOn w:val="berschrift1"/>
    <w:next w:val="Standard"/>
    <w:uiPriority w:val="39"/>
    <w:unhideWhenUsed/>
    <w:qFormat/>
    <w:rsid w:val="0062431D"/>
    <w:pPr>
      <w:outlineLvl w:val="9"/>
    </w:pPr>
    <w:rPr>
      <w:lang w:eastAsia="de-DE"/>
    </w:rPr>
  </w:style>
  <w:style w:type="paragraph" w:styleId="Verzeichnis2">
    <w:name w:val="toc 2"/>
    <w:basedOn w:val="Standard"/>
    <w:next w:val="Standard"/>
    <w:autoRedefine/>
    <w:uiPriority w:val="39"/>
    <w:unhideWhenUsed/>
    <w:qFormat/>
    <w:rsid w:val="00102919"/>
    <w:pPr>
      <w:tabs>
        <w:tab w:val="right" w:leader="dot" w:pos="9062"/>
      </w:tabs>
      <w:spacing w:after="60" w:line="240" w:lineRule="auto"/>
      <w:ind w:left="221"/>
    </w:pPr>
  </w:style>
  <w:style w:type="character" w:styleId="Hyperlink">
    <w:name w:val="Hyperlink"/>
    <w:basedOn w:val="Absatz-Standardschriftart"/>
    <w:uiPriority w:val="99"/>
    <w:unhideWhenUsed/>
    <w:rsid w:val="0062431D"/>
    <w:rPr>
      <w:color w:val="0563C1" w:themeColor="hyperlink"/>
      <w:u w:val="single"/>
    </w:rPr>
  </w:style>
  <w:style w:type="paragraph" w:styleId="StandardWeb">
    <w:name w:val="Normal (Web)"/>
    <w:basedOn w:val="Standard"/>
    <w:uiPriority w:val="99"/>
    <w:unhideWhenUsed/>
    <w:rsid w:val="00247348"/>
    <w:pPr>
      <w:spacing w:before="100" w:beforeAutospacing="1" w:after="100" w:afterAutospacing="1" w:line="240" w:lineRule="auto"/>
    </w:pPr>
    <w:rPr>
      <w:rFonts w:eastAsia="Times New Roman" w:cs="Times New Roman"/>
      <w:szCs w:val="24"/>
      <w:lang w:eastAsia="de-DE"/>
    </w:rPr>
  </w:style>
  <w:style w:type="character" w:customStyle="1" w:styleId="berschrift3Zchn">
    <w:name w:val="Überschrift 3 Zchn"/>
    <w:basedOn w:val="Absatz-Standardschriftart"/>
    <w:link w:val="berschrift3"/>
    <w:rsid w:val="00D03577"/>
    <w:rPr>
      <w:rFonts w:ascii="Times New Roman" w:eastAsiaTheme="majorEastAsia" w:hAnsi="Times New Roman" w:cs="Times New Roman"/>
      <w:b/>
      <w:color w:val="000000" w:themeColor="text1"/>
      <w:sz w:val="24"/>
      <w:szCs w:val="32"/>
      <w:lang w:val="en-US"/>
    </w:rPr>
  </w:style>
  <w:style w:type="paragraph" w:styleId="KeinLeerraum">
    <w:name w:val="No Spacing"/>
    <w:link w:val="KeinLeerraumZchn"/>
    <w:uiPriority w:val="1"/>
    <w:qFormat/>
    <w:rsid w:val="009A66C3"/>
    <w:pPr>
      <w:spacing w:after="0" w:line="480" w:lineRule="auto"/>
      <w:jc w:val="both"/>
    </w:pPr>
    <w:rPr>
      <w:rFonts w:ascii="Times New Roman" w:hAnsi="Times New Roman"/>
      <w:sz w:val="24"/>
    </w:rPr>
  </w:style>
  <w:style w:type="paragraph" w:styleId="Kopfzeile">
    <w:name w:val="header"/>
    <w:basedOn w:val="Standard"/>
    <w:link w:val="KopfzeileZchn"/>
    <w:uiPriority w:val="99"/>
    <w:unhideWhenUsed/>
    <w:rsid w:val="00142BA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142BA0"/>
    <w:rPr>
      <w:rFonts w:ascii="Times New Roman" w:hAnsi="Times New Roman"/>
      <w:sz w:val="24"/>
    </w:rPr>
  </w:style>
  <w:style w:type="paragraph" w:styleId="Fuzeile">
    <w:name w:val="footer"/>
    <w:basedOn w:val="Standard"/>
    <w:link w:val="FuzeileZchn"/>
    <w:uiPriority w:val="99"/>
    <w:unhideWhenUsed/>
    <w:rsid w:val="00142BA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142BA0"/>
    <w:rPr>
      <w:rFonts w:ascii="Times New Roman" w:hAnsi="Times New Roman"/>
      <w:sz w:val="24"/>
    </w:rPr>
  </w:style>
  <w:style w:type="paragraph" w:styleId="HTMLVorformatiert">
    <w:name w:val="HTML Preformatted"/>
    <w:basedOn w:val="Standard"/>
    <w:link w:val="HTMLVorformatiertZchn"/>
    <w:unhideWhenUsed/>
    <w:rsid w:val="0014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rsid w:val="00142BA0"/>
    <w:rPr>
      <w:rFonts w:ascii="Courier New" w:eastAsia="Times New Roman" w:hAnsi="Courier New" w:cs="Courier New"/>
      <w:sz w:val="20"/>
      <w:szCs w:val="20"/>
      <w:lang w:eastAsia="de-DE"/>
    </w:rPr>
  </w:style>
  <w:style w:type="character" w:customStyle="1" w:styleId="y2iqfc">
    <w:name w:val="y2iqfc"/>
    <w:basedOn w:val="Absatz-Standardschriftart"/>
    <w:rsid w:val="00142BA0"/>
  </w:style>
  <w:style w:type="paragraph" w:styleId="Verzeichnis1">
    <w:name w:val="toc 1"/>
    <w:basedOn w:val="Standard"/>
    <w:next w:val="Standard"/>
    <w:autoRedefine/>
    <w:uiPriority w:val="39"/>
    <w:unhideWhenUsed/>
    <w:rsid w:val="004B07AD"/>
    <w:pPr>
      <w:tabs>
        <w:tab w:val="left" w:pos="482"/>
        <w:tab w:val="right" w:leader="dot" w:pos="9062"/>
      </w:tabs>
      <w:spacing w:after="60" w:line="240" w:lineRule="auto"/>
    </w:pPr>
    <w:rPr>
      <w:noProof/>
      <w:lang w:val="en-US"/>
    </w:rPr>
  </w:style>
  <w:style w:type="paragraph" w:styleId="Verzeichnis3">
    <w:name w:val="toc 3"/>
    <w:basedOn w:val="Standard"/>
    <w:next w:val="Standard"/>
    <w:autoRedefine/>
    <w:uiPriority w:val="39"/>
    <w:unhideWhenUsed/>
    <w:qFormat/>
    <w:rsid w:val="00142BA0"/>
    <w:pPr>
      <w:spacing w:after="100" w:line="240" w:lineRule="auto"/>
      <w:ind w:left="482"/>
    </w:pPr>
  </w:style>
  <w:style w:type="paragraph" w:styleId="Verzeichnis4">
    <w:name w:val="toc 4"/>
    <w:basedOn w:val="Standard"/>
    <w:next w:val="Standard"/>
    <w:autoRedefine/>
    <w:unhideWhenUsed/>
    <w:rsid w:val="00142BA0"/>
    <w:pPr>
      <w:spacing w:after="100" w:line="240" w:lineRule="auto"/>
      <w:ind w:left="720"/>
    </w:pPr>
  </w:style>
  <w:style w:type="paragraph" w:styleId="Verzeichnis5">
    <w:name w:val="toc 5"/>
    <w:basedOn w:val="Standard"/>
    <w:next w:val="Standard"/>
    <w:autoRedefine/>
    <w:unhideWhenUsed/>
    <w:rsid w:val="00142BA0"/>
    <w:pPr>
      <w:spacing w:after="100" w:line="240" w:lineRule="auto"/>
      <w:ind w:left="958"/>
    </w:pPr>
  </w:style>
  <w:style w:type="character" w:customStyle="1" w:styleId="berschrift4Zchn">
    <w:name w:val="Überschrift 4 Zchn"/>
    <w:basedOn w:val="Absatz-Standardschriftart"/>
    <w:link w:val="berschrift4"/>
    <w:rsid w:val="0082138A"/>
    <w:rPr>
      <w:rFonts w:ascii="Times New Roman" w:eastAsia="Times New Roman" w:hAnsi="Times New Roman" w:cs="Times New Roman"/>
      <w:sz w:val="24"/>
      <w:szCs w:val="24"/>
      <w:lang w:val="en-US" w:eastAsia="de-DE"/>
    </w:rPr>
  </w:style>
  <w:style w:type="character" w:customStyle="1" w:styleId="berschrift5Zchn">
    <w:name w:val="Überschrift 5 Zchn"/>
    <w:basedOn w:val="Absatz-Standardschriftart"/>
    <w:link w:val="berschrift5"/>
    <w:rsid w:val="0029334A"/>
    <w:rPr>
      <w:rFonts w:ascii="Times New Roman" w:eastAsiaTheme="majorEastAsia" w:hAnsi="Times New Roman" w:cstheme="majorBidi"/>
      <w:i/>
      <w:sz w:val="24"/>
    </w:rPr>
  </w:style>
  <w:style w:type="character" w:customStyle="1" w:styleId="berschrift6Zchn">
    <w:name w:val="Überschrift 6 Zchn"/>
    <w:basedOn w:val="Absatz-Standardschriftart"/>
    <w:link w:val="berschrift6"/>
    <w:rsid w:val="009A66C3"/>
    <w:rPr>
      <w:rFonts w:ascii="Times New Roman" w:eastAsiaTheme="majorEastAsia" w:hAnsi="Times New Roman" w:cstheme="majorBidi"/>
      <w:sz w:val="24"/>
    </w:rPr>
  </w:style>
  <w:style w:type="character" w:styleId="Kommentarzeichen">
    <w:name w:val="annotation reference"/>
    <w:basedOn w:val="Absatz-Standardschriftart"/>
    <w:semiHidden/>
    <w:unhideWhenUsed/>
    <w:rsid w:val="00126314"/>
    <w:rPr>
      <w:sz w:val="16"/>
      <w:szCs w:val="16"/>
    </w:rPr>
  </w:style>
  <w:style w:type="paragraph" w:styleId="Kommentartext">
    <w:name w:val="annotation text"/>
    <w:basedOn w:val="Standard"/>
    <w:link w:val="KommentartextZchn"/>
    <w:unhideWhenUsed/>
    <w:rsid w:val="00126314"/>
    <w:pPr>
      <w:spacing w:line="240" w:lineRule="auto"/>
    </w:pPr>
    <w:rPr>
      <w:sz w:val="20"/>
      <w:szCs w:val="20"/>
    </w:rPr>
  </w:style>
  <w:style w:type="character" w:customStyle="1" w:styleId="KommentartextZchn">
    <w:name w:val="Kommentartext Zchn"/>
    <w:basedOn w:val="Absatz-Standardschriftart"/>
    <w:link w:val="Kommentartext"/>
    <w:rsid w:val="00126314"/>
    <w:rPr>
      <w:rFonts w:ascii="Times New Roman" w:hAnsi="Times New Roman"/>
      <w:sz w:val="20"/>
      <w:szCs w:val="20"/>
    </w:rPr>
  </w:style>
  <w:style w:type="paragraph" w:styleId="Kommentarthema">
    <w:name w:val="annotation subject"/>
    <w:basedOn w:val="Kommentartext"/>
    <w:next w:val="Kommentartext"/>
    <w:link w:val="KommentarthemaZchn"/>
    <w:semiHidden/>
    <w:unhideWhenUsed/>
    <w:rsid w:val="00126314"/>
    <w:rPr>
      <w:b/>
      <w:bCs/>
    </w:rPr>
  </w:style>
  <w:style w:type="character" w:customStyle="1" w:styleId="KommentarthemaZchn">
    <w:name w:val="Kommentarthema Zchn"/>
    <w:basedOn w:val="KommentartextZchn"/>
    <w:link w:val="Kommentarthema"/>
    <w:semiHidden/>
    <w:rsid w:val="00126314"/>
    <w:rPr>
      <w:rFonts w:ascii="Times New Roman" w:hAnsi="Times New Roman"/>
      <w:b/>
      <w:bCs/>
      <w:sz w:val="20"/>
      <w:szCs w:val="20"/>
    </w:rPr>
  </w:style>
  <w:style w:type="paragraph" w:styleId="Sprechblasentext">
    <w:name w:val="Balloon Text"/>
    <w:basedOn w:val="Standard"/>
    <w:link w:val="SprechblasentextZchn"/>
    <w:unhideWhenUsed/>
    <w:rsid w:val="0012631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126314"/>
    <w:rPr>
      <w:rFonts w:ascii="Segoe UI" w:hAnsi="Segoe UI" w:cs="Segoe UI"/>
      <w:sz w:val="18"/>
      <w:szCs w:val="18"/>
    </w:rPr>
  </w:style>
  <w:style w:type="table" w:styleId="EinfacheTabelle3">
    <w:name w:val="Plain Table 3"/>
    <w:basedOn w:val="NormaleTabelle"/>
    <w:uiPriority w:val="43"/>
    <w:rsid w:val="008733A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ett">
    <w:name w:val="Strong"/>
    <w:basedOn w:val="Absatz-Standardschriftart"/>
    <w:uiPriority w:val="22"/>
    <w:qFormat/>
    <w:rsid w:val="009A66C3"/>
    <w:rPr>
      <w:b/>
      <w:bCs/>
    </w:rPr>
  </w:style>
  <w:style w:type="character" w:customStyle="1" w:styleId="KeinLeerraumZchn">
    <w:name w:val="Kein Leerraum Zchn"/>
    <w:basedOn w:val="Absatz-Standardschriftart"/>
    <w:link w:val="KeinLeerraum"/>
    <w:uiPriority w:val="1"/>
    <w:rsid w:val="009A66C3"/>
    <w:rPr>
      <w:rFonts w:ascii="Times New Roman" w:hAnsi="Times New Roman"/>
      <w:sz w:val="24"/>
    </w:rPr>
  </w:style>
  <w:style w:type="character" w:customStyle="1" w:styleId="berschrift7Zchn">
    <w:name w:val="Überschrift 7 Zchn"/>
    <w:basedOn w:val="Absatz-Standardschriftart"/>
    <w:link w:val="berschrift7"/>
    <w:rsid w:val="009A66C3"/>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rsid w:val="009A66C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semiHidden/>
    <w:rsid w:val="009A66C3"/>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Absatz-Standardschriftart"/>
    <w:rsid w:val="009A66C3"/>
  </w:style>
  <w:style w:type="character" w:customStyle="1" w:styleId="eop">
    <w:name w:val="eop"/>
    <w:basedOn w:val="Absatz-Standardschriftart"/>
    <w:rsid w:val="009A66C3"/>
  </w:style>
  <w:style w:type="character" w:styleId="Platzhaltertext">
    <w:name w:val="Placeholder Text"/>
    <w:basedOn w:val="Absatz-Standardschriftart"/>
    <w:uiPriority w:val="99"/>
    <w:rsid w:val="009A66C3"/>
    <w:rPr>
      <w:color w:val="808080"/>
    </w:rPr>
  </w:style>
  <w:style w:type="paragraph" w:customStyle="1" w:styleId="CitaviBibliographyEntry">
    <w:name w:val="Citavi Bibliography Entry"/>
    <w:basedOn w:val="Standard"/>
    <w:link w:val="CitaviBibliographyEntryZchn"/>
    <w:rsid w:val="009A66C3"/>
    <w:pPr>
      <w:tabs>
        <w:tab w:val="left" w:pos="283"/>
      </w:tabs>
      <w:spacing w:after="60"/>
      <w:ind w:left="283" w:hanging="283"/>
      <w:jc w:val="left"/>
    </w:pPr>
    <w:rPr>
      <w:lang w:val="en-US"/>
    </w:rPr>
  </w:style>
  <w:style w:type="character" w:customStyle="1" w:styleId="CitaviBibliographyEntryZchn">
    <w:name w:val="Citavi Bibliography Entry Zchn"/>
    <w:basedOn w:val="KeinLeerraumZchn"/>
    <w:link w:val="CitaviBibliographyEntry"/>
    <w:rsid w:val="009A66C3"/>
    <w:rPr>
      <w:rFonts w:ascii="Times New Roman" w:hAnsi="Times New Roman"/>
      <w:sz w:val="24"/>
      <w:lang w:val="en-US"/>
    </w:rPr>
  </w:style>
  <w:style w:type="paragraph" w:customStyle="1" w:styleId="CitaviBibliographyHeading">
    <w:name w:val="Citavi Bibliography Heading"/>
    <w:basedOn w:val="berschrift1"/>
    <w:link w:val="CitaviBibliographyHeadingZchn"/>
    <w:rsid w:val="009A66C3"/>
    <w:pPr>
      <w:ind w:left="360" w:hanging="360"/>
    </w:pPr>
    <w:rPr>
      <w:szCs w:val="20"/>
      <w:lang w:val="en-US"/>
    </w:rPr>
  </w:style>
  <w:style w:type="character" w:customStyle="1" w:styleId="CitaviBibliographyHeadingZchn">
    <w:name w:val="Citavi Bibliography Heading Zchn"/>
    <w:basedOn w:val="KeinLeerraumZchn"/>
    <w:link w:val="CitaviBibliographyHeading"/>
    <w:rsid w:val="009A66C3"/>
    <w:rPr>
      <w:rFonts w:ascii="Times New Roman" w:eastAsiaTheme="majorEastAsia" w:hAnsi="Times New Roman" w:cstheme="majorBidi"/>
      <w:b/>
      <w:caps/>
      <w:sz w:val="24"/>
      <w:szCs w:val="20"/>
      <w:lang w:val="en-US"/>
    </w:rPr>
  </w:style>
  <w:style w:type="paragraph" w:customStyle="1" w:styleId="CitaviChapterBibliographyHeading">
    <w:name w:val="Citavi Chapter Bibliography Heading"/>
    <w:basedOn w:val="berschrift2"/>
    <w:link w:val="CitaviChapterBibliographyHeadingZchn"/>
    <w:uiPriority w:val="99"/>
    <w:rsid w:val="009A66C3"/>
    <w:pPr>
      <w:ind w:left="720" w:hanging="720"/>
      <w:jc w:val="left"/>
    </w:pPr>
    <w:rPr>
      <w:lang w:val="en-US"/>
    </w:rPr>
  </w:style>
  <w:style w:type="character" w:customStyle="1" w:styleId="CitaviChapterBibliographyHeadingZchn">
    <w:name w:val="Citavi Chapter Bibliography Heading Zchn"/>
    <w:basedOn w:val="KeinLeerraumZchn"/>
    <w:link w:val="CitaviChapterBibliographyHeading"/>
    <w:uiPriority w:val="99"/>
    <w:rsid w:val="009A66C3"/>
    <w:rPr>
      <w:rFonts w:ascii="Times New Roman" w:eastAsiaTheme="majorEastAsia" w:hAnsi="Times New Roman" w:cstheme="majorBidi"/>
      <w:b/>
      <w:sz w:val="24"/>
      <w:szCs w:val="26"/>
      <w:lang w:val="en-US"/>
    </w:rPr>
  </w:style>
  <w:style w:type="paragraph" w:customStyle="1" w:styleId="CitaviBibliographySubheading1">
    <w:name w:val="Citavi Bibliography Subheading 1"/>
    <w:basedOn w:val="berschrift2"/>
    <w:link w:val="CitaviBibliographySubheading1Zchn"/>
    <w:uiPriority w:val="99"/>
    <w:rsid w:val="009A66C3"/>
    <w:pPr>
      <w:ind w:left="720" w:hanging="720"/>
      <w:jc w:val="left"/>
      <w:outlineLvl w:val="9"/>
    </w:pPr>
    <w:rPr>
      <w:szCs w:val="24"/>
      <w:lang w:val="en-US"/>
    </w:rPr>
  </w:style>
  <w:style w:type="character" w:customStyle="1" w:styleId="CitaviBibliographySubheading1Zchn">
    <w:name w:val="Citavi Bibliography Subheading 1 Zchn"/>
    <w:basedOn w:val="KeinLeerraumZchn"/>
    <w:link w:val="CitaviBibliographySubheading1"/>
    <w:uiPriority w:val="99"/>
    <w:rsid w:val="009A66C3"/>
    <w:rPr>
      <w:rFonts w:ascii="Times New Roman" w:eastAsiaTheme="majorEastAsia" w:hAnsi="Times New Roman" w:cstheme="majorBidi"/>
      <w:b/>
      <w:sz w:val="24"/>
      <w:szCs w:val="24"/>
      <w:lang w:val="en-US"/>
    </w:rPr>
  </w:style>
  <w:style w:type="paragraph" w:customStyle="1" w:styleId="CitaviBibliographySubheading2">
    <w:name w:val="Citavi Bibliography Subheading 2"/>
    <w:basedOn w:val="berschrift3"/>
    <w:link w:val="CitaviBibliographySubheading2Zchn"/>
    <w:uiPriority w:val="99"/>
    <w:rsid w:val="009A66C3"/>
    <w:pPr>
      <w:ind w:hanging="720"/>
      <w:outlineLvl w:val="9"/>
    </w:pPr>
    <w:rPr>
      <w:i/>
      <w:szCs w:val="26"/>
    </w:rPr>
  </w:style>
  <w:style w:type="character" w:customStyle="1" w:styleId="CitaviBibliographySubheading2Zchn">
    <w:name w:val="Citavi Bibliography Subheading 2 Zchn"/>
    <w:basedOn w:val="KeinLeerraumZchn"/>
    <w:link w:val="CitaviBibliographySubheading2"/>
    <w:uiPriority w:val="99"/>
    <w:rsid w:val="009A66C3"/>
    <w:rPr>
      <w:rFonts w:ascii="Times New Roman" w:eastAsiaTheme="majorEastAsia" w:hAnsi="Times New Roman" w:cstheme="majorBidi"/>
      <w:i/>
      <w:sz w:val="24"/>
      <w:szCs w:val="26"/>
      <w:lang w:val="en-US"/>
    </w:rPr>
  </w:style>
  <w:style w:type="paragraph" w:customStyle="1" w:styleId="CitaviBibliographySubheading3">
    <w:name w:val="Citavi Bibliography Subheading 3"/>
    <w:basedOn w:val="berschrift4"/>
    <w:link w:val="CitaviBibliographySubheading3Zchn"/>
    <w:uiPriority w:val="99"/>
    <w:rsid w:val="009A66C3"/>
    <w:pPr>
      <w:spacing w:before="40"/>
      <w:outlineLvl w:val="9"/>
    </w:pPr>
    <w:rPr>
      <w:rFonts w:asciiTheme="majorHAnsi" w:hAnsiTheme="majorHAnsi"/>
      <w:i/>
    </w:rPr>
  </w:style>
  <w:style w:type="character" w:customStyle="1" w:styleId="CitaviBibliographySubheading3Zchn">
    <w:name w:val="Citavi Bibliography Subheading 3 Zchn"/>
    <w:basedOn w:val="KeinLeerraumZchn"/>
    <w:link w:val="CitaviBibliographySubheading3"/>
    <w:uiPriority w:val="99"/>
    <w:rsid w:val="009A66C3"/>
    <w:rPr>
      <w:rFonts w:asciiTheme="majorHAnsi" w:eastAsiaTheme="majorEastAsia" w:hAnsiTheme="majorHAnsi" w:cstheme="majorBidi"/>
      <w:i/>
      <w:iCs/>
      <w:sz w:val="24"/>
      <w:szCs w:val="24"/>
      <w:lang w:val="en-US"/>
    </w:rPr>
  </w:style>
  <w:style w:type="paragraph" w:customStyle="1" w:styleId="CitaviBibliographySubheading4">
    <w:name w:val="Citavi Bibliography Subheading 4"/>
    <w:basedOn w:val="berschrift5"/>
    <w:link w:val="CitaviBibliographySubheading4Zchn"/>
    <w:uiPriority w:val="99"/>
    <w:rsid w:val="009A66C3"/>
    <w:pPr>
      <w:spacing w:before="40"/>
      <w:jc w:val="left"/>
      <w:outlineLvl w:val="9"/>
    </w:pPr>
    <w:rPr>
      <w:rFonts w:asciiTheme="majorHAnsi" w:hAnsiTheme="majorHAnsi"/>
      <w:i w:val="0"/>
      <w:color w:val="2E74B5" w:themeColor="accent1" w:themeShade="BF"/>
      <w:szCs w:val="24"/>
      <w:lang w:val="en-US"/>
    </w:rPr>
  </w:style>
  <w:style w:type="character" w:customStyle="1" w:styleId="CitaviBibliographySubheading4Zchn">
    <w:name w:val="Citavi Bibliography Subheading 4 Zchn"/>
    <w:basedOn w:val="KeinLeerraumZchn"/>
    <w:link w:val="CitaviBibliographySubheading4"/>
    <w:uiPriority w:val="99"/>
    <w:rsid w:val="009A66C3"/>
    <w:rPr>
      <w:rFonts w:asciiTheme="majorHAnsi" w:eastAsiaTheme="majorEastAsia" w:hAnsiTheme="majorHAnsi" w:cstheme="majorBidi"/>
      <w:color w:val="2E74B5" w:themeColor="accent1" w:themeShade="BF"/>
      <w:sz w:val="24"/>
      <w:szCs w:val="24"/>
      <w:lang w:val="en-US"/>
    </w:rPr>
  </w:style>
  <w:style w:type="paragraph" w:customStyle="1" w:styleId="CitaviBibliographySubheading5">
    <w:name w:val="Citavi Bibliography Subheading 5"/>
    <w:basedOn w:val="berschrift6"/>
    <w:link w:val="CitaviBibliographySubheading5Zchn"/>
    <w:uiPriority w:val="99"/>
    <w:rsid w:val="009A66C3"/>
    <w:pPr>
      <w:jc w:val="left"/>
      <w:outlineLvl w:val="9"/>
    </w:pPr>
    <w:rPr>
      <w:szCs w:val="24"/>
      <w:lang w:val="en-US"/>
    </w:rPr>
  </w:style>
  <w:style w:type="character" w:customStyle="1" w:styleId="CitaviBibliographySubheading5Zchn">
    <w:name w:val="Citavi Bibliography Subheading 5 Zchn"/>
    <w:basedOn w:val="KeinLeerraumZchn"/>
    <w:link w:val="CitaviBibliographySubheading5"/>
    <w:uiPriority w:val="99"/>
    <w:rsid w:val="009A66C3"/>
    <w:rPr>
      <w:rFonts w:asciiTheme="majorHAnsi" w:eastAsiaTheme="majorEastAsia" w:hAnsiTheme="majorHAnsi" w:cstheme="majorBidi"/>
      <w:color w:val="1F4D78" w:themeColor="accent1" w:themeShade="7F"/>
      <w:sz w:val="24"/>
      <w:szCs w:val="24"/>
      <w:lang w:val="en-US"/>
    </w:rPr>
  </w:style>
  <w:style w:type="paragraph" w:customStyle="1" w:styleId="CitaviBibliographySubheading6">
    <w:name w:val="Citavi Bibliography Subheading 6"/>
    <w:basedOn w:val="berschrift7"/>
    <w:link w:val="CitaviBibliographySubheading6Zchn"/>
    <w:uiPriority w:val="99"/>
    <w:rsid w:val="009A66C3"/>
    <w:pPr>
      <w:numPr>
        <w:ilvl w:val="0"/>
        <w:numId w:val="0"/>
      </w:numPr>
      <w:jc w:val="left"/>
      <w:outlineLvl w:val="9"/>
    </w:pPr>
    <w:rPr>
      <w:szCs w:val="24"/>
      <w:lang w:val="en-US"/>
    </w:rPr>
  </w:style>
  <w:style w:type="character" w:customStyle="1" w:styleId="CitaviBibliographySubheading6Zchn">
    <w:name w:val="Citavi Bibliography Subheading 6 Zchn"/>
    <w:basedOn w:val="KeinLeerraumZchn"/>
    <w:link w:val="CitaviBibliographySubheading6"/>
    <w:uiPriority w:val="99"/>
    <w:rsid w:val="009A66C3"/>
    <w:rPr>
      <w:rFonts w:asciiTheme="majorHAnsi" w:eastAsiaTheme="majorEastAsia" w:hAnsiTheme="majorHAnsi" w:cstheme="majorBidi"/>
      <w:i/>
      <w:iCs/>
      <w:color w:val="1F4D78" w:themeColor="accent1" w:themeShade="7F"/>
      <w:sz w:val="24"/>
      <w:szCs w:val="24"/>
      <w:lang w:val="en-US"/>
    </w:rPr>
  </w:style>
  <w:style w:type="paragraph" w:customStyle="1" w:styleId="CitaviBibliographySubheading7">
    <w:name w:val="Citavi Bibliography Subheading 7"/>
    <w:basedOn w:val="berschrift8"/>
    <w:link w:val="CitaviBibliographySubheading7Zchn"/>
    <w:uiPriority w:val="99"/>
    <w:rsid w:val="009A66C3"/>
    <w:pPr>
      <w:numPr>
        <w:ilvl w:val="0"/>
        <w:numId w:val="0"/>
      </w:numPr>
      <w:jc w:val="left"/>
      <w:outlineLvl w:val="9"/>
    </w:pPr>
    <w:rPr>
      <w:sz w:val="24"/>
      <w:szCs w:val="24"/>
      <w:lang w:val="en-US"/>
    </w:rPr>
  </w:style>
  <w:style w:type="character" w:customStyle="1" w:styleId="CitaviBibliographySubheading7Zchn">
    <w:name w:val="Citavi Bibliography Subheading 7 Zchn"/>
    <w:basedOn w:val="KeinLeerraumZchn"/>
    <w:link w:val="CitaviBibliographySubheading7"/>
    <w:uiPriority w:val="99"/>
    <w:rsid w:val="009A66C3"/>
    <w:rPr>
      <w:rFonts w:asciiTheme="majorHAnsi" w:eastAsiaTheme="majorEastAsia" w:hAnsiTheme="majorHAnsi" w:cstheme="majorBidi"/>
      <w:color w:val="272727" w:themeColor="text1" w:themeTint="D8"/>
      <w:sz w:val="24"/>
      <w:szCs w:val="24"/>
      <w:lang w:val="en-US"/>
    </w:rPr>
  </w:style>
  <w:style w:type="paragraph" w:customStyle="1" w:styleId="CitaviBibliographySubheading8">
    <w:name w:val="Citavi Bibliography Subheading 8"/>
    <w:basedOn w:val="berschrift9"/>
    <w:link w:val="CitaviBibliographySubheading8Zchn"/>
    <w:uiPriority w:val="99"/>
    <w:rsid w:val="009A66C3"/>
    <w:pPr>
      <w:numPr>
        <w:ilvl w:val="0"/>
        <w:numId w:val="0"/>
      </w:numPr>
      <w:jc w:val="left"/>
      <w:outlineLvl w:val="9"/>
    </w:pPr>
    <w:rPr>
      <w:sz w:val="24"/>
      <w:szCs w:val="24"/>
      <w:lang w:val="en-US"/>
    </w:rPr>
  </w:style>
  <w:style w:type="character" w:customStyle="1" w:styleId="CitaviBibliographySubheading8Zchn">
    <w:name w:val="Citavi Bibliography Subheading 8 Zchn"/>
    <w:basedOn w:val="KeinLeerraumZchn"/>
    <w:link w:val="CitaviBibliographySubheading8"/>
    <w:uiPriority w:val="99"/>
    <w:rsid w:val="009A66C3"/>
    <w:rPr>
      <w:rFonts w:asciiTheme="majorHAnsi" w:eastAsiaTheme="majorEastAsia" w:hAnsiTheme="majorHAnsi" w:cstheme="majorBidi"/>
      <w:i/>
      <w:iCs/>
      <w:color w:val="272727" w:themeColor="text1" w:themeTint="D8"/>
      <w:sz w:val="24"/>
      <w:szCs w:val="24"/>
      <w:lang w:val="en-US"/>
    </w:rPr>
  </w:style>
  <w:style w:type="character" w:customStyle="1" w:styleId="findhit">
    <w:name w:val="findhit"/>
    <w:basedOn w:val="Absatz-Standardschriftart"/>
    <w:rsid w:val="009A66C3"/>
  </w:style>
  <w:style w:type="character" w:customStyle="1" w:styleId="markedcontent">
    <w:name w:val="markedcontent"/>
    <w:basedOn w:val="Absatz-Standardschriftart"/>
    <w:rsid w:val="009A66C3"/>
  </w:style>
  <w:style w:type="paragraph" w:customStyle="1" w:styleId="paragraph0">
    <w:name w:val="paragraph"/>
    <w:basedOn w:val="Standard"/>
    <w:rsid w:val="009A66C3"/>
    <w:pPr>
      <w:spacing w:before="100" w:beforeAutospacing="1" w:after="100" w:afterAutospacing="1"/>
      <w:jc w:val="left"/>
    </w:pPr>
    <w:rPr>
      <w:rFonts w:eastAsia="Times New Roman" w:cs="Times New Roman"/>
      <w:szCs w:val="24"/>
      <w:lang w:val="en-US" w:eastAsia="de-DE"/>
    </w:rPr>
  </w:style>
  <w:style w:type="paragraph" w:customStyle="1" w:styleId="body-paragraph">
    <w:name w:val="body-paragraph"/>
    <w:basedOn w:val="Standard"/>
    <w:rsid w:val="009A66C3"/>
    <w:pPr>
      <w:spacing w:before="100" w:beforeAutospacing="1" w:after="100" w:afterAutospacing="1"/>
      <w:jc w:val="left"/>
    </w:pPr>
    <w:rPr>
      <w:rFonts w:eastAsia="Times New Roman" w:cs="Times New Roman"/>
      <w:szCs w:val="24"/>
      <w:lang w:val="en-US" w:eastAsia="de-DE"/>
    </w:rPr>
  </w:style>
  <w:style w:type="table" w:styleId="Tabellenraster">
    <w:name w:val="Table Grid"/>
    <w:basedOn w:val="NormaleTabelle"/>
    <w:uiPriority w:val="59"/>
    <w:rsid w:val="009A6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semiHidden/>
    <w:unhideWhenUsed/>
    <w:rsid w:val="009A66C3"/>
    <w:rPr>
      <w:color w:val="954F72"/>
      <w:u w:val="single"/>
    </w:rPr>
  </w:style>
  <w:style w:type="paragraph" w:customStyle="1" w:styleId="msonormal0">
    <w:name w:val="msonormal"/>
    <w:basedOn w:val="Standard"/>
    <w:rsid w:val="009A66C3"/>
    <w:pPr>
      <w:spacing w:before="100" w:beforeAutospacing="1" w:after="100" w:afterAutospacing="1"/>
      <w:jc w:val="left"/>
    </w:pPr>
    <w:rPr>
      <w:rFonts w:eastAsia="Times New Roman" w:cs="Times New Roman"/>
      <w:szCs w:val="24"/>
      <w:lang w:val="en-US" w:eastAsia="de-DE"/>
    </w:rPr>
  </w:style>
  <w:style w:type="paragraph" w:customStyle="1" w:styleId="xl65">
    <w:name w:val="xl65"/>
    <w:basedOn w:val="Standard"/>
    <w:rsid w:val="009A66C3"/>
    <w:pPr>
      <w:shd w:val="clear" w:color="000000" w:fill="FFFF00"/>
      <w:spacing w:before="100" w:beforeAutospacing="1" w:after="100" w:afterAutospacing="1"/>
      <w:jc w:val="left"/>
    </w:pPr>
    <w:rPr>
      <w:rFonts w:eastAsia="Times New Roman" w:cs="Times New Roman"/>
      <w:szCs w:val="24"/>
      <w:lang w:val="en-US" w:eastAsia="de-DE"/>
    </w:rPr>
  </w:style>
  <w:style w:type="paragraph" w:customStyle="1" w:styleId="xl66">
    <w:name w:val="xl66"/>
    <w:basedOn w:val="Standard"/>
    <w:rsid w:val="009A66C3"/>
    <w:pPr>
      <w:shd w:val="clear" w:color="000000" w:fill="FF0000"/>
      <w:spacing w:before="100" w:beforeAutospacing="1" w:after="100" w:afterAutospacing="1"/>
      <w:jc w:val="left"/>
    </w:pPr>
    <w:rPr>
      <w:rFonts w:eastAsia="Times New Roman" w:cs="Times New Roman"/>
      <w:szCs w:val="24"/>
      <w:lang w:val="en-US" w:eastAsia="de-DE"/>
    </w:rPr>
  </w:style>
  <w:style w:type="table" w:styleId="EinfacheTabelle2">
    <w:name w:val="Plain Table 2"/>
    <w:basedOn w:val="NormaleTabelle"/>
    <w:uiPriority w:val="42"/>
    <w:rsid w:val="009A66C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4">
    <w:name w:val="Plain Table 4"/>
    <w:basedOn w:val="NormaleTabelle"/>
    <w:uiPriority w:val="44"/>
    <w:rsid w:val="009A66C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9A66C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abNotes">
    <w:name w:val="Tab Notes"/>
    <w:basedOn w:val="Standard"/>
    <w:link w:val="TabNotesChar"/>
    <w:rsid w:val="009A66C3"/>
    <w:pPr>
      <w:spacing w:line="192" w:lineRule="auto"/>
      <w:jc w:val="left"/>
    </w:pPr>
    <w:rPr>
      <w:rFonts w:eastAsia="Times New Roman" w:cs="Times New Roman"/>
      <w:sz w:val="16"/>
      <w:szCs w:val="16"/>
      <w:lang w:val="en-US"/>
    </w:rPr>
  </w:style>
  <w:style w:type="character" w:customStyle="1" w:styleId="TabNotesChar">
    <w:name w:val="Tab Notes Char"/>
    <w:basedOn w:val="Absatz-Standardschriftart"/>
    <w:link w:val="TabNotes"/>
    <w:rsid w:val="009A66C3"/>
    <w:rPr>
      <w:rFonts w:ascii="Times New Roman" w:eastAsia="Times New Roman" w:hAnsi="Times New Roman" w:cs="Times New Roman"/>
      <w:sz w:val="16"/>
      <w:szCs w:val="16"/>
      <w:lang w:val="en-US"/>
    </w:rPr>
  </w:style>
  <w:style w:type="paragraph" w:styleId="berarbeitung">
    <w:name w:val="Revision"/>
    <w:hidden/>
    <w:uiPriority w:val="99"/>
    <w:semiHidden/>
    <w:rsid w:val="009A66C3"/>
    <w:pPr>
      <w:spacing w:after="0" w:line="240" w:lineRule="auto"/>
    </w:pPr>
  </w:style>
  <w:style w:type="paragraph" w:styleId="Literaturverzeichnis">
    <w:name w:val="Bibliography"/>
    <w:basedOn w:val="Standard"/>
    <w:next w:val="Standard"/>
    <w:uiPriority w:val="37"/>
    <w:unhideWhenUsed/>
    <w:rsid w:val="009A66C3"/>
    <w:pPr>
      <w:jc w:val="left"/>
    </w:pPr>
    <w:rPr>
      <w:lang w:val="en-US"/>
    </w:rPr>
  </w:style>
  <w:style w:type="character" w:styleId="Buchtitel">
    <w:name w:val="Book Title"/>
    <w:basedOn w:val="Absatz-Standardschriftart"/>
    <w:uiPriority w:val="33"/>
    <w:qFormat/>
    <w:rsid w:val="009A66C3"/>
    <w:rPr>
      <w:b/>
      <w:bCs/>
      <w:i/>
      <w:iCs/>
      <w:spacing w:val="5"/>
    </w:rPr>
  </w:style>
  <w:style w:type="character" w:styleId="IntensiverVerweis">
    <w:name w:val="Intense Reference"/>
    <w:basedOn w:val="Absatz-Standardschriftart"/>
    <w:uiPriority w:val="32"/>
    <w:qFormat/>
    <w:rsid w:val="009A66C3"/>
    <w:rPr>
      <w:b/>
      <w:bCs/>
      <w:smallCaps/>
      <w:color w:val="5B9BD5" w:themeColor="accent1"/>
      <w:spacing w:val="5"/>
    </w:rPr>
  </w:style>
  <w:style w:type="character" w:styleId="SchwacherVerweis">
    <w:name w:val="Subtle Reference"/>
    <w:basedOn w:val="Absatz-Standardschriftart"/>
    <w:uiPriority w:val="31"/>
    <w:qFormat/>
    <w:rsid w:val="009A66C3"/>
    <w:rPr>
      <w:smallCaps/>
      <w:color w:val="5A5A5A" w:themeColor="text1" w:themeTint="A5"/>
    </w:rPr>
  </w:style>
  <w:style w:type="character" w:styleId="IntensiveHervorhebung">
    <w:name w:val="Intense Emphasis"/>
    <w:basedOn w:val="Absatz-Standardschriftart"/>
    <w:uiPriority w:val="21"/>
    <w:qFormat/>
    <w:rsid w:val="009A66C3"/>
    <w:rPr>
      <w:i/>
      <w:iCs/>
      <w:color w:val="5B9BD5" w:themeColor="accent1"/>
    </w:rPr>
  </w:style>
  <w:style w:type="character" w:styleId="SchwacheHervorhebung">
    <w:name w:val="Subtle Emphasis"/>
    <w:basedOn w:val="Absatz-Standardschriftart"/>
    <w:uiPriority w:val="19"/>
    <w:qFormat/>
    <w:rsid w:val="009A66C3"/>
    <w:rPr>
      <w:i/>
      <w:iCs/>
      <w:color w:val="404040" w:themeColor="text1" w:themeTint="BF"/>
    </w:rPr>
  </w:style>
  <w:style w:type="paragraph" w:styleId="IntensivesZitat">
    <w:name w:val="Intense Quote"/>
    <w:basedOn w:val="Standard"/>
    <w:next w:val="Standard"/>
    <w:link w:val="IntensivesZitatZchn"/>
    <w:uiPriority w:val="30"/>
    <w:qFormat/>
    <w:rsid w:val="009A66C3"/>
    <w:pPr>
      <w:pBdr>
        <w:top w:val="single" w:sz="4" w:space="10" w:color="5B9BD5" w:themeColor="accent1"/>
        <w:bottom w:val="single" w:sz="4" w:space="10" w:color="5B9BD5" w:themeColor="accent1"/>
      </w:pBdr>
      <w:spacing w:before="360" w:after="360"/>
      <w:ind w:left="864" w:right="864"/>
      <w:jc w:val="center"/>
    </w:pPr>
    <w:rPr>
      <w:i/>
      <w:iCs/>
      <w:color w:val="5B9BD5" w:themeColor="accent1"/>
      <w:lang w:val="en-US"/>
    </w:rPr>
  </w:style>
  <w:style w:type="character" w:customStyle="1" w:styleId="IntensivesZitatZchn">
    <w:name w:val="Intensives Zitat Zchn"/>
    <w:basedOn w:val="Absatz-Standardschriftart"/>
    <w:link w:val="IntensivesZitat"/>
    <w:uiPriority w:val="30"/>
    <w:rsid w:val="009A66C3"/>
    <w:rPr>
      <w:rFonts w:ascii="Times New Roman" w:hAnsi="Times New Roman"/>
      <w:i/>
      <w:iCs/>
      <w:color w:val="5B9BD5" w:themeColor="accent1"/>
      <w:sz w:val="24"/>
      <w:lang w:val="en-US"/>
    </w:rPr>
  </w:style>
  <w:style w:type="paragraph" w:styleId="Zitat">
    <w:name w:val="Quote"/>
    <w:basedOn w:val="Standard"/>
    <w:next w:val="Standard"/>
    <w:link w:val="ZitatZchn"/>
    <w:uiPriority w:val="29"/>
    <w:qFormat/>
    <w:rsid w:val="009A66C3"/>
    <w:pPr>
      <w:spacing w:before="200" w:after="160"/>
      <w:ind w:left="864" w:right="864"/>
      <w:jc w:val="center"/>
    </w:pPr>
    <w:rPr>
      <w:i/>
      <w:iCs/>
      <w:color w:val="404040" w:themeColor="text1" w:themeTint="BF"/>
      <w:lang w:val="en-US"/>
    </w:rPr>
  </w:style>
  <w:style w:type="character" w:customStyle="1" w:styleId="ZitatZchn">
    <w:name w:val="Zitat Zchn"/>
    <w:basedOn w:val="Absatz-Standardschriftart"/>
    <w:link w:val="Zitat"/>
    <w:uiPriority w:val="29"/>
    <w:rsid w:val="009A66C3"/>
    <w:rPr>
      <w:rFonts w:ascii="Times New Roman" w:hAnsi="Times New Roman"/>
      <w:i/>
      <w:iCs/>
      <w:color w:val="404040" w:themeColor="text1" w:themeTint="BF"/>
      <w:sz w:val="24"/>
      <w:lang w:val="en-US"/>
    </w:rPr>
  </w:style>
  <w:style w:type="table" w:styleId="MittlereListe1-Akzent1">
    <w:name w:val="Medium List 1 Accent 1"/>
    <w:basedOn w:val="NormaleTabelle"/>
    <w:uiPriority w:val="65"/>
    <w:semiHidden/>
    <w:unhideWhenUsed/>
    <w:rsid w:val="009A66C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9A66C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9A66C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9A66C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9A66C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9A66C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9A66C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9A66C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9A66C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9A66C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9A66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9A66C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9A66C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9A66C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9A66C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9A66C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9A66C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9A66C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9A66C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9A66C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semiHidden/>
    <w:unhideWhenUsed/>
    <w:rsid w:val="009A66C3"/>
    <w:rPr>
      <w:i/>
      <w:iCs/>
    </w:rPr>
  </w:style>
  <w:style w:type="character" w:styleId="HTMLSchreibmaschine">
    <w:name w:val="HTML Typewriter"/>
    <w:basedOn w:val="Absatz-Standardschriftart"/>
    <w:semiHidden/>
    <w:unhideWhenUsed/>
    <w:rsid w:val="009A66C3"/>
    <w:rPr>
      <w:rFonts w:ascii="Consolas" w:hAnsi="Consolas"/>
      <w:sz w:val="20"/>
      <w:szCs w:val="20"/>
    </w:rPr>
  </w:style>
  <w:style w:type="character" w:styleId="HTMLBeispiel">
    <w:name w:val="HTML Sample"/>
    <w:basedOn w:val="Absatz-Standardschriftart"/>
    <w:semiHidden/>
    <w:unhideWhenUsed/>
    <w:rsid w:val="009A66C3"/>
    <w:rPr>
      <w:rFonts w:ascii="Consolas" w:hAnsi="Consolas"/>
      <w:sz w:val="24"/>
      <w:szCs w:val="24"/>
    </w:rPr>
  </w:style>
  <w:style w:type="character" w:styleId="HTMLTastatur">
    <w:name w:val="HTML Keyboard"/>
    <w:basedOn w:val="Absatz-Standardschriftart"/>
    <w:semiHidden/>
    <w:unhideWhenUsed/>
    <w:rsid w:val="009A66C3"/>
    <w:rPr>
      <w:rFonts w:ascii="Consolas" w:hAnsi="Consolas"/>
      <w:sz w:val="20"/>
      <w:szCs w:val="20"/>
    </w:rPr>
  </w:style>
  <w:style w:type="character" w:styleId="HTMLDefinition">
    <w:name w:val="HTML Definition"/>
    <w:basedOn w:val="Absatz-Standardschriftart"/>
    <w:semiHidden/>
    <w:unhideWhenUsed/>
    <w:rsid w:val="009A66C3"/>
    <w:rPr>
      <w:i/>
      <w:iCs/>
    </w:rPr>
  </w:style>
  <w:style w:type="character" w:styleId="HTMLCode">
    <w:name w:val="HTML Code"/>
    <w:basedOn w:val="Absatz-Standardschriftart"/>
    <w:semiHidden/>
    <w:unhideWhenUsed/>
    <w:rsid w:val="009A66C3"/>
    <w:rPr>
      <w:rFonts w:ascii="Consolas" w:hAnsi="Consolas"/>
      <w:sz w:val="20"/>
      <w:szCs w:val="20"/>
    </w:rPr>
  </w:style>
  <w:style w:type="character" w:styleId="HTMLZitat">
    <w:name w:val="HTML Cite"/>
    <w:basedOn w:val="Absatz-Standardschriftart"/>
    <w:semiHidden/>
    <w:unhideWhenUsed/>
    <w:rsid w:val="009A66C3"/>
    <w:rPr>
      <w:i/>
      <w:iCs/>
    </w:rPr>
  </w:style>
  <w:style w:type="paragraph" w:styleId="HTMLAdresse">
    <w:name w:val="HTML Address"/>
    <w:basedOn w:val="Standard"/>
    <w:link w:val="HTMLAdresseZchn"/>
    <w:semiHidden/>
    <w:unhideWhenUsed/>
    <w:rsid w:val="009A66C3"/>
    <w:pPr>
      <w:jc w:val="left"/>
    </w:pPr>
    <w:rPr>
      <w:i/>
      <w:iCs/>
      <w:lang w:val="en-US"/>
    </w:rPr>
  </w:style>
  <w:style w:type="character" w:customStyle="1" w:styleId="HTMLAdresseZchn">
    <w:name w:val="HTML Adresse Zchn"/>
    <w:basedOn w:val="Absatz-Standardschriftart"/>
    <w:link w:val="HTMLAdresse"/>
    <w:semiHidden/>
    <w:rsid w:val="009A66C3"/>
    <w:rPr>
      <w:rFonts w:ascii="Times New Roman" w:hAnsi="Times New Roman"/>
      <w:i/>
      <w:iCs/>
      <w:sz w:val="24"/>
      <w:lang w:val="en-US"/>
    </w:rPr>
  </w:style>
  <w:style w:type="character" w:styleId="HTMLAkronym">
    <w:name w:val="HTML Acronym"/>
    <w:basedOn w:val="Absatz-Standardschriftart"/>
    <w:semiHidden/>
    <w:unhideWhenUsed/>
    <w:rsid w:val="009A66C3"/>
  </w:style>
  <w:style w:type="paragraph" w:styleId="NurText">
    <w:name w:val="Plain Text"/>
    <w:basedOn w:val="Standard"/>
    <w:link w:val="NurTextZchn"/>
    <w:semiHidden/>
    <w:unhideWhenUsed/>
    <w:rsid w:val="009A66C3"/>
    <w:pPr>
      <w:jc w:val="left"/>
    </w:pPr>
    <w:rPr>
      <w:rFonts w:ascii="Consolas" w:hAnsi="Consolas"/>
      <w:sz w:val="21"/>
      <w:szCs w:val="21"/>
      <w:lang w:val="en-US"/>
    </w:rPr>
  </w:style>
  <w:style w:type="character" w:customStyle="1" w:styleId="NurTextZchn">
    <w:name w:val="Nur Text Zchn"/>
    <w:basedOn w:val="Absatz-Standardschriftart"/>
    <w:link w:val="NurText"/>
    <w:semiHidden/>
    <w:rsid w:val="009A66C3"/>
    <w:rPr>
      <w:rFonts w:ascii="Consolas" w:hAnsi="Consolas"/>
      <w:sz w:val="21"/>
      <w:szCs w:val="21"/>
      <w:lang w:val="en-US"/>
    </w:rPr>
  </w:style>
  <w:style w:type="paragraph" w:styleId="Dokumentstruktur">
    <w:name w:val="Document Map"/>
    <w:basedOn w:val="Standard"/>
    <w:link w:val="DokumentstrukturZchn"/>
    <w:semiHidden/>
    <w:unhideWhenUsed/>
    <w:rsid w:val="009A66C3"/>
    <w:pPr>
      <w:jc w:val="left"/>
    </w:pPr>
    <w:rPr>
      <w:rFonts w:ascii="Segoe UI" w:hAnsi="Segoe UI" w:cs="Segoe UI"/>
      <w:sz w:val="16"/>
      <w:szCs w:val="16"/>
      <w:lang w:val="en-US"/>
    </w:rPr>
  </w:style>
  <w:style w:type="character" w:customStyle="1" w:styleId="DokumentstrukturZchn">
    <w:name w:val="Dokumentstruktur Zchn"/>
    <w:basedOn w:val="Absatz-Standardschriftart"/>
    <w:link w:val="Dokumentstruktur"/>
    <w:semiHidden/>
    <w:rsid w:val="009A66C3"/>
    <w:rPr>
      <w:rFonts w:ascii="Segoe UI" w:hAnsi="Segoe UI" w:cs="Segoe UI"/>
      <w:sz w:val="16"/>
      <w:szCs w:val="16"/>
      <w:lang w:val="en-US"/>
    </w:rPr>
  </w:style>
  <w:style w:type="character" w:styleId="Hervorhebung">
    <w:name w:val="Emphasis"/>
    <w:aliases w:val="Hypothesis"/>
    <w:basedOn w:val="Absatz-Standardschriftart"/>
    <w:uiPriority w:val="20"/>
    <w:qFormat/>
    <w:rsid w:val="009A66C3"/>
    <w:rPr>
      <w:i/>
      <w:iCs/>
    </w:rPr>
  </w:style>
  <w:style w:type="paragraph" w:styleId="Blocktext">
    <w:name w:val="Block Text"/>
    <w:basedOn w:val="Standard"/>
    <w:semiHidden/>
    <w:unhideWhenUsed/>
    <w:rsid w:val="009A66C3"/>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jc w:val="left"/>
    </w:pPr>
    <w:rPr>
      <w:rFonts w:asciiTheme="minorHAnsi" w:eastAsiaTheme="minorEastAsia" w:hAnsiTheme="minorHAnsi"/>
      <w:i/>
      <w:iCs/>
      <w:color w:val="5B9BD5" w:themeColor="accent1"/>
      <w:lang w:val="en-US"/>
    </w:rPr>
  </w:style>
  <w:style w:type="paragraph" w:styleId="Textkrper-Einzug3">
    <w:name w:val="Body Text Indent 3"/>
    <w:basedOn w:val="Standard"/>
    <w:link w:val="Textkrper-Einzug3Zchn"/>
    <w:semiHidden/>
    <w:unhideWhenUsed/>
    <w:rsid w:val="009A66C3"/>
    <w:pPr>
      <w:spacing w:after="120"/>
      <w:ind w:left="283"/>
      <w:jc w:val="left"/>
    </w:pPr>
    <w:rPr>
      <w:sz w:val="16"/>
      <w:szCs w:val="16"/>
      <w:lang w:val="en-US"/>
    </w:rPr>
  </w:style>
  <w:style w:type="character" w:customStyle="1" w:styleId="Textkrper-Einzug3Zchn">
    <w:name w:val="Textkörper-Einzug 3 Zchn"/>
    <w:basedOn w:val="Absatz-Standardschriftart"/>
    <w:link w:val="Textkrper-Einzug3"/>
    <w:semiHidden/>
    <w:rsid w:val="009A66C3"/>
    <w:rPr>
      <w:rFonts w:ascii="Times New Roman" w:hAnsi="Times New Roman"/>
      <w:sz w:val="16"/>
      <w:szCs w:val="16"/>
      <w:lang w:val="en-US"/>
    </w:rPr>
  </w:style>
  <w:style w:type="paragraph" w:styleId="Textkrper-Einzug2">
    <w:name w:val="Body Text Indent 2"/>
    <w:basedOn w:val="Standard"/>
    <w:link w:val="Textkrper-Einzug2Zchn"/>
    <w:semiHidden/>
    <w:unhideWhenUsed/>
    <w:rsid w:val="009A66C3"/>
    <w:pPr>
      <w:spacing w:after="120"/>
      <w:ind w:left="283"/>
      <w:jc w:val="left"/>
    </w:pPr>
    <w:rPr>
      <w:lang w:val="en-US"/>
    </w:rPr>
  </w:style>
  <w:style w:type="character" w:customStyle="1" w:styleId="Textkrper-Einzug2Zchn">
    <w:name w:val="Textkörper-Einzug 2 Zchn"/>
    <w:basedOn w:val="Absatz-Standardschriftart"/>
    <w:link w:val="Textkrper-Einzug2"/>
    <w:semiHidden/>
    <w:rsid w:val="009A66C3"/>
    <w:rPr>
      <w:rFonts w:ascii="Times New Roman" w:hAnsi="Times New Roman"/>
      <w:sz w:val="24"/>
      <w:lang w:val="en-US"/>
    </w:rPr>
  </w:style>
  <w:style w:type="paragraph" w:styleId="Textkrper3">
    <w:name w:val="Body Text 3"/>
    <w:basedOn w:val="Standard"/>
    <w:link w:val="Textkrper3Zchn"/>
    <w:semiHidden/>
    <w:unhideWhenUsed/>
    <w:rsid w:val="009A66C3"/>
    <w:pPr>
      <w:spacing w:after="120"/>
      <w:jc w:val="left"/>
    </w:pPr>
    <w:rPr>
      <w:sz w:val="16"/>
      <w:szCs w:val="16"/>
      <w:lang w:val="en-US"/>
    </w:rPr>
  </w:style>
  <w:style w:type="character" w:customStyle="1" w:styleId="Textkrper3Zchn">
    <w:name w:val="Textkörper 3 Zchn"/>
    <w:basedOn w:val="Absatz-Standardschriftart"/>
    <w:link w:val="Textkrper3"/>
    <w:semiHidden/>
    <w:rsid w:val="009A66C3"/>
    <w:rPr>
      <w:rFonts w:ascii="Times New Roman" w:hAnsi="Times New Roman"/>
      <w:sz w:val="16"/>
      <w:szCs w:val="16"/>
      <w:lang w:val="en-US"/>
    </w:rPr>
  </w:style>
  <w:style w:type="paragraph" w:styleId="Textkrper2">
    <w:name w:val="Body Text 2"/>
    <w:basedOn w:val="Standard"/>
    <w:link w:val="Textkrper2Zchn"/>
    <w:semiHidden/>
    <w:unhideWhenUsed/>
    <w:rsid w:val="009A66C3"/>
    <w:pPr>
      <w:spacing w:after="120"/>
      <w:jc w:val="left"/>
    </w:pPr>
    <w:rPr>
      <w:lang w:val="en-US"/>
    </w:rPr>
  </w:style>
  <w:style w:type="character" w:customStyle="1" w:styleId="Textkrper2Zchn">
    <w:name w:val="Textkörper 2 Zchn"/>
    <w:basedOn w:val="Absatz-Standardschriftart"/>
    <w:link w:val="Textkrper2"/>
    <w:semiHidden/>
    <w:rsid w:val="009A66C3"/>
    <w:rPr>
      <w:rFonts w:ascii="Times New Roman" w:hAnsi="Times New Roman"/>
      <w:sz w:val="24"/>
      <w:lang w:val="en-US"/>
    </w:rPr>
  </w:style>
  <w:style w:type="paragraph" w:styleId="Fu-Endnotenberschrift">
    <w:name w:val="Note Heading"/>
    <w:basedOn w:val="Standard"/>
    <w:next w:val="Standard"/>
    <w:link w:val="Fu-EndnotenberschriftZchn"/>
    <w:semiHidden/>
    <w:unhideWhenUsed/>
    <w:rsid w:val="009A66C3"/>
    <w:pPr>
      <w:jc w:val="left"/>
    </w:pPr>
    <w:rPr>
      <w:lang w:val="en-US"/>
    </w:rPr>
  </w:style>
  <w:style w:type="character" w:customStyle="1" w:styleId="Fu-EndnotenberschriftZchn">
    <w:name w:val="Fuß/-Endnotenüberschrift Zchn"/>
    <w:basedOn w:val="Absatz-Standardschriftart"/>
    <w:link w:val="Fu-Endnotenberschrift"/>
    <w:semiHidden/>
    <w:rsid w:val="009A66C3"/>
    <w:rPr>
      <w:rFonts w:ascii="Times New Roman" w:hAnsi="Times New Roman"/>
      <w:sz w:val="24"/>
      <w:lang w:val="en-US"/>
    </w:rPr>
  </w:style>
  <w:style w:type="paragraph" w:styleId="Textkrper-Zeileneinzug">
    <w:name w:val="Body Text Indent"/>
    <w:basedOn w:val="Standard"/>
    <w:link w:val="Textkrper-ZeileneinzugZchn"/>
    <w:semiHidden/>
    <w:unhideWhenUsed/>
    <w:rsid w:val="009A66C3"/>
    <w:pPr>
      <w:spacing w:after="120"/>
      <w:ind w:left="283"/>
      <w:jc w:val="left"/>
    </w:pPr>
    <w:rPr>
      <w:lang w:val="en-US"/>
    </w:rPr>
  </w:style>
  <w:style w:type="character" w:customStyle="1" w:styleId="Textkrper-ZeileneinzugZchn">
    <w:name w:val="Textkörper-Zeileneinzug Zchn"/>
    <w:basedOn w:val="Absatz-Standardschriftart"/>
    <w:link w:val="Textkrper-Zeileneinzug"/>
    <w:semiHidden/>
    <w:rsid w:val="009A66C3"/>
    <w:rPr>
      <w:rFonts w:ascii="Times New Roman" w:hAnsi="Times New Roman"/>
      <w:sz w:val="24"/>
      <w:lang w:val="en-US"/>
    </w:rPr>
  </w:style>
  <w:style w:type="paragraph" w:styleId="Textkrper-Erstzeileneinzug2">
    <w:name w:val="Body Text First Indent 2"/>
    <w:basedOn w:val="Textkrper-Zeileneinzug"/>
    <w:link w:val="Textkrper-Erstzeileneinzug2Zchn"/>
    <w:unhideWhenUsed/>
    <w:rsid w:val="009A66C3"/>
    <w:pPr>
      <w:spacing w:after="0"/>
      <w:ind w:left="360" w:firstLine="360"/>
    </w:pPr>
  </w:style>
  <w:style w:type="character" w:customStyle="1" w:styleId="Textkrper-Erstzeileneinzug2Zchn">
    <w:name w:val="Textkörper-Erstzeileneinzug 2 Zchn"/>
    <w:basedOn w:val="Textkrper-ZeileneinzugZchn"/>
    <w:link w:val="Textkrper-Erstzeileneinzug2"/>
    <w:rsid w:val="009A66C3"/>
    <w:rPr>
      <w:rFonts w:ascii="Times New Roman" w:hAnsi="Times New Roman"/>
      <w:sz w:val="24"/>
      <w:lang w:val="en-US"/>
    </w:rPr>
  </w:style>
  <w:style w:type="paragraph" w:styleId="Textkrper">
    <w:name w:val="Body Text"/>
    <w:basedOn w:val="Standard"/>
    <w:link w:val="TextkrperZchn"/>
    <w:unhideWhenUsed/>
    <w:rsid w:val="009A66C3"/>
    <w:pPr>
      <w:spacing w:after="120"/>
      <w:jc w:val="left"/>
    </w:pPr>
    <w:rPr>
      <w:lang w:val="en-US"/>
    </w:rPr>
  </w:style>
  <w:style w:type="character" w:customStyle="1" w:styleId="TextkrperZchn">
    <w:name w:val="Textkörper Zchn"/>
    <w:basedOn w:val="Absatz-Standardschriftart"/>
    <w:link w:val="Textkrper"/>
    <w:rsid w:val="009A66C3"/>
    <w:rPr>
      <w:rFonts w:ascii="Times New Roman" w:hAnsi="Times New Roman"/>
      <w:sz w:val="24"/>
      <w:lang w:val="en-US"/>
    </w:rPr>
  </w:style>
  <w:style w:type="paragraph" w:styleId="Textkrper-Erstzeileneinzug">
    <w:name w:val="Body Text First Indent"/>
    <w:basedOn w:val="Textkrper"/>
    <w:link w:val="Textkrper-ErstzeileneinzugZchn"/>
    <w:unhideWhenUsed/>
    <w:rsid w:val="009A66C3"/>
    <w:pPr>
      <w:spacing w:after="0"/>
      <w:ind w:firstLine="360"/>
    </w:pPr>
  </w:style>
  <w:style w:type="character" w:customStyle="1" w:styleId="Textkrper-ErstzeileneinzugZchn">
    <w:name w:val="Textkörper-Erstzeileneinzug Zchn"/>
    <w:basedOn w:val="TextkrperZchn"/>
    <w:link w:val="Textkrper-Erstzeileneinzug"/>
    <w:rsid w:val="009A66C3"/>
    <w:rPr>
      <w:rFonts w:ascii="Times New Roman" w:hAnsi="Times New Roman"/>
      <w:sz w:val="24"/>
      <w:lang w:val="en-US"/>
    </w:rPr>
  </w:style>
  <w:style w:type="paragraph" w:styleId="Datum">
    <w:name w:val="Date"/>
    <w:basedOn w:val="Standard"/>
    <w:next w:val="Standard"/>
    <w:link w:val="DatumZchn"/>
    <w:unhideWhenUsed/>
    <w:rsid w:val="009A66C3"/>
    <w:pPr>
      <w:jc w:val="left"/>
    </w:pPr>
    <w:rPr>
      <w:lang w:val="en-US"/>
    </w:rPr>
  </w:style>
  <w:style w:type="character" w:customStyle="1" w:styleId="DatumZchn">
    <w:name w:val="Datum Zchn"/>
    <w:basedOn w:val="Absatz-Standardschriftart"/>
    <w:link w:val="Datum"/>
    <w:rsid w:val="009A66C3"/>
    <w:rPr>
      <w:rFonts w:ascii="Times New Roman" w:hAnsi="Times New Roman"/>
      <w:sz w:val="24"/>
      <w:lang w:val="en-US"/>
    </w:rPr>
  </w:style>
  <w:style w:type="paragraph" w:styleId="Anrede">
    <w:name w:val="Salutation"/>
    <w:basedOn w:val="Standard"/>
    <w:next w:val="Standard"/>
    <w:link w:val="AnredeZchn"/>
    <w:unhideWhenUsed/>
    <w:rsid w:val="009A66C3"/>
    <w:pPr>
      <w:jc w:val="left"/>
    </w:pPr>
    <w:rPr>
      <w:lang w:val="en-US"/>
    </w:rPr>
  </w:style>
  <w:style w:type="character" w:customStyle="1" w:styleId="AnredeZchn">
    <w:name w:val="Anrede Zchn"/>
    <w:basedOn w:val="Absatz-Standardschriftart"/>
    <w:link w:val="Anrede"/>
    <w:rsid w:val="009A66C3"/>
    <w:rPr>
      <w:rFonts w:ascii="Times New Roman" w:hAnsi="Times New Roman"/>
      <w:sz w:val="24"/>
      <w:lang w:val="en-US"/>
    </w:rPr>
  </w:style>
  <w:style w:type="paragraph" w:styleId="Untertitel">
    <w:name w:val="Subtitle"/>
    <w:basedOn w:val="Standard"/>
    <w:next w:val="Standard"/>
    <w:link w:val="UntertitelZchn"/>
    <w:qFormat/>
    <w:rsid w:val="009A66C3"/>
    <w:pPr>
      <w:numPr>
        <w:ilvl w:val="1"/>
      </w:numPr>
      <w:spacing w:after="160"/>
      <w:ind w:firstLine="851"/>
      <w:jc w:val="left"/>
    </w:pPr>
    <w:rPr>
      <w:rFonts w:asciiTheme="minorHAnsi" w:eastAsiaTheme="minorEastAsia" w:hAnsiTheme="minorHAnsi"/>
      <w:color w:val="5A5A5A" w:themeColor="text1" w:themeTint="A5"/>
      <w:spacing w:val="15"/>
      <w:lang w:val="en-US"/>
    </w:rPr>
  </w:style>
  <w:style w:type="character" w:customStyle="1" w:styleId="UntertitelZchn">
    <w:name w:val="Untertitel Zchn"/>
    <w:basedOn w:val="Absatz-Standardschriftart"/>
    <w:link w:val="Untertitel"/>
    <w:rsid w:val="009A66C3"/>
    <w:rPr>
      <w:rFonts w:eastAsiaTheme="minorEastAsia"/>
      <w:color w:val="5A5A5A" w:themeColor="text1" w:themeTint="A5"/>
      <w:spacing w:val="15"/>
      <w:sz w:val="24"/>
      <w:lang w:val="en-US"/>
    </w:rPr>
  </w:style>
  <w:style w:type="paragraph" w:styleId="Nachrichtenkopf">
    <w:name w:val="Message Header"/>
    <w:basedOn w:val="Standard"/>
    <w:link w:val="NachrichtenkopfZchn"/>
    <w:semiHidden/>
    <w:unhideWhenUsed/>
    <w:rsid w:val="009A66C3"/>
    <w:pPr>
      <w:pBdr>
        <w:top w:val="single" w:sz="6" w:space="1" w:color="auto"/>
        <w:left w:val="single" w:sz="6" w:space="1" w:color="auto"/>
        <w:bottom w:val="single" w:sz="6" w:space="1" w:color="auto"/>
        <w:right w:val="single" w:sz="6" w:space="1" w:color="auto"/>
      </w:pBdr>
      <w:shd w:val="pct20" w:color="auto" w:fill="auto"/>
      <w:ind w:left="1134" w:hanging="1134"/>
      <w:jc w:val="left"/>
    </w:pPr>
    <w:rPr>
      <w:rFonts w:asciiTheme="majorHAnsi" w:eastAsiaTheme="majorEastAsia" w:hAnsiTheme="majorHAnsi" w:cstheme="majorBidi"/>
      <w:szCs w:val="24"/>
      <w:lang w:val="en-US"/>
    </w:rPr>
  </w:style>
  <w:style w:type="character" w:customStyle="1" w:styleId="NachrichtenkopfZchn">
    <w:name w:val="Nachrichtenkopf Zchn"/>
    <w:basedOn w:val="Absatz-Standardschriftart"/>
    <w:link w:val="Nachrichtenkopf"/>
    <w:semiHidden/>
    <w:rsid w:val="009A66C3"/>
    <w:rPr>
      <w:rFonts w:asciiTheme="majorHAnsi" w:eastAsiaTheme="majorEastAsia" w:hAnsiTheme="majorHAnsi" w:cstheme="majorBidi"/>
      <w:sz w:val="24"/>
      <w:szCs w:val="24"/>
      <w:shd w:val="pct20" w:color="auto" w:fill="auto"/>
      <w:lang w:val="en-US"/>
    </w:rPr>
  </w:style>
  <w:style w:type="paragraph" w:styleId="Listenfortsetzung5">
    <w:name w:val="List Continue 5"/>
    <w:basedOn w:val="Standard"/>
    <w:semiHidden/>
    <w:unhideWhenUsed/>
    <w:rsid w:val="009A66C3"/>
    <w:pPr>
      <w:spacing w:after="120"/>
      <w:ind w:left="1415"/>
      <w:contextualSpacing/>
      <w:jc w:val="left"/>
    </w:pPr>
    <w:rPr>
      <w:lang w:val="en-US"/>
    </w:rPr>
  </w:style>
  <w:style w:type="paragraph" w:styleId="Listenfortsetzung4">
    <w:name w:val="List Continue 4"/>
    <w:basedOn w:val="Standard"/>
    <w:semiHidden/>
    <w:unhideWhenUsed/>
    <w:rsid w:val="009A66C3"/>
    <w:pPr>
      <w:spacing w:after="120"/>
      <w:ind w:left="1132"/>
      <w:contextualSpacing/>
      <w:jc w:val="left"/>
    </w:pPr>
    <w:rPr>
      <w:lang w:val="en-US"/>
    </w:rPr>
  </w:style>
  <w:style w:type="paragraph" w:styleId="Listenfortsetzung3">
    <w:name w:val="List Continue 3"/>
    <w:basedOn w:val="Standard"/>
    <w:semiHidden/>
    <w:unhideWhenUsed/>
    <w:rsid w:val="009A66C3"/>
    <w:pPr>
      <w:spacing w:after="120"/>
      <w:ind w:left="849"/>
      <w:contextualSpacing/>
      <w:jc w:val="left"/>
    </w:pPr>
    <w:rPr>
      <w:lang w:val="en-US"/>
    </w:rPr>
  </w:style>
  <w:style w:type="paragraph" w:styleId="Listenfortsetzung2">
    <w:name w:val="List Continue 2"/>
    <w:basedOn w:val="Standard"/>
    <w:semiHidden/>
    <w:unhideWhenUsed/>
    <w:rsid w:val="009A66C3"/>
    <w:pPr>
      <w:spacing w:after="120"/>
      <w:ind w:left="566"/>
      <w:contextualSpacing/>
      <w:jc w:val="left"/>
    </w:pPr>
    <w:rPr>
      <w:lang w:val="en-US"/>
    </w:rPr>
  </w:style>
  <w:style w:type="paragraph" w:styleId="Listenfortsetzung">
    <w:name w:val="List Continue"/>
    <w:basedOn w:val="Standard"/>
    <w:semiHidden/>
    <w:unhideWhenUsed/>
    <w:rsid w:val="009A66C3"/>
    <w:pPr>
      <w:spacing w:after="120"/>
      <w:ind w:left="283"/>
      <w:contextualSpacing/>
      <w:jc w:val="left"/>
    </w:pPr>
    <w:rPr>
      <w:lang w:val="en-US"/>
    </w:rPr>
  </w:style>
  <w:style w:type="paragraph" w:styleId="Unterschrift">
    <w:name w:val="Signature"/>
    <w:basedOn w:val="Standard"/>
    <w:link w:val="UnterschriftZchn"/>
    <w:semiHidden/>
    <w:unhideWhenUsed/>
    <w:rsid w:val="009A66C3"/>
    <w:pPr>
      <w:ind w:left="4252"/>
      <w:jc w:val="left"/>
    </w:pPr>
    <w:rPr>
      <w:lang w:val="en-US"/>
    </w:rPr>
  </w:style>
  <w:style w:type="character" w:customStyle="1" w:styleId="UnterschriftZchn">
    <w:name w:val="Unterschrift Zchn"/>
    <w:basedOn w:val="Absatz-Standardschriftart"/>
    <w:link w:val="Unterschrift"/>
    <w:semiHidden/>
    <w:rsid w:val="009A66C3"/>
    <w:rPr>
      <w:rFonts w:ascii="Times New Roman" w:hAnsi="Times New Roman"/>
      <w:sz w:val="24"/>
      <w:lang w:val="en-US"/>
    </w:rPr>
  </w:style>
  <w:style w:type="paragraph" w:styleId="Gruformel">
    <w:name w:val="Closing"/>
    <w:basedOn w:val="Standard"/>
    <w:link w:val="GruformelZchn"/>
    <w:semiHidden/>
    <w:unhideWhenUsed/>
    <w:rsid w:val="009A66C3"/>
    <w:pPr>
      <w:ind w:left="4252"/>
      <w:jc w:val="left"/>
    </w:pPr>
    <w:rPr>
      <w:lang w:val="en-US"/>
    </w:rPr>
  </w:style>
  <w:style w:type="character" w:customStyle="1" w:styleId="GruformelZchn">
    <w:name w:val="Grußformel Zchn"/>
    <w:basedOn w:val="Absatz-Standardschriftart"/>
    <w:link w:val="Gruformel"/>
    <w:semiHidden/>
    <w:rsid w:val="009A66C3"/>
    <w:rPr>
      <w:rFonts w:ascii="Times New Roman" w:hAnsi="Times New Roman"/>
      <w:sz w:val="24"/>
      <w:lang w:val="en-US"/>
    </w:rPr>
  </w:style>
  <w:style w:type="paragraph" w:styleId="Titel">
    <w:name w:val="Title"/>
    <w:basedOn w:val="berschrift1"/>
    <w:next w:val="Standard"/>
    <w:link w:val="TitelZchn"/>
    <w:qFormat/>
    <w:rsid w:val="009A66C3"/>
    <w:rPr>
      <w:szCs w:val="20"/>
      <w:lang w:val="en-US"/>
    </w:rPr>
  </w:style>
  <w:style w:type="character" w:customStyle="1" w:styleId="TitelZchn">
    <w:name w:val="Titel Zchn"/>
    <w:basedOn w:val="Absatz-Standardschriftart"/>
    <w:link w:val="Titel"/>
    <w:rsid w:val="009A66C3"/>
    <w:rPr>
      <w:rFonts w:ascii="Times New Roman" w:eastAsiaTheme="majorEastAsia" w:hAnsi="Times New Roman" w:cstheme="majorBidi"/>
      <w:b/>
      <w:caps/>
      <w:sz w:val="24"/>
      <w:szCs w:val="20"/>
      <w:lang w:val="en-US"/>
    </w:rPr>
  </w:style>
  <w:style w:type="paragraph" w:styleId="Listennummer5">
    <w:name w:val="List Number 5"/>
    <w:basedOn w:val="Standard"/>
    <w:semiHidden/>
    <w:unhideWhenUsed/>
    <w:rsid w:val="009A66C3"/>
    <w:pPr>
      <w:numPr>
        <w:numId w:val="1"/>
      </w:numPr>
      <w:contextualSpacing/>
      <w:jc w:val="left"/>
    </w:pPr>
    <w:rPr>
      <w:lang w:val="en-US"/>
    </w:rPr>
  </w:style>
  <w:style w:type="paragraph" w:styleId="Listennummer4">
    <w:name w:val="List Number 4"/>
    <w:basedOn w:val="Standard"/>
    <w:semiHidden/>
    <w:unhideWhenUsed/>
    <w:rsid w:val="009A66C3"/>
    <w:pPr>
      <w:numPr>
        <w:numId w:val="2"/>
      </w:numPr>
      <w:contextualSpacing/>
      <w:jc w:val="left"/>
    </w:pPr>
    <w:rPr>
      <w:lang w:val="en-US"/>
    </w:rPr>
  </w:style>
  <w:style w:type="paragraph" w:styleId="Listennummer3">
    <w:name w:val="List Number 3"/>
    <w:basedOn w:val="Standard"/>
    <w:semiHidden/>
    <w:unhideWhenUsed/>
    <w:rsid w:val="009A66C3"/>
    <w:pPr>
      <w:numPr>
        <w:numId w:val="3"/>
      </w:numPr>
      <w:contextualSpacing/>
      <w:jc w:val="left"/>
    </w:pPr>
    <w:rPr>
      <w:lang w:val="en-US"/>
    </w:rPr>
  </w:style>
  <w:style w:type="paragraph" w:styleId="Listennummer2">
    <w:name w:val="List Number 2"/>
    <w:basedOn w:val="Standard"/>
    <w:semiHidden/>
    <w:unhideWhenUsed/>
    <w:rsid w:val="009A66C3"/>
    <w:pPr>
      <w:numPr>
        <w:numId w:val="4"/>
      </w:numPr>
      <w:contextualSpacing/>
      <w:jc w:val="left"/>
    </w:pPr>
    <w:rPr>
      <w:lang w:val="en-US"/>
    </w:rPr>
  </w:style>
  <w:style w:type="paragraph" w:styleId="Aufzhlungszeichen5">
    <w:name w:val="List Bullet 5"/>
    <w:basedOn w:val="Standard"/>
    <w:semiHidden/>
    <w:unhideWhenUsed/>
    <w:rsid w:val="009A66C3"/>
    <w:pPr>
      <w:numPr>
        <w:numId w:val="5"/>
      </w:numPr>
      <w:contextualSpacing/>
      <w:jc w:val="left"/>
    </w:pPr>
    <w:rPr>
      <w:lang w:val="en-US"/>
    </w:rPr>
  </w:style>
  <w:style w:type="paragraph" w:styleId="Aufzhlungszeichen4">
    <w:name w:val="List Bullet 4"/>
    <w:basedOn w:val="Standard"/>
    <w:semiHidden/>
    <w:unhideWhenUsed/>
    <w:rsid w:val="009A66C3"/>
    <w:pPr>
      <w:numPr>
        <w:numId w:val="6"/>
      </w:numPr>
      <w:contextualSpacing/>
      <w:jc w:val="left"/>
    </w:pPr>
    <w:rPr>
      <w:lang w:val="en-US"/>
    </w:rPr>
  </w:style>
  <w:style w:type="paragraph" w:styleId="Aufzhlungszeichen3">
    <w:name w:val="List Bullet 3"/>
    <w:basedOn w:val="Standard"/>
    <w:semiHidden/>
    <w:unhideWhenUsed/>
    <w:rsid w:val="009A66C3"/>
    <w:pPr>
      <w:numPr>
        <w:numId w:val="7"/>
      </w:numPr>
      <w:contextualSpacing/>
      <w:jc w:val="left"/>
    </w:pPr>
    <w:rPr>
      <w:lang w:val="en-US"/>
    </w:rPr>
  </w:style>
  <w:style w:type="paragraph" w:styleId="Aufzhlungszeichen2">
    <w:name w:val="List Bullet 2"/>
    <w:basedOn w:val="Standard"/>
    <w:semiHidden/>
    <w:unhideWhenUsed/>
    <w:rsid w:val="009A66C3"/>
    <w:pPr>
      <w:numPr>
        <w:numId w:val="8"/>
      </w:numPr>
      <w:contextualSpacing/>
      <w:jc w:val="left"/>
    </w:pPr>
    <w:rPr>
      <w:lang w:val="en-US"/>
    </w:rPr>
  </w:style>
  <w:style w:type="paragraph" w:styleId="Liste5">
    <w:name w:val="List 5"/>
    <w:basedOn w:val="Standard"/>
    <w:unhideWhenUsed/>
    <w:rsid w:val="009A66C3"/>
    <w:pPr>
      <w:ind w:left="1415" w:hanging="283"/>
      <w:contextualSpacing/>
      <w:jc w:val="left"/>
    </w:pPr>
    <w:rPr>
      <w:lang w:val="en-US"/>
    </w:rPr>
  </w:style>
  <w:style w:type="paragraph" w:styleId="Liste4">
    <w:name w:val="List 4"/>
    <w:basedOn w:val="Standard"/>
    <w:unhideWhenUsed/>
    <w:rsid w:val="009A66C3"/>
    <w:pPr>
      <w:ind w:left="1132" w:hanging="283"/>
      <w:contextualSpacing/>
      <w:jc w:val="left"/>
    </w:pPr>
    <w:rPr>
      <w:lang w:val="en-US"/>
    </w:rPr>
  </w:style>
  <w:style w:type="paragraph" w:styleId="Liste3">
    <w:name w:val="List 3"/>
    <w:basedOn w:val="Standard"/>
    <w:semiHidden/>
    <w:unhideWhenUsed/>
    <w:rsid w:val="009A66C3"/>
    <w:pPr>
      <w:ind w:left="849" w:hanging="283"/>
      <w:contextualSpacing/>
      <w:jc w:val="left"/>
    </w:pPr>
    <w:rPr>
      <w:lang w:val="en-US"/>
    </w:rPr>
  </w:style>
  <w:style w:type="paragraph" w:styleId="Liste2">
    <w:name w:val="List 2"/>
    <w:basedOn w:val="Standard"/>
    <w:semiHidden/>
    <w:unhideWhenUsed/>
    <w:rsid w:val="009A66C3"/>
    <w:pPr>
      <w:ind w:left="566" w:hanging="283"/>
      <w:contextualSpacing/>
      <w:jc w:val="left"/>
    </w:pPr>
    <w:rPr>
      <w:lang w:val="en-US"/>
    </w:rPr>
  </w:style>
  <w:style w:type="paragraph" w:styleId="Listennummer">
    <w:name w:val="List Number"/>
    <w:basedOn w:val="Standard"/>
    <w:unhideWhenUsed/>
    <w:rsid w:val="009A66C3"/>
    <w:pPr>
      <w:numPr>
        <w:numId w:val="9"/>
      </w:numPr>
      <w:contextualSpacing/>
      <w:jc w:val="left"/>
    </w:pPr>
    <w:rPr>
      <w:lang w:val="en-US"/>
    </w:rPr>
  </w:style>
  <w:style w:type="paragraph" w:styleId="Aufzhlungszeichen">
    <w:name w:val="List Bullet"/>
    <w:basedOn w:val="Standard"/>
    <w:unhideWhenUsed/>
    <w:rsid w:val="009A66C3"/>
    <w:pPr>
      <w:numPr>
        <w:numId w:val="10"/>
      </w:numPr>
      <w:contextualSpacing/>
      <w:jc w:val="left"/>
    </w:pPr>
    <w:rPr>
      <w:lang w:val="en-US"/>
    </w:rPr>
  </w:style>
  <w:style w:type="paragraph" w:styleId="Liste">
    <w:name w:val="List"/>
    <w:basedOn w:val="Standard"/>
    <w:semiHidden/>
    <w:unhideWhenUsed/>
    <w:rsid w:val="009A66C3"/>
    <w:pPr>
      <w:ind w:left="283" w:hanging="283"/>
      <w:contextualSpacing/>
      <w:jc w:val="left"/>
    </w:pPr>
    <w:rPr>
      <w:lang w:val="en-US"/>
    </w:rPr>
  </w:style>
  <w:style w:type="paragraph" w:styleId="RGV-berschrift">
    <w:name w:val="toa heading"/>
    <w:basedOn w:val="Standard"/>
    <w:next w:val="Standard"/>
    <w:semiHidden/>
    <w:unhideWhenUsed/>
    <w:rsid w:val="009A66C3"/>
    <w:pPr>
      <w:spacing w:before="120"/>
      <w:jc w:val="left"/>
    </w:pPr>
    <w:rPr>
      <w:rFonts w:asciiTheme="majorHAnsi" w:eastAsiaTheme="majorEastAsia" w:hAnsiTheme="majorHAnsi" w:cstheme="majorBidi"/>
      <w:b/>
      <w:bCs/>
      <w:szCs w:val="24"/>
      <w:lang w:val="en-US"/>
    </w:rPr>
  </w:style>
  <w:style w:type="paragraph" w:styleId="Makrotext">
    <w:name w:val="macro"/>
    <w:link w:val="MakrotextZchn"/>
    <w:semiHidden/>
    <w:unhideWhenUsed/>
    <w:rsid w:val="009A66C3"/>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nsolas" w:hAnsi="Consolas"/>
      <w:sz w:val="20"/>
      <w:szCs w:val="20"/>
    </w:rPr>
  </w:style>
  <w:style w:type="character" w:customStyle="1" w:styleId="MakrotextZchn">
    <w:name w:val="Makrotext Zchn"/>
    <w:basedOn w:val="Absatz-Standardschriftart"/>
    <w:link w:val="Makrotext"/>
    <w:semiHidden/>
    <w:rsid w:val="009A66C3"/>
    <w:rPr>
      <w:rFonts w:ascii="Consolas" w:hAnsi="Consolas"/>
      <w:sz w:val="20"/>
      <w:szCs w:val="20"/>
    </w:rPr>
  </w:style>
  <w:style w:type="paragraph" w:styleId="Rechtsgrundlagenverzeichnis">
    <w:name w:val="table of authorities"/>
    <w:basedOn w:val="Standard"/>
    <w:next w:val="Standard"/>
    <w:semiHidden/>
    <w:unhideWhenUsed/>
    <w:rsid w:val="009A66C3"/>
    <w:pPr>
      <w:ind w:left="220" w:hanging="220"/>
      <w:jc w:val="left"/>
    </w:pPr>
    <w:rPr>
      <w:lang w:val="en-US"/>
    </w:rPr>
  </w:style>
  <w:style w:type="paragraph" w:styleId="Endnotentext">
    <w:name w:val="endnote text"/>
    <w:basedOn w:val="Standard"/>
    <w:link w:val="EndnotentextZchn"/>
    <w:semiHidden/>
    <w:unhideWhenUsed/>
    <w:rsid w:val="009A66C3"/>
    <w:pPr>
      <w:jc w:val="left"/>
    </w:pPr>
    <w:rPr>
      <w:sz w:val="20"/>
      <w:szCs w:val="20"/>
      <w:lang w:val="en-US"/>
    </w:rPr>
  </w:style>
  <w:style w:type="character" w:customStyle="1" w:styleId="EndnotentextZchn">
    <w:name w:val="Endnotentext Zchn"/>
    <w:basedOn w:val="Absatz-Standardschriftart"/>
    <w:link w:val="Endnotentext"/>
    <w:semiHidden/>
    <w:rsid w:val="009A66C3"/>
    <w:rPr>
      <w:rFonts w:ascii="Times New Roman" w:hAnsi="Times New Roman"/>
      <w:sz w:val="20"/>
      <w:szCs w:val="20"/>
      <w:lang w:val="en-US"/>
    </w:rPr>
  </w:style>
  <w:style w:type="character" w:styleId="Endnotenzeichen">
    <w:name w:val="endnote reference"/>
    <w:basedOn w:val="Absatz-Standardschriftart"/>
    <w:semiHidden/>
    <w:unhideWhenUsed/>
    <w:rsid w:val="009A66C3"/>
    <w:rPr>
      <w:vertAlign w:val="superscript"/>
    </w:rPr>
  </w:style>
  <w:style w:type="character" w:styleId="Seitenzahl">
    <w:name w:val="page number"/>
    <w:basedOn w:val="Absatz-Standardschriftart"/>
    <w:unhideWhenUsed/>
    <w:rsid w:val="009A66C3"/>
  </w:style>
  <w:style w:type="character" w:styleId="Zeilennummer">
    <w:name w:val="line number"/>
    <w:basedOn w:val="Absatz-Standardschriftart"/>
    <w:semiHidden/>
    <w:unhideWhenUsed/>
    <w:rsid w:val="009A66C3"/>
  </w:style>
  <w:style w:type="character" w:styleId="Funotenzeichen">
    <w:name w:val="footnote reference"/>
    <w:basedOn w:val="Absatz-Standardschriftart"/>
    <w:uiPriority w:val="99"/>
    <w:unhideWhenUsed/>
    <w:rsid w:val="009A66C3"/>
    <w:rPr>
      <w:vertAlign w:val="superscript"/>
    </w:rPr>
  </w:style>
  <w:style w:type="paragraph" w:styleId="Umschlagabsenderadresse">
    <w:name w:val="envelope return"/>
    <w:basedOn w:val="Standard"/>
    <w:semiHidden/>
    <w:unhideWhenUsed/>
    <w:rsid w:val="009A66C3"/>
    <w:pPr>
      <w:jc w:val="left"/>
    </w:pPr>
    <w:rPr>
      <w:rFonts w:asciiTheme="majorHAnsi" w:eastAsiaTheme="majorEastAsia" w:hAnsiTheme="majorHAnsi" w:cstheme="majorBidi"/>
      <w:sz w:val="20"/>
      <w:szCs w:val="20"/>
      <w:lang w:val="en-US"/>
    </w:rPr>
  </w:style>
  <w:style w:type="paragraph" w:styleId="Umschlagadresse">
    <w:name w:val="envelope address"/>
    <w:basedOn w:val="Standard"/>
    <w:semiHidden/>
    <w:unhideWhenUsed/>
    <w:rsid w:val="009A66C3"/>
    <w:pPr>
      <w:framePr w:w="4320" w:h="2160" w:hRule="exact" w:hSpace="141" w:wrap="auto" w:hAnchor="page" w:xAlign="center" w:yAlign="bottom"/>
      <w:ind w:left="1"/>
      <w:jc w:val="left"/>
    </w:pPr>
    <w:rPr>
      <w:rFonts w:asciiTheme="majorHAnsi" w:eastAsiaTheme="majorEastAsia" w:hAnsiTheme="majorHAnsi" w:cstheme="majorBidi"/>
      <w:szCs w:val="24"/>
      <w:lang w:val="en-US"/>
    </w:rPr>
  </w:style>
  <w:style w:type="paragraph" w:styleId="Abbildungsverzeichnis">
    <w:name w:val="table of figures"/>
    <w:basedOn w:val="Tabelle"/>
    <w:next w:val="Standard"/>
    <w:uiPriority w:val="99"/>
    <w:unhideWhenUsed/>
    <w:rsid w:val="00406108"/>
    <w:pPr>
      <w:widowControl/>
      <w:tabs>
        <w:tab w:val="right" w:leader="dot" w:pos="9062"/>
      </w:tabs>
      <w:spacing w:after="60" w:line="240" w:lineRule="auto"/>
      <w:ind w:left="482" w:hanging="482"/>
      <w:jc w:val="left"/>
    </w:pPr>
    <w:rPr>
      <w:rFonts w:ascii="Times New Roman" w:hAnsi="Times New Roman" w:cs="Times New Roman"/>
      <w:b w:val="0"/>
      <w:bCs w:val="0"/>
      <w:noProof/>
      <w:szCs w:val="24"/>
      <w:lang w:val="de-DE"/>
    </w:rPr>
  </w:style>
  <w:style w:type="paragraph" w:styleId="Beschriftung">
    <w:name w:val="caption"/>
    <w:basedOn w:val="Tabelle"/>
    <w:next w:val="Standard"/>
    <w:unhideWhenUsed/>
    <w:qFormat/>
    <w:rsid w:val="0037709C"/>
  </w:style>
  <w:style w:type="paragraph" w:styleId="Index1">
    <w:name w:val="index 1"/>
    <w:basedOn w:val="Standard"/>
    <w:next w:val="Standard"/>
    <w:semiHidden/>
    <w:unhideWhenUsed/>
    <w:rsid w:val="009A66C3"/>
    <w:pPr>
      <w:ind w:left="220" w:hanging="220"/>
      <w:jc w:val="left"/>
    </w:pPr>
    <w:rPr>
      <w:lang w:val="en-US"/>
    </w:rPr>
  </w:style>
  <w:style w:type="paragraph" w:styleId="Indexberschrift">
    <w:name w:val="index heading"/>
    <w:basedOn w:val="Standard"/>
    <w:next w:val="Index1"/>
    <w:semiHidden/>
    <w:unhideWhenUsed/>
    <w:rsid w:val="009A66C3"/>
    <w:pPr>
      <w:jc w:val="left"/>
    </w:pPr>
    <w:rPr>
      <w:rFonts w:asciiTheme="majorHAnsi" w:eastAsiaTheme="majorEastAsia" w:hAnsiTheme="majorHAnsi" w:cstheme="majorBidi"/>
      <w:b/>
      <w:bCs/>
      <w:lang w:val="en-US"/>
    </w:rPr>
  </w:style>
  <w:style w:type="paragraph" w:styleId="Funotentext">
    <w:name w:val="footnote text"/>
    <w:basedOn w:val="Standard"/>
    <w:link w:val="FunotentextZchn"/>
    <w:uiPriority w:val="99"/>
    <w:unhideWhenUsed/>
    <w:rsid w:val="009A66C3"/>
    <w:pPr>
      <w:jc w:val="left"/>
    </w:pPr>
    <w:rPr>
      <w:sz w:val="20"/>
      <w:szCs w:val="20"/>
      <w:lang w:val="en-US"/>
    </w:rPr>
  </w:style>
  <w:style w:type="character" w:customStyle="1" w:styleId="FunotentextZchn">
    <w:name w:val="Fußnotentext Zchn"/>
    <w:basedOn w:val="Absatz-Standardschriftart"/>
    <w:link w:val="Funotentext"/>
    <w:uiPriority w:val="99"/>
    <w:rsid w:val="009A66C3"/>
    <w:rPr>
      <w:rFonts w:ascii="Times New Roman" w:hAnsi="Times New Roman"/>
      <w:sz w:val="20"/>
      <w:szCs w:val="20"/>
      <w:lang w:val="en-US"/>
    </w:rPr>
  </w:style>
  <w:style w:type="paragraph" w:styleId="Standardeinzug">
    <w:name w:val="Normal Indent"/>
    <w:basedOn w:val="Standard"/>
    <w:semiHidden/>
    <w:unhideWhenUsed/>
    <w:rsid w:val="009A66C3"/>
    <w:pPr>
      <w:ind w:left="708"/>
      <w:jc w:val="left"/>
    </w:pPr>
    <w:rPr>
      <w:lang w:val="en-US"/>
    </w:rPr>
  </w:style>
  <w:style w:type="paragraph" w:styleId="Verzeichnis9">
    <w:name w:val="toc 9"/>
    <w:basedOn w:val="Standard"/>
    <w:next w:val="Standard"/>
    <w:unhideWhenUsed/>
    <w:rsid w:val="009A66C3"/>
    <w:pPr>
      <w:spacing w:after="100"/>
      <w:ind w:left="1760"/>
      <w:jc w:val="left"/>
    </w:pPr>
    <w:rPr>
      <w:lang w:val="en-US"/>
    </w:rPr>
  </w:style>
  <w:style w:type="paragraph" w:styleId="Verzeichnis8">
    <w:name w:val="toc 8"/>
    <w:basedOn w:val="Standard"/>
    <w:next w:val="Standard"/>
    <w:unhideWhenUsed/>
    <w:rsid w:val="009A66C3"/>
    <w:pPr>
      <w:spacing w:after="100"/>
      <w:ind w:left="1540"/>
      <w:jc w:val="left"/>
    </w:pPr>
    <w:rPr>
      <w:lang w:val="en-US"/>
    </w:rPr>
  </w:style>
  <w:style w:type="paragraph" w:styleId="Verzeichnis7">
    <w:name w:val="toc 7"/>
    <w:basedOn w:val="Standard"/>
    <w:next w:val="Standard"/>
    <w:unhideWhenUsed/>
    <w:rsid w:val="009A66C3"/>
    <w:pPr>
      <w:spacing w:after="100"/>
      <w:ind w:left="1320"/>
      <w:jc w:val="left"/>
    </w:pPr>
    <w:rPr>
      <w:lang w:val="en-US"/>
    </w:rPr>
  </w:style>
  <w:style w:type="paragraph" w:styleId="Verzeichnis6">
    <w:name w:val="toc 6"/>
    <w:basedOn w:val="Standard"/>
    <w:next w:val="Standard"/>
    <w:unhideWhenUsed/>
    <w:rsid w:val="009A66C3"/>
    <w:pPr>
      <w:spacing w:after="100"/>
      <w:ind w:left="1100"/>
      <w:jc w:val="left"/>
    </w:pPr>
    <w:rPr>
      <w:lang w:val="en-US"/>
    </w:rPr>
  </w:style>
  <w:style w:type="paragraph" w:styleId="Index9">
    <w:name w:val="index 9"/>
    <w:basedOn w:val="Standard"/>
    <w:next w:val="Standard"/>
    <w:semiHidden/>
    <w:unhideWhenUsed/>
    <w:rsid w:val="009A66C3"/>
    <w:pPr>
      <w:ind w:left="1980" w:hanging="220"/>
      <w:jc w:val="left"/>
    </w:pPr>
    <w:rPr>
      <w:lang w:val="en-US"/>
    </w:rPr>
  </w:style>
  <w:style w:type="paragraph" w:styleId="Index8">
    <w:name w:val="index 8"/>
    <w:basedOn w:val="Standard"/>
    <w:next w:val="Standard"/>
    <w:semiHidden/>
    <w:unhideWhenUsed/>
    <w:rsid w:val="009A66C3"/>
    <w:pPr>
      <w:ind w:left="1760" w:hanging="220"/>
      <w:jc w:val="left"/>
    </w:pPr>
    <w:rPr>
      <w:lang w:val="en-US"/>
    </w:rPr>
  </w:style>
  <w:style w:type="paragraph" w:styleId="Index7">
    <w:name w:val="index 7"/>
    <w:basedOn w:val="Standard"/>
    <w:next w:val="Standard"/>
    <w:semiHidden/>
    <w:unhideWhenUsed/>
    <w:rsid w:val="009A66C3"/>
    <w:pPr>
      <w:ind w:left="1540" w:hanging="220"/>
      <w:jc w:val="left"/>
    </w:pPr>
    <w:rPr>
      <w:lang w:val="en-US"/>
    </w:rPr>
  </w:style>
  <w:style w:type="paragraph" w:styleId="Index6">
    <w:name w:val="index 6"/>
    <w:basedOn w:val="Standard"/>
    <w:next w:val="Standard"/>
    <w:semiHidden/>
    <w:unhideWhenUsed/>
    <w:rsid w:val="009A66C3"/>
    <w:pPr>
      <w:ind w:left="1320" w:hanging="220"/>
      <w:jc w:val="left"/>
    </w:pPr>
    <w:rPr>
      <w:lang w:val="en-US"/>
    </w:rPr>
  </w:style>
  <w:style w:type="paragraph" w:styleId="Index5">
    <w:name w:val="index 5"/>
    <w:basedOn w:val="Standard"/>
    <w:next w:val="Standard"/>
    <w:semiHidden/>
    <w:unhideWhenUsed/>
    <w:rsid w:val="009A66C3"/>
    <w:pPr>
      <w:ind w:left="1100" w:hanging="220"/>
      <w:jc w:val="left"/>
    </w:pPr>
    <w:rPr>
      <w:lang w:val="en-US"/>
    </w:rPr>
  </w:style>
  <w:style w:type="paragraph" w:styleId="Index4">
    <w:name w:val="index 4"/>
    <w:basedOn w:val="Standard"/>
    <w:next w:val="Standard"/>
    <w:semiHidden/>
    <w:unhideWhenUsed/>
    <w:rsid w:val="009A66C3"/>
    <w:pPr>
      <w:ind w:left="880" w:hanging="220"/>
      <w:jc w:val="left"/>
    </w:pPr>
    <w:rPr>
      <w:lang w:val="en-US"/>
    </w:rPr>
  </w:style>
  <w:style w:type="paragraph" w:styleId="Index3">
    <w:name w:val="index 3"/>
    <w:basedOn w:val="Standard"/>
    <w:next w:val="Standard"/>
    <w:semiHidden/>
    <w:unhideWhenUsed/>
    <w:rsid w:val="009A66C3"/>
    <w:pPr>
      <w:ind w:left="660" w:hanging="220"/>
      <w:jc w:val="left"/>
    </w:pPr>
    <w:rPr>
      <w:lang w:val="en-US"/>
    </w:rPr>
  </w:style>
  <w:style w:type="paragraph" w:styleId="Index2">
    <w:name w:val="index 2"/>
    <w:basedOn w:val="Standard"/>
    <w:next w:val="Standard"/>
    <w:semiHidden/>
    <w:unhideWhenUsed/>
    <w:rsid w:val="009A66C3"/>
    <w:pPr>
      <w:ind w:left="440" w:hanging="220"/>
      <w:jc w:val="left"/>
    </w:pPr>
    <w:rPr>
      <w:lang w:val="en-US"/>
    </w:rPr>
  </w:style>
  <w:style w:type="character" w:customStyle="1" w:styleId="highlight">
    <w:name w:val="highlight"/>
    <w:basedOn w:val="Absatz-Standardschriftart"/>
    <w:rsid w:val="009A66C3"/>
  </w:style>
  <w:style w:type="paragraph" w:customStyle="1" w:styleId="Default">
    <w:name w:val="Default"/>
    <w:rsid w:val="009A66C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apital">
    <w:name w:val="capital"/>
    <w:basedOn w:val="Absatz-Standardschriftart"/>
    <w:rsid w:val="009A66C3"/>
  </w:style>
  <w:style w:type="character" w:customStyle="1" w:styleId="mi">
    <w:name w:val="mi"/>
    <w:basedOn w:val="Absatz-Standardschriftart"/>
    <w:rsid w:val="009A66C3"/>
  </w:style>
  <w:style w:type="character" w:customStyle="1" w:styleId="mn">
    <w:name w:val="mn"/>
    <w:basedOn w:val="Absatz-Standardschriftart"/>
    <w:rsid w:val="009A66C3"/>
  </w:style>
  <w:style w:type="character" w:customStyle="1" w:styleId="citation">
    <w:name w:val="citation"/>
    <w:basedOn w:val="Absatz-Standardschriftart"/>
    <w:rsid w:val="009A66C3"/>
  </w:style>
  <w:style w:type="character" w:customStyle="1" w:styleId="mo">
    <w:name w:val="mo"/>
    <w:basedOn w:val="Absatz-Standardschriftart"/>
    <w:rsid w:val="009A66C3"/>
  </w:style>
  <w:style w:type="character" w:customStyle="1" w:styleId="mjx-char">
    <w:name w:val="mjx-char"/>
    <w:basedOn w:val="Absatz-Standardschriftart"/>
    <w:rsid w:val="009A66C3"/>
  </w:style>
  <w:style w:type="paragraph" w:customStyle="1" w:styleId="Beschriftung1">
    <w:name w:val="Beschriftung1"/>
    <w:basedOn w:val="Standard"/>
    <w:rsid w:val="009A66C3"/>
    <w:pPr>
      <w:spacing w:before="100" w:beforeAutospacing="1" w:after="100" w:afterAutospacing="1"/>
      <w:jc w:val="left"/>
    </w:pPr>
    <w:rPr>
      <w:rFonts w:eastAsia="Times New Roman" w:cs="Times New Roman"/>
      <w:szCs w:val="24"/>
      <w:lang w:val="en-US" w:eastAsia="de-DE"/>
    </w:rPr>
  </w:style>
  <w:style w:type="paragraph" w:customStyle="1" w:styleId="Beschriftung2">
    <w:name w:val="Beschriftung2"/>
    <w:basedOn w:val="Standard"/>
    <w:rsid w:val="009A66C3"/>
    <w:pPr>
      <w:spacing w:before="100" w:beforeAutospacing="1" w:after="100" w:afterAutospacing="1"/>
      <w:jc w:val="left"/>
    </w:pPr>
    <w:rPr>
      <w:rFonts w:eastAsia="Times New Roman" w:cs="Times New Roman"/>
      <w:szCs w:val="24"/>
      <w:lang w:val="en-US" w:eastAsia="de-DE"/>
    </w:rPr>
  </w:style>
  <w:style w:type="table" w:styleId="TabellemithellemGitternetz">
    <w:name w:val="Grid Table Light"/>
    <w:basedOn w:val="NormaleTabelle"/>
    <w:uiPriority w:val="40"/>
    <w:rsid w:val="009A66C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gkelc">
    <w:name w:val="hgkelc"/>
    <w:basedOn w:val="Absatz-Standardschriftart"/>
    <w:rsid w:val="009A66C3"/>
  </w:style>
  <w:style w:type="paragraph" w:customStyle="1" w:styleId="EndNoteBibliography">
    <w:name w:val="EndNote Bibliography"/>
    <w:basedOn w:val="Standard"/>
    <w:link w:val="EndNoteBibliographyChar"/>
    <w:rsid w:val="009A66C3"/>
    <w:pPr>
      <w:ind w:firstLine="567"/>
      <w:jc w:val="left"/>
    </w:pPr>
    <w:rPr>
      <w:rFonts w:cs="Times New Roman"/>
      <w:noProof/>
      <w:szCs w:val="24"/>
      <w:lang w:val="en-US" w:eastAsia="de-DE"/>
    </w:rPr>
  </w:style>
  <w:style w:type="character" w:customStyle="1" w:styleId="EndNoteBibliographyChar">
    <w:name w:val="EndNote Bibliography Char"/>
    <w:basedOn w:val="Absatz-Standardschriftart"/>
    <w:link w:val="EndNoteBibliography"/>
    <w:rsid w:val="009A66C3"/>
    <w:rPr>
      <w:rFonts w:ascii="Times New Roman" w:hAnsi="Times New Roman" w:cs="Times New Roman"/>
      <w:noProof/>
      <w:sz w:val="24"/>
      <w:szCs w:val="24"/>
      <w:lang w:val="en-US" w:eastAsia="de-DE"/>
    </w:rPr>
  </w:style>
  <w:style w:type="character" w:customStyle="1" w:styleId="last-author-joint">
    <w:name w:val="last-author-joint"/>
    <w:basedOn w:val="Absatz-Standardschriftart"/>
    <w:rsid w:val="009A66C3"/>
  </w:style>
  <w:style w:type="paragraph" w:customStyle="1" w:styleId="Hypothesen">
    <w:name w:val="Hypothesen"/>
    <w:basedOn w:val="Standard"/>
    <w:link w:val="HypothesenZchn"/>
    <w:qFormat/>
    <w:rsid w:val="009A66C3"/>
    <w:pPr>
      <w:spacing w:line="240" w:lineRule="auto"/>
      <w:ind w:left="850"/>
      <w:jc w:val="left"/>
    </w:pPr>
    <w:rPr>
      <w:rFonts w:cs="Times New Roman"/>
      <w:i/>
      <w:lang w:val="en-US"/>
    </w:rPr>
  </w:style>
  <w:style w:type="character" w:customStyle="1" w:styleId="HypothesenZchn">
    <w:name w:val="Hypothesen Zchn"/>
    <w:basedOn w:val="Absatz-Standardschriftart"/>
    <w:link w:val="Hypothesen"/>
    <w:rsid w:val="009A66C3"/>
    <w:rPr>
      <w:rFonts w:ascii="Times New Roman" w:hAnsi="Times New Roman" w:cs="Times New Roman"/>
      <w:i/>
      <w:sz w:val="24"/>
      <w:lang w:val="en-US"/>
    </w:rPr>
  </w:style>
  <w:style w:type="character" w:customStyle="1" w:styleId="tagtrans">
    <w:name w:val="tag_trans"/>
    <w:basedOn w:val="Absatz-Standardschriftart"/>
    <w:rsid w:val="009A66C3"/>
  </w:style>
  <w:style w:type="paragraph" w:customStyle="1" w:styleId="EinfacherZeilenabstand">
    <w:name w:val="Einfacher Zeilenabstand"/>
    <w:basedOn w:val="Standard"/>
    <w:link w:val="EinfacherZeilenabstandZchn"/>
    <w:qFormat/>
    <w:rsid w:val="00A22E5E"/>
    <w:pPr>
      <w:ind w:firstLine="709"/>
    </w:pPr>
    <w:rPr>
      <w:rFonts w:cs="Times New Roman"/>
      <w:szCs w:val="24"/>
      <w:lang w:val="en-US"/>
    </w:rPr>
  </w:style>
  <w:style w:type="character" w:customStyle="1" w:styleId="EinfacherZeilenabstandZchn">
    <w:name w:val="Einfacher Zeilenabstand Zchn"/>
    <w:basedOn w:val="Absatz-Standardschriftart"/>
    <w:link w:val="EinfacherZeilenabstand"/>
    <w:rsid w:val="00A22E5E"/>
    <w:rPr>
      <w:rFonts w:ascii="Times New Roman" w:hAnsi="Times New Roman" w:cs="Times New Roman"/>
      <w:sz w:val="24"/>
      <w:szCs w:val="24"/>
      <w:lang w:val="en-US"/>
    </w:rPr>
  </w:style>
  <w:style w:type="character" w:customStyle="1" w:styleId="topic-highlight">
    <w:name w:val="topic-highlight"/>
    <w:basedOn w:val="Absatz-Standardschriftart"/>
    <w:rsid w:val="009A66C3"/>
  </w:style>
  <w:style w:type="table" w:styleId="Listentabelle1hell">
    <w:name w:val="List Table 1 Light"/>
    <w:basedOn w:val="NormaleTabelle"/>
    <w:uiPriority w:val="46"/>
    <w:rsid w:val="009A66C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uitypography-root">
    <w:name w:val="muitypography-root"/>
    <w:basedOn w:val="Absatz-Standardschriftart"/>
    <w:rsid w:val="009A66C3"/>
  </w:style>
  <w:style w:type="numbering" w:styleId="111111">
    <w:name w:val="Outline List 2"/>
    <w:basedOn w:val="KeineListe"/>
    <w:uiPriority w:val="99"/>
    <w:semiHidden/>
    <w:unhideWhenUsed/>
    <w:rsid w:val="009A66C3"/>
    <w:pPr>
      <w:numPr>
        <w:numId w:val="11"/>
      </w:numPr>
    </w:pPr>
  </w:style>
  <w:style w:type="numbering" w:styleId="1ai">
    <w:name w:val="Outline List 1"/>
    <w:basedOn w:val="KeineListe"/>
    <w:uiPriority w:val="99"/>
    <w:semiHidden/>
    <w:unhideWhenUsed/>
    <w:rsid w:val="009A66C3"/>
    <w:pPr>
      <w:numPr>
        <w:numId w:val="12"/>
      </w:numPr>
    </w:pPr>
  </w:style>
  <w:style w:type="numbering" w:styleId="ArtikelAbschnitt">
    <w:name w:val="Outline List 3"/>
    <w:basedOn w:val="KeineListe"/>
    <w:uiPriority w:val="99"/>
    <w:semiHidden/>
    <w:unhideWhenUsed/>
    <w:rsid w:val="009A66C3"/>
    <w:pPr>
      <w:numPr>
        <w:numId w:val="13"/>
      </w:numPr>
    </w:pPr>
  </w:style>
  <w:style w:type="table" w:styleId="FarbigesRaster-Akzent1">
    <w:name w:val="Colorful Grid Accent 1"/>
    <w:basedOn w:val="NormaleTabelle"/>
    <w:uiPriority w:val="73"/>
    <w:semiHidden/>
    <w:unhideWhenUsed/>
    <w:rsid w:val="009A66C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FarbigesRaster-Akzent2">
    <w:name w:val="Colorful Grid Accent 2"/>
    <w:basedOn w:val="NormaleTabelle"/>
    <w:uiPriority w:val="73"/>
    <w:semiHidden/>
    <w:unhideWhenUsed/>
    <w:rsid w:val="009A66C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FarbigesRaster-Akzent3">
    <w:name w:val="Colorful Grid Accent 3"/>
    <w:basedOn w:val="NormaleTabelle"/>
    <w:uiPriority w:val="73"/>
    <w:semiHidden/>
    <w:unhideWhenUsed/>
    <w:rsid w:val="009A66C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FarbigesRaster-Akzent4">
    <w:name w:val="Colorful Grid Accent 4"/>
    <w:basedOn w:val="NormaleTabelle"/>
    <w:uiPriority w:val="73"/>
    <w:semiHidden/>
    <w:unhideWhenUsed/>
    <w:rsid w:val="009A66C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FarbigesRaster-Akzent5">
    <w:name w:val="Colorful Grid Accent 5"/>
    <w:basedOn w:val="NormaleTabelle"/>
    <w:uiPriority w:val="73"/>
    <w:semiHidden/>
    <w:unhideWhenUsed/>
    <w:rsid w:val="009A66C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FarbigesRaster-Akzent6">
    <w:name w:val="Colorful Grid Accent 6"/>
    <w:basedOn w:val="NormaleTabelle"/>
    <w:uiPriority w:val="73"/>
    <w:semiHidden/>
    <w:unhideWhenUsed/>
    <w:rsid w:val="009A66C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FarbigeListe-Akzent1">
    <w:name w:val="Colorful List Accent 1"/>
    <w:basedOn w:val="NormaleTabelle"/>
    <w:uiPriority w:val="72"/>
    <w:semiHidden/>
    <w:unhideWhenUsed/>
    <w:rsid w:val="009A66C3"/>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FarbigeListe-Akzent2">
    <w:name w:val="Colorful List Accent 2"/>
    <w:basedOn w:val="NormaleTabelle"/>
    <w:uiPriority w:val="72"/>
    <w:semiHidden/>
    <w:unhideWhenUsed/>
    <w:rsid w:val="009A66C3"/>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FarbigeListe-Akzent3">
    <w:name w:val="Colorful List Accent 3"/>
    <w:basedOn w:val="NormaleTabelle"/>
    <w:uiPriority w:val="72"/>
    <w:semiHidden/>
    <w:unhideWhenUsed/>
    <w:rsid w:val="009A66C3"/>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FarbigeListe-Akzent4">
    <w:name w:val="Colorful List Accent 4"/>
    <w:basedOn w:val="NormaleTabelle"/>
    <w:uiPriority w:val="72"/>
    <w:semiHidden/>
    <w:unhideWhenUsed/>
    <w:rsid w:val="009A66C3"/>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FarbigeListe-Akzent5">
    <w:name w:val="Colorful List Accent 5"/>
    <w:basedOn w:val="NormaleTabelle"/>
    <w:uiPriority w:val="72"/>
    <w:semiHidden/>
    <w:unhideWhenUsed/>
    <w:rsid w:val="009A66C3"/>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FarbigeListe-Akzent6">
    <w:name w:val="Colorful List Accent 6"/>
    <w:basedOn w:val="NormaleTabelle"/>
    <w:uiPriority w:val="72"/>
    <w:semiHidden/>
    <w:unhideWhenUsed/>
    <w:rsid w:val="009A66C3"/>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FarbigeSchattierung-Akzent1">
    <w:name w:val="Colorful Shading Accent 1"/>
    <w:basedOn w:val="NormaleTabelle"/>
    <w:uiPriority w:val="71"/>
    <w:semiHidden/>
    <w:unhideWhenUsed/>
    <w:rsid w:val="009A66C3"/>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9A66C3"/>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9A66C3"/>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FarbigeSchattierung-Akzent4">
    <w:name w:val="Colorful Shading Accent 4"/>
    <w:basedOn w:val="NormaleTabelle"/>
    <w:uiPriority w:val="71"/>
    <w:semiHidden/>
    <w:unhideWhenUsed/>
    <w:rsid w:val="009A66C3"/>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9A66C3"/>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9A66C3"/>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unkleListe-Akzent1">
    <w:name w:val="Dark List Accent 1"/>
    <w:basedOn w:val="NormaleTabelle"/>
    <w:uiPriority w:val="70"/>
    <w:semiHidden/>
    <w:unhideWhenUsed/>
    <w:rsid w:val="009A66C3"/>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unkleListe-Akzent2">
    <w:name w:val="Dark List Accent 2"/>
    <w:basedOn w:val="NormaleTabelle"/>
    <w:uiPriority w:val="70"/>
    <w:semiHidden/>
    <w:unhideWhenUsed/>
    <w:rsid w:val="009A66C3"/>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unkleListe-Akzent3">
    <w:name w:val="Dark List Accent 3"/>
    <w:basedOn w:val="NormaleTabelle"/>
    <w:uiPriority w:val="70"/>
    <w:semiHidden/>
    <w:unhideWhenUsed/>
    <w:rsid w:val="009A66C3"/>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unkleListe-Akzent4">
    <w:name w:val="Dark List Accent 4"/>
    <w:basedOn w:val="NormaleTabelle"/>
    <w:uiPriority w:val="70"/>
    <w:semiHidden/>
    <w:unhideWhenUsed/>
    <w:rsid w:val="009A66C3"/>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unkleListe-Akzent5">
    <w:name w:val="Dark List Accent 5"/>
    <w:basedOn w:val="NormaleTabelle"/>
    <w:uiPriority w:val="70"/>
    <w:semiHidden/>
    <w:unhideWhenUsed/>
    <w:rsid w:val="009A66C3"/>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unkleListe-Akzent6">
    <w:name w:val="Dark List Accent 6"/>
    <w:basedOn w:val="NormaleTabelle"/>
    <w:uiPriority w:val="70"/>
    <w:semiHidden/>
    <w:unhideWhenUsed/>
    <w:rsid w:val="009A66C3"/>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E-Mail-Signatur">
    <w:name w:val="E-mail Signature"/>
    <w:basedOn w:val="Standard"/>
    <w:link w:val="E-Mail-SignaturZchn"/>
    <w:uiPriority w:val="99"/>
    <w:semiHidden/>
    <w:unhideWhenUsed/>
    <w:rsid w:val="009A66C3"/>
    <w:pPr>
      <w:spacing w:line="240" w:lineRule="auto"/>
      <w:jc w:val="left"/>
    </w:pPr>
    <w:rPr>
      <w:lang w:val="en-US"/>
    </w:rPr>
  </w:style>
  <w:style w:type="character" w:customStyle="1" w:styleId="E-Mail-SignaturZchn">
    <w:name w:val="E-Mail-Signatur Zchn"/>
    <w:basedOn w:val="Absatz-Standardschriftart"/>
    <w:link w:val="E-Mail-Signatur"/>
    <w:uiPriority w:val="99"/>
    <w:semiHidden/>
    <w:rsid w:val="009A66C3"/>
    <w:rPr>
      <w:rFonts w:ascii="Times New Roman" w:hAnsi="Times New Roman"/>
      <w:sz w:val="24"/>
      <w:lang w:val="en-US"/>
    </w:rPr>
  </w:style>
  <w:style w:type="table" w:styleId="Gitternetztabelle1hell">
    <w:name w:val="Grid Table 1 Light"/>
    <w:basedOn w:val="NormaleTabelle"/>
    <w:uiPriority w:val="46"/>
    <w:rsid w:val="009A66C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9A66C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9A66C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9A66C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9A66C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9A66C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9A66C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9A66C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9A66C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2Akzent2">
    <w:name w:val="Grid Table 2 Accent 2"/>
    <w:basedOn w:val="NormaleTabelle"/>
    <w:uiPriority w:val="47"/>
    <w:rsid w:val="009A66C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2Akzent3">
    <w:name w:val="Grid Table 2 Accent 3"/>
    <w:basedOn w:val="NormaleTabelle"/>
    <w:uiPriority w:val="47"/>
    <w:rsid w:val="009A66C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2Akzent4">
    <w:name w:val="Grid Table 2 Accent 4"/>
    <w:basedOn w:val="NormaleTabelle"/>
    <w:uiPriority w:val="47"/>
    <w:rsid w:val="009A66C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2Akzent5">
    <w:name w:val="Grid Table 2 Accent 5"/>
    <w:basedOn w:val="NormaleTabelle"/>
    <w:uiPriority w:val="47"/>
    <w:rsid w:val="009A66C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2Akzent6">
    <w:name w:val="Grid Table 2 Accent 6"/>
    <w:basedOn w:val="NormaleTabelle"/>
    <w:uiPriority w:val="47"/>
    <w:rsid w:val="009A66C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3">
    <w:name w:val="Grid Table 3"/>
    <w:basedOn w:val="NormaleTabelle"/>
    <w:uiPriority w:val="48"/>
    <w:rsid w:val="009A66C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9A66C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itternetztabelle3Akzent2">
    <w:name w:val="Grid Table 3 Accent 2"/>
    <w:basedOn w:val="NormaleTabelle"/>
    <w:uiPriority w:val="48"/>
    <w:rsid w:val="009A66C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itternetztabelle3Akzent3">
    <w:name w:val="Grid Table 3 Accent 3"/>
    <w:basedOn w:val="NormaleTabelle"/>
    <w:uiPriority w:val="48"/>
    <w:rsid w:val="009A66C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3Akzent4">
    <w:name w:val="Grid Table 3 Accent 4"/>
    <w:basedOn w:val="NormaleTabelle"/>
    <w:uiPriority w:val="48"/>
    <w:rsid w:val="009A66C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itternetztabelle3Akzent5">
    <w:name w:val="Grid Table 3 Accent 5"/>
    <w:basedOn w:val="NormaleTabelle"/>
    <w:uiPriority w:val="48"/>
    <w:rsid w:val="009A66C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itternetztabelle3Akzent6">
    <w:name w:val="Grid Table 3 Accent 6"/>
    <w:basedOn w:val="NormaleTabelle"/>
    <w:uiPriority w:val="48"/>
    <w:rsid w:val="009A66C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itternetztabelle4">
    <w:name w:val="Grid Table 4"/>
    <w:basedOn w:val="NormaleTabelle"/>
    <w:uiPriority w:val="49"/>
    <w:rsid w:val="009A66C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9A66C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4Akzent2">
    <w:name w:val="Grid Table 4 Accent 2"/>
    <w:basedOn w:val="NormaleTabelle"/>
    <w:uiPriority w:val="49"/>
    <w:rsid w:val="009A66C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3">
    <w:name w:val="Grid Table 4 Accent 3"/>
    <w:basedOn w:val="NormaleTabelle"/>
    <w:uiPriority w:val="49"/>
    <w:rsid w:val="009A66C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4">
    <w:name w:val="Grid Table 4 Accent 4"/>
    <w:basedOn w:val="NormaleTabelle"/>
    <w:uiPriority w:val="49"/>
    <w:rsid w:val="009A66C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4Akzent5">
    <w:name w:val="Grid Table 4 Accent 5"/>
    <w:basedOn w:val="NormaleTabelle"/>
    <w:uiPriority w:val="49"/>
    <w:rsid w:val="009A66C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4Akzent6">
    <w:name w:val="Grid Table 4 Accent 6"/>
    <w:basedOn w:val="NormaleTabelle"/>
    <w:uiPriority w:val="49"/>
    <w:rsid w:val="009A66C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5dunkel">
    <w:name w:val="Grid Table 5 Dark"/>
    <w:basedOn w:val="NormaleTabelle"/>
    <w:uiPriority w:val="50"/>
    <w:rsid w:val="009A66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9A66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itternetztabelle5dunkelAkzent2">
    <w:name w:val="Grid Table 5 Dark Accent 2"/>
    <w:basedOn w:val="NormaleTabelle"/>
    <w:uiPriority w:val="50"/>
    <w:rsid w:val="009A66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itternetztabelle5dunkelAkzent3">
    <w:name w:val="Grid Table 5 Dark Accent 3"/>
    <w:basedOn w:val="NormaleTabelle"/>
    <w:uiPriority w:val="50"/>
    <w:rsid w:val="009A66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netztabelle5dunkelAkzent4">
    <w:name w:val="Grid Table 5 Dark Accent 4"/>
    <w:basedOn w:val="NormaleTabelle"/>
    <w:uiPriority w:val="50"/>
    <w:rsid w:val="009A66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itternetztabelle5dunkelAkzent5">
    <w:name w:val="Grid Table 5 Dark Accent 5"/>
    <w:basedOn w:val="NormaleTabelle"/>
    <w:uiPriority w:val="50"/>
    <w:rsid w:val="009A66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5dunkelAkzent6">
    <w:name w:val="Grid Table 5 Dark Accent 6"/>
    <w:basedOn w:val="NormaleTabelle"/>
    <w:uiPriority w:val="50"/>
    <w:rsid w:val="009A66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6farbig">
    <w:name w:val="Grid Table 6 Colorful"/>
    <w:basedOn w:val="NormaleTabelle"/>
    <w:uiPriority w:val="51"/>
    <w:rsid w:val="009A66C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9A66C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6farbigAkzent2">
    <w:name w:val="Grid Table 6 Colorful Accent 2"/>
    <w:basedOn w:val="NormaleTabelle"/>
    <w:uiPriority w:val="51"/>
    <w:rsid w:val="009A66C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6farbigAkzent3">
    <w:name w:val="Grid Table 6 Colorful Accent 3"/>
    <w:basedOn w:val="NormaleTabelle"/>
    <w:uiPriority w:val="51"/>
    <w:rsid w:val="009A66C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6farbigAkzent4">
    <w:name w:val="Grid Table 6 Colorful Accent 4"/>
    <w:basedOn w:val="NormaleTabelle"/>
    <w:uiPriority w:val="51"/>
    <w:rsid w:val="009A66C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6farbigAkzent5">
    <w:name w:val="Grid Table 6 Colorful Accent 5"/>
    <w:basedOn w:val="NormaleTabelle"/>
    <w:uiPriority w:val="51"/>
    <w:rsid w:val="009A66C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6farbigAkzent6">
    <w:name w:val="Grid Table 6 Colorful Accent 6"/>
    <w:basedOn w:val="NormaleTabelle"/>
    <w:uiPriority w:val="51"/>
    <w:rsid w:val="009A66C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7farbig">
    <w:name w:val="Grid Table 7 Colorful"/>
    <w:basedOn w:val="NormaleTabelle"/>
    <w:uiPriority w:val="52"/>
    <w:rsid w:val="009A66C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9A66C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itternetztabelle7farbigAkzent2">
    <w:name w:val="Grid Table 7 Colorful Accent 2"/>
    <w:basedOn w:val="NormaleTabelle"/>
    <w:uiPriority w:val="52"/>
    <w:rsid w:val="009A66C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itternetztabelle7farbigAkzent3">
    <w:name w:val="Grid Table 7 Colorful Accent 3"/>
    <w:basedOn w:val="NormaleTabelle"/>
    <w:uiPriority w:val="52"/>
    <w:rsid w:val="009A66C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7farbigAkzent4">
    <w:name w:val="Grid Table 7 Colorful Accent 4"/>
    <w:basedOn w:val="NormaleTabelle"/>
    <w:uiPriority w:val="52"/>
    <w:rsid w:val="009A66C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itternetztabelle7farbigAkzent5">
    <w:name w:val="Grid Table 7 Colorful Accent 5"/>
    <w:basedOn w:val="NormaleTabelle"/>
    <w:uiPriority w:val="52"/>
    <w:rsid w:val="009A66C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itternetztabelle7farbigAkzent6">
    <w:name w:val="Grid Table 7 Colorful Accent 6"/>
    <w:basedOn w:val="NormaleTabelle"/>
    <w:uiPriority w:val="52"/>
    <w:rsid w:val="009A66C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ashtag1">
    <w:name w:val="Hashtag1"/>
    <w:basedOn w:val="Absatz-Standardschriftart"/>
    <w:uiPriority w:val="99"/>
    <w:semiHidden/>
    <w:unhideWhenUsed/>
    <w:rsid w:val="009A66C3"/>
    <w:rPr>
      <w:color w:val="2B579A"/>
      <w:shd w:val="clear" w:color="auto" w:fill="E1DFDD"/>
    </w:rPr>
  </w:style>
  <w:style w:type="table" w:styleId="HellesRaster-Akzent2">
    <w:name w:val="Light Grid Accent 2"/>
    <w:basedOn w:val="NormaleTabelle"/>
    <w:uiPriority w:val="62"/>
    <w:semiHidden/>
    <w:unhideWhenUsed/>
    <w:rsid w:val="009A66C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HellesRaster-Akzent3">
    <w:name w:val="Light Grid Accent 3"/>
    <w:basedOn w:val="NormaleTabelle"/>
    <w:uiPriority w:val="62"/>
    <w:semiHidden/>
    <w:unhideWhenUsed/>
    <w:rsid w:val="009A66C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HellesRaster-Akzent4">
    <w:name w:val="Light Grid Accent 4"/>
    <w:basedOn w:val="NormaleTabelle"/>
    <w:uiPriority w:val="62"/>
    <w:semiHidden/>
    <w:unhideWhenUsed/>
    <w:rsid w:val="009A66C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HellesRaster-Akzent5">
    <w:name w:val="Light Grid Accent 5"/>
    <w:basedOn w:val="NormaleTabelle"/>
    <w:uiPriority w:val="62"/>
    <w:semiHidden/>
    <w:unhideWhenUsed/>
    <w:rsid w:val="009A66C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HellesRaster-Akzent6">
    <w:name w:val="Light Grid Accent 6"/>
    <w:basedOn w:val="NormaleTabelle"/>
    <w:uiPriority w:val="62"/>
    <w:semiHidden/>
    <w:unhideWhenUsed/>
    <w:rsid w:val="009A66C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HelleListe-Akzent2">
    <w:name w:val="Light List Accent 2"/>
    <w:basedOn w:val="NormaleTabelle"/>
    <w:uiPriority w:val="61"/>
    <w:semiHidden/>
    <w:unhideWhenUsed/>
    <w:rsid w:val="009A66C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HelleListe-Akzent3">
    <w:name w:val="Light List Accent 3"/>
    <w:basedOn w:val="NormaleTabelle"/>
    <w:uiPriority w:val="61"/>
    <w:semiHidden/>
    <w:unhideWhenUsed/>
    <w:rsid w:val="009A66C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HelleListe-Akzent4">
    <w:name w:val="Light List Accent 4"/>
    <w:basedOn w:val="NormaleTabelle"/>
    <w:uiPriority w:val="61"/>
    <w:semiHidden/>
    <w:unhideWhenUsed/>
    <w:rsid w:val="009A66C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HelleListe-Akzent5">
    <w:name w:val="Light List Accent 5"/>
    <w:basedOn w:val="NormaleTabelle"/>
    <w:uiPriority w:val="61"/>
    <w:semiHidden/>
    <w:unhideWhenUsed/>
    <w:rsid w:val="009A66C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HelleListe-Akzent6">
    <w:name w:val="Light List Accent 6"/>
    <w:basedOn w:val="NormaleTabelle"/>
    <w:uiPriority w:val="61"/>
    <w:semiHidden/>
    <w:unhideWhenUsed/>
    <w:rsid w:val="009A66C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HelleSchattierung-Akzent2">
    <w:name w:val="Light Shading Accent 2"/>
    <w:basedOn w:val="NormaleTabelle"/>
    <w:uiPriority w:val="60"/>
    <w:semiHidden/>
    <w:unhideWhenUsed/>
    <w:rsid w:val="009A66C3"/>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HelleSchattierung-Akzent3">
    <w:name w:val="Light Shading Accent 3"/>
    <w:basedOn w:val="NormaleTabelle"/>
    <w:uiPriority w:val="60"/>
    <w:semiHidden/>
    <w:unhideWhenUsed/>
    <w:rsid w:val="009A66C3"/>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HelleSchattierung-Akzent4">
    <w:name w:val="Light Shading Accent 4"/>
    <w:basedOn w:val="NormaleTabelle"/>
    <w:uiPriority w:val="60"/>
    <w:semiHidden/>
    <w:unhideWhenUsed/>
    <w:rsid w:val="009A66C3"/>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HelleSchattierung-Akzent5">
    <w:name w:val="Light Shading Accent 5"/>
    <w:basedOn w:val="NormaleTabelle"/>
    <w:uiPriority w:val="60"/>
    <w:semiHidden/>
    <w:unhideWhenUsed/>
    <w:rsid w:val="009A66C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HelleSchattierung-Akzent6">
    <w:name w:val="Light Shading Accent 6"/>
    <w:basedOn w:val="NormaleTabelle"/>
    <w:uiPriority w:val="60"/>
    <w:semiHidden/>
    <w:unhideWhenUsed/>
    <w:rsid w:val="009A66C3"/>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entabelle1hellAkzent1">
    <w:name w:val="List Table 1 Light Accent 1"/>
    <w:basedOn w:val="NormaleTabelle"/>
    <w:uiPriority w:val="46"/>
    <w:rsid w:val="009A66C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1hellAkzent2">
    <w:name w:val="List Table 1 Light Accent 2"/>
    <w:basedOn w:val="NormaleTabelle"/>
    <w:uiPriority w:val="46"/>
    <w:rsid w:val="009A66C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1hellAkzent3">
    <w:name w:val="List Table 1 Light Accent 3"/>
    <w:basedOn w:val="NormaleTabelle"/>
    <w:uiPriority w:val="46"/>
    <w:rsid w:val="009A66C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1hellAkzent4">
    <w:name w:val="List Table 1 Light Accent 4"/>
    <w:basedOn w:val="NormaleTabelle"/>
    <w:uiPriority w:val="46"/>
    <w:rsid w:val="009A66C3"/>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1hellAkzent5">
    <w:name w:val="List Table 1 Light Accent 5"/>
    <w:basedOn w:val="NormaleTabelle"/>
    <w:uiPriority w:val="46"/>
    <w:rsid w:val="009A66C3"/>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1hellAkzent6">
    <w:name w:val="List Table 1 Light Accent 6"/>
    <w:basedOn w:val="NormaleTabelle"/>
    <w:uiPriority w:val="46"/>
    <w:rsid w:val="009A66C3"/>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2">
    <w:name w:val="List Table 2"/>
    <w:basedOn w:val="NormaleTabelle"/>
    <w:uiPriority w:val="47"/>
    <w:rsid w:val="009A66C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9A66C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2Akzent2">
    <w:name w:val="List Table 2 Accent 2"/>
    <w:basedOn w:val="NormaleTabelle"/>
    <w:uiPriority w:val="47"/>
    <w:rsid w:val="009A66C3"/>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2Akzent3">
    <w:name w:val="List Table 2 Accent 3"/>
    <w:basedOn w:val="NormaleTabelle"/>
    <w:uiPriority w:val="47"/>
    <w:rsid w:val="009A66C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2Akzent4">
    <w:name w:val="List Table 2 Accent 4"/>
    <w:basedOn w:val="NormaleTabelle"/>
    <w:uiPriority w:val="47"/>
    <w:rsid w:val="009A66C3"/>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2Akzent5">
    <w:name w:val="List Table 2 Accent 5"/>
    <w:basedOn w:val="NormaleTabelle"/>
    <w:uiPriority w:val="47"/>
    <w:rsid w:val="009A66C3"/>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2Akzent6">
    <w:name w:val="List Table 2 Accent 6"/>
    <w:basedOn w:val="NormaleTabelle"/>
    <w:uiPriority w:val="47"/>
    <w:rsid w:val="009A66C3"/>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3">
    <w:name w:val="List Table 3"/>
    <w:basedOn w:val="NormaleTabelle"/>
    <w:uiPriority w:val="48"/>
    <w:rsid w:val="009A66C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9A66C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ntabelle3Akzent2">
    <w:name w:val="List Table 3 Accent 2"/>
    <w:basedOn w:val="NormaleTabelle"/>
    <w:uiPriority w:val="48"/>
    <w:rsid w:val="009A66C3"/>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entabelle3Akzent3">
    <w:name w:val="List Table 3 Accent 3"/>
    <w:basedOn w:val="NormaleTabelle"/>
    <w:uiPriority w:val="48"/>
    <w:rsid w:val="009A66C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entabelle3Akzent4">
    <w:name w:val="List Table 3 Accent 4"/>
    <w:basedOn w:val="NormaleTabelle"/>
    <w:uiPriority w:val="48"/>
    <w:rsid w:val="009A66C3"/>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entabelle3Akzent5">
    <w:name w:val="List Table 3 Accent 5"/>
    <w:basedOn w:val="NormaleTabelle"/>
    <w:uiPriority w:val="48"/>
    <w:rsid w:val="009A66C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entabelle3Akzent6">
    <w:name w:val="List Table 3 Accent 6"/>
    <w:basedOn w:val="NormaleTabelle"/>
    <w:uiPriority w:val="48"/>
    <w:rsid w:val="009A66C3"/>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entabelle4">
    <w:name w:val="List Table 4"/>
    <w:basedOn w:val="NormaleTabelle"/>
    <w:uiPriority w:val="49"/>
    <w:rsid w:val="009A66C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9A66C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4Akzent2">
    <w:name w:val="List Table 4 Accent 2"/>
    <w:basedOn w:val="NormaleTabelle"/>
    <w:uiPriority w:val="49"/>
    <w:rsid w:val="009A66C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4Akzent3">
    <w:name w:val="List Table 4 Accent 3"/>
    <w:basedOn w:val="NormaleTabelle"/>
    <w:uiPriority w:val="49"/>
    <w:rsid w:val="009A66C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4Akzent4">
    <w:name w:val="List Table 4 Accent 4"/>
    <w:basedOn w:val="NormaleTabelle"/>
    <w:uiPriority w:val="49"/>
    <w:rsid w:val="009A66C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4Akzent5">
    <w:name w:val="List Table 4 Accent 5"/>
    <w:basedOn w:val="NormaleTabelle"/>
    <w:uiPriority w:val="49"/>
    <w:rsid w:val="009A66C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4Akzent6">
    <w:name w:val="List Table 4 Accent 6"/>
    <w:basedOn w:val="NormaleTabelle"/>
    <w:uiPriority w:val="49"/>
    <w:rsid w:val="009A66C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5dunkel">
    <w:name w:val="List Table 5 Dark"/>
    <w:basedOn w:val="NormaleTabelle"/>
    <w:uiPriority w:val="50"/>
    <w:rsid w:val="009A66C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9A66C3"/>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9A66C3"/>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9A66C3"/>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9A66C3"/>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9A66C3"/>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9A66C3"/>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9A66C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9A66C3"/>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6farbigAkzent2">
    <w:name w:val="List Table 6 Colorful Accent 2"/>
    <w:basedOn w:val="NormaleTabelle"/>
    <w:uiPriority w:val="51"/>
    <w:rsid w:val="009A66C3"/>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6farbigAkzent3">
    <w:name w:val="List Table 6 Colorful Accent 3"/>
    <w:basedOn w:val="NormaleTabelle"/>
    <w:uiPriority w:val="51"/>
    <w:rsid w:val="009A66C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Akzent4">
    <w:name w:val="List Table 6 Colorful Accent 4"/>
    <w:basedOn w:val="NormaleTabelle"/>
    <w:uiPriority w:val="51"/>
    <w:rsid w:val="009A66C3"/>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6farbigAkzent5">
    <w:name w:val="List Table 6 Colorful Accent 5"/>
    <w:basedOn w:val="NormaleTabelle"/>
    <w:uiPriority w:val="51"/>
    <w:rsid w:val="009A66C3"/>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6farbigAkzent6">
    <w:name w:val="List Table 6 Colorful Accent 6"/>
    <w:basedOn w:val="NormaleTabelle"/>
    <w:uiPriority w:val="51"/>
    <w:rsid w:val="009A66C3"/>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7farbig">
    <w:name w:val="List Table 7 Colorful"/>
    <w:basedOn w:val="NormaleTabelle"/>
    <w:uiPriority w:val="52"/>
    <w:rsid w:val="009A66C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9A66C3"/>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9A66C3"/>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9A66C3"/>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9A66C3"/>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9A66C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9A66C3"/>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ittleresRaster1-Akzent1">
    <w:name w:val="Medium Grid 1 Accent 1"/>
    <w:basedOn w:val="NormaleTabelle"/>
    <w:uiPriority w:val="67"/>
    <w:semiHidden/>
    <w:unhideWhenUsed/>
    <w:rsid w:val="009A66C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ittleresRaster1-Akzent2">
    <w:name w:val="Medium Grid 1 Accent 2"/>
    <w:basedOn w:val="NormaleTabelle"/>
    <w:uiPriority w:val="67"/>
    <w:semiHidden/>
    <w:unhideWhenUsed/>
    <w:rsid w:val="009A66C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ittleresRaster1-Akzent3">
    <w:name w:val="Medium Grid 1 Accent 3"/>
    <w:basedOn w:val="NormaleTabelle"/>
    <w:uiPriority w:val="67"/>
    <w:semiHidden/>
    <w:unhideWhenUsed/>
    <w:rsid w:val="009A66C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ittleresRaster1-Akzent4">
    <w:name w:val="Medium Grid 1 Accent 4"/>
    <w:basedOn w:val="NormaleTabelle"/>
    <w:uiPriority w:val="67"/>
    <w:semiHidden/>
    <w:unhideWhenUsed/>
    <w:rsid w:val="009A66C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ittleresRaster1-Akzent5">
    <w:name w:val="Medium Grid 1 Accent 5"/>
    <w:basedOn w:val="NormaleTabelle"/>
    <w:uiPriority w:val="67"/>
    <w:semiHidden/>
    <w:unhideWhenUsed/>
    <w:rsid w:val="009A66C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ittleresRaster1-Akzent6">
    <w:name w:val="Medium Grid 1 Accent 6"/>
    <w:basedOn w:val="NormaleTabelle"/>
    <w:uiPriority w:val="67"/>
    <w:semiHidden/>
    <w:unhideWhenUsed/>
    <w:rsid w:val="009A66C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ittleresRaster2-Akzent1">
    <w:name w:val="Medium Grid 2 Accent 1"/>
    <w:basedOn w:val="NormaleTabelle"/>
    <w:uiPriority w:val="68"/>
    <w:semiHidden/>
    <w:unhideWhenUsed/>
    <w:rsid w:val="009A66C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9A66C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9A66C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9A66C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9A66C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9A66C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ittleresRaster3-Akzent1">
    <w:name w:val="Medium Grid 3 Accent 1"/>
    <w:basedOn w:val="NormaleTabelle"/>
    <w:uiPriority w:val="69"/>
    <w:semiHidden/>
    <w:unhideWhenUsed/>
    <w:rsid w:val="009A66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ittleresRaster3-Akzent2">
    <w:name w:val="Medium Grid 3 Accent 2"/>
    <w:basedOn w:val="NormaleTabelle"/>
    <w:uiPriority w:val="69"/>
    <w:semiHidden/>
    <w:unhideWhenUsed/>
    <w:rsid w:val="009A66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ittleresRaster3-Akzent3">
    <w:name w:val="Medium Grid 3 Accent 3"/>
    <w:basedOn w:val="NormaleTabelle"/>
    <w:uiPriority w:val="69"/>
    <w:semiHidden/>
    <w:unhideWhenUsed/>
    <w:rsid w:val="009A66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ittleresRaster3-Akzent4">
    <w:name w:val="Medium Grid 3 Accent 4"/>
    <w:basedOn w:val="NormaleTabelle"/>
    <w:uiPriority w:val="69"/>
    <w:semiHidden/>
    <w:unhideWhenUsed/>
    <w:rsid w:val="009A66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ittleresRaster3-Akzent5">
    <w:name w:val="Medium Grid 3 Accent 5"/>
    <w:basedOn w:val="NormaleTabelle"/>
    <w:uiPriority w:val="69"/>
    <w:semiHidden/>
    <w:unhideWhenUsed/>
    <w:rsid w:val="009A66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ittleresRaster3-Akzent6">
    <w:name w:val="Medium Grid 3 Accent 6"/>
    <w:basedOn w:val="NormaleTabelle"/>
    <w:uiPriority w:val="69"/>
    <w:semiHidden/>
    <w:unhideWhenUsed/>
    <w:rsid w:val="009A66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ittlereListe1-Akzent2">
    <w:name w:val="Medium List 1 Accent 2"/>
    <w:basedOn w:val="NormaleTabelle"/>
    <w:uiPriority w:val="65"/>
    <w:semiHidden/>
    <w:unhideWhenUsed/>
    <w:rsid w:val="009A66C3"/>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ittlereListe1-Akzent3">
    <w:name w:val="Medium List 1 Accent 3"/>
    <w:basedOn w:val="NormaleTabelle"/>
    <w:uiPriority w:val="65"/>
    <w:semiHidden/>
    <w:unhideWhenUsed/>
    <w:rsid w:val="009A66C3"/>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ittlereListe1-Akzent4">
    <w:name w:val="Medium List 1 Accent 4"/>
    <w:basedOn w:val="NormaleTabelle"/>
    <w:uiPriority w:val="65"/>
    <w:semiHidden/>
    <w:unhideWhenUsed/>
    <w:rsid w:val="009A66C3"/>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ittlereListe1-Akzent5">
    <w:name w:val="Medium List 1 Accent 5"/>
    <w:basedOn w:val="NormaleTabelle"/>
    <w:uiPriority w:val="65"/>
    <w:semiHidden/>
    <w:unhideWhenUsed/>
    <w:rsid w:val="009A66C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ittlereListe1-Akzent6">
    <w:name w:val="Medium List 1 Accent 6"/>
    <w:basedOn w:val="NormaleTabelle"/>
    <w:uiPriority w:val="65"/>
    <w:semiHidden/>
    <w:unhideWhenUsed/>
    <w:rsid w:val="009A66C3"/>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ittlereListe2-Akzent1">
    <w:name w:val="Medium List 2 Accent 1"/>
    <w:basedOn w:val="NormaleTabelle"/>
    <w:uiPriority w:val="66"/>
    <w:semiHidden/>
    <w:unhideWhenUsed/>
    <w:rsid w:val="009A66C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9A66C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9A66C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9A66C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9A66C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9A66C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Akzent2">
    <w:name w:val="Medium Shading 1 Accent 2"/>
    <w:basedOn w:val="NormaleTabelle"/>
    <w:uiPriority w:val="63"/>
    <w:semiHidden/>
    <w:unhideWhenUsed/>
    <w:rsid w:val="009A66C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9A66C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9A66C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9A66C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9A66C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ittlereSchattierung2-Akzent2">
    <w:name w:val="Medium Shading 2 Accent 2"/>
    <w:basedOn w:val="NormaleTabelle"/>
    <w:uiPriority w:val="64"/>
    <w:semiHidden/>
    <w:unhideWhenUsed/>
    <w:rsid w:val="009A66C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semiHidden/>
    <w:unhideWhenUsed/>
    <w:rsid w:val="009A66C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semiHidden/>
    <w:unhideWhenUsed/>
    <w:rsid w:val="009A66C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semiHidden/>
    <w:unhideWhenUsed/>
    <w:rsid w:val="009A66C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semiHidden/>
    <w:unhideWhenUsed/>
    <w:rsid w:val="009A66C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ntion1">
    <w:name w:val="Mention1"/>
    <w:basedOn w:val="Absatz-Standardschriftart"/>
    <w:uiPriority w:val="99"/>
    <w:semiHidden/>
    <w:unhideWhenUsed/>
    <w:rsid w:val="009A66C3"/>
    <w:rPr>
      <w:color w:val="2B579A"/>
      <w:shd w:val="clear" w:color="auto" w:fill="E1DFDD"/>
    </w:rPr>
  </w:style>
  <w:style w:type="table" w:styleId="EinfacheTabelle1">
    <w:name w:val="Plain Table 1"/>
    <w:basedOn w:val="NormaleTabelle"/>
    <w:uiPriority w:val="41"/>
    <w:rsid w:val="009A66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martHyperlink1">
    <w:name w:val="Smart Hyperlink1"/>
    <w:basedOn w:val="Absatz-Standardschriftart"/>
    <w:uiPriority w:val="99"/>
    <w:semiHidden/>
    <w:unhideWhenUsed/>
    <w:rsid w:val="009A66C3"/>
    <w:rPr>
      <w:u w:val="dotted"/>
    </w:rPr>
  </w:style>
  <w:style w:type="character" w:customStyle="1" w:styleId="SmartLink1">
    <w:name w:val="SmartLink1"/>
    <w:basedOn w:val="Absatz-Standardschriftart"/>
    <w:uiPriority w:val="99"/>
    <w:semiHidden/>
    <w:unhideWhenUsed/>
    <w:rsid w:val="009A66C3"/>
    <w:rPr>
      <w:color w:val="0000FF"/>
      <w:u w:val="single"/>
      <w:shd w:val="clear" w:color="auto" w:fill="F3F2F1"/>
    </w:rPr>
  </w:style>
  <w:style w:type="table" w:styleId="Tabelle3D-Effekt1">
    <w:name w:val="Table 3D effects 1"/>
    <w:basedOn w:val="NormaleTabelle"/>
    <w:uiPriority w:val="99"/>
    <w:semiHidden/>
    <w:unhideWhenUsed/>
    <w:rsid w:val="009A66C3"/>
    <w:pPr>
      <w:spacing w:after="0" w:line="48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9A66C3"/>
    <w:pPr>
      <w:spacing w:after="0" w:line="48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9A66C3"/>
    <w:pPr>
      <w:spacing w:after="0" w:line="48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9A66C3"/>
    <w:pPr>
      <w:spacing w:after="0" w:line="48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9A66C3"/>
    <w:pPr>
      <w:spacing w:after="0" w:line="48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9A66C3"/>
    <w:pPr>
      <w:spacing w:after="0" w:line="48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9A66C3"/>
    <w:pPr>
      <w:spacing w:after="0" w:line="48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9A66C3"/>
    <w:pPr>
      <w:spacing w:after="0" w:line="48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9A66C3"/>
    <w:pPr>
      <w:spacing w:after="0" w:line="48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9A66C3"/>
    <w:pPr>
      <w:spacing w:after="0" w:line="48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9A66C3"/>
    <w:pPr>
      <w:spacing w:after="0" w:line="48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9A66C3"/>
    <w:pPr>
      <w:spacing w:after="0" w:line="48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9A66C3"/>
    <w:pPr>
      <w:spacing w:after="0" w:line="48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9A66C3"/>
    <w:pPr>
      <w:spacing w:after="0" w:line="48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9A66C3"/>
    <w:pPr>
      <w:spacing w:after="0" w:line="48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9A66C3"/>
    <w:pPr>
      <w:spacing w:after="0" w:line="48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9A66C3"/>
    <w:pPr>
      <w:spacing w:after="0" w:line="48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9A66C3"/>
    <w:pPr>
      <w:spacing w:after="0" w:line="48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9A66C3"/>
    <w:pPr>
      <w:spacing w:after="0" w:line="48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9A66C3"/>
    <w:pPr>
      <w:spacing w:after="0" w:line="48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9A66C3"/>
    <w:pPr>
      <w:spacing w:after="0" w:line="48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9A66C3"/>
    <w:pPr>
      <w:spacing w:after="0" w:line="48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9A66C3"/>
    <w:pPr>
      <w:spacing w:after="0" w:line="48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9A66C3"/>
    <w:pPr>
      <w:spacing w:after="0" w:line="48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9A66C3"/>
    <w:pPr>
      <w:spacing w:after="0" w:line="48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rsid w:val="009A66C3"/>
    <w:pPr>
      <w:spacing w:after="0" w:line="48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9A66C3"/>
    <w:pPr>
      <w:spacing w:after="0" w:line="48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9A66C3"/>
    <w:pPr>
      <w:spacing w:after="0" w:line="48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9A66C3"/>
    <w:pPr>
      <w:spacing w:after="0" w:line="48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9A66C3"/>
    <w:pPr>
      <w:spacing w:after="0" w:line="48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9A66C3"/>
    <w:pPr>
      <w:spacing w:after="0" w:line="48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9A66C3"/>
    <w:pPr>
      <w:spacing w:after="0" w:line="48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9A66C3"/>
    <w:pPr>
      <w:spacing w:after="0" w:line="48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semiHidden/>
    <w:unhideWhenUsed/>
    <w:rsid w:val="009A66C3"/>
    <w:pPr>
      <w:spacing w:after="0" w:line="48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9A66C3"/>
    <w:pPr>
      <w:spacing w:after="0" w:line="48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9A66C3"/>
    <w:pPr>
      <w:spacing w:after="0" w:line="48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9A66C3"/>
    <w:pPr>
      <w:spacing w:after="0" w:line="48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9A66C3"/>
    <w:pPr>
      <w:spacing w:after="0" w:line="48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9A66C3"/>
    <w:pPr>
      <w:spacing w:after="0" w:line="48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9A66C3"/>
    <w:pPr>
      <w:spacing w:after="0" w:line="4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9A66C3"/>
    <w:pPr>
      <w:spacing w:after="0" w:line="48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9A66C3"/>
    <w:pPr>
      <w:spacing w:after="0" w:line="48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9A66C3"/>
    <w:pPr>
      <w:spacing w:after="0" w:line="48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UnresolvedMention1">
    <w:name w:val="Unresolved Mention1"/>
    <w:basedOn w:val="Absatz-Standardschriftart"/>
    <w:uiPriority w:val="99"/>
    <w:semiHidden/>
    <w:unhideWhenUsed/>
    <w:rsid w:val="009A66C3"/>
    <w:rPr>
      <w:color w:val="605E5C"/>
      <w:shd w:val="clear" w:color="auto" w:fill="E1DFDD"/>
    </w:rPr>
  </w:style>
  <w:style w:type="character" w:customStyle="1" w:styleId="Hashtag2">
    <w:name w:val="Hashtag2"/>
    <w:basedOn w:val="Absatz-Standardschriftart"/>
    <w:uiPriority w:val="99"/>
    <w:semiHidden/>
    <w:unhideWhenUsed/>
    <w:rsid w:val="009A66C3"/>
    <w:rPr>
      <w:color w:val="2B579A"/>
      <w:shd w:val="clear" w:color="auto" w:fill="E1DFDD"/>
    </w:rPr>
  </w:style>
  <w:style w:type="character" w:customStyle="1" w:styleId="Erwhnung1">
    <w:name w:val="Erwähnung1"/>
    <w:basedOn w:val="Absatz-Standardschriftart"/>
    <w:uiPriority w:val="99"/>
    <w:semiHidden/>
    <w:unhideWhenUsed/>
    <w:rsid w:val="009A66C3"/>
    <w:rPr>
      <w:color w:val="2B579A"/>
      <w:shd w:val="clear" w:color="auto" w:fill="E1DFDD"/>
    </w:rPr>
  </w:style>
  <w:style w:type="character" w:customStyle="1" w:styleId="SmartHyperlink2">
    <w:name w:val="Smart Hyperlink2"/>
    <w:basedOn w:val="Absatz-Standardschriftart"/>
    <w:uiPriority w:val="99"/>
    <w:semiHidden/>
    <w:unhideWhenUsed/>
    <w:rsid w:val="009A66C3"/>
    <w:rPr>
      <w:u w:val="dotted"/>
    </w:rPr>
  </w:style>
  <w:style w:type="character" w:customStyle="1" w:styleId="SmartLink2">
    <w:name w:val="SmartLink2"/>
    <w:basedOn w:val="Absatz-Standardschriftart"/>
    <w:uiPriority w:val="99"/>
    <w:semiHidden/>
    <w:unhideWhenUsed/>
    <w:rsid w:val="009A66C3"/>
    <w:rPr>
      <w:color w:val="0000FF"/>
      <w:u w:val="single"/>
      <w:shd w:val="clear" w:color="auto" w:fill="F3F2F1"/>
    </w:rPr>
  </w:style>
  <w:style w:type="character" w:customStyle="1" w:styleId="NichtaufgelsteErwhnung1">
    <w:name w:val="Nicht aufgelöste Erwähnung1"/>
    <w:basedOn w:val="Absatz-Standardschriftart"/>
    <w:uiPriority w:val="99"/>
    <w:semiHidden/>
    <w:unhideWhenUsed/>
    <w:rsid w:val="009A66C3"/>
    <w:rPr>
      <w:color w:val="605E5C"/>
      <w:shd w:val="clear" w:color="auto" w:fill="E1DFDD"/>
    </w:rPr>
  </w:style>
  <w:style w:type="paragraph" w:customStyle="1" w:styleId="1fake">
    <w:name w:val="Ü1_fake"/>
    <w:link w:val="1fakeZchn"/>
    <w:qFormat/>
    <w:rsid w:val="00647BA6"/>
    <w:pPr>
      <w:spacing w:after="0" w:line="480" w:lineRule="auto"/>
      <w:jc w:val="center"/>
    </w:pPr>
    <w:rPr>
      <w:rFonts w:ascii="Times New Roman" w:eastAsiaTheme="majorEastAsia" w:hAnsi="Times New Roman" w:cstheme="majorBidi"/>
      <w:b/>
      <w:caps/>
      <w:sz w:val="24"/>
      <w:szCs w:val="32"/>
      <w:lang w:val="en-US"/>
    </w:rPr>
  </w:style>
  <w:style w:type="paragraph" w:customStyle="1" w:styleId="2">
    <w:name w:val="Ü2"/>
    <w:basedOn w:val="berschrift2"/>
    <w:link w:val="2Zchn"/>
    <w:qFormat/>
    <w:rsid w:val="00647BA6"/>
    <w:rPr>
      <w:caps w:val="0"/>
      <w:lang w:val="en-US"/>
    </w:rPr>
  </w:style>
  <w:style w:type="character" w:customStyle="1" w:styleId="1fakeZchn">
    <w:name w:val="Ü1_fake Zchn"/>
    <w:basedOn w:val="berschrift1Zchn"/>
    <w:link w:val="1fake"/>
    <w:rsid w:val="00647BA6"/>
    <w:rPr>
      <w:rFonts w:ascii="Times New Roman" w:eastAsiaTheme="majorEastAsia" w:hAnsi="Times New Roman" w:cstheme="majorBidi"/>
      <w:b/>
      <w:caps/>
      <w:sz w:val="24"/>
      <w:szCs w:val="32"/>
      <w:lang w:val="en-US"/>
    </w:rPr>
  </w:style>
  <w:style w:type="paragraph" w:customStyle="1" w:styleId="3">
    <w:name w:val="Ü3"/>
    <w:basedOn w:val="berschrift3"/>
    <w:link w:val="3Zchn"/>
    <w:qFormat/>
    <w:rsid w:val="00647BA6"/>
    <w:pPr>
      <w:tabs>
        <w:tab w:val="left" w:pos="142"/>
      </w:tabs>
      <w:ind w:left="720" w:hanging="720"/>
    </w:pPr>
    <w:rPr>
      <w:b w:val="0"/>
    </w:rPr>
  </w:style>
  <w:style w:type="character" w:customStyle="1" w:styleId="2Zchn">
    <w:name w:val="Ü2 Zchn"/>
    <w:basedOn w:val="berschrift1Zchn"/>
    <w:link w:val="2"/>
    <w:rsid w:val="00647BA6"/>
    <w:rPr>
      <w:rFonts w:ascii="Times New Roman" w:eastAsiaTheme="majorEastAsia" w:hAnsi="Times New Roman" w:cstheme="majorBidi"/>
      <w:b/>
      <w:caps/>
      <w:sz w:val="24"/>
      <w:szCs w:val="26"/>
      <w:lang w:val="en-US"/>
    </w:rPr>
  </w:style>
  <w:style w:type="paragraph" w:customStyle="1" w:styleId="2FigTab">
    <w:name w:val="Ü2 Fig&amp;Tab"/>
    <w:basedOn w:val="3"/>
    <w:link w:val="2FigTabZchn"/>
    <w:rsid w:val="00647BA6"/>
    <w:pPr>
      <w:ind w:left="0" w:firstLine="0"/>
      <w:jc w:val="center"/>
    </w:pPr>
    <w:rPr>
      <w:caps/>
    </w:rPr>
  </w:style>
  <w:style w:type="character" w:customStyle="1" w:styleId="3Zchn">
    <w:name w:val="Ü3 Zchn"/>
    <w:basedOn w:val="berschrift2Zchn"/>
    <w:link w:val="3"/>
    <w:rsid w:val="00647BA6"/>
    <w:rPr>
      <w:rFonts w:ascii="Times New Roman" w:eastAsiaTheme="majorEastAsia" w:hAnsi="Times New Roman" w:cstheme="majorBidi"/>
      <w:b/>
      <w:caps/>
      <w:color w:val="000000" w:themeColor="text1"/>
      <w:sz w:val="24"/>
      <w:szCs w:val="24"/>
      <w:lang w:val="en-US"/>
    </w:rPr>
  </w:style>
  <w:style w:type="paragraph" w:customStyle="1" w:styleId="SubheadTableFig">
    <w:name w:val="Subhead Table&amp;Fig"/>
    <w:basedOn w:val="EinfacherZeilenabstand"/>
    <w:link w:val="SubheadTableFigZchn"/>
    <w:qFormat/>
    <w:rsid w:val="00B3290C"/>
    <w:pPr>
      <w:ind w:firstLine="0"/>
      <w:jc w:val="center"/>
    </w:pPr>
    <w:rPr>
      <w:b/>
    </w:rPr>
  </w:style>
  <w:style w:type="character" w:customStyle="1" w:styleId="2FigTabZchn">
    <w:name w:val="Ü2 Fig&amp;Tab Zchn"/>
    <w:basedOn w:val="3Zchn"/>
    <w:link w:val="2FigTab"/>
    <w:rsid w:val="00647BA6"/>
    <w:rPr>
      <w:rFonts w:ascii="Times New Roman" w:eastAsiaTheme="majorEastAsia" w:hAnsi="Times New Roman" w:cstheme="majorBidi"/>
      <w:b/>
      <w:caps w:val="0"/>
      <w:color w:val="000000" w:themeColor="text1"/>
      <w:sz w:val="24"/>
      <w:szCs w:val="24"/>
      <w:lang w:val="en-US"/>
    </w:rPr>
  </w:style>
  <w:style w:type="character" w:customStyle="1" w:styleId="SubheadTableFigZchn">
    <w:name w:val="Subhead Table&amp;Fig Zchn"/>
    <w:basedOn w:val="EinfacherZeilenabstandZchn"/>
    <w:link w:val="SubheadTableFig"/>
    <w:rsid w:val="00B3290C"/>
    <w:rPr>
      <w:rFonts w:ascii="Times New Roman" w:hAnsi="Times New Roman" w:cs="Times New Roman"/>
      <w:b/>
      <w:sz w:val="24"/>
      <w:szCs w:val="24"/>
      <w:lang w:val="en-US"/>
    </w:rPr>
  </w:style>
  <w:style w:type="character" w:customStyle="1" w:styleId="spellingerror">
    <w:name w:val="spellingerror"/>
    <w:basedOn w:val="Absatz-Standardschriftart"/>
    <w:rsid w:val="004E741A"/>
  </w:style>
  <w:style w:type="character" w:customStyle="1" w:styleId="contextualspellingandgrammarerror">
    <w:name w:val="contextualspellingandgrammarerror"/>
    <w:basedOn w:val="Absatz-Standardschriftart"/>
    <w:rsid w:val="004E741A"/>
  </w:style>
  <w:style w:type="character" w:customStyle="1" w:styleId="scxw63604891">
    <w:name w:val="scxw63604891"/>
    <w:basedOn w:val="Absatz-Standardschriftart"/>
    <w:rsid w:val="004E741A"/>
  </w:style>
  <w:style w:type="character" w:customStyle="1" w:styleId="scxw955395">
    <w:name w:val="scxw955395"/>
    <w:basedOn w:val="Absatz-Standardschriftart"/>
    <w:rsid w:val="004E741A"/>
  </w:style>
  <w:style w:type="character" w:customStyle="1" w:styleId="scxw22658079">
    <w:name w:val="scxw22658079"/>
    <w:basedOn w:val="Absatz-Standardschriftart"/>
    <w:rsid w:val="004E741A"/>
  </w:style>
  <w:style w:type="character" w:customStyle="1" w:styleId="scxw123241407">
    <w:name w:val="scxw123241407"/>
    <w:basedOn w:val="Absatz-Standardschriftart"/>
    <w:rsid w:val="004E741A"/>
  </w:style>
  <w:style w:type="character" w:customStyle="1" w:styleId="katex-mathml">
    <w:name w:val="katex-mathml"/>
    <w:basedOn w:val="Absatz-Standardschriftart"/>
    <w:rsid w:val="008B54AB"/>
  </w:style>
  <w:style w:type="character" w:customStyle="1" w:styleId="mord">
    <w:name w:val="mord"/>
    <w:basedOn w:val="Absatz-Standardschriftart"/>
    <w:rsid w:val="008B54AB"/>
  </w:style>
  <w:style w:type="character" w:customStyle="1" w:styleId="mrel">
    <w:name w:val="mrel"/>
    <w:basedOn w:val="Absatz-Standardschriftart"/>
    <w:rsid w:val="008B54AB"/>
  </w:style>
  <w:style w:type="character" w:customStyle="1" w:styleId="epub-sectionitem">
    <w:name w:val="epub-section__item"/>
    <w:basedOn w:val="Absatz-Standardschriftart"/>
    <w:rsid w:val="008B54AB"/>
  </w:style>
  <w:style w:type="character" w:customStyle="1" w:styleId="ui-provider">
    <w:name w:val="ui-provider"/>
    <w:basedOn w:val="Absatz-Standardschriftart"/>
    <w:rsid w:val="008B54AB"/>
  </w:style>
  <w:style w:type="character" w:customStyle="1" w:styleId="ff5">
    <w:name w:val="ff5"/>
    <w:basedOn w:val="Absatz-Standardschriftart"/>
    <w:rsid w:val="008B54AB"/>
  </w:style>
  <w:style w:type="character" w:customStyle="1" w:styleId="ff2">
    <w:name w:val="ff2"/>
    <w:basedOn w:val="Absatz-Standardschriftart"/>
    <w:rsid w:val="008B54AB"/>
  </w:style>
  <w:style w:type="character" w:customStyle="1" w:styleId="ff3">
    <w:name w:val="ff3"/>
    <w:basedOn w:val="Absatz-Standardschriftart"/>
    <w:rsid w:val="008B54AB"/>
  </w:style>
  <w:style w:type="character" w:customStyle="1" w:styleId="ff7">
    <w:name w:val="ff7"/>
    <w:basedOn w:val="Absatz-Standardschriftart"/>
    <w:rsid w:val="008B54AB"/>
  </w:style>
  <w:style w:type="character" w:customStyle="1" w:styleId="a">
    <w:name w:val="_"/>
    <w:basedOn w:val="Absatz-Standardschriftart"/>
    <w:rsid w:val="008B54AB"/>
  </w:style>
  <w:style w:type="character" w:customStyle="1" w:styleId="ls0">
    <w:name w:val="ls0"/>
    <w:basedOn w:val="Absatz-Standardschriftart"/>
    <w:rsid w:val="008B54AB"/>
  </w:style>
  <w:style w:type="character" w:customStyle="1" w:styleId="ls3">
    <w:name w:val="ls3"/>
    <w:basedOn w:val="Absatz-Standardschriftart"/>
    <w:rsid w:val="008B54AB"/>
  </w:style>
  <w:style w:type="character" w:customStyle="1" w:styleId="ws1">
    <w:name w:val="ws1"/>
    <w:basedOn w:val="Absatz-Standardschriftart"/>
    <w:rsid w:val="008B54AB"/>
  </w:style>
  <w:style w:type="character" w:customStyle="1" w:styleId="ls8">
    <w:name w:val="ls8"/>
    <w:basedOn w:val="Absatz-Standardschriftart"/>
    <w:rsid w:val="008B54AB"/>
  </w:style>
  <w:style w:type="character" w:customStyle="1" w:styleId="ls4">
    <w:name w:val="ls4"/>
    <w:basedOn w:val="Absatz-Standardschriftart"/>
    <w:rsid w:val="008B54AB"/>
  </w:style>
  <w:style w:type="paragraph" w:customStyle="1" w:styleId="Verzeichnisse">
    <w:name w:val="Verzeichnisse"/>
    <w:basedOn w:val="Standard"/>
    <w:link w:val="VerzeichnisseZchn"/>
    <w:autoRedefine/>
    <w:qFormat/>
    <w:rsid w:val="006257B7"/>
    <w:pPr>
      <w:spacing w:line="360" w:lineRule="auto"/>
    </w:pPr>
    <w:rPr>
      <w:rFonts w:eastAsia="Times New Roman" w:cs="Times New Roman"/>
      <w:b/>
      <w:color w:val="000000" w:themeColor="text1"/>
      <w:sz w:val="32"/>
      <w:szCs w:val="24"/>
      <w:lang w:val="en-US" w:eastAsia="de-DE"/>
    </w:rPr>
  </w:style>
  <w:style w:type="character" w:customStyle="1" w:styleId="VerzeichnisseZchn">
    <w:name w:val="Verzeichnisse Zchn"/>
    <w:link w:val="Verzeichnisse"/>
    <w:rsid w:val="006257B7"/>
    <w:rPr>
      <w:rFonts w:ascii="Times New Roman" w:eastAsia="Times New Roman" w:hAnsi="Times New Roman" w:cs="Times New Roman"/>
      <w:b/>
      <w:color w:val="000000" w:themeColor="text1"/>
      <w:sz w:val="32"/>
      <w:szCs w:val="24"/>
      <w:lang w:val="en-US" w:eastAsia="de-DE"/>
    </w:rPr>
  </w:style>
  <w:style w:type="paragraph" w:customStyle="1" w:styleId="Titelblatt">
    <w:name w:val="Titelblatt"/>
    <w:basedOn w:val="Standard"/>
    <w:link w:val="TitelblattZchn"/>
    <w:autoRedefine/>
    <w:qFormat/>
    <w:rsid w:val="006257B7"/>
    <w:pPr>
      <w:spacing w:line="240" w:lineRule="auto"/>
      <w:jc w:val="center"/>
    </w:pPr>
    <w:rPr>
      <w:rFonts w:eastAsia="Times New Roman" w:cs="Times New Roman"/>
      <w:szCs w:val="24"/>
      <w:lang w:eastAsia="de-DE"/>
    </w:rPr>
  </w:style>
  <w:style w:type="paragraph" w:customStyle="1" w:styleId="Titelblattfett">
    <w:name w:val="Titelblatt_fett"/>
    <w:basedOn w:val="Titelblatt"/>
    <w:link w:val="TitelblattfettZchn"/>
    <w:autoRedefine/>
    <w:qFormat/>
    <w:rsid w:val="006257B7"/>
    <w:rPr>
      <w:b/>
    </w:rPr>
  </w:style>
  <w:style w:type="character" w:customStyle="1" w:styleId="TitelblattZchn">
    <w:name w:val="Titelblatt Zchn"/>
    <w:link w:val="Titelblatt"/>
    <w:rsid w:val="006257B7"/>
    <w:rPr>
      <w:rFonts w:ascii="Times New Roman" w:eastAsia="Times New Roman" w:hAnsi="Times New Roman" w:cs="Times New Roman"/>
      <w:sz w:val="24"/>
      <w:szCs w:val="24"/>
      <w:lang w:eastAsia="de-DE"/>
    </w:rPr>
  </w:style>
  <w:style w:type="character" w:customStyle="1" w:styleId="TitelblattfettZchn">
    <w:name w:val="Titelblatt_fett Zchn"/>
    <w:link w:val="Titelblattfett"/>
    <w:rsid w:val="006257B7"/>
    <w:rPr>
      <w:rFonts w:ascii="Times New Roman" w:eastAsia="Times New Roman" w:hAnsi="Times New Roman" w:cs="Times New Roman"/>
      <w:b/>
      <w:sz w:val="24"/>
      <w:szCs w:val="24"/>
      <w:lang w:eastAsia="de-DE"/>
    </w:rPr>
  </w:style>
  <w:style w:type="paragraph" w:customStyle="1" w:styleId="Formatvorlageberschrift3Vor0PtNach6Pt">
    <w:name w:val="Formatvorlage Überschrift 3 + Vor:  0 Pt. Nach:  6 Pt."/>
    <w:basedOn w:val="berschrift3"/>
    <w:rsid w:val="006257B7"/>
    <w:pPr>
      <w:keepNext w:val="0"/>
      <w:keepLines w:val="0"/>
      <w:spacing w:before="120"/>
      <w:ind w:firstLine="709"/>
    </w:pPr>
    <w:rPr>
      <w:rFonts w:eastAsia="Times New Roman"/>
      <w:b w:val="0"/>
      <w:bCs/>
      <w:szCs w:val="20"/>
      <w:lang w:eastAsia="de-DE"/>
    </w:rPr>
  </w:style>
  <w:style w:type="paragraph" w:customStyle="1" w:styleId="CitaviLiteraturverzeichnis">
    <w:name w:val="Citavi Literaturverzeichnis"/>
    <w:rsid w:val="006257B7"/>
    <w:pPr>
      <w:autoSpaceDE w:val="0"/>
      <w:autoSpaceDN w:val="0"/>
      <w:adjustRightInd w:val="0"/>
      <w:spacing w:after="120" w:line="0" w:lineRule="atLeast"/>
    </w:pPr>
    <w:rPr>
      <w:rFonts w:ascii="Segoe UI" w:eastAsia="Times New Roman" w:hAnsi="Segoe UI" w:cs="Times New Roman"/>
      <w:sz w:val="18"/>
      <w:szCs w:val="20"/>
      <w:lang w:eastAsia="de-DE"/>
    </w:rPr>
  </w:style>
  <w:style w:type="paragraph" w:customStyle="1" w:styleId="Tabelle">
    <w:name w:val="Tabelle"/>
    <w:basedOn w:val="Standard"/>
    <w:qFormat/>
    <w:rsid w:val="00EE402D"/>
    <w:pPr>
      <w:widowControl w:val="0"/>
      <w:jc w:val="center"/>
    </w:pPr>
    <w:rPr>
      <w:rFonts w:asciiTheme="majorBidi" w:hAnsiTheme="majorBidi" w:cstheme="majorBidi"/>
      <w:b/>
      <w:bCs/>
      <w:lang w:val="en-US"/>
    </w:rPr>
  </w:style>
  <w:style w:type="paragraph" w:customStyle="1" w:styleId="Fragen">
    <w:name w:val="Fragen"/>
    <w:basedOn w:val="Standard"/>
    <w:rsid w:val="006257B7"/>
    <w:pPr>
      <w:numPr>
        <w:numId w:val="14"/>
      </w:numPr>
      <w:spacing w:line="276" w:lineRule="auto"/>
      <w:ind w:left="714" w:hanging="357"/>
    </w:pPr>
    <w:rPr>
      <w:rFonts w:eastAsia="Times New Roman" w:cs="Times New Roman"/>
      <w:szCs w:val="24"/>
      <w:lang w:eastAsia="de-DE"/>
    </w:rPr>
  </w:style>
  <w:style w:type="paragraph" w:customStyle="1" w:styleId="Deckblatt">
    <w:name w:val="Deckblatt"/>
    <w:basedOn w:val="Standard"/>
    <w:link w:val="DeckblattZchn"/>
    <w:rsid w:val="006257B7"/>
    <w:pPr>
      <w:spacing w:line="360" w:lineRule="auto"/>
      <w:jc w:val="left"/>
    </w:pPr>
    <w:rPr>
      <w:rFonts w:eastAsia="Times New Roman" w:cs="Times New Roman"/>
      <w:szCs w:val="24"/>
      <w:lang w:eastAsia="de-DE"/>
    </w:rPr>
  </w:style>
  <w:style w:type="paragraph" w:customStyle="1" w:styleId="FormatvorlageVerzeichnisse12PtNichtFett">
    <w:name w:val="Formatvorlage Verzeichnisse + 12 Pt. Nicht Fett"/>
    <w:basedOn w:val="Verzeichnisse"/>
    <w:rsid w:val="006257B7"/>
    <w:rPr>
      <w:b w:val="0"/>
      <w:sz w:val="24"/>
    </w:rPr>
  </w:style>
  <w:style w:type="paragraph" w:customStyle="1" w:styleId="FormatvorlageFormatvorlageVerzeichnisse12PtNichtFettFett">
    <w:name w:val="Formatvorlage Formatvorlage Verzeichnisse + 12 Pt. Nicht Fett + Fett"/>
    <w:basedOn w:val="FormatvorlageVerzeichnisse12PtNichtFett"/>
    <w:rsid w:val="006257B7"/>
    <w:rPr>
      <w:bCs/>
    </w:rPr>
  </w:style>
  <w:style w:type="paragraph" w:customStyle="1" w:styleId="Formatvorlage8PtNach0PtObenEinfacheeinfarbigeLinieAutoma">
    <w:name w:val="Formatvorlage 8 Pt. Nach:  0 Pt. Oben: (Einfache einfarbige Linie Automa..."/>
    <w:basedOn w:val="Standard"/>
    <w:rsid w:val="006257B7"/>
    <w:pPr>
      <w:spacing w:line="240" w:lineRule="auto"/>
    </w:pPr>
    <w:rPr>
      <w:rFonts w:eastAsia="Times New Roman" w:cs="Times New Roman"/>
      <w:sz w:val="16"/>
      <w:szCs w:val="20"/>
      <w:lang w:eastAsia="de-DE"/>
    </w:rPr>
  </w:style>
  <w:style w:type="paragraph" w:customStyle="1" w:styleId="Formatvorlage8PtRechtsNach0PtObenEinfacheeinfarbigeLinie">
    <w:name w:val="Formatvorlage 8 Pt. Rechts Nach:  0 Pt. Oben: (Einfache einfarbige Linie..."/>
    <w:basedOn w:val="Standard"/>
    <w:rsid w:val="006257B7"/>
    <w:pPr>
      <w:spacing w:line="240" w:lineRule="auto"/>
      <w:jc w:val="right"/>
    </w:pPr>
    <w:rPr>
      <w:rFonts w:eastAsia="Times New Roman" w:cs="Times New Roman"/>
      <w:sz w:val="16"/>
      <w:szCs w:val="20"/>
      <w:lang w:eastAsia="de-DE"/>
    </w:rPr>
  </w:style>
  <w:style w:type="paragraph" w:customStyle="1" w:styleId="Formatvorlage8PtRechtsNach0PtObenEinfacheeinfarbigeLinie1">
    <w:name w:val="Formatvorlage 8 Pt. Rechts Nach:  0 Pt. Oben: (Einfache einfarbige Linie...1"/>
    <w:basedOn w:val="Standard"/>
    <w:rsid w:val="006257B7"/>
    <w:pPr>
      <w:spacing w:line="240" w:lineRule="auto"/>
      <w:jc w:val="right"/>
    </w:pPr>
    <w:rPr>
      <w:rFonts w:eastAsia="Times New Roman" w:cs="Times New Roman"/>
      <w:sz w:val="16"/>
      <w:szCs w:val="20"/>
      <w:lang w:eastAsia="de-DE"/>
    </w:rPr>
  </w:style>
  <w:style w:type="paragraph" w:customStyle="1" w:styleId="Formatvorlage8PtRechtsNach0PtZeilenabstandeinfach">
    <w:name w:val="Formatvorlage 8 Pt. Rechts Nach:  0 Pt. Zeilenabstand:  einfach"/>
    <w:basedOn w:val="Standard"/>
    <w:rsid w:val="006257B7"/>
    <w:pPr>
      <w:spacing w:line="240" w:lineRule="auto"/>
      <w:jc w:val="right"/>
    </w:pPr>
    <w:rPr>
      <w:rFonts w:eastAsia="Times New Roman" w:cs="Times New Roman"/>
      <w:sz w:val="16"/>
      <w:szCs w:val="20"/>
      <w:lang w:eastAsia="de-DE"/>
    </w:rPr>
  </w:style>
  <w:style w:type="paragraph" w:customStyle="1" w:styleId="Formatvorlage8PtZentriertNach0PtObenEinfacheeinfarbigeLi">
    <w:name w:val="Formatvorlage 8 Pt. Zentriert Nach:  0 Pt. Oben: (Einfache einfarbige Li..."/>
    <w:basedOn w:val="Standard"/>
    <w:rsid w:val="006257B7"/>
    <w:pPr>
      <w:spacing w:line="240" w:lineRule="auto"/>
      <w:jc w:val="center"/>
    </w:pPr>
    <w:rPr>
      <w:rFonts w:eastAsia="Times New Roman" w:cs="Times New Roman"/>
      <w:sz w:val="16"/>
      <w:szCs w:val="20"/>
      <w:lang w:eastAsia="de-DE"/>
    </w:rPr>
  </w:style>
  <w:style w:type="table" w:customStyle="1" w:styleId="Tabellenraster1">
    <w:name w:val="Tabellenraster1"/>
    <w:basedOn w:val="NormaleTabelle"/>
    <w:next w:val="Tabellenraster"/>
    <w:uiPriority w:val="39"/>
    <w:rsid w:val="006257B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ettAbsatzzusammen">
    <w:name w:val="Fett_Absatz zusammen"/>
    <w:basedOn w:val="Standard"/>
    <w:rsid w:val="006257B7"/>
    <w:pPr>
      <w:keepNext/>
      <w:spacing w:after="120" w:line="360" w:lineRule="auto"/>
    </w:pPr>
    <w:rPr>
      <w:rFonts w:eastAsia="Times New Roman" w:cs="Times New Roman"/>
      <w:b/>
      <w:szCs w:val="24"/>
      <w:lang w:val="en-US" w:eastAsia="de-DE"/>
    </w:rPr>
  </w:style>
  <w:style w:type="paragraph" w:customStyle="1" w:styleId="FormatvorlageBeschriftungBlock">
    <w:name w:val="Formatvorlage Beschriftung + Block"/>
    <w:basedOn w:val="Beschriftung"/>
    <w:rsid w:val="006257B7"/>
    <w:pPr>
      <w:spacing w:line="240" w:lineRule="auto"/>
      <w:jc w:val="both"/>
    </w:pPr>
    <w:rPr>
      <w:rFonts w:eastAsia="Times New Roman" w:cs="Times New Roman"/>
      <w:b w:val="0"/>
      <w:sz w:val="16"/>
      <w:szCs w:val="20"/>
      <w:lang w:val="de-DE" w:eastAsia="de-DE"/>
    </w:rPr>
  </w:style>
  <w:style w:type="paragraph" w:customStyle="1" w:styleId="FormatvorlageFormatvorlageBeschriftungBlockFett">
    <w:name w:val="Formatvorlage Formatvorlage Beschriftung + Block + Fett"/>
    <w:basedOn w:val="FormatvorlageBeschriftungBlock"/>
    <w:rsid w:val="006257B7"/>
    <w:pPr>
      <w:spacing w:after="40"/>
      <w:jc w:val="center"/>
    </w:pPr>
    <w:rPr>
      <w:b/>
      <w:bCs w:val="0"/>
    </w:rPr>
  </w:style>
  <w:style w:type="paragraph" w:customStyle="1" w:styleId="Tabelle2">
    <w:name w:val="Tabelle 2"/>
    <w:basedOn w:val="FormatvorlageFormatvorlageBeschriftungBlockFett"/>
    <w:qFormat/>
    <w:rsid w:val="006257B7"/>
    <w:pPr>
      <w:spacing w:before="40" w:afterLines="40" w:after="96"/>
      <w:ind w:left="-113"/>
      <w:jc w:val="left"/>
    </w:pPr>
    <w:rPr>
      <w:b w:val="0"/>
      <w:lang w:val="en-US"/>
    </w:rPr>
  </w:style>
  <w:style w:type="paragraph" w:customStyle="1" w:styleId="Hochgestellt">
    <w:name w:val="Hochgestellt"/>
    <w:basedOn w:val="Standard"/>
    <w:rsid w:val="006257B7"/>
    <w:pPr>
      <w:spacing w:line="360" w:lineRule="auto"/>
    </w:pPr>
    <w:rPr>
      <w:rFonts w:eastAsia="Times New Roman" w:cs="Times New Roman"/>
      <w:szCs w:val="24"/>
      <w:lang w:val="en-US" w:eastAsia="de-DE"/>
    </w:rPr>
  </w:style>
  <w:style w:type="paragraph" w:customStyle="1" w:styleId="Aufzhlungi">
    <w:name w:val="Aufzählung i"/>
    <w:basedOn w:val="Standard"/>
    <w:rsid w:val="006257B7"/>
    <w:pPr>
      <w:keepNext/>
      <w:numPr>
        <w:numId w:val="15"/>
      </w:numPr>
      <w:spacing w:before="240" w:after="240" w:line="360" w:lineRule="auto"/>
      <w:ind w:left="720" w:hanging="720"/>
    </w:pPr>
    <w:rPr>
      <w:rFonts w:eastAsia="Times New Roman" w:cs="Times New Roman"/>
      <w:i/>
      <w:szCs w:val="24"/>
      <w:lang w:val="en-US" w:eastAsia="de-DE"/>
    </w:rPr>
  </w:style>
  <w:style w:type="paragraph" w:customStyle="1" w:styleId="Aufzhlunga">
    <w:name w:val="Aufzählung a"/>
    <w:basedOn w:val="Aufzhlungi"/>
    <w:rsid w:val="006257B7"/>
    <w:pPr>
      <w:numPr>
        <w:numId w:val="16"/>
      </w:numPr>
      <w:ind w:left="510" w:hanging="510"/>
    </w:pPr>
    <w:rPr>
      <w:i w:val="0"/>
    </w:rPr>
  </w:style>
  <w:style w:type="paragraph" w:customStyle="1" w:styleId="AufzhlungiKapitel3">
    <w:name w:val="Aufzählung i Kapitel 3"/>
    <w:basedOn w:val="Standard"/>
    <w:rsid w:val="006257B7"/>
    <w:pPr>
      <w:keepNext/>
      <w:numPr>
        <w:numId w:val="18"/>
      </w:numPr>
      <w:spacing w:before="240" w:after="240" w:line="360" w:lineRule="auto"/>
    </w:pPr>
    <w:rPr>
      <w:rFonts w:eastAsia="Times New Roman" w:cs="Times New Roman"/>
      <w:i/>
      <w:szCs w:val="24"/>
      <w:lang w:eastAsia="de-DE"/>
    </w:rPr>
  </w:style>
  <w:style w:type="paragraph" w:customStyle="1" w:styleId="AufzhlungiKapitel4">
    <w:name w:val="Aufzählung i Kapitel 4"/>
    <w:basedOn w:val="berschrift2"/>
    <w:rsid w:val="006257B7"/>
    <w:pPr>
      <w:keepLines w:val="0"/>
      <w:numPr>
        <w:numId w:val="17"/>
      </w:numPr>
      <w:spacing w:before="240" w:after="240" w:line="360" w:lineRule="auto"/>
      <w:ind w:hanging="720"/>
    </w:pPr>
    <w:rPr>
      <w:rFonts w:eastAsia="Times New Roman"/>
      <w:b w:val="0"/>
      <w:bCs/>
      <w:iCs/>
      <w:szCs w:val="24"/>
      <w:lang w:val="en-US" w:eastAsia="de-DE"/>
    </w:rPr>
  </w:style>
  <w:style w:type="paragraph" w:customStyle="1" w:styleId="Text">
    <w:name w:val="Text"/>
    <w:basedOn w:val="Standard"/>
    <w:qFormat/>
    <w:rsid w:val="006257B7"/>
    <w:pPr>
      <w:ind w:firstLine="709"/>
    </w:pPr>
    <w:rPr>
      <w:rFonts w:eastAsia="Times New Roman" w:cs="Times New Roman"/>
      <w:szCs w:val="16"/>
      <w:lang w:eastAsia="de-DE"/>
    </w:rPr>
  </w:style>
  <w:style w:type="character" w:customStyle="1" w:styleId="FormatvorlageText1">
    <w:name w:val="Formatvorlage Text 1"/>
    <w:basedOn w:val="Absatz-Standardschriftart"/>
    <w:rsid w:val="006257B7"/>
    <w:rPr>
      <w:i w:val="0"/>
      <w:color w:val="000000" w:themeColor="text1"/>
    </w:rPr>
  </w:style>
  <w:style w:type="paragraph" w:customStyle="1" w:styleId="FormatvorlageDeckblattFettZentriert">
    <w:name w:val="Formatvorlage Deckblatt + Fett Zentriert"/>
    <w:basedOn w:val="Deckblatt"/>
    <w:link w:val="FormatvorlageDeckblattFettZentriertZchn"/>
    <w:rsid w:val="006257B7"/>
    <w:pPr>
      <w:jc w:val="center"/>
    </w:pPr>
    <w:rPr>
      <w:b/>
      <w:bCs/>
      <w:caps/>
      <w:sz w:val="28"/>
    </w:rPr>
  </w:style>
  <w:style w:type="character" w:customStyle="1" w:styleId="acopre">
    <w:name w:val="acopre"/>
    <w:basedOn w:val="Absatz-Standardschriftart"/>
    <w:rsid w:val="006257B7"/>
  </w:style>
  <w:style w:type="paragraph" w:customStyle="1" w:styleId="story-body-text">
    <w:name w:val="story-body-text"/>
    <w:basedOn w:val="Standard"/>
    <w:rsid w:val="006257B7"/>
    <w:pPr>
      <w:spacing w:before="100" w:beforeAutospacing="1" w:after="100" w:afterAutospacing="1" w:line="240" w:lineRule="auto"/>
      <w:jc w:val="left"/>
    </w:pPr>
    <w:rPr>
      <w:rFonts w:eastAsia="Times New Roman" w:cs="Times New Roman"/>
      <w:szCs w:val="24"/>
      <w:lang w:eastAsia="de-DE"/>
    </w:rPr>
  </w:style>
  <w:style w:type="character" w:customStyle="1" w:styleId="DeckblattZchn">
    <w:name w:val="Deckblatt Zchn"/>
    <w:basedOn w:val="Absatz-Standardschriftart"/>
    <w:link w:val="Deckblatt"/>
    <w:rsid w:val="006257B7"/>
    <w:rPr>
      <w:rFonts w:ascii="Times New Roman" w:eastAsia="Times New Roman" w:hAnsi="Times New Roman" w:cs="Times New Roman"/>
      <w:sz w:val="24"/>
      <w:szCs w:val="24"/>
      <w:lang w:eastAsia="de-DE"/>
    </w:rPr>
  </w:style>
  <w:style w:type="character" w:customStyle="1" w:styleId="FormatvorlageDeckblattFettZentriertZchn">
    <w:name w:val="Formatvorlage Deckblatt + Fett Zentriert Zchn"/>
    <w:basedOn w:val="DeckblattZchn"/>
    <w:link w:val="FormatvorlageDeckblattFettZentriert"/>
    <w:rsid w:val="006257B7"/>
    <w:rPr>
      <w:rFonts w:ascii="Times New Roman" w:eastAsia="Times New Roman" w:hAnsi="Times New Roman" w:cs="Times New Roman"/>
      <w:b/>
      <w:bCs/>
      <w:caps/>
      <w:sz w:val="28"/>
      <w:szCs w:val="24"/>
      <w:lang w:eastAsia="de-DE"/>
    </w:rPr>
  </w:style>
  <w:style w:type="character" w:styleId="NichtaufgelsteErwhnung">
    <w:name w:val="Unresolved Mention"/>
    <w:basedOn w:val="Absatz-Standardschriftart"/>
    <w:uiPriority w:val="99"/>
    <w:semiHidden/>
    <w:unhideWhenUsed/>
    <w:rsid w:val="006257B7"/>
    <w:rPr>
      <w:color w:val="605E5C"/>
      <w:shd w:val="clear" w:color="auto" w:fill="E1DFDD"/>
    </w:rPr>
  </w:style>
  <w:style w:type="paragraph" w:customStyle="1" w:styleId="Paragraph">
    <w:name w:val="Paragraph"/>
    <w:basedOn w:val="Standard"/>
    <w:link w:val="ParagraphChar"/>
    <w:qFormat/>
    <w:rsid w:val="006257B7"/>
    <w:pPr>
      <w:ind w:firstLine="709"/>
      <w:jc w:val="left"/>
    </w:pPr>
    <w:rPr>
      <w:rFonts w:eastAsia="Times New Roman" w:cs="Times New Roman"/>
      <w:szCs w:val="24"/>
      <w:lang w:val="en-US" w:eastAsia="de-DE"/>
    </w:rPr>
  </w:style>
  <w:style w:type="character" w:customStyle="1" w:styleId="ParagraphChar">
    <w:name w:val="Paragraph Char"/>
    <w:basedOn w:val="Absatz-Standardschriftart"/>
    <w:link w:val="Paragraph"/>
    <w:rsid w:val="006257B7"/>
    <w:rPr>
      <w:rFonts w:ascii="Times New Roman" w:eastAsia="Times New Roman" w:hAnsi="Times New Roman" w:cs="Times New Roman"/>
      <w:sz w:val="24"/>
      <w:szCs w:val="24"/>
      <w:lang w:val="en-US" w:eastAsia="de-DE"/>
    </w:rPr>
  </w:style>
  <w:style w:type="character" w:customStyle="1" w:styleId="author">
    <w:name w:val="author"/>
    <w:basedOn w:val="Absatz-Standardschriftart"/>
    <w:rsid w:val="006257B7"/>
  </w:style>
  <w:style w:type="character" w:customStyle="1" w:styleId="pubyear">
    <w:name w:val="pubyear"/>
    <w:basedOn w:val="Absatz-Standardschriftart"/>
    <w:rsid w:val="006257B7"/>
  </w:style>
  <w:style w:type="character" w:customStyle="1" w:styleId="articletitle">
    <w:name w:val="articletitle"/>
    <w:basedOn w:val="Absatz-Standardschriftart"/>
    <w:rsid w:val="006257B7"/>
  </w:style>
  <w:style w:type="character" w:customStyle="1" w:styleId="pagefirst">
    <w:name w:val="pagefirst"/>
    <w:basedOn w:val="Absatz-Standardschriftart"/>
    <w:rsid w:val="006257B7"/>
  </w:style>
  <w:style w:type="character" w:customStyle="1" w:styleId="pagelast">
    <w:name w:val="pagelast"/>
    <w:basedOn w:val="Absatz-Standardschriftart"/>
    <w:rsid w:val="006257B7"/>
  </w:style>
  <w:style w:type="character" w:customStyle="1" w:styleId="value">
    <w:name w:val="value"/>
    <w:basedOn w:val="Absatz-Standardschriftart"/>
    <w:rsid w:val="006257B7"/>
  </w:style>
  <w:style w:type="paragraph" w:customStyle="1" w:styleId="TableCaption">
    <w:name w:val="Table Caption"/>
    <w:basedOn w:val="Standard"/>
    <w:qFormat/>
    <w:rsid w:val="006257B7"/>
    <w:pPr>
      <w:spacing w:line="240" w:lineRule="auto"/>
      <w:jc w:val="center"/>
    </w:pPr>
    <w:rPr>
      <w:rFonts w:asciiTheme="minorHAnsi" w:eastAsiaTheme="minorEastAsia" w:hAnsiTheme="minorHAnsi"/>
      <w:b/>
      <w:i/>
      <w:szCs w:val="24"/>
      <w:lang w:val="en-US"/>
    </w:rPr>
  </w:style>
  <w:style w:type="character" w:customStyle="1" w:styleId="fontstyle01">
    <w:name w:val="fontstyle01"/>
    <w:basedOn w:val="Absatz-Standardschriftart"/>
    <w:rsid w:val="006257B7"/>
    <w:rPr>
      <w:rFonts w:ascii="Times New Roman" w:hAnsi="Times New Roman" w:cs="Times New Roman" w:hint="default"/>
      <w:b w:val="0"/>
      <w:bCs w:val="0"/>
      <w:i w:val="0"/>
      <w:iCs w:val="0"/>
      <w:color w:val="000000"/>
      <w:sz w:val="24"/>
      <w:szCs w:val="24"/>
    </w:rPr>
  </w:style>
  <w:style w:type="character" w:customStyle="1" w:styleId="fontstyle21">
    <w:name w:val="fontstyle21"/>
    <w:basedOn w:val="Absatz-Standardschriftart"/>
    <w:rsid w:val="006257B7"/>
    <w:rPr>
      <w:rFonts w:ascii="Cambria Math" w:hAnsi="Cambria Math" w:hint="default"/>
      <w:b w:val="0"/>
      <w:bCs w:val="0"/>
      <w:i w:val="0"/>
      <w:iCs w:val="0"/>
      <w:color w:val="000000"/>
      <w:sz w:val="24"/>
      <w:szCs w:val="24"/>
    </w:rPr>
  </w:style>
  <w:style w:type="character" w:customStyle="1" w:styleId="fontstyle11">
    <w:name w:val="fontstyle11"/>
    <w:basedOn w:val="Absatz-Standardschriftart"/>
    <w:rsid w:val="006257B7"/>
    <w:rPr>
      <w:rFonts w:ascii="Cambria Math" w:hAnsi="Cambria Math" w:hint="default"/>
      <w:b w:val="0"/>
      <w:bCs w:val="0"/>
      <w:i w:val="0"/>
      <w:iCs w:val="0"/>
      <w:color w:val="000000"/>
      <w:sz w:val="24"/>
      <w:szCs w:val="24"/>
    </w:rPr>
  </w:style>
  <w:style w:type="character" w:customStyle="1" w:styleId="anchor-text">
    <w:name w:val="anchor-text"/>
    <w:basedOn w:val="Absatz-Standardschriftart"/>
    <w:rsid w:val="006257B7"/>
  </w:style>
  <w:style w:type="character" w:customStyle="1" w:styleId="apple-converted-space">
    <w:name w:val="apple-converted-space"/>
    <w:basedOn w:val="Absatz-Standardschriftart"/>
    <w:rsid w:val="006257B7"/>
  </w:style>
  <w:style w:type="paragraph" w:customStyle="1" w:styleId="Hypothese">
    <w:name w:val="Hypothese"/>
    <w:basedOn w:val="Paragraph"/>
    <w:link w:val="HypotheseZchn"/>
    <w:qFormat/>
    <w:rsid w:val="006257B7"/>
    <w:rPr>
      <w:b/>
    </w:rPr>
  </w:style>
  <w:style w:type="character" w:customStyle="1" w:styleId="HypotheseZchn">
    <w:name w:val="Hypothese Zchn"/>
    <w:basedOn w:val="ParagraphChar"/>
    <w:link w:val="Hypothese"/>
    <w:rsid w:val="006257B7"/>
    <w:rPr>
      <w:rFonts w:ascii="Times New Roman" w:eastAsia="Times New Roman" w:hAnsi="Times New Roman" w:cs="Times New Roman"/>
      <w:b/>
      <w:sz w:val="24"/>
      <w:szCs w:val="24"/>
      <w:lang w:val="en-US" w:eastAsia="de-DE"/>
    </w:rPr>
  </w:style>
  <w:style w:type="character" w:customStyle="1" w:styleId="lewnzc">
    <w:name w:val="lewnzc"/>
    <w:basedOn w:val="Absatz-Standardschriftart"/>
    <w:rsid w:val="006257B7"/>
  </w:style>
  <w:style w:type="paragraph" w:customStyle="1" w:styleId="Citavireference">
    <w:name w:val="Citavi reference"/>
    <w:basedOn w:val="Standard"/>
    <w:rsid w:val="006257B7"/>
    <w:pPr>
      <w:keepLines/>
      <w:spacing w:line="240" w:lineRule="atLeast"/>
      <w:ind w:firstLine="708"/>
    </w:pPr>
    <w:rPr>
      <w:rFonts w:ascii="Calibri" w:eastAsia="Times New Roman" w:hAnsi="Calibri" w:cs="Calibri"/>
      <w:noProof/>
      <w:lang w:val="en-US" w:eastAsia="de-DE"/>
    </w:rPr>
  </w:style>
  <w:style w:type="paragraph" w:customStyle="1" w:styleId="Citavisubtitle">
    <w:name w:val="Citavi subtitle"/>
    <w:basedOn w:val="Standard"/>
    <w:rsid w:val="006257B7"/>
    <w:pPr>
      <w:keepNext/>
      <w:spacing w:before="120" w:line="240" w:lineRule="atLeast"/>
      <w:ind w:firstLine="708"/>
    </w:pPr>
    <w:rPr>
      <w:rFonts w:ascii="Calibri" w:eastAsia="Times New Roman" w:hAnsi="Calibri" w:cs="Calibri"/>
      <w:i/>
      <w:lang w:val="en-US" w:eastAsia="de-DE"/>
    </w:rPr>
  </w:style>
  <w:style w:type="paragraph" w:customStyle="1" w:styleId="Citavireferenceabovetitle">
    <w:name w:val="Citavi reference above title"/>
    <w:basedOn w:val="Citavireference"/>
    <w:rsid w:val="006257B7"/>
    <w:pPr>
      <w:keepNext/>
    </w:pPr>
  </w:style>
  <w:style w:type="paragraph" w:customStyle="1" w:styleId="Citavireferencetitle">
    <w:name w:val="Citavi reference title"/>
    <w:basedOn w:val="Citavireference"/>
    <w:rsid w:val="006257B7"/>
    <w:pPr>
      <w:keepNext/>
      <w:spacing w:before="120" w:after="120"/>
    </w:pPr>
    <w:rPr>
      <w:sz w:val="26"/>
    </w:rPr>
  </w:style>
  <w:style w:type="paragraph" w:customStyle="1" w:styleId="Citavicoverandreferencetype">
    <w:name w:val="Citavi cover and reference type"/>
    <w:basedOn w:val="Standard"/>
    <w:rsid w:val="006257B7"/>
    <w:pPr>
      <w:keepNext/>
      <w:spacing w:before="840" w:after="120" w:line="240" w:lineRule="atLeast"/>
      <w:ind w:firstLine="708"/>
    </w:pPr>
    <w:rPr>
      <w:rFonts w:ascii="Calibri" w:eastAsia="Times New Roman" w:hAnsi="Calibri" w:cs="Calibri"/>
      <w:color w:val="808080"/>
      <w:lang w:val="en-US" w:eastAsia="de-DE"/>
    </w:rPr>
  </w:style>
  <w:style w:type="numbering" w:customStyle="1" w:styleId="KeineListe1">
    <w:name w:val="Keine Liste1"/>
    <w:next w:val="KeineListe"/>
    <w:uiPriority w:val="99"/>
    <w:semiHidden/>
    <w:unhideWhenUsed/>
    <w:rsid w:val="006257B7"/>
  </w:style>
  <w:style w:type="paragraph" w:customStyle="1" w:styleId="TabelleHeading">
    <w:name w:val="Tabelle Heading"/>
    <w:basedOn w:val="Standard"/>
    <w:link w:val="TabelleHeadingZchn"/>
    <w:qFormat/>
    <w:rsid w:val="006257B7"/>
    <w:pPr>
      <w:spacing w:line="360" w:lineRule="auto"/>
      <w:jc w:val="center"/>
    </w:pPr>
    <w:rPr>
      <w:rFonts w:eastAsiaTheme="majorEastAsia" w:cs="Times New Roman"/>
      <w:b/>
      <w:bCs/>
      <w:szCs w:val="24"/>
      <w:lang w:eastAsia="de-DE"/>
    </w:rPr>
  </w:style>
  <w:style w:type="character" w:customStyle="1" w:styleId="TabelleHeadingZchn">
    <w:name w:val="Tabelle Heading Zchn"/>
    <w:basedOn w:val="Absatz-Standardschriftart"/>
    <w:link w:val="TabelleHeading"/>
    <w:rsid w:val="006257B7"/>
    <w:rPr>
      <w:rFonts w:ascii="Times New Roman" w:eastAsiaTheme="majorEastAsia" w:hAnsi="Times New Roman" w:cs="Times New Roman"/>
      <w:b/>
      <w:bCs/>
      <w:sz w:val="24"/>
      <w:szCs w:val="24"/>
      <w:lang w:eastAsia="de-DE"/>
    </w:rPr>
  </w:style>
  <w:style w:type="character" w:customStyle="1" w:styleId="vlist-s">
    <w:name w:val="vlist-s"/>
    <w:basedOn w:val="Absatz-Standardschriftart"/>
    <w:rsid w:val="006257B7"/>
  </w:style>
  <w:style w:type="character" w:customStyle="1" w:styleId="mopen">
    <w:name w:val="mopen"/>
    <w:basedOn w:val="Absatz-Standardschriftart"/>
    <w:rsid w:val="006257B7"/>
  </w:style>
  <w:style w:type="character" w:customStyle="1" w:styleId="mclose">
    <w:name w:val="mclose"/>
    <w:basedOn w:val="Absatz-Standardschriftart"/>
    <w:rsid w:val="006257B7"/>
  </w:style>
  <w:style w:type="paragraph" w:customStyle="1" w:styleId="ArticleTitles">
    <w:name w:val="Article Titles"/>
    <w:basedOn w:val="berschrift1"/>
    <w:link w:val="ArticleTitlesZchn"/>
    <w:qFormat/>
    <w:rsid w:val="00E77CBF"/>
    <w:rPr>
      <w:lang w:val="en-US"/>
    </w:rPr>
  </w:style>
  <w:style w:type="character" w:customStyle="1" w:styleId="ArticleTitlesZchn">
    <w:name w:val="Article Titles Zchn"/>
    <w:basedOn w:val="berschrift1Zchn"/>
    <w:link w:val="ArticleTitles"/>
    <w:rsid w:val="00E77CBF"/>
    <w:rPr>
      <w:rFonts w:ascii="Times New Roman" w:eastAsiaTheme="majorEastAsia" w:hAnsi="Times New Roman" w:cstheme="majorBidi"/>
      <w:b/>
      <w:caps/>
      <w:sz w:val="24"/>
      <w:szCs w:val="32"/>
      <w:lang w:val="en-US"/>
    </w:rPr>
  </w:style>
  <w:style w:type="paragraph" w:customStyle="1" w:styleId="Tabellenberschriften1">
    <w:name w:val="Tabellen_Überschriften 1"/>
    <w:basedOn w:val="Tabellenberschriften2"/>
    <w:rsid w:val="00755C90"/>
    <w:rPr>
      <w:caps/>
    </w:rPr>
  </w:style>
  <w:style w:type="paragraph" w:customStyle="1" w:styleId="Tabellenberschriften2">
    <w:name w:val="Tabellen_Überschriften 2"/>
    <w:basedOn w:val="Paragraph"/>
    <w:rsid w:val="00755C90"/>
    <w:pPr>
      <w:ind w:left="-284" w:firstLine="0"/>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6466">
      <w:bodyDiv w:val="1"/>
      <w:marLeft w:val="0"/>
      <w:marRight w:val="0"/>
      <w:marTop w:val="0"/>
      <w:marBottom w:val="0"/>
      <w:divBdr>
        <w:top w:val="none" w:sz="0" w:space="0" w:color="auto"/>
        <w:left w:val="none" w:sz="0" w:space="0" w:color="auto"/>
        <w:bottom w:val="none" w:sz="0" w:space="0" w:color="auto"/>
        <w:right w:val="none" w:sz="0" w:space="0" w:color="auto"/>
      </w:divBdr>
    </w:div>
    <w:div w:id="70154780">
      <w:bodyDiv w:val="1"/>
      <w:marLeft w:val="0"/>
      <w:marRight w:val="0"/>
      <w:marTop w:val="0"/>
      <w:marBottom w:val="0"/>
      <w:divBdr>
        <w:top w:val="none" w:sz="0" w:space="0" w:color="auto"/>
        <w:left w:val="none" w:sz="0" w:space="0" w:color="auto"/>
        <w:bottom w:val="none" w:sz="0" w:space="0" w:color="auto"/>
        <w:right w:val="none" w:sz="0" w:space="0" w:color="auto"/>
      </w:divBdr>
    </w:div>
    <w:div w:id="118886227">
      <w:bodyDiv w:val="1"/>
      <w:marLeft w:val="0"/>
      <w:marRight w:val="0"/>
      <w:marTop w:val="0"/>
      <w:marBottom w:val="0"/>
      <w:divBdr>
        <w:top w:val="none" w:sz="0" w:space="0" w:color="auto"/>
        <w:left w:val="none" w:sz="0" w:space="0" w:color="auto"/>
        <w:bottom w:val="none" w:sz="0" w:space="0" w:color="auto"/>
        <w:right w:val="none" w:sz="0" w:space="0" w:color="auto"/>
      </w:divBdr>
    </w:div>
    <w:div w:id="154801932">
      <w:bodyDiv w:val="1"/>
      <w:marLeft w:val="0"/>
      <w:marRight w:val="0"/>
      <w:marTop w:val="0"/>
      <w:marBottom w:val="0"/>
      <w:divBdr>
        <w:top w:val="none" w:sz="0" w:space="0" w:color="auto"/>
        <w:left w:val="none" w:sz="0" w:space="0" w:color="auto"/>
        <w:bottom w:val="none" w:sz="0" w:space="0" w:color="auto"/>
        <w:right w:val="none" w:sz="0" w:space="0" w:color="auto"/>
      </w:divBdr>
    </w:div>
    <w:div w:id="159009787">
      <w:bodyDiv w:val="1"/>
      <w:marLeft w:val="0"/>
      <w:marRight w:val="0"/>
      <w:marTop w:val="0"/>
      <w:marBottom w:val="0"/>
      <w:divBdr>
        <w:top w:val="none" w:sz="0" w:space="0" w:color="auto"/>
        <w:left w:val="none" w:sz="0" w:space="0" w:color="auto"/>
        <w:bottom w:val="none" w:sz="0" w:space="0" w:color="auto"/>
        <w:right w:val="none" w:sz="0" w:space="0" w:color="auto"/>
      </w:divBdr>
    </w:div>
    <w:div w:id="386803577">
      <w:bodyDiv w:val="1"/>
      <w:marLeft w:val="0"/>
      <w:marRight w:val="0"/>
      <w:marTop w:val="0"/>
      <w:marBottom w:val="0"/>
      <w:divBdr>
        <w:top w:val="none" w:sz="0" w:space="0" w:color="auto"/>
        <w:left w:val="none" w:sz="0" w:space="0" w:color="auto"/>
        <w:bottom w:val="none" w:sz="0" w:space="0" w:color="auto"/>
        <w:right w:val="none" w:sz="0" w:space="0" w:color="auto"/>
      </w:divBdr>
    </w:div>
    <w:div w:id="570505350">
      <w:bodyDiv w:val="1"/>
      <w:marLeft w:val="0"/>
      <w:marRight w:val="0"/>
      <w:marTop w:val="0"/>
      <w:marBottom w:val="0"/>
      <w:divBdr>
        <w:top w:val="none" w:sz="0" w:space="0" w:color="auto"/>
        <w:left w:val="none" w:sz="0" w:space="0" w:color="auto"/>
        <w:bottom w:val="none" w:sz="0" w:space="0" w:color="auto"/>
        <w:right w:val="none" w:sz="0" w:space="0" w:color="auto"/>
      </w:divBdr>
      <w:divsChild>
        <w:div w:id="1567378034">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sChild>
                <w:div w:id="180360970">
                  <w:marLeft w:val="0"/>
                  <w:marRight w:val="0"/>
                  <w:marTop w:val="0"/>
                  <w:marBottom w:val="0"/>
                  <w:divBdr>
                    <w:top w:val="none" w:sz="0" w:space="0" w:color="auto"/>
                    <w:left w:val="none" w:sz="0" w:space="0" w:color="auto"/>
                    <w:bottom w:val="none" w:sz="0" w:space="0" w:color="auto"/>
                    <w:right w:val="none" w:sz="0" w:space="0" w:color="auto"/>
                  </w:divBdr>
                  <w:divsChild>
                    <w:div w:id="2077241778">
                      <w:marLeft w:val="0"/>
                      <w:marRight w:val="0"/>
                      <w:marTop w:val="0"/>
                      <w:marBottom w:val="0"/>
                      <w:divBdr>
                        <w:top w:val="none" w:sz="0" w:space="0" w:color="auto"/>
                        <w:left w:val="none" w:sz="0" w:space="0" w:color="auto"/>
                        <w:bottom w:val="none" w:sz="0" w:space="0" w:color="auto"/>
                        <w:right w:val="none" w:sz="0" w:space="0" w:color="auto"/>
                      </w:divBdr>
                      <w:divsChild>
                        <w:div w:id="1305281943">
                          <w:marLeft w:val="0"/>
                          <w:marRight w:val="0"/>
                          <w:marTop w:val="0"/>
                          <w:marBottom w:val="0"/>
                          <w:divBdr>
                            <w:top w:val="none" w:sz="0" w:space="0" w:color="auto"/>
                            <w:left w:val="none" w:sz="0" w:space="0" w:color="auto"/>
                            <w:bottom w:val="none" w:sz="0" w:space="0" w:color="auto"/>
                            <w:right w:val="none" w:sz="0" w:space="0" w:color="auto"/>
                          </w:divBdr>
                          <w:divsChild>
                            <w:div w:id="9207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555198">
      <w:bodyDiv w:val="1"/>
      <w:marLeft w:val="0"/>
      <w:marRight w:val="0"/>
      <w:marTop w:val="0"/>
      <w:marBottom w:val="0"/>
      <w:divBdr>
        <w:top w:val="none" w:sz="0" w:space="0" w:color="auto"/>
        <w:left w:val="none" w:sz="0" w:space="0" w:color="auto"/>
        <w:bottom w:val="none" w:sz="0" w:space="0" w:color="auto"/>
        <w:right w:val="none" w:sz="0" w:space="0" w:color="auto"/>
      </w:divBdr>
    </w:div>
    <w:div w:id="1075669139">
      <w:bodyDiv w:val="1"/>
      <w:marLeft w:val="0"/>
      <w:marRight w:val="0"/>
      <w:marTop w:val="0"/>
      <w:marBottom w:val="0"/>
      <w:divBdr>
        <w:top w:val="none" w:sz="0" w:space="0" w:color="auto"/>
        <w:left w:val="none" w:sz="0" w:space="0" w:color="auto"/>
        <w:bottom w:val="none" w:sz="0" w:space="0" w:color="auto"/>
        <w:right w:val="none" w:sz="0" w:space="0" w:color="auto"/>
      </w:divBdr>
    </w:div>
    <w:div w:id="1086540125">
      <w:bodyDiv w:val="1"/>
      <w:marLeft w:val="0"/>
      <w:marRight w:val="0"/>
      <w:marTop w:val="0"/>
      <w:marBottom w:val="0"/>
      <w:divBdr>
        <w:top w:val="none" w:sz="0" w:space="0" w:color="auto"/>
        <w:left w:val="none" w:sz="0" w:space="0" w:color="auto"/>
        <w:bottom w:val="none" w:sz="0" w:space="0" w:color="auto"/>
        <w:right w:val="none" w:sz="0" w:space="0" w:color="auto"/>
      </w:divBdr>
    </w:div>
    <w:div w:id="1480225663">
      <w:bodyDiv w:val="1"/>
      <w:marLeft w:val="0"/>
      <w:marRight w:val="0"/>
      <w:marTop w:val="0"/>
      <w:marBottom w:val="0"/>
      <w:divBdr>
        <w:top w:val="none" w:sz="0" w:space="0" w:color="auto"/>
        <w:left w:val="none" w:sz="0" w:space="0" w:color="auto"/>
        <w:bottom w:val="none" w:sz="0" w:space="0" w:color="auto"/>
        <w:right w:val="none" w:sz="0" w:space="0" w:color="auto"/>
      </w:divBdr>
    </w:div>
    <w:div w:id="1540162121">
      <w:bodyDiv w:val="1"/>
      <w:marLeft w:val="0"/>
      <w:marRight w:val="0"/>
      <w:marTop w:val="0"/>
      <w:marBottom w:val="0"/>
      <w:divBdr>
        <w:top w:val="none" w:sz="0" w:space="0" w:color="auto"/>
        <w:left w:val="none" w:sz="0" w:space="0" w:color="auto"/>
        <w:bottom w:val="none" w:sz="0" w:space="0" w:color="auto"/>
        <w:right w:val="none" w:sz="0" w:space="0" w:color="auto"/>
      </w:divBdr>
    </w:div>
    <w:div w:id="1645350021">
      <w:bodyDiv w:val="1"/>
      <w:marLeft w:val="0"/>
      <w:marRight w:val="0"/>
      <w:marTop w:val="0"/>
      <w:marBottom w:val="0"/>
      <w:divBdr>
        <w:top w:val="none" w:sz="0" w:space="0" w:color="auto"/>
        <w:left w:val="none" w:sz="0" w:space="0" w:color="auto"/>
        <w:bottom w:val="none" w:sz="0" w:space="0" w:color="auto"/>
        <w:right w:val="none" w:sz="0" w:space="0" w:color="auto"/>
      </w:divBdr>
    </w:div>
    <w:div w:id="1756437640">
      <w:bodyDiv w:val="1"/>
      <w:marLeft w:val="0"/>
      <w:marRight w:val="0"/>
      <w:marTop w:val="0"/>
      <w:marBottom w:val="0"/>
      <w:divBdr>
        <w:top w:val="none" w:sz="0" w:space="0" w:color="auto"/>
        <w:left w:val="none" w:sz="0" w:space="0" w:color="auto"/>
        <w:bottom w:val="none" w:sz="0" w:space="0" w:color="auto"/>
        <w:right w:val="none" w:sz="0" w:space="0" w:color="auto"/>
      </w:divBdr>
    </w:div>
    <w:div w:id="1768883986">
      <w:bodyDiv w:val="1"/>
      <w:marLeft w:val="0"/>
      <w:marRight w:val="0"/>
      <w:marTop w:val="0"/>
      <w:marBottom w:val="0"/>
      <w:divBdr>
        <w:top w:val="none" w:sz="0" w:space="0" w:color="auto"/>
        <w:left w:val="none" w:sz="0" w:space="0" w:color="auto"/>
        <w:bottom w:val="none" w:sz="0" w:space="0" w:color="auto"/>
        <w:right w:val="none" w:sz="0" w:space="0" w:color="auto"/>
      </w:divBdr>
    </w:div>
    <w:div w:id="1792286636">
      <w:bodyDiv w:val="1"/>
      <w:marLeft w:val="0"/>
      <w:marRight w:val="0"/>
      <w:marTop w:val="0"/>
      <w:marBottom w:val="0"/>
      <w:divBdr>
        <w:top w:val="none" w:sz="0" w:space="0" w:color="auto"/>
        <w:left w:val="none" w:sz="0" w:space="0" w:color="auto"/>
        <w:bottom w:val="none" w:sz="0" w:space="0" w:color="auto"/>
        <w:right w:val="none" w:sz="0" w:space="0" w:color="auto"/>
      </w:divBdr>
    </w:div>
    <w:div w:id="1806391851">
      <w:bodyDiv w:val="1"/>
      <w:marLeft w:val="0"/>
      <w:marRight w:val="0"/>
      <w:marTop w:val="0"/>
      <w:marBottom w:val="0"/>
      <w:divBdr>
        <w:top w:val="none" w:sz="0" w:space="0" w:color="auto"/>
        <w:left w:val="none" w:sz="0" w:space="0" w:color="auto"/>
        <w:bottom w:val="none" w:sz="0" w:space="0" w:color="auto"/>
        <w:right w:val="none" w:sz="0" w:space="0" w:color="auto"/>
      </w:divBdr>
    </w:div>
    <w:div w:id="209809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6.xml"/><Relationship Id="rId21" Type="http://schemas.openxmlformats.org/officeDocument/2006/relationships/footer" Target="footer7.xml"/><Relationship Id="rId42" Type="http://schemas.openxmlformats.org/officeDocument/2006/relationships/footer" Target="footer16.xml"/><Relationship Id="rId47" Type="http://schemas.openxmlformats.org/officeDocument/2006/relationships/header" Target="header15.xml"/><Relationship Id="rId63" Type="http://schemas.openxmlformats.org/officeDocument/2006/relationships/header" Target="header24.xml"/><Relationship Id="rId68" Type="http://schemas.openxmlformats.org/officeDocument/2006/relationships/footer" Target="footer25.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eader" Target="header7.xml"/><Relationship Id="rId11" Type="http://schemas.openxmlformats.org/officeDocument/2006/relationships/footer" Target="footer1.xml"/><Relationship Id="rId24" Type="http://schemas.openxmlformats.org/officeDocument/2006/relationships/image" Target="media/image2.png"/><Relationship Id="rId32" Type="http://schemas.openxmlformats.org/officeDocument/2006/relationships/header" Target="header8.xml"/><Relationship Id="rId37" Type="http://schemas.openxmlformats.org/officeDocument/2006/relationships/header" Target="header11.xml"/><Relationship Id="rId40" Type="http://schemas.openxmlformats.org/officeDocument/2006/relationships/footer" Target="footer15.xml"/><Relationship Id="rId45" Type="http://schemas.openxmlformats.org/officeDocument/2006/relationships/image" Target="media/image5.png"/><Relationship Id="rId53" Type="http://schemas.openxmlformats.org/officeDocument/2006/relationships/header" Target="header18.xml"/><Relationship Id="rId58" Type="http://schemas.openxmlformats.org/officeDocument/2006/relationships/header" Target="header20.xml"/><Relationship Id="rId66" Type="http://schemas.openxmlformats.org/officeDocument/2006/relationships/hyperlink" Target="https://www.spiceworks.com/hr/hr-strategy/articles/examples-merger-failure-cultural-incompatibility/" TargetMode="External"/><Relationship Id="rId5" Type="http://schemas.openxmlformats.org/officeDocument/2006/relationships/numbering" Target="numbering.xml"/><Relationship Id="rId61" Type="http://schemas.openxmlformats.org/officeDocument/2006/relationships/header" Target="header22.xml"/><Relationship Id="rId19" Type="http://schemas.openxmlformats.org/officeDocument/2006/relationships/footer" Target="footer6.xml"/><Relationship Id="rId14" Type="http://schemas.openxmlformats.org/officeDocument/2006/relationships/header" Target="header1.xml"/><Relationship Id="rId22" Type="http://schemas.openxmlformats.org/officeDocument/2006/relationships/hyperlink" Target="https://orcid.org/0000-0003-1141-2353" TargetMode="External"/><Relationship Id="rId27" Type="http://schemas.openxmlformats.org/officeDocument/2006/relationships/footer" Target="footer8.xml"/><Relationship Id="rId30" Type="http://schemas.openxmlformats.org/officeDocument/2006/relationships/footer" Target="footer10.xml"/><Relationship Id="rId35" Type="http://schemas.openxmlformats.org/officeDocument/2006/relationships/header" Target="header10.xml"/><Relationship Id="rId43" Type="http://schemas.openxmlformats.org/officeDocument/2006/relationships/image" Target="media/image3.jpeg"/><Relationship Id="rId48" Type="http://schemas.openxmlformats.org/officeDocument/2006/relationships/footer" Target="footer17.xml"/><Relationship Id="rId56" Type="http://schemas.openxmlformats.org/officeDocument/2006/relationships/header" Target="header19.xml"/><Relationship Id="rId64" Type="http://schemas.openxmlformats.org/officeDocument/2006/relationships/hyperlink" Target="https://arxiv.org/pdf/1907.11692" TargetMode="External"/><Relationship Id="rId69" Type="http://schemas.openxmlformats.org/officeDocument/2006/relationships/header" Target="header25.xml"/><Relationship Id="rId8" Type="http://schemas.openxmlformats.org/officeDocument/2006/relationships/webSettings" Target="webSettings.xml"/><Relationship Id="rId51" Type="http://schemas.openxmlformats.org/officeDocument/2006/relationships/footer" Target="footer19.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header" Target="header5.xml"/><Relationship Id="rId33" Type="http://schemas.openxmlformats.org/officeDocument/2006/relationships/header" Target="header9.xml"/><Relationship Id="rId38" Type="http://schemas.openxmlformats.org/officeDocument/2006/relationships/header" Target="header12.xml"/><Relationship Id="rId46" Type="http://schemas.openxmlformats.org/officeDocument/2006/relationships/header" Target="header14.xml"/><Relationship Id="rId59" Type="http://schemas.openxmlformats.org/officeDocument/2006/relationships/header" Target="header21.xml"/><Relationship Id="rId67" Type="http://schemas.openxmlformats.org/officeDocument/2006/relationships/footer" Target="footer24.xml"/><Relationship Id="rId20" Type="http://schemas.openxmlformats.org/officeDocument/2006/relationships/header" Target="header4.xml"/><Relationship Id="rId41" Type="http://schemas.openxmlformats.org/officeDocument/2006/relationships/header" Target="header13.xml"/><Relationship Id="rId54" Type="http://schemas.openxmlformats.org/officeDocument/2006/relationships/footer" Target="footer20.xml"/><Relationship Id="rId62" Type="http://schemas.openxmlformats.org/officeDocument/2006/relationships/header" Target="header23.xml"/><Relationship Id="rId70" Type="http://schemas.openxmlformats.org/officeDocument/2006/relationships/header" Target="header26.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4.xml"/><Relationship Id="rId23" Type="http://schemas.openxmlformats.org/officeDocument/2006/relationships/image" Target="media/image1.png"/><Relationship Id="rId28" Type="http://schemas.openxmlformats.org/officeDocument/2006/relationships/footer" Target="footer9.xml"/><Relationship Id="rId36" Type="http://schemas.openxmlformats.org/officeDocument/2006/relationships/footer" Target="footer13.xml"/><Relationship Id="rId49" Type="http://schemas.openxmlformats.org/officeDocument/2006/relationships/footer" Target="footer18.xml"/><Relationship Id="rId57" Type="http://schemas.openxmlformats.org/officeDocument/2006/relationships/footer" Target="footer22.xml"/><Relationship Id="rId10" Type="http://schemas.openxmlformats.org/officeDocument/2006/relationships/endnotes" Target="endnotes.xml"/><Relationship Id="rId31" Type="http://schemas.openxmlformats.org/officeDocument/2006/relationships/footer" Target="footer11.xml"/><Relationship Id="rId44" Type="http://schemas.openxmlformats.org/officeDocument/2006/relationships/image" Target="media/image4.png"/><Relationship Id="rId52" Type="http://schemas.openxmlformats.org/officeDocument/2006/relationships/header" Target="header17.xml"/><Relationship Id="rId60" Type="http://schemas.openxmlformats.org/officeDocument/2006/relationships/footer" Target="footer23.xml"/><Relationship Id="rId65" Type="http://schemas.openxmlformats.org/officeDocument/2006/relationships/hyperlink" Target="https://arxiv.org/pdf/1301.3781" TargetMode="Externa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5.xml"/><Relationship Id="rId39" Type="http://schemas.openxmlformats.org/officeDocument/2006/relationships/footer" Target="footer14.xml"/><Relationship Id="rId34" Type="http://schemas.openxmlformats.org/officeDocument/2006/relationships/footer" Target="footer12.xml"/><Relationship Id="rId50" Type="http://schemas.openxmlformats.org/officeDocument/2006/relationships/header" Target="header16.xml"/><Relationship Id="rId55" Type="http://schemas.openxmlformats.org/officeDocument/2006/relationships/footer" Target="footer21.xml"/><Relationship Id="rId7" Type="http://schemas.openxmlformats.org/officeDocument/2006/relationships/settings" Target="settings.xml"/><Relationship Id="rId71" Type="http://schemas.openxmlformats.org/officeDocument/2006/relationships/header" Target="header27.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E92888F96BC1647B0E9D275C15390EE" ma:contentTypeVersion="18" ma:contentTypeDescription="Ein neues Dokument erstellen." ma:contentTypeScope="" ma:versionID="e6a0a4fd8416c8063cc7dcc02d71ee9c">
  <xsd:schema xmlns:xsd="http://www.w3.org/2001/XMLSchema" xmlns:xs="http://www.w3.org/2001/XMLSchema" xmlns:p="http://schemas.microsoft.com/office/2006/metadata/properties" xmlns:ns2="24c1bdd7-2f46-4c92-9a4d-13ba75ad83ca" xmlns:ns3="31b60970-f35d-40ff-a00d-0965926b2636" targetNamespace="http://schemas.microsoft.com/office/2006/metadata/properties" ma:root="true" ma:fieldsID="7bdc2ce3dd887c4be3e6f8715871effd" ns2:_="" ns3:_="">
    <xsd:import namespace="24c1bdd7-2f46-4c92-9a4d-13ba75ad83ca"/>
    <xsd:import namespace="31b60970-f35d-40ff-a00d-0965926b26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c1bdd7-2f46-4c92-9a4d-13ba75ad83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fadeb650-faf3-4ab3-9aa6-e416dbd4802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1b60970-f35d-40ff-a00d-0965926b2636" elementFormDefault="qualified">
    <xsd:import namespace="http://schemas.microsoft.com/office/2006/documentManagement/types"/>
    <xsd:import namespace="http://schemas.microsoft.com/office/infopath/2007/PartnerControls"/>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93fec71c-4fa9-492a-8f72-526b6dbbbc06}" ma:internalName="TaxCatchAll" ma:showField="CatchAllData" ma:web="31b60970-f35d-40ff-a00d-0965926b26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31b60970-f35d-40ff-a00d-0965926b2636" xsi:nil="true"/>
    <lcf76f155ced4ddcb4097134ff3c332f xmlns="24c1bdd7-2f46-4c92-9a4d-13ba75ad83c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0EC7A88-4A85-4ED4-89EC-F1B348D6ACFB}">
  <ds:schemaRefs>
    <ds:schemaRef ds:uri="http://schemas.openxmlformats.org/officeDocument/2006/bibliography"/>
  </ds:schemaRefs>
</ds:datastoreItem>
</file>

<file path=customXml/itemProps2.xml><?xml version="1.0" encoding="utf-8"?>
<ds:datastoreItem xmlns:ds="http://schemas.openxmlformats.org/officeDocument/2006/customXml" ds:itemID="{29CC90F4-DE63-4C9A-87E5-1CAB2C65F215}">
  <ds:schemaRefs>
    <ds:schemaRef ds:uri="http://schemas.microsoft.com/sharepoint/v3/contenttype/forms"/>
  </ds:schemaRefs>
</ds:datastoreItem>
</file>

<file path=customXml/itemProps3.xml><?xml version="1.0" encoding="utf-8"?>
<ds:datastoreItem xmlns:ds="http://schemas.openxmlformats.org/officeDocument/2006/customXml" ds:itemID="{EDC42ADA-18AB-4772-870C-7E25275DBD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c1bdd7-2f46-4c92-9a4d-13ba75ad83ca"/>
    <ds:schemaRef ds:uri="31b60970-f35d-40ff-a00d-0965926b26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DCAAEA-F353-4CDC-8B20-325D03D56C57}">
  <ds:schemaRefs>
    <ds:schemaRef ds:uri="http://schemas.microsoft.com/office/2006/metadata/properties"/>
    <ds:schemaRef ds:uri="http://schemas.microsoft.com/office/infopath/2007/PartnerControls"/>
    <ds:schemaRef ds:uri="31b60970-f35d-40ff-a00d-0965926b2636"/>
    <ds:schemaRef ds:uri="24c1bdd7-2f46-4c92-9a4d-13ba75ad83c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319</Pages>
  <Words>77244</Words>
  <Characters>486643</Characters>
  <Application>Microsoft Office Word</Application>
  <DocSecurity>0</DocSecurity>
  <Lines>4055</Lines>
  <Paragraphs>1125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Kaiser</dc:creator>
  <cp:keywords/>
  <dc:description/>
  <cp:lastModifiedBy>Marius Brede</cp:lastModifiedBy>
  <cp:revision>2</cp:revision>
  <cp:lastPrinted>2024-10-28T07:24:00Z</cp:lastPrinted>
  <dcterms:created xsi:type="dcterms:W3CDTF">2024-10-28T07:35:00Z</dcterms:created>
  <dcterms:modified xsi:type="dcterms:W3CDTF">2024-10-28T07:35:00Z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0x0101005E92888F96BC1647B0E9D275C15390EE</vt:lpwstr>
  </property>
  <property fmtid="{D5CDD505-2E9C-101B-9397-08002B2CF9AE}" pid="3" name="CitaviDocumentProperty_8">
    <vt:lpwstr>CloudProjectKey=v2e647k8konj8ukwvfycfzqy6xvg7mogt6k5ff1x0y; ProjectName=Introduction &amp; Conclusion</vt:lpwstr>
  </property>
  <property fmtid="{D5CDD505-2E9C-101B-9397-08002B2CF9AE}" pid="4" name="CitaviDocumentProperty_7">
    <vt:lpwstr>Introduction &amp; Conclusion</vt:lpwstr>
  </property>
  <property fmtid="{D5CDD505-2E9C-101B-9397-08002B2CF9AE}" pid="5" name="CitaviDocumentProperty_0">
    <vt:lpwstr>f1ed8f7d-1c65-4f06-ad48-3e96e725bea1</vt:lpwstr>
  </property>
  <property fmtid="{D5CDD505-2E9C-101B-9397-08002B2CF9AE}" pid="6" name="CitaviDocumentProperty_1">
    <vt:lpwstr>6.15.2.0</vt:lpwstr>
  </property>
  <property fmtid="{D5CDD505-2E9C-101B-9397-08002B2CF9AE}" pid="7" name="CitaviDocumentProperty_6">
    <vt:lpwstr>True</vt:lpwstr>
  </property>
</Properties>
</file>