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Transport Break-even Engine WebApp</w:t>
      </w:r>
    </w:p>
    <w:p>
      <w:pPr>
        <w:jc w:val="center"/>
      </w:pPr>
      <w:r>
        <w:rPr>
          <w:color w:val="595959"/>
          <w:sz w:val="28"/>
        </w:rPr>
        <w:t>Full Product, Functional and Technical Blueprint</w:t>
      </w:r>
    </w:p>
    <w:p/>
    <w:tbl>
      <w:tblPr>
        <w:tblStyle w:val="LightList-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line="240" w:lineRule="auto"/>
            </w:pPr>
            <w:r/>
            <w:r>
              <w:rPr>
                <w:b/>
                <w:sz w:val="18"/>
              </w:rPr>
              <w:t>Field</w:t>
            </w:r>
          </w:p>
        </w:tc>
        <w:tc>
          <w:tcPr>
            <w:tcW w:type="dxa" w:w="6480"/>
            <w:shd w:fill="D9EAF7"/>
            <w:vAlign w:val="center"/>
          </w:tcPr>
          <w:p>
            <w:pPr>
              <w:spacing w:after="0" w:line="240" w:lineRule="auto"/>
            </w:pPr>
            <w:r/>
            <w:r>
              <w:rPr>
                <w:b/>
                <w:sz w:val="18"/>
              </w:rPr>
              <w:t>Value</w:t>
            </w:r>
          </w:p>
        </w:tc>
      </w:tr>
      <w:tr>
        <w:tc>
          <w:tcPr>
            <w:tcW w:type="dxa" w:w="2880"/>
            <w:vAlign w:val="top"/>
          </w:tcPr>
          <w:p>
            <w:pPr>
              <w:spacing w:after="0" w:line="240" w:lineRule="auto"/>
            </w:pPr>
            <w:r/>
            <w:r>
              <w:rPr>
                <w:b w:val="0"/>
                <w:sz w:val="18"/>
              </w:rPr>
              <w:t>Document type</w:t>
            </w:r>
          </w:p>
        </w:tc>
        <w:tc>
          <w:tcPr>
            <w:tcW w:type="dxa" w:w="6480"/>
            <w:vAlign w:val="top"/>
          </w:tcPr>
          <w:p>
            <w:pPr>
              <w:spacing w:after="0" w:line="240" w:lineRule="auto"/>
            </w:pPr>
            <w:r/>
            <w:r>
              <w:rPr>
                <w:b w:val="0"/>
                <w:sz w:val="18"/>
              </w:rPr>
              <w:t>Blueprint documentation</w:t>
            </w:r>
          </w:p>
        </w:tc>
      </w:tr>
      <w:tr>
        <w:tc>
          <w:tcPr>
            <w:tcW w:type="dxa" w:w="2880"/>
            <w:vAlign w:val="top"/>
          </w:tcPr>
          <w:p>
            <w:pPr>
              <w:spacing w:after="0" w:line="240" w:lineRule="auto"/>
            </w:pPr>
            <w:r/>
            <w:r>
              <w:rPr>
                <w:b w:val="0"/>
                <w:sz w:val="18"/>
              </w:rPr>
              <w:t>Version</w:t>
            </w:r>
          </w:p>
        </w:tc>
        <w:tc>
          <w:tcPr>
            <w:tcW w:type="dxa" w:w="6480"/>
            <w:vAlign w:val="top"/>
          </w:tcPr>
          <w:p>
            <w:pPr>
              <w:spacing w:after="0" w:line="240" w:lineRule="auto"/>
            </w:pPr>
            <w:r/>
            <w:r>
              <w:rPr>
                <w:b w:val="0"/>
                <w:sz w:val="18"/>
              </w:rPr>
              <w:t>0.1</w:t>
            </w:r>
          </w:p>
        </w:tc>
      </w:tr>
      <w:tr>
        <w:tc>
          <w:tcPr>
            <w:tcW w:type="dxa" w:w="2880"/>
            <w:vAlign w:val="top"/>
          </w:tcPr>
          <w:p>
            <w:pPr>
              <w:spacing w:after="0" w:line="240" w:lineRule="auto"/>
            </w:pPr>
            <w:r/>
            <w:r>
              <w:rPr>
                <w:b w:val="0"/>
                <w:sz w:val="18"/>
              </w:rPr>
              <w:t>Scope</w:t>
            </w:r>
          </w:p>
        </w:tc>
        <w:tc>
          <w:tcPr>
            <w:tcW w:type="dxa" w:w="6480"/>
            <w:vAlign w:val="top"/>
          </w:tcPr>
          <w:p>
            <w:pPr>
              <w:spacing w:after="0" w:line="240" w:lineRule="auto"/>
            </w:pPr>
            <w:r/>
            <w:r>
              <w:rPr>
                <w:b w:val="0"/>
                <w:sz w:val="18"/>
              </w:rPr>
              <w:t>Web application derived from the break-even transport Excel engine</w:t>
            </w:r>
          </w:p>
        </w:tc>
      </w:tr>
      <w:tr>
        <w:tc>
          <w:tcPr>
            <w:tcW w:type="dxa" w:w="2880"/>
            <w:vAlign w:val="top"/>
          </w:tcPr>
          <w:p>
            <w:pPr>
              <w:spacing w:after="0" w:line="240" w:lineRule="auto"/>
            </w:pPr>
            <w:r/>
            <w:r>
              <w:rPr>
                <w:b w:val="0"/>
                <w:sz w:val="18"/>
              </w:rPr>
              <w:t>Target stack</w:t>
            </w:r>
          </w:p>
        </w:tc>
        <w:tc>
          <w:tcPr>
            <w:tcW w:type="dxa" w:w="6480"/>
            <w:vAlign w:val="top"/>
          </w:tcPr>
          <w:p>
            <w:pPr>
              <w:spacing w:after="0" w:line="240" w:lineRule="auto"/>
            </w:pPr>
            <w:r/>
            <w:r>
              <w:rPr>
                <w:b w:val="0"/>
                <w:sz w:val="18"/>
              </w:rPr>
              <w:t>React frontend, Node/Express backend, PostgreSQL database, Render deployment</w:t>
            </w:r>
          </w:p>
        </w:tc>
      </w:tr>
      <w:tr>
        <w:tc>
          <w:tcPr>
            <w:tcW w:type="dxa" w:w="2880"/>
            <w:vAlign w:val="top"/>
          </w:tcPr>
          <w:p>
            <w:pPr>
              <w:spacing w:after="0" w:line="240" w:lineRule="auto"/>
            </w:pPr>
            <w:r/>
            <w:r>
              <w:rPr>
                <w:b w:val="0"/>
                <w:sz w:val="18"/>
              </w:rPr>
              <w:t>Core principle</w:t>
            </w:r>
          </w:p>
        </w:tc>
        <w:tc>
          <w:tcPr>
            <w:tcW w:type="dxa" w:w="6480"/>
            <w:vAlign w:val="top"/>
          </w:tcPr>
          <w:p>
            <w:pPr>
              <w:spacing w:after="0" w:line="240" w:lineRule="auto"/>
            </w:pPr>
            <w:r/>
            <w:r>
              <w:rPr>
                <w:b w:val="0"/>
                <w:sz w:val="18"/>
              </w:rPr>
              <w:t>Break-even is computed first; customer rate is generated afterwards through pricing scenarios.</w:t>
            </w:r>
          </w:p>
        </w:tc>
      </w:tr>
    </w:tbl>
    <w:p/>
    <w:p>
      <w:pPr>
        <w:jc w:val="center"/>
      </w:pPr>
      <w:r>
        <w:t>Prepared as a working implementation blueprint. The tax-rule layer must remain configurable and source-controlled because legal and payroll rules change over time.</w:t>
      </w:r>
    </w:p>
    <w:p>
      <w:r>
        <w:br w:type="page"/>
      </w:r>
    </w:p>
    <w:p>
      <w:pPr>
        <w:pStyle w:val="Heading1"/>
      </w:pPr>
      <w:r>
        <w:t>Table of contents</w:t>
      </w:r>
    </w:p>
    <w:p>
      <w:r>
        <w:t>1. Executive summary</w:t>
      </w:r>
    </w:p>
    <w:p>
      <w:r>
        <w:t>2. Product vision and scope</w:t>
      </w:r>
    </w:p>
    <w:p>
      <w:r>
        <w:t>3. Workbook-to-webapp conversion logic</w:t>
      </w:r>
    </w:p>
    <w:p>
      <w:r>
        <w:t>4. Functional modules</w:t>
      </w:r>
    </w:p>
    <w:p>
      <w:r>
        <w:t>5. User journey and filling flow</w:t>
      </w:r>
    </w:p>
    <w:p>
      <w:r>
        <w:t>6. Calculation engine specification</w:t>
      </w:r>
    </w:p>
    <w:p>
      <w:r>
        <w:t>7. Data model and PostgreSQL schema</w:t>
      </w:r>
    </w:p>
    <w:p>
      <w:r>
        <w:t>8. Backend API specification</w:t>
      </w:r>
    </w:p>
    <w:p>
      <w:r>
        <w:t>9. Frontend structure and UX requirements</w:t>
      </w:r>
    </w:p>
    <w:p>
      <w:r>
        <w:t>10. Validation, controls and auditability</w:t>
      </w:r>
    </w:p>
    <w:p>
      <w:r>
        <w:t>11. Security, deployment and operations</w:t>
      </w:r>
    </w:p>
    <w:p>
      <w:r>
        <w:t>12. Implementation roadmap</w:t>
      </w:r>
    </w:p>
    <w:p>
      <w:r>
        <w:t>13. Acceptance criteria</w:t>
      </w:r>
    </w:p>
    <w:p>
      <w:r>
        <w:t>14. Appendices</w:t>
      </w:r>
    </w:p>
    <w:p>
      <w:r>
        <w:br w:type="page"/>
      </w:r>
    </w:p>
    <w:p>
      <w:pPr>
        <w:pStyle w:val="Heading1"/>
      </w:pPr>
      <w:r>
        <w:t>1. Executive summary</w:t>
      </w:r>
    </w:p>
    <w:p>
      <w:r>
        <w:t>The Transport Break-even Engine WebApp converts the Excel-based transport pricing workbook into a controlled, formula-safe, web-based decision engine. The application calculates operational break-even values for transport profiles, generates customer pricing scenarios after break-even is known, applies country and company-type tax assumptions, and supports sensitivity analysis by vehicle class, payload utilisation, load factor and markup.</w:t>
      </w:r>
    </w:p>
    <w:p>
      <w:r>
        <w:t>The webapp should not run Excel in the background. The Excel formulas must be translated into a backend calculation engine. This gives the product stronger control, easier testing, full auditability, saved calculation history, and future scalability for multiple countries, company structures, vehicles and users.</w:t>
      </w:r>
    </w:p>
    <w:p>
      <w:r>
        <w:t>The most important modelling rule is that customer rate per loaded kilometre is not a manual input. The engine first computes the operational break-even value. The pricing module then applies markup percentages over break-even and shows the resulting customer rate, annual revenue, tax-adjusted profit and invoice value including VAT.</w:t>
      </w:r>
    </w:p>
    <w:tbl>
      <w:tblPr>
        <w:tblStyle w:val="LightList-Accent1"/>
        <w:tblW w:type="auto" w:w="0"/>
        <w:jc w:val="center"/>
        <w:tblLook w:firstColumn="1" w:firstRow="1" w:lastColumn="0" w:lastRow="0" w:noHBand="0" w:noVBand="1" w:val="04A0"/>
      </w:tblPr>
      <w:tblGrid>
        <w:gridCol w:w="5040"/>
        <w:gridCol w:w="5040"/>
      </w:tblGrid>
      <w:tr>
        <w:tc>
          <w:tcPr>
            <w:tcW w:type="dxa" w:w="3312"/>
            <w:shd w:fill="D9EAF7"/>
            <w:vAlign w:val="center"/>
          </w:tcPr>
          <w:p>
            <w:pPr>
              <w:spacing w:after="0" w:line="240" w:lineRule="auto"/>
            </w:pPr>
            <w:r/>
            <w:r>
              <w:rPr>
                <w:b/>
                <w:sz w:val="18"/>
              </w:rPr>
              <w:t>Blueprint decision</w:t>
            </w:r>
          </w:p>
        </w:tc>
        <w:tc>
          <w:tcPr>
            <w:tcW w:type="dxa" w:w="6336"/>
            <w:shd w:fill="D9EAF7"/>
            <w:vAlign w:val="center"/>
          </w:tcPr>
          <w:p>
            <w:pPr>
              <w:spacing w:after="0" w:line="240" w:lineRule="auto"/>
            </w:pPr>
            <w:r/>
            <w:r>
              <w:rPr>
                <w:b/>
                <w:sz w:val="18"/>
              </w:rPr>
              <w:t>Selected approach</w:t>
            </w:r>
          </w:p>
        </w:tc>
      </w:tr>
      <w:tr>
        <w:tc>
          <w:tcPr>
            <w:tcW w:type="dxa" w:w="3312"/>
            <w:vAlign w:val="top"/>
          </w:tcPr>
          <w:p>
            <w:pPr>
              <w:spacing w:after="0" w:line="240" w:lineRule="auto"/>
            </w:pPr>
            <w:r/>
            <w:r>
              <w:rPr>
                <w:b w:val="0"/>
                <w:sz w:val="18"/>
              </w:rPr>
              <w:t>Calculation ownership</w:t>
            </w:r>
          </w:p>
        </w:tc>
        <w:tc>
          <w:tcPr>
            <w:tcW w:type="dxa" w:w="6336"/>
            <w:vAlign w:val="top"/>
          </w:tcPr>
          <w:p>
            <w:pPr>
              <w:spacing w:after="0" w:line="240" w:lineRule="auto"/>
            </w:pPr>
            <w:r/>
            <w:r>
              <w:rPr>
                <w:b w:val="0"/>
                <w:sz w:val="18"/>
              </w:rPr>
              <w:t>Backend calculation engine, not Excel formulas.</w:t>
            </w:r>
          </w:p>
        </w:tc>
      </w:tr>
      <w:tr>
        <w:tc>
          <w:tcPr>
            <w:tcW w:type="dxa" w:w="3312"/>
            <w:vAlign w:val="top"/>
          </w:tcPr>
          <w:p>
            <w:pPr>
              <w:spacing w:after="0" w:line="240" w:lineRule="auto"/>
            </w:pPr>
            <w:r/>
            <w:r>
              <w:rPr>
                <w:b w:val="0"/>
                <w:sz w:val="18"/>
              </w:rPr>
              <w:t>Main commercial metric</w:t>
            </w:r>
          </w:p>
        </w:tc>
        <w:tc>
          <w:tcPr>
            <w:tcW w:type="dxa" w:w="6336"/>
            <w:vAlign w:val="top"/>
          </w:tcPr>
          <w:p>
            <w:pPr>
              <w:spacing w:after="0" w:line="240" w:lineRule="auto"/>
            </w:pPr>
            <w:r/>
            <w:r>
              <w:rPr>
                <w:b w:val="0"/>
                <w:sz w:val="18"/>
              </w:rPr>
              <w:t>Break-even EUR per loaded km and break-even EUR per tonne-km.</w:t>
            </w:r>
          </w:p>
        </w:tc>
      </w:tr>
      <w:tr>
        <w:tc>
          <w:tcPr>
            <w:tcW w:type="dxa" w:w="3312"/>
            <w:vAlign w:val="top"/>
          </w:tcPr>
          <w:p>
            <w:pPr>
              <w:spacing w:after="0" w:line="240" w:lineRule="auto"/>
            </w:pPr>
            <w:r/>
            <w:r>
              <w:rPr>
                <w:b w:val="0"/>
                <w:sz w:val="18"/>
              </w:rPr>
              <w:t>Customer rate</w:t>
            </w:r>
          </w:p>
        </w:tc>
        <w:tc>
          <w:tcPr>
            <w:tcW w:type="dxa" w:w="6336"/>
            <w:vAlign w:val="top"/>
          </w:tcPr>
          <w:p>
            <w:pPr>
              <w:spacing w:after="0" w:line="240" w:lineRule="auto"/>
            </w:pPr>
            <w:r/>
            <w:r>
              <w:rPr>
                <w:b w:val="0"/>
                <w:sz w:val="18"/>
              </w:rPr>
              <w:t>Generated after break-even by applying a markup percentage.</w:t>
            </w:r>
          </w:p>
        </w:tc>
      </w:tr>
      <w:tr>
        <w:tc>
          <w:tcPr>
            <w:tcW w:type="dxa" w:w="3312"/>
            <w:vAlign w:val="top"/>
          </w:tcPr>
          <w:p>
            <w:pPr>
              <w:spacing w:after="0" w:line="240" w:lineRule="auto"/>
            </w:pPr>
            <w:r/>
            <w:r>
              <w:rPr>
                <w:b w:val="0"/>
                <w:sz w:val="18"/>
              </w:rPr>
              <w:t>Tax logic</w:t>
            </w:r>
          </w:p>
        </w:tc>
        <w:tc>
          <w:tcPr>
            <w:tcW w:type="dxa" w:w="6336"/>
            <w:vAlign w:val="top"/>
          </w:tcPr>
          <w:p>
            <w:pPr>
              <w:spacing w:after="0" w:line="240" w:lineRule="auto"/>
            </w:pPr>
            <w:r/>
            <w:r>
              <w:rPr>
                <w:b w:val="0"/>
                <w:sz w:val="18"/>
              </w:rPr>
              <w:t>Country and company type drive VAT, business tax and employer contribution defaults.</w:t>
            </w:r>
          </w:p>
        </w:tc>
      </w:tr>
      <w:tr>
        <w:tc>
          <w:tcPr>
            <w:tcW w:type="dxa" w:w="3312"/>
            <w:vAlign w:val="top"/>
          </w:tcPr>
          <w:p>
            <w:pPr>
              <w:spacing w:after="0" w:line="240" w:lineRule="auto"/>
            </w:pPr>
            <w:r/>
            <w:r>
              <w:rPr>
                <w:b w:val="0"/>
                <w:sz w:val="18"/>
              </w:rPr>
              <w:t>User flow</w:t>
            </w:r>
          </w:p>
        </w:tc>
        <w:tc>
          <w:tcPr>
            <w:tcW w:type="dxa" w:w="6336"/>
            <w:vAlign w:val="top"/>
          </w:tcPr>
          <w:p>
            <w:pPr>
              <w:spacing w:after="0" w:line="240" w:lineRule="auto"/>
            </w:pPr>
            <w:r/>
            <w:r>
              <w:rPr>
                <w:b w:val="0"/>
                <w:sz w:val="18"/>
              </w:rPr>
              <w:t>Company profile, inputs, engine results, pricing scenarios, sensitivity, save/compare.</w:t>
            </w:r>
          </w:p>
        </w:tc>
      </w:tr>
      <w:tr>
        <w:tc>
          <w:tcPr>
            <w:tcW w:type="dxa" w:w="3312"/>
            <w:vAlign w:val="top"/>
          </w:tcPr>
          <w:p>
            <w:pPr>
              <w:spacing w:after="0" w:line="240" w:lineRule="auto"/>
            </w:pPr>
            <w:r/>
            <w:r>
              <w:rPr>
                <w:b w:val="0"/>
                <w:sz w:val="18"/>
              </w:rPr>
              <w:t>Data strategy</w:t>
            </w:r>
          </w:p>
        </w:tc>
        <w:tc>
          <w:tcPr>
            <w:tcW w:type="dxa" w:w="6336"/>
            <w:vAlign w:val="top"/>
          </w:tcPr>
          <w:p>
            <w:pPr>
              <w:spacing w:after="0" w:line="240" w:lineRule="auto"/>
            </w:pPr>
            <w:r/>
            <w:r>
              <w:rPr>
                <w:b w:val="0"/>
                <w:sz w:val="18"/>
              </w:rPr>
              <w:t>Store every calculation run with both inputs and computed results.</w:t>
            </w:r>
          </w:p>
        </w:tc>
      </w:tr>
    </w:tbl>
    <w:p/>
    <w:p>
      <w:pPr>
        <w:pStyle w:val="Heading1"/>
      </w:pPr>
      <w:r>
        <w:t>2. Product vision and scope</w:t>
      </w:r>
    </w:p>
    <w:p>
      <w:pPr>
        <w:pStyle w:val="Heading2"/>
      </w:pPr>
      <w:r>
        <w:t>2.1 Product vision</w:t>
      </w:r>
    </w:p>
    <w:p>
      <w:r>
        <w:t>The product should become a transport pricing and profitability engine that helps a company decide whether a transport profile is economically viable, what price must be charged, how sensitive the result is to utilisation, and which vehicle class is suitable for the job.</w:t>
      </w:r>
    </w:p>
    <w:p>
      <w:r>
        <w:t>The product starts as a break-even calculator and grows into a decision engine. The first release should prioritise formula correctness, input discipline, calculation transparency and saved run history.</w:t>
      </w:r>
    </w:p>
    <w:p>
      <w:pPr>
        <w:pStyle w:val="Heading2"/>
      </w:pPr>
      <w:r>
        <w:t>2.2 Business objectives</w:t>
      </w:r>
    </w:p>
    <w:p>
      <w:pPr>
        <w:pStyle w:val="ListBullet"/>
      </w:pPr>
      <w:r>
        <w:t>Calculate operational break-even before commercial pricing.</w:t>
      </w:r>
    </w:p>
    <w:p>
      <w:pPr>
        <w:pStyle w:val="ListBullet"/>
      </w:pPr>
      <w:r>
        <w:t>Convert daily operational assumptions into annual economics.</w:t>
      </w:r>
    </w:p>
    <w:p>
      <w:pPr>
        <w:pStyle w:val="ListBullet"/>
      </w:pPr>
      <w:r>
        <w:t>Calculate customer rates from break-even plus markup, not as manual assumptions.</w:t>
      </w:r>
    </w:p>
    <w:p>
      <w:pPr>
        <w:pStyle w:val="ListBullet"/>
      </w:pPr>
      <w:r>
        <w:t>Separate VAT invoice value from profit and EBIT logic.</w:t>
      </w:r>
    </w:p>
    <w:p>
      <w:pPr>
        <w:pStyle w:val="ListBullet"/>
      </w:pPr>
      <w:r>
        <w:t>Support country-based tax defaults and company-type cascades.</w:t>
      </w:r>
    </w:p>
    <w:p>
      <w:pPr>
        <w:pStyle w:val="ListBullet"/>
      </w:pPr>
      <w:r>
        <w:t>Compare vehicle classes from van to high-capacity truck.</w:t>
      </w:r>
    </w:p>
    <w:p>
      <w:pPr>
        <w:pStyle w:val="ListBullet"/>
      </w:pPr>
      <w:r>
        <w:t>Store calculation runs for audit, comparison and future trend charts.</w:t>
      </w:r>
    </w:p>
    <w:p>
      <w:pPr>
        <w:pStyle w:val="ListBullet"/>
      </w:pPr>
      <w:r>
        <w:t>Make computed fields non-editable in the user interface.</w:t>
      </w:r>
    </w:p>
    <w:p>
      <w:pPr>
        <w:pStyle w:val="Heading2"/>
      </w:pPr>
      <w:r>
        <w:t>2.3 Out of scope for first release</w:t>
      </w:r>
    </w:p>
    <w:p>
      <w:pPr>
        <w:pStyle w:val="ListBullet"/>
      </w:pPr>
      <w:r>
        <w:t>Live legal tax compliance engine.</w:t>
      </w:r>
    </w:p>
    <w:p>
      <w:pPr>
        <w:pStyle w:val="ListBullet"/>
      </w:pPr>
      <w:r>
        <w:t>Automatic government API tax updates.</w:t>
      </w:r>
    </w:p>
    <w:p>
      <w:pPr>
        <w:pStyle w:val="ListBullet"/>
      </w:pPr>
      <w:r>
        <w:t>Multi-user role management beyond a basic single-user or internal deployment.</w:t>
      </w:r>
    </w:p>
    <w:p>
      <w:pPr>
        <w:pStyle w:val="ListBullet"/>
      </w:pPr>
      <w:r>
        <w:t>Complex route optimisation.</w:t>
      </w:r>
    </w:p>
    <w:p>
      <w:pPr>
        <w:pStyle w:val="ListBullet"/>
      </w:pPr>
      <w:r>
        <w:t>Fleet telematics integration.</w:t>
      </w:r>
    </w:p>
    <w:p>
      <w:pPr>
        <w:pStyle w:val="ListBullet"/>
      </w:pPr>
      <w:r>
        <w:t>Accounting system integration.</w:t>
      </w:r>
    </w:p>
    <w:p>
      <w:pPr>
        <w:pStyle w:val="ListBullet"/>
      </w:pPr>
      <w:r>
        <w:t>Invoicing and payment processing.</w:t>
      </w:r>
    </w:p>
    <w:p>
      <w:pPr>
        <w:pStyle w:val="Heading1"/>
      </w:pPr>
      <w:r>
        <w:t>3. Workbook-to-webapp conversion logic</w:t>
      </w:r>
    </w:p>
    <w:p>
      <w:r>
        <w:t>The existing workbook provides the product logic and the user flow. The webapp should preserve the logic while removing spreadsheet fragility. The workbook tabs map to webapp modules as follows.</w:t>
      </w:r>
    </w:p>
    <w:tbl>
      <w:tblPr>
        <w:tblStyle w:val="LightList-Accent1"/>
        <w:tblW w:type="auto" w:w="0"/>
        <w:jc w:val="center"/>
        <w:tblLook w:firstColumn="1" w:firstRow="1" w:lastColumn="0" w:lastRow="0" w:noHBand="0" w:noVBand="1" w:val="04A0"/>
      </w:tblPr>
      <w:tblGrid>
        <w:gridCol w:w="3360"/>
        <w:gridCol w:w="3360"/>
        <w:gridCol w:w="3360"/>
      </w:tblGrid>
      <w:tr>
        <w:tc>
          <w:tcPr>
            <w:tcW w:type="dxa" w:w="2304"/>
            <w:shd w:fill="D9EAF7"/>
            <w:vAlign w:val="center"/>
          </w:tcPr>
          <w:p>
            <w:pPr>
              <w:spacing w:after="0" w:line="240" w:lineRule="auto"/>
            </w:pPr>
            <w:r/>
            <w:r>
              <w:rPr>
                <w:b/>
                <w:sz w:val="18"/>
              </w:rPr>
              <w:t>Workbook area</w:t>
            </w:r>
          </w:p>
        </w:tc>
        <w:tc>
          <w:tcPr>
            <w:tcW w:type="dxa" w:w="2592"/>
            <w:shd w:fill="D9EAF7"/>
            <w:vAlign w:val="center"/>
          </w:tcPr>
          <w:p>
            <w:pPr>
              <w:spacing w:after="0" w:line="240" w:lineRule="auto"/>
            </w:pPr>
            <w:r/>
            <w:r>
              <w:rPr>
                <w:b/>
                <w:sz w:val="18"/>
              </w:rPr>
              <w:t>Webapp module</w:t>
            </w:r>
          </w:p>
        </w:tc>
        <w:tc>
          <w:tcPr>
            <w:tcW w:type="dxa" w:w="4464"/>
            <w:shd w:fill="D9EAF7"/>
            <w:vAlign w:val="center"/>
          </w:tcPr>
          <w:p>
            <w:pPr>
              <w:spacing w:after="0" w:line="240" w:lineRule="auto"/>
            </w:pPr>
            <w:r/>
            <w:r>
              <w:rPr>
                <w:b/>
                <w:sz w:val="18"/>
              </w:rPr>
              <w:t>Responsibility</w:t>
            </w:r>
          </w:p>
        </w:tc>
      </w:tr>
      <w:tr>
        <w:tc>
          <w:tcPr>
            <w:tcW w:type="dxa" w:w="2304"/>
            <w:vAlign w:val="top"/>
          </w:tcPr>
          <w:p>
            <w:pPr>
              <w:spacing w:after="0" w:line="240" w:lineRule="auto"/>
            </w:pPr>
            <w:r/>
            <w:r>
              <w:rPr>
                <w:b w:val="0"/>
                <w:sz w:val="18"/>
              </w:rPr>
              <w:t>Start Here</w:t>
            </w:r>
          </w:p>
        </w:tc>
        <w:tc>
          <w:tcPr>
            <w:tcW w:type="dxa" w:w="2592"/>
            <w:vAlign w:val="top"/>
          </w:tcPr>
          <w:p>
            <w:pPr>
              <w:spacing w:after="0" w:line="240" w:lineRule="auto"/>
            </w:pPr>
            <w:r/>
            <w:r>
              <w:rPr>
                <w:b w:val="0"/>
                <w:sz w:val="18"/>
              </w:rPr>
              <w:t>Dashboard</w:t>
            </w:r>
          </w:p>
        </w:tc>
        <w:tc>
          <w:tcPr>
            <w:tcW w:type="dxa" w:w="4464"/>
            <w:vAlign w:val="top"/>
          </w:tcPr>
          <w:p>
            <w:pPr>
              <w:spacing w:after="0" w:line="240" w:lineRule="auto"/>
            </w:pPr>
            <w:r/>
            <w:r>
              <w:rPr>
                <w:b w:val="0"/>
                <w:sz w:val="18"/>
              </w:rPr>
              <w:t>Guides the user and summarises the current result.</w:t>
            </w:r>
          </w:p>
        </w:tc>
      </w:tr>
      <w:tr>
        <w:tc>
          <w:tcPr>
            <w:tcW w:type="dxa" w:w="2304"/>
            <w:vAlign w:val="top"/>
          </w:tcPr>
          <w:p>
            <w:pPr>
              <w:spacing w:after="0" w:line="240" w:lineRule="auto"/>
            </w:pPr>
            <w:r/>
            <w:r>
              <w:rPr>
                <w:b w:val="0"/>
                <w:sz w:val="18"/>
              </w:rPr>
              <w:t>Company &amp; Tax Profile</w:t>
            </w:r>
          </w:p>
        </w:tc>
        <w:tc>
          <w:tcPr>
            <w:tcW w:type="dxa" w:w="2592"/>
            <w:vAlign w:val="top"/>
          </w:tcPr>
          <w:p>
            <w:pPr>
              <w:spacing w:after="0" w:line="240" w:lineRule="auto"/>
            </w:pPr>
            <w:r/>
            <w:r>
              <w:rPr>
                <w:b w:val="0"/>
                <w:sz w:val="18"/>
              </w:rPr>
              <w:t>Company setup page</w:t>
            </w:r>
          </w:p>
        </w:tc>
        <w:tc>
          <w:tcPr>
            <w:tcW w:type="dxa" w:w="4464"/>
            <w:vAlign w:val="top"/>
          </w:tcPr>
          <w:p>
            <w:pPr>
              <w:spacing w:after="0" w:line="240" w:lineRule="auto"/>
            </w:pPr>
            <w:r/>
            <w:r>
              <w:rPr>
                <w:b w:val="0"/>
                <w:sz w:val="18"/>
              </w:rPr>
              <w:t>Country, company type, business model and tax defaults.</w:t>
            </w:r>
          </w:p>
        </w:tc>
      </w:tr>
      <w:tr>
        <w:tc>
          <w:tcPr>
            <w:tcW w:type="dxa" w:w="2304"/>
            <w:vAlign w:val="top"/>
          </w:tcPr>
          <w:p>
            <w:pPr>
              <w:spacing w:after="0" w:line="240" w:lineRule="auto"/>
            </w:pPr>
            <w:r/>
            <w:r>
              <w:rPr>
                <w:b w:val="0"/>
                <w:sz w:val="18"/>
              </w:rPr>
              <w:t>Inputs</w:t>
            </w:r>
          </w:p>
        </w:tc>
        <w:tc>
          <w:tcPr>
            <w:tcW w:type="dxa" w:w="2592"/>
            <w:vAlign w:val="top"/>
          </w:tcPr>
          <w:p>
            <w:pPr>
              <w:spacing w:after="0" w:line="240" w:lineRule="auto"/>
            </w:pPr>
            <w:r/>
            <w:r>
              <w:rPr>
                <w:b w:val="0"/>
                <w:sz w:val="18"/>
              </w:rPr>
              <w:t>Transport inputs page</w:t>
            </w:r>
          </w:p>
        </w:tc>
        <w:tc>
          <w:tcPr>
            <w:tcW w:type="dxa" w:w="4464"/>
            <w:vAlign w:val="top"/>
          </w:tcPr>
          <w:p>
            <w:pPr>
              <w:spacing w:after="0" w:line="240" w:lineRule="auto"/>
            </w:pPr>
            <w:r/>
            <w:r>
              <w:rPr>
                <w:b w:val="0"/>
                <w:sz w:val="18"/>
              </w:rPr>
              <w:t>Operational and cost assumptions.</w:t>
            </w:r>
          </w:p>
        </w:tc>
      </w:tr>
      <w:tr>
        <w:tc>
          <w:tcPr>
            <w:tcW w:type="dxa" w:w="2304"/>
            <w:vAlign w:val="top"/>
          </w:tcPr>
          <w:p>
            <w:pPr>
              <w:spacing w:after="0" w:line="240" w:lineRule="auto"/>
            </w:pPr>
            <w:r/>
            <w:r>
              <w:rPr>
                <w:b w:val="0"/>
                <w:sz w:val="18"/>
              </w:rPr>
              <w:t>Engine</w:t>
            </w:r>
          </w:p>
        </w:tc>
        <w:tc>
          <w:tcPr>
            <w:tcW w:type="dxa" w:w="2592"/>
            <w:vAlign w:val="top"/>
          </w:tcPr>
          <w:p>
            <w:pPr>
              <w:spacing w:after="0" w:line="240" w:lineRule="auto"/>
            </w:pPr>
            <w:r/>
            <w:r>
              <w:rPr>
                <w:b w:val="0"/>
                <w:sz w:val="18"/>
              </w:rPr>
              <w:t>Backend calculation engine and results page</w:t>
            </w:r>
          </w:p>
        </w:tc>
        <w:tc>
          <w:tcPr>
            <w:tcW w:type="dxa" w:w="4464"/>
            <w:vAlign w:val="top"/>
          </w:tcPr>
          <w:p>
            <w:pPr>
              <w:spacing w:after="0" w:line="240" w:lineRule="auto"/>
            </w:pPr>
            <w:r/>
            <w:r>
              <w:rPr>
                <w:b w:val="0"/>
                <w:sz w:val="18"/>
              </w:rPr>
              <w:t>Formula-controlled calculation output.</w:t>
            </w:r>
          </w:p>
        </w:tc>
      </w:tr>
      <w:tr>
        <w:tc>
          <w:tcPr>
            <w:tcW w:type="dxa" w:w="2304"/>
            <w:vAlign w:val="top"/>
          </w:tcPr>
          <w:p>
            <w:pPr>
              <w:spacing w:after="0" w:line="240" w:lineRule="auto"/>
            </w:pPr>
            <w:r/>
            <w:r>
              <w:rPr>
                <w:b w:val="0"/>
                <w:sz w:val="18"/>
              </w:rPr>
              <w:t>Pricing Scenarios</w:t>
            </w:r>
          </w:p>
        </w:tc>
        <w:tc>
          <w:tcPr>
            <w:tcW w:type="dxa" w:w="2592"/>
            <w:vAlign w:val="top"/>
          </w:tcPr>
          <w:p>
            <w:pPr>
              <w:spacing w:after="0" w:line="240" w:lineRule="auto"/>
            </w:pPr>
            <w:r/>
            <w:r>
              <w:rPr>
                <w:b w:val="0"/>
                <w:sz w:val="18"/>
              </w:rPr>
              <w:t>Pricing module</w:t>
            </w:r>
          </w:p>
        </w:tc>
        <w:tc>
          <w:tcPr>
            <w:tcW w:type="dxa" w:w="4464"/>
            <w:vAlign w:val="top"/>
          </w:tcPr>
          <w:p>
            <w:pPr>
              <w:spacing w:after="0" w:line="240" w:lineRule="auto"/>
            </w:pPr>
            <w:r/>
            <w:r>
              <w:rPr>
                <w:b w:val="0"/>
                <w:sz w:val="18"/>
              </w:rPr>
              <w:t>Markup-driven customer rates and after-tax view.</w:t>
            </w:r>
          </w:p>
        </w:tc>
      </w:tr>
      <w:tr>
        <w:tc>
          <w:tcPr>
            <w:tcW w:type="dxa" w:w="2304"/>
            <w:vAlign w:val="top"/>
          </w:tcPr>
          <w:p>
            <w:pPr>
              <w:spacing w:after="0" w:line="240" w:lineRule="auto"/>
            </w:pPr>
            <w:r/>
            <w:r>
              <w:rPr>
                <w:b w:val="0"/>
                <w:sz w:val="18"/>
              </w:rPr>
              <w:t>Sensitivity</w:t>
            </w:r>
          </w:p>
        </w:tc>
        <w:tc>
          <w:tcPr>
            <w:tcW w:type="dxa" w:w="2592"/>
            <w:vAlign w:val="top"/>
          </w:tcPr>
          <w:p>
            <w:pPr>
              <w:spacing w:after="0" w:line="240" w:lineRule="auto"/>
            </w:pPr>
            <w:r/>
            <w:r>
              <w:rPr>
                <w:b w:val="0"/>
                <w:sz w:val="18"/>
              </w:rPr>
              <w:t>Sensitivity module</w:t>
            </w:r>
          </w:p>
        </w:tc>
        <w:tc>
          <w:tcPr>
            <w:tcW w:type="dxa" w:w="4464"/>
            <w:vAlign w:val="top"/>
          </w:tcPr>
          <w:p>
            <w:pPr>
              <w:spacing w:after="0" w:line="240" w:lineRule="auto"/>
            </w:pPr>
            <w:r/>
            <w:r>
              <w:rPr>
                <w:b w:val="0"/>
                <w:sz w:val="18"/>
              </w:rPr>
              <w:t>Vehicle, payload, load factor and markup sensitivity.</w:t>
            </w:r>
          </w:p>
        </w:tc>
      </w:tr>
      <w:tr>
        <w:tc>
          <w:tcPr>
            <w:tcW w:type="dxa" w:w="2304"/>
            <w:vAlign w:val="top"/>
          </w:tcPr>
          <w:p>
            <w:pPr>
              <w:spacing w:after="0" w:line="240" w:lineRule="auto"/>
            </w:pPr>
            <w:r/>
            <w:r>
              <w:rPr>
                <w:b w:val="0"/>
                <w:sz w:val="18"/>
              </w:rPr>
              <w:t>Vehicle Classes</w:t>
            </w:r>
          </w:p>
        </w:tc>
        <w:tc>
          <w:tcPr>
            <w:tcW w:type="dxa" w:w="2592"/>
            <w:vAlign w:val="top"/>
          </w:tcPr>
          <w:p>
            <w:pPr>
              <w:spacing w:after="0" w:line="240" w:lineRule="auto"/>
            </w:pPr>
            <w:r/>
            <w:r>
              <w:rPr>
                <w:b w:val="0"/>
                <w:sz w:val="18"/>
              </w:rPr>
              <w:t>Vehicle reference module</w:t>
            </w:r>
          </w:p>
        </w:tc>
        <w:tc>
          <w:tcPr>
            <w:tcW w:type="dxa" w:w="4464"/>
            <w:vAlign w:val="top"/>
          </w:tcPr>
          <w:p>
            <w:pPr>
              <w:spacing w:after="0" w:line="240" w:lineRule="auto"/>
            </w:pPr>
            <w:r/>
            <w:r>
              <w:rPr>
                <w:b w:val="0"/>
                <w:sz w:val="18"/>
              </w:rPr>
              <w:t>Vehicle categories, payload assumptions and notes.</w:t>
            </w:r>
          </w:p>
        </w:tc>
      </w:tr>
      <w:tr>
        <w:tc>
          <w:tcPr>
            <w:tcW w:type="dxa" w:w="2304"/>
            <w:vAlign w:val="top"/>
          </w:tcPr>
          <w:p>
            <w:pPr>
              <w:spacing w:after="0" w:line="240" w:lineRule="auto"/>
            </w:pPr>
            <w:r/>
            <w:r>
              <w:rPr>
                <w:b w:val="0"/>
                <w:sz w:val="18"/>
              </w:rPr>
              <w:t>Tax Rules</w:t>
            </w:r>
          </w:p>
        </w:tc>
        <w:tc>
          <w:tcPr>
            <w:tcW w:type="dxa" w:w="2592"/>
            <w:vAlign w:val="top"/>
          </w:tcPr>
          <w:p>
            <w:pPr>
              <w:spacing w:after="0" w:line="240" w:lineRule="auto"/>
            </w:pPr>
            <w:r/>
            <w:r>
              <w:rPr>
                <w:b w:val="0"/>
                <w:sz w:val="18"/>
              </w:rPr>
              <w:t>Tax-rule data table</w:t>
            </w:r>
          </w:p>
        </w:tc>
        <w:tc>
          <w:tcPr>
            <w:tcW w:type="dxa" w:w="4464"/>
            <w:vAlign w:val="top"/>
          </w:tcPr>
          <w:p>
            <w:pPr>
              <w:spacing w:after="0" w:line="240" w:lineRule="auto"/>
            </w:pPr>
            <w:r/>
            <w:r>
              <w:rPr>
                <w:b w:val="0"/>
                <w:sz w:val="18"/>
              </w:rPr>
              <w:t>Country and company-type defaults.</w:t>
            </w:r>
          </w:p>
        </w:tc>
      </w:tr>
    </w:tbl>
    <w:p/>
    <w:p>
      <w:pPr>
        <w:pStyle w:val="Heading1"/>
      </w:pPr>
      <w:r>
        <w:t>4. Functional modules</w:t>
      </w:r>
    </w:p>
    <w:tbl>
      <w:tblPr>
        <w:tblStyle w:val="LightList-Accent1"/>
        <w:tblW w:type="auto" w:w="0"/>
        <w:jc w:val="center"/>
        <w:tblLook w:firstColumn="1" w:firstRow="1" w:lastColumn="0" w:lastRow="0" w:noHBand="0" w:noVBand="1" w:val="04A0"/>
      </w:tblPr>
      <w:tblGrid>
        <w:gridCol w:w="5040"/>
        <w:gridCol w:w="5040"/>
      </w:tblGrid>
      <w:tr>
        <w:tc>
          <w:tcPr>
            <w:tcW w:type="dxa" w:w="3024"/>
            <w:shd w:fill="D9EAF7"/>
            <w:vAlign w:val="center"/>
          </w:tcPr>
          <w:p>
            <w:pPr>
              <w:spacing w:after="0" w:line="240" w:lineRule="auto"/>
            </w:pPr>
            <w:r/>
            <w:r>
              <w:rPr>
                <w:b/>
                <w:sz w:val="18"/>
              </w:rPr>
              <w:t>Module</w:t>
            </w:r>
          </w:p>
        </w:tc>
        <w:tc>
          <w:tcPr>
            <w:tcW w:type="dxa" w:w="6624"/>
            <w:shd w:fill="D9EAF7"/>
            <w:vAlign w:val="center"/>
          </w:tcPr>
          <w:p>
            <w:pPr>
              <w:spacing w:after="0" w:line="240" w:lineRule="auto"/>
            </w:pPr>
            <w:r/>
            <w:r>
              <w:rPr>
                <w:b/>
                <w:sz w:val="18"/>
              </w:rPr>
              <w:t>Description</w:t>
            </w:r>
          </w:p>
        </w:tc>
      </w:tr>
      <w:tr>
        <w:tc>
          <w:tcPr>
            <w:tcW w:type="dxa" w:w="3024"/>
            <w:vAlign w:val="top"/>
          </w:tcPr>
          <w:p>
            <w:pPr>
              <w:spacing w:after="0" w:line="240" w:lineRule="auto"/>
            </w:pPr>
            <w:r/>
            <w:r>
              <w:rPr>
                <w:b w:val="0"/>
                <w:sz w:val="18"/>
              </w:rPr>
              <w:t>Dashboard / Start Here</w:t>
            </w:r>
          </w:p>
        </w:tc>
        <w:tc>
          <w:tcPr>
            <w:tcW w:type="dxa" w:w="6624"/>
            <w:vAlign w:val="top"/>
          </w:tcPr>
          <w:p>
            <w:pPr>
              <w:spacing w:after="0" w:line="240" w:lineRule="auto"/>
            </w:pPr>
            <w:r/>
            <w:r>
              <w:rPr>
                <w:b w:val="0"/>
                <w:sz w:val="18"/>
              </w:rPr>
              <w:t>Displays the guided workflow and a summary of the latest calculation: annual km, loaded km, break-even, selected customer rate, invoice rate and after-tax margin.</w:t>
            </w:r>
          </w:p>
        </w:tc>
      </w:tr>
      <w:tr>
        <w:tc>
          <w:tcPr>
            <w:tcW w:type="dxa" w:w="3024"/>
            <w:vAlign w:val="top"/>
          </w:tcPr>
          <w:p>
            <w:pPr>
              <w:spacing w:after="0" w:line="240" w:lineRule="auto"/>
            </w:pPr>
            <w:r/>
            <w:r>
              <w:rPr>
                <w:b w:val="0"/>
                <w:sz w:val="18"/>
              </w:rPr>
              <w:t>Company &amp; Tax Profile</w:t>
            </w:r>
          </w:p>
        </w:tc>
        <w:tc>
          <w:tcPr>
            <w:tcW w:type="dxa" w:w="6624"/>
            <w:vAlign w:val="top"/>
          </w:tcPr>
          <w:p>
            <w:pPr>
              <w:spacing w:after="0" w:line="240" w:lineRule="auto"/>
            </w:pPr>
            <w:r/>
            <w:r>
              <w:rPr>
                <w:b w:val="0"/>
                <w:sz w:val="18"/>
              </w:rPr>
              <w:t>Country / jurisdiction drives available company types and prefills VAT, business tax, employer contribution, currency and vehicle-tax defaults.</w:t>
            </w:r>
          </w:p>
        </w:tc>
      </w:tr>
      <w:tr>
        <w:tc>
          <w:tcPr>
            <w:tcW w:type="dxa" w:w="3024"/>
            <w:vAlign w:val="top"/>
          </w:tcPr>
          <w:p>
            <w:pPr>
              <w:spacing w:after="0" w:line="240" w:lineRule="auto"/>
            </w:pPr>
            <w:r/>
            <w:r>
              <w:rPr>
                <w:b w:val="0"/>
                <w:sz w:val="18"/>
              </w:rPr>
              <w:t>Transport Inputs</w:t>
            </w:r>
          </w:p>
        </w:tc>
        <w:tc>
          <w:tcPr>
            <w:tcW w:type="dxa" w:w="6624"/>
            <w:vAlign w:val="top"/>
          </w:tcPr>
          <w:p>
            <w:pPr>
              <w:spacing w:after="0" w:line="240" w:lineRule="auto"/>
            </w:pPr>
            <w:r/>
            <w:r>
              <w:rPr>
                <w:b w:val="0"/>
                <w:sz w:val="18"/>
              </w:rPr>
              <w:t>Main editable form for daily km, operating days, load factor, payload, fuel, driver cost, vehicle cost and structural costs.</w:t>
            </w:r>
          </w:p>
        </w:tc>
      </w:tr>
      <w:tr>
        <w:tc>
          <w:tcPr>
            <w:tcW w:type="dxa" w:w="3024"/>
            <w:vAlign w:val="top"/>
          </w:tcPr>
          <w:p>
            <w:pPr>
              <w:spacing w:after="0" w:line="240" w:lineRule="auto"/>
            </w:pPr>
            <w:r/>
            <w:r>
              <w:rPr>
                <w:b w:val="0"/>
                <w:sz w:val="18"/>
              </w:rPr>
              <w:t>Break-even Results</w:t>
            </w:r>
          </w:p>
        </w:tc>
        <w:tc>
          <w:tcPr>
            <w:tcW w:type="dxa" w:w="6624"/>
            <w:vAlign w:val="top"/>
          </w:tcPr>
          <w:p>
            <w:pPr>
              <w:spacing w:after="0" w:line="240" w:lineRule="auto"/>
            </w:pPr>
            <w:r/>
            <w:r>
              <w:rPr>
                <w:b w:val="0"/>
                <w:sz w:val="18"/>
              </w:rPr>
              <w:t>Read-only calculation output showing total annual cost, break-even per loaded km and break-even per tonne-km.</w:t>
            </w:r>
          </w:p>
        </w:tc>
      </w:tr>
      <w:tr>
        <w:tc>
          <w:tcPr>
            <w:tcW w:type="dxa" w:w="3024"/>
            <w:vAlign w:val="top"/>
          </w:tcPr>
          <w:p>
            <w:pPr>
              <w:spacing w:after="0" w:line="240" w:lineRule="auto"/>
            </w:pPr>
            <w:r/>
            <w:r>
              <w:rPr>
                <w:b w:val="0"/>
                <w:sz w:val="18"/>
              </w:rPr>
              <w:t>Pricing Scenarios</w:t>
            </w:r>
          </w:p>
        </w:tc>
        <w:tc>
          <w:tcPr>
            <w:tcW w:type="dxa" w:w="6624"/>
            <w:vAlign w:val="top"/>
          </w:tcPr>
          <w:p>
            <w:pPr>
              <w:spacing w:after="0" w:line="240" w:lineRule="auto"/>
            </w:pPr>
            <w:r/>
            <w:r>
              <w:rPr>
                <w:b w:val="0"/>
                <w:sz w:val="18"/>
              </w:rPr>
              <w:t>Generates customer rates from break-even by applying markup percentages and showing tax-adjusted results.</w:t>
            </w:r>
          </w:p>
        </w:tc>
      </w:tr>
      <w:tr>
        <w:tc>
          <w:tcPr>
            <w:tcW w:type="dxa" w:w="3024"/>
            <w:vAlign w:val="top"/>
          </w:tcPr>
          <w:p>
            <w:pPr>
              <w:spacing w:after="0" w:line="240" w:lineRule="auto"/>
            </w:pPr>
            <w:r/>
            <w:r>
              <w:rPr>
                <w:b w:val="0"/>
                <w:sz w:val="18"/>
              </w:rPr>
              <w:t>Sensitivity</w:t>
            </w:r>
          </w:p>
        </w:tc>
        <w:tc>
          <w:tcPr>
            <w:tcW w:type="dxa" w:w="6624"/>
            <w:vAlign w:val="top"/>
          </w:tcPr>
          <w:p>
            <w:pPr>
              <w:spacing w:after="0" w:line="240" w:lineRule="auto"/>
            </w:pPr>
            <w:r/>
            <w:r>
              <w:rPr>
                <w:b w:val="0"/>
                <w:sz w:val="18"/>
              </w:rPr>
              <w:t>Compares outcomes across vehicle classes, payload utilisation, load factor and markup.</w:t>
            </w:r>
          </w:p>
        </w:tc>
      </w:tr>
      <w:tr>
        <w:tc>
          <w:tcPr>
            <w:tcW w:type="dxa" w:w="3024"/>
            <w:vAlign w:val="top"/>
          </w:tcPr>
          <w:p>
            <w:pPr>
              <w:spacing w:after="0" w:line="240" w:lineRule="auto"/>
            </w:pPr>
            <w:r/>
            <w:r>
              <w:rPr>
                <w:b w:val="0"/>
                <w:sz w:val="18"/>
              </w:rPr>
              <w:t>Vehicle Classes</w:t>
            </w:r>
          </w:p>
        </w:tc>
        <w:tc>
          <w:tcPr>
            <w:tcW w:type="dxa" w:w="6624"/>
            <w:vAlign w:val="top"/>
          </w:tcPr>
          <w:p>
            <w:pPr>
              <w:spacing w:after="0" w:line="240" w:lineRule="auto"/>
            </w:pPr>
            <w:r/>
            <w:r>
              <w:rPr>
                <w:b w:val="0"/>
                <w:sz w:val="18"/>
              </w:rPr>
              <w:t>Reference data for van, rigid truck, articulated truck and high-capacity truck assumptions.</w:t>
            </w:r>
          </w:p>
        </w:tc>
      </w:tr>
      <w:tr>
        <w:tc>
          <w:tcPr>
            <w:tcW w:type="dxa" w:w="3024"/>
            <w:vAlign w:val="top"/>
          </w:tcPr>
          <w:p>
            <w:pPr>
              <w:spacing w:after="0" w:line="240" w:lineRule="auto"/>
            </w:pPr>
            <w:r/>
            <w:r>
              <w:rPr>
                <w:b w:val="0"/>
                <w:sz w:val="18"/>
              </w:rPr>
              <w:t>Saved Runs / History</w:t>
            </w:r>
          </w:p>
        </w:tc>
        <w:tc>
          <w:tcPr>
            <w:tcW w:type="dxa" w:w="6624"/>
            <w:vAlign w:val="top"/>
          </w:tcPr>
          <w:p>
            <w:pPr>
              <w:spacing w:after="0" w:line="240" w:lineRule="auto"/>
            </w:pPr>
            <w:r/>
            <w:r>
              <w:rPr>
                <w:b w:val="0"/>
                <w:sz w:val="18"/>
              </w:rPr>
              <w:t>Stores and retrieves previous calculation runs, enabling comparison and trend analysis.</w:t>
            </w:r>
          </w:p>
        </w:tc>
      </w:tr>
      <w:tr>
        <w:tc>
          <w:tcPr>
            <w:tcW w:type="dxa" w:w="3024"/>
            <w:vAlign w:val="top"/>
          </w:tcPr>
          <w:p>
            <w:pPr>
              <w:spacing w:after="0" w:line="240" w:lineRule="auto"/>
            </w:pPr>
            <w:r/>
            <w:r>
              <w:rPr>
                <w:b w:val="0"/>
                <w:sz w:val="18"/>
              </w:rPr>
              <w:t>Admin Reference Data</w:t>
            </w:r>
          </w:p>
        </w:tc>
        <w:tc>
          <w:tcPr>
            <w:tcW w:type="dxa" w:w="6624"/>
            <w:vAlign w:val="top"/>
          </w:tcPr>
          <w:p>
            <w:pPr>
              <w:spacing w:after="0" w:line="240" w:lineRule="auto"/>
            </w:pPr>
            <w:r/>
            <w:r>
              <w:rPr>
                <w:b w:val="0"/>
                <w:sz w:val="18"/>
              </w:rPr>
              <w:t>Maintains countries, company types, business models, tax rules and vehicle classes.</w:t>
            </w:r>
          </w:p>
        </w:tc>
      </w:tr>
    </w:tbl>
    <w:p/>
    <w:p>
      <w:pPr>
        <w:pStyle w:val="Heading1"/>
      </w:pPr>
      <w:r>
        <w:t>5. User journey and filling flow</w:t>
      </w:r>
    </w:p>
    <w:p>
      <w:r>
        <w:t>The application should mirror the user-friendly workbook sequence. The user should first define the company and tax profile, then fill the operational inputs, then read calculated results. Only input pages should be primarily editable.</w:t>
      </w:r>
    </w:p>
    <w:p>
      <w:pPr>
        <w:pStyle w:val="ListNumber"/>
      </w:pPr>
      <w:r>
        <w:t>Open Dashboard / Start Here.</w:t>
      </w:r>
    </w:p>
    <w:p>
      <w:pPr>
        <w:pStyle w:val="ListNumber"/>
      </w:pPr>
      <w:r>
        <w:t>Select Company &amp; Tax Profile: country / jurisdiction, company type, business model and fleet size.</w:t>
      </w:r>
    </w:p>
    <w:p>
      <w:pPr>
        <w:pStyle w:val="ListNumber"/>
      </w:pPr>
      <w:r>
        <w:t>Review prefilled tax values and country rule notes.</w:t>
      </w:r>
    </w:p>
    <w:p>
      <w:pPr>
        <w:pStyle w:val="ListNumber"/>
      </w:pPr>
      <w:r>
        <w:t>Open Transport Inputs and fill operational assumptions.</w:t>
      </w:r>
    </w:p>
    <w:p>
      <w:pPr>
        <w:pStyle w:val="ListNumber"/>
      </w:pPr>
      <w:r>
        <w:t>Run calculation preview.</w:t>
      </w:r>
    </w:p>
    <w:p>
      <w:pPr>
        <w:pStyle w:val="ListNumber"/>
      </w:pPr>
      <w:r>
        <w:t>Review Break-even Results.</w:t>
      </w:r>
    </w:p>
    <w:p>
      <w:pPr>
        <w:pStyle w:val="ListNumber"/>
      </w:pPr>
      <w:r>
        <w:t>Open Pricing Scenarios and select markup.</w:t>
      </w:r>
    </w:p>
    <w:p>
      <w:pPr>
        <w:pStyle w:val="ListNumber"/>
      </w:pPr>
      <w:r>
        <w:t>Review VAT, EBIT, business tax and after-tax profit.</w:t>
      </w:r>
    </w:p>
    <w:p>
      <w:pPr>
        <w:pStyle w:val="ListNumber"/>
      </w:pPr>
      <w:r>
        <w:t>Open Sensitivity to compare vehicle classes, payload utilisation and margin risk.</w:t>
      </w:r>
    </w:p>
    <w:p>
      <w:pPr>
        <w:pStyle w:val="ListNumber"/>
      </w:pPr>
      <w:r>
        <w:t>Save the run, duplicate it, or compare it with previous runs.</w:t>
      </w:r>
    </w:p>
    <w:p>
      <w:pPr>
        <w:pStyle w:val="Heading1"/>
      </w:pPr>
      <w:r>
        <w:t>6. Calculation engine specification</w:t>
      </w:r>
    </w:p>
    <w:p>
      <w:r>
        <w:t>The calculation engine must be implemented as a pure backend function. The same input and the same tax profile must always return the same output. The engine must not depend directly on Express routes, frontend state or database queries.</w:t>
      </w:r>
    </w:p>
    <w:p>
      <w:pPr>
        <w:pStyle w:val="Heading2"/>
      </w:pPr>
      <w:r>
        <w:t>6.1 Editable input fields</w:t>
      </w:r>
    </w:p>
    <w:tbl>
      <w:tblPr>
        <w:tblStyle w:val="LightList-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line="240" w:lineRule="auto"/>
            </w:pPr>
            <w:r/>
            <w:r>
              <w:rPr>
                <w:b/>
                <w:sz w:val="18"/>
              </w:rPr>
              <w:t>Group</w:t>
            </w:r>
          </w:p>
        </w:tc>
        <w:tc>
          <w:tcPr>
            <w:tcW w:type="dxa" w:w="6768"/>
            <w:shd w:fill="D9EAF7"/>
            <w:vAlign w:val="center"/>
          </w:tcPr>
          <w:p>
            <w:pPr>
              <w:spacing w:after="0" w:line="240" w:lineRule="auto"/>
            </w:pPr>
            <w:r/>
            <w:r>
              <w:rPr>
                <w:b/>
                <w:sz w:val="18"/>
              </w:rPr>
              <w:t>Field examples</w:t>
            </w:r>
          </w:p>
        </w:tc>
      </w:tr>
      <w:tr>
        <w:tc>
          <w:tcPr>
            <w:tcW w:type="dxa" w:w="2880"/>
            <w:vAlign w:val="top"/>
          </w:tcPr>
          <w:p>
            <w:pPr>
              <w:spacing w:after="0" w:line="240" w:lineRule="auto"/>
            </w:pPr>
            <w:r/>
            <w:r>
              <w:rPr>
                <w:b w:val="0"/>
                <w:sz w:val="18"/>
              </w:rPr>
              <w:t>Company setup</w:t>
            </w:r>
          </w:p>
        </w:tc>
        <w:tc>
          <w:tcPr>
            <w:tcW w:type="dxa" w:w="6768"/>
            <w:vAlign w:val="top"/>
          </w:tcPr>
          <w:p>
            <w:pPr>
              <w:spacing w:after="0" w:line="240" w:lineRule="auto"/>
            </w:pPr>
            <w:r/>
            <w:r>
              <w:rPr>
                <w:b w:val="0"/>
                <w:sz w:val="18"/>
              </w:rPr>
              <w:t>countryId, companyTypeId, businessModelId, numberOfTrucks</w:t>
            </w:r>
          </w:p>
        </w:tc>
      </w:tr>
      <w:tr>
        <w:tc>
          <w:tcPr>
            <w:tcW w:type="dxa" w:w="2880"/>
            <w:vAlign w:val="top"/>
          </w:tcPr>
          <w:p>
            <w:pPr>
              <w:spacing w:after="0" w:line="240" w:lineRule="auto"/>
            </w:pPr>
            <w:r/>
            <w:r>
              <w:rPr>
                <w:b w:val="0"/>
                <w:sz w:val="18"/>
              </w:rPr>
              <w:t>Operational activity</w:t>
            </w:r>
          </w:p>
        </w:tc>
        <w:tc>
          <w:tcPr>
            <w:tcW w:type="dxa" w:w="6768"/>
            <w:vAlign w:val="top"/>
          </w:tcPr>
          <w:p>
            <w:pPr>
              <w:spacing w:after="0" w:line="240" w:lineRule="auto"/>
            </w:pPr>
            <w:r/>
            <w:r>
              <w:rPr>
                <w:b w:val="0"/>
                <w:sz w:val="18"/>
              </w:rPr>
              <w:t>dailyKm, operatingDaysPerYear, loadFactor</w:t>
            </w:r>
          </w:p>
        </w:tc>
      </w:tr>
      <w:tr>
        <w:tc>
          <w:tcPr>
            <w:tcW w:type="dxa" w:w="2880"/>
            <w:vAlign w:val="top"/>
          </w:tcPr>
          <w:p>
            <w:pPr>
              <w:spacing w:after="0" w:line="240" w:lineRule="auto"/>
            </w:pPr>
            <w:r/>
            <w:r>
              <w:rPr>
                <w:b w:val="0"/>
                <w:sz w:val="18"/>
              </w:rPr>
              <w:t>Payload</w:t>
            </w:r>
          </w:p>
        </w:tc>
        <w:tc>
          <w:tcPr>
            <w:tcW w:type="dxa" w:w="6768"/>
            <w:vAlign w:val="top"/>
          </w:tcPr>
          <w:p>
            <w:pPr>
              <w:spacing w:after="0" w:line="240" w:lineRule="auto"/>
            </w:pPr>
            <w:r/>
            <w:r>
              <w:rPr>
                <w:b w:val="0"/>
                <w:sz w:val="18"/>
              </w:rPr>
              <w:t>payloadCapacityTons, payloadUtilisation</w:t>
            </w:r>
          </w:p>
        </w:tc>
      </w:tr>
      <w:tr>
        <w:tc>
          <w:tcPr>
            <w:tcW w:type="dxa" w:w="2880"/>
            <w:vAlign w:val="top"/>
          </w:tcPr>
          <w:p>
            <w:pPr>
              <w:spacing w:after="0" w:line="240" w:lineRule="auto"/>
            </w:pPr>
            <w:r/>
            <w:r>
              <w:rPr>
                <w:b w:val="0"/>
                <w:sz w:val="18"/>
              </w:rPr>
              <w:t>Variable cost</w:t>
            </w:r>
          </w:p>
        </w:tc>
        <w:tc>
          <w:tcPr>
            <w:tcW w:type="dxa" w:w="6768"/>
            <w:vAlign w:val="top"/>
          </w:tcPr>
          <w:p>
            <w:pPr>
              <w:spacing w:after="0" w:line="240" w:lineRule="auto"/>
            </w:pPr>
            <w:r/>
            <w:r>
              <w:rPr>
                <w:b w:val="0"/>
                <w:sz w:val="18"/>
              </w:rPr>
              <w:t>fuelConsumptionLPer100Km, fuelPricePerLiter, tyresAnnualCost, maintenanceAnnualCost, roadFeesAnnualCost</w:t>
            </w:r>
          </w:p>
        </w:tc>
      </w:tr>
      <w:tr>
        <w:tc>
          <w:tcPr>
            <w:tcW w:type="dxa" w:w="2880"/>
            <w:vAlign w:val="top"/>
          </w:tcPr>
          <w:p>
            <w:pPr>
              <w:spacing w:after="0" w:line="240" w:lineRule="auto"/>
            </w:pPr>
            <w:r/>
            <w:r>
              <w:rPr>
                <w:b w:val="0"/>
                <w:sz w:val="18"/>
              </w:rPr>
              <w:t>Driver cost</w:t>
            </w:r>
          </w:p>
        </w:tc>
        <w:tc>
          <w:tcPr>
            <w:tcW w:type="dxa" w:w="6768"/>
            <w:vAlign w:val="top"/>
          </w:tcPr>
          <w:p>
            <w:pPr>
              <w:spacing w:after="0" w:line="240" w:lineRule="auto"/>
            </w:pPr>
            <w:r/>
            <w:r>
              <w:rPr>
                <w:b w:val="0"/>
                <w:sz w:val="18"/>
              </w:rPr>
              <w:t>driverSalaryAnnual, driverPerDiemDaily</w:t>
            </w:r>
          </w:p>
        </w:tc>
      </w:tr>
      <w:tr>
        <w:tc>
          <w:tcPr>
            <w:tcW w:type="dxa" w:w="2880"/>
            <w:vAlign w:val="top"/>
          </w:tcPr>
          <w:p>
            <w:pPr>
              <w:spacing w:after="0" w:line="240" w:lineRule="auto"/>
            </w:pPr>
            <w:r/>
            <w:r>
              <w:rPr>
                <w:b w:val="0"/>
                <w:sz w:val="18"/>
              </w:rPr>
              <w:t>Fixed cost</w:t>
            </w:r>
          </w:p>
        </w:tc>
        <w:tc>
          <w:tcPr>
            <w:tcW w:type="dxa" w:w="6768"/>
            <w:vAlign w:val="top"/>
          </w:tcPr>
          <w:p>
            <w:pPr>
              <w:spacing w:after="0" w:line="240" w:lineRule="auto"/>
            </w:pPr>
            <w:r/>
            <w:r>
              <w:rPr>
                <w:b w:val="0"/>
                <w:sz w:val="18"/>
              </w:rPr>
              <w:t>ownershipOrLeasingAnnual, insuranceAnnual, vehicleTaxAnnual</w:t>
            </w:r>
          </w:p>
        </w:tc>
      </w:tr>
      <w:tr>
        <w:tc>
          <w:tcPr>
            <w:tcW w:type="dxa" w:w="2880"/>
            <w:vAlign w:val="top"/>
          </w:tcPr>
          <w:p>
            <w:pPr>
              <w:spacing w:after="0" w:line="240" w:lineRule="auto"/>
            </w:pPr>
            <w:r/>
            <w:r>
              <w:rPr>
                <w:b w:val="0"/>
                <w:sz w:val="18"/>
              </w:rPr>
              <w:t>Overhead</w:t>
            </w:r>
          </w:p>
        </w:tc>
        <w:tc>
          <w:tcPr>
            <w:tcW w:type="dxa" w:w="6768"/>
            <w:vAlign w:val="top"/>
          </w:tcPr>
          <w:p>
            <w:pPr>
              <w:spacing w:after="0" w:line="240" w:lineRule="auto"/>
            </w:pPr>
            <w:r/>
            <w:r>
              <w:rPr>
                <w:b w:val="0"/>
                <w:sz w:val="18"/>
              </w:rPr>
              <w:t>structuralIndirectCostsAnnual</w:t>
            </w:r>
          </w:p>
        </w:tc>
      </w:tr>
      <w:tr>
        <w:tc>
          <w:tcPr>
            <w:tcW w:type="dxa" w:w="2880"/>
            <w:vAlign w:val="top"/>
          </w:tcPr>
          <w:p>
            <w:pPr>
              <w:spacing w:after="0" w:line="240" w:lineRule="auto"/>
            </w:pPr>
            <w:r/>
            <w:r>
              <w:rPr>
                <w:b w:val="0"/>
                <w:sz w:val="18"/>
              </w:rPr>
              <w:t>Pricing scenario</w:t>
            </w:r>
          </w:p>
        </w:tc>
        <w:tc>
          <w:tcPr>
            <w:tcW w:type="dxa" w:w="6768"/>
            <w:vAlign w:val="top"/>
          </w:tcPr>
          <w:p>
            <w:pPr>
              <w:spacing w:after="0" w:line="240" w:lineRule="auto"/>
            </w:pPr>
            <w:r/>
            <w:r>
              <w:rPr>
                <w:b w:val="0"/>
                <w:sz w:val="18"/>
              </w:rPr>
              <w:t>markupPercentage, targetAfterTaxMargin</w:t>
            </w:r>
          </w:p>
        </w:tc>
      </w:tr>
    </w:tbl>
    <w:p/>
    <w:p>
      <w:pPr>
        <w:pStyle w:val="Heading2"/>
      </w:pPr>
      <w:r>
        <w:t>6.2 Formula map</w:t>
      </w:r>
    </w:p>
    <w:tbl>
      <w:tblPr>
        <w:tblStyle w:val="LightList-Accent1"/>
        <w:tblW w:type="auto" w:w="0"/>
        <w:jc w:val="center"/>
        <w:tblLook w:firstColumn="1" w:firstRow="1" w:lastColumn="0" w:lastRow="0" w:noHBand="0" w:noVBand="1" w:val="04A0"/>
      </w:tblPr>
      <w:tblGrid>
        <w:gridCol w:w="5040"/>
        <w:gridCol w:w="5040"/>
      </w:tblGrid>
      <w:tr>
        <w:tc>
          <w:tcPr>
            <w:tcW w:type="dxa" w:w="3312"/>
            <w:shd w:fill="D9EAF7"/>
            <w:vAlign w:val="center"/>
          </w:tcPr>
          <w:p>
            <w:pPr>
              <w:spacing w:after="0" w:line="240" w:lineRule="auto"/>
            </w:pPr>
            <w:r/>
            <w:r>
              <w:rPr>
                <w:b/>
                <w:sz w:val="18"/>
              </w:rPr>
              <w:t>Output</w:t>
            </w:r>
          </w:p>
        </w:tc>
        <w:tc>
          <w:tcPr>
            <w:tcW w:type="dxa" w:w="6336"/>
            <w:shd w:fill="D9EAF7"/>
            <w:vAlign w:val="center"/>
          </w:tcPr>
          <w:p>
            <w:pPr>
              <w:spacing w:after="0" w:line="240" w:lineRule="auto"/>
            </w:pPr>
            <w:r/>
            <w:r>
              <w:rPr>
                <w:b/>
                <w:sz w:val="18"/>
              </w:rPr>
              <w:t>Formula</w:t>
            </w:r>
          </w:p>
        </w:tc>
      </w:tr>
      <w:tr>
        <w:tc>
          <w:tcPr>
            <w:tcW w:type="dxa" w:w="3312"/>
            <w:vAlign w:val="top"/>
          </w:tcPr>
          <w:p>
            <w:pPr>
              <w:spacing w:after="0" w:line="240" w:lineRule="auto"/>
            </w:pPr>
            <w:r/>
            <w:r>
              <w:rPr>
                <w:b w:val="0"/>
                <w:sz w:val="18"/>
              </w:rPr>
              <w:t>annualTotalKm</w:t>
            </w:r>
          </w:p>
        </w:tc>
        <w:tc>
          <w:tcPr>
            <w:tcW w:type="dxa" w:w="6336"/>
            <w:vAlign w:val="top"/>
          </w:tcPr>
          <w:p>
            <w:pPr>
              <w:spacing w:after="0" w:line="240" w:lineRule="auto"/>
            </w:pPr>
            <w:r/>
            <w:r>
              <w:rPr>
                <w:b w:val="0"/>
                <w:sz w:val="18"/>
              </w:rPr>
              <w:t>dailyKm x operatingDaysPerYear</w:t>
            </w:r>
          </w:p>
        </w:tc>
      </w:tr>
      <w:tr>
        <w:tc>
          <w:tcPr>
            <w:tcW w:type="dxa" w:w="3312"/>
            <w:vAlign w:val="top"/>
          </w:tcPr>
          <w:p>
            <w:pPr>
              <w:spacing w:after="0" w:line="240" w:lineRule="auto"/>
            </w:pPr>
            <w:r/>
            <w:r>
              <w:rPr>
                <w:b w:val="0"/>
                <w:sz w:val="18"/>
              </w:rPr>
              <w:t>loadedKmYear</w:t>
            </w:r>
          </w:p>
        </w:tc>
        <w:tc>
          <w:tcPr>
            <w:tcW w:type="dxa" w:w="6336"/>
            <w:vAlign w:val="top"/>
          </w:tcPr>
          <w:p>
            <w:pPr>
              <w:spacing w:after="0" w:line="240" w:lineRule="auto"/>
            </w:pPr>
            <w:r/>
            <w:r>
              <w:rPr>
                <w:b w:val="0"/>
                <w:sz w:val="18"/>
              </w:rPr>
              <w:t>annualTotalKm x loadFactor</w:t>
            </w:r>
          </w:p>
        </w:tc>
      </w:tr>
      <w:tr>
        <w:tc>
          <w:tcPr>
            <w:tcW w:type="dxa" w:w="3312"/>
            <w:vAlign w:val="top"/>
          </w:tcPr>
          <w:p>
            <w:pPr>
              <w:spacing w:after="0" w:line="240" w:lineRule="auto"/>
            </w:pPr>
            <w:r/>
            <w:r>
              <w:rPr>
                <w:b w:val="0"/>
                <w:sz w:val="18"/>
              </w:rPr>
              <w:t>effectivePayloadTons</w:t>
            </w:r>
          </w:p>
        </w:tc>
        <w:tc>
          <w:tcPr>
            <w:tcW w:type="dxa" w:w="6336"/>
            <w:vAlign w:val="top"/>
          </w:tcPr>
          <w:p>
            <w:pPr>
              <w:spacing w:after="0" w:line="240" w:lineRule="auto"/>
            </w:pPr>
            <w:r/>
            <w:r>
              <w:rPr>
                <w:b w:val="0"/>
                <w:sz w:val="18"/>
              </w:rPr>
              <w:t>payloadCapacityTons x payloadUtilisation</w:t>
            </w:r>
          </w:p>
        </w:tc>
      </w:tr>
      <w:tr>
        <w:tc>
          <w:tcPr>
            <w:tcW w:type="dxa" w:w="3312"/>
            <w:vAlign w:val="top"/>
          </w:tcPr>
          <w:p>
            <w:pPr>
              <w:spacing w:after="0" w:line="240" w:lineRule="auto"/>
            </w:pPr>
            <w:r/>
            <w:r>
              <w:rPr>
                <w:b w:val="0"/>
                <w:sz w:val="18"/>
              </w:rPr>
              <w:t>annualTonneKm</w:t>
            </w:r>
          </w:p>
        </w:tc>
        <w:tc>
          <w:tcPr>
            <w:tcW w:type="dxa" w:w="6336"/>
            <w:vAlign w:val="top"/>
          </w:tcPr>
          <w:p>
            <w:pPr>
              <w:spacing w:after="0" w:line="240" w:lineRule="auto"/>
            </w:pPr>
            <w:r/>
            <w:r>
              <w:rPr>
                <w:b w:val="0"/>
                <w:sz w:val="18"/>
              </w:rPr>
              <w:t>loadedKmYear x effectivePayloadTons</w:t>
            </w:r>
          </w:p>
        </w:tc>
      </w:tr>
      <w:tr>
        <w:tc>
          <w:tcPr>
            <w:tcW w:type="dxa" w:w="3312"/>
            <w:vAlign w:val="top"/>
          </w:tcPr>
          <w:p>
            <w:pPr>
              <w:spacing w:after="0" w:line="240" w:lineRule="auto"/>
            </w:pPr>
            <w:r/>
            <w:r>
              <w:rPr>
                <w:b w:val="0"/>
                <w:sz w:val="18"/>
              </w:rPr>
              <w:t>fuelCostPerKm</w:t>
            </w:r>
          </w:p>
        </w:tc>
        <w:tc>
          <w:tcPr>
            <w:tcW w:type="dxa" w:w="6336"/>
            <w:vAlign w:val="top"/>
          </w:tcPr>
          <w:p>
            <w:pPr>
              <w:spacing w:after="0" w:line="240" w:lineRule="auto"/>
            </w:pPr>
            <w:r/>
            <w:r>
              <w:rPr>
                <w:b w:val="0"/>
                <w:sz w:val="18"/>
              </w:rPr>
              <w:t>(fuelConsumptionLPer100Km / 100) x fuelPricePerLiter</w:t>
            </w:r>
          </w:p>
        </w:tc>
      </w:tr>
      <w:tr>
        <w:tc>
          <w:tcPr>
            <w:tcW w:type="dxa" w:w="3312"/>
            <w:vAlign w:val="top"/>
          </w:tcPr>
          <w:p>
            <w:pPr>
              <w:spacing w:after="0" w:line="240" w:lineRule="auto"/>
            </w:pPr>
            <w:r/>
            <w:r>
              <w:rPr>
                <w:b w:val="0"/>
                <w:sz w:val="18"/>
              </w:rPr>
              <w:t>tyresCostPerKm</w:t>
            </w:r>
          </w:p>
        </w:tc>
        <w:tc>
          <w:tcPr>
            <w:tcW w:type="dxa" w:w="6336"/>
            <w:vAlign w:val="top"/>
          </w:tcPr>
          <w:p>
            <w:pPr>
              <w:spacing w:after="0" w:line="240" w:lineRule="auto"/>
            </w:pPr>
            <w:r/>
            <w:r>
              <w:rPr>
                <w:b w:val="0"/>
                <w:sz w:val="18"/>
              </w:rPr>
              <w:t>tyresAnnualCost / annualTotalKm</w:t>
            </w:r>
          </w:p>
        </w:tc>
      </w:tr>
      <w:tr>
        <w:tc>
          <w:tcPr>
            <w:tcW w:type="dxa" w:w="3312"/>
            <w:vAlign w:val="top"/>
          </w:tcPr>
          <w:p>
            <w:pPr>
              <w:spacing w:after="0" w:line="240" w:lineRule="auto"/>
            </w:pPr>
            <w:r/>
            <w:r>
              <w:rPr>
                <w:b w:val="0"/>
                <w:sz w:val="18"/>
              </w:rPr>
              <w:t>maintenanceCostPerKm</w:t>
            </w:r>
          </w:p>
        </w:tc>
        <w:tc>
          <w:tcPr>
            <w:tcW w:type="dxa" w:w="6336"/>
            <w:vAlign w:val="top"/>
          </w:tcPr>
          <w:p>
            <w:pPr>
              <w:spacing w:after="0" w:line="240" w:lineRule="auto"/>
            </w:pPr>
            <w:r/>
            <w:r>
              <w:rPr>
                <w:b w:val="0"/>
                <w:sz w:val="18"/>
              </w:rPr>
              <w:t>maintenanceAnnualCost / annualTotalKm</w:t>
            </w:r>
          </w:p>
        </w:tc>
      </w:tr>
      <w:tr>
        <w:tc>
          <w:tcPr>
            <w:tcW w:type="dxa" w:w="3312"/>
            <w:vAlign w:val="top"/>
          </w:tcPr>
          <w:p>
            <w:pPr>
              <w:spacing w:after="0" w:line="240" w:lineRule="auto"/>
            </w:pPr>
            <w:r/>
            <w:r>
              <w:rPr>
                <w:b w:val="0"/>
                <w:sz w:val="18"/>
              </w:rPr>
              <w:t>roadFeesCostPerKm</w:t>
            </w:r>
          </w:p>
        </w:tc>
        <w:tc>
          <w:tcPr>
            <w:tcW w:type="dxa" w:w="6336"/>
            <w:vAlign w:val="top"/>
          </w:tcPr>
          <w:p>
            <w:pPr>
              <w:spacing w:after="0" w:line="240" w:lineRule="auto"/>
            </w:pPr>
            <w:r/>
            <w:r>
              <w:rPr>
                <w:b w:val="0"/>
                <w:sz w:val="18"/>
              </w:rPr>
              <w:t>roadFeesAnnualCost / annualTotalKm</w:t>
            </w:r>
          </w:p>
        </w:tc>
      </w:tr>
      <w:tr>
        <w:tc>
          <w:tcPr>
            <w:tcW w:type="dxa" w:w="3312"/>
            <w:vAlign w:val="top"/>
          </w:tcPr>
          <w:p>
            <w:pPr>
              <w:spacing w:after="0" w:line="240" w:lineRule="auto"/>
            </w:pPr>
            <w:r/>
            <w:r>
              <w:rPr>
                <w:b w:val="0"/>
                <w:sz w:val="18"/>
              </w:rPr>
              <w:t>variableCostPerKm</w:t>
            </w:r>
          </w:p>
        </w:tc>
        <w:tc>
          <w:tcPr>
            <w:tcW w:type="dxa" w:w="6336"/>
            <w:vAlign w:val="top"/>
          </w:tcPr>
          <w:p>
            <w:pPr>
              <w:spacing w:after="0" w:line="240" w:lineRule="auto"/>
            </w:pPr>
            <w:r/>
            <w:r>
              <w:rPr>
                <w:b w:val="0"/>
                <w:sz w:val="18"/>
              </w:rPr>
              <w:t>fuelCostPerKm + tyresCostPerKm + maintenanceCostPerKm + roadFeesCostPerKm</w:t>
            </w:r>
          </w:p>
        </w:tc>
      </w:tr>
      <w:tr>
        <w:tc>
          <w:tcPr>
            <w:tcW w:type="dxa" w:w="3312"/>
            <w:vAlign w:val="top"/>
          </w:tcPr>
          <w:p>
            <w:pPr>
              <w:spacing w:after="0" w:line="240" w:lineRule="auto"/>
            </w:pPr>
            <w:r/>
            <w:r>
              <w:rPr>
                <w:b w:val="0"/>
                <w:sz w:val="18"/>
              </w:rPr>
              <w:t>variableAnnualCost</w:t>
            </w:r>
          </w:p>
        </w:tc>
        <w:tc>
          <w:tcPr>
            <w:tcW w:type="dxa" w:w="6336"/>
            <w:vAlign w:val="top"/>
          </w:tcPr>
          <w:p>
            <w:pPr>
              <w:spacing w:after="0" w:line="240" w:lineRule="auto"/>
            </w:pPr>
            <w:r/>
            <w:r>
              <w:rPr>
                <w:b w:val="0"/>
                <w:sz w:val="18"/>
              </w:rPr>
              <w:t>variableCostPerKm x annualTotalKm</w:t>
            </w:r>
          </w:p>
        </w:tc>
      </w:tr>
      <w:tr>
        <w:tc>
          <w:tcPr>
            <w:tcW w:type="dxa" w:w="3312"/>
            <w:vAlign w:val="top"/>
          </w:tcPr>
          <w:p>
            <w:pPr>
              <w:spacing w:after="0" w:line="240" w:lineRule="auto"/>
            </w:pPr>
            <w:r/>
            <w:r>
              <w:rPr>
                <w:b w:val="0"/>
                <w:sz w:val="18"/>
              </w:rPr>
              <w:t>employerContributionAnnual</w:t>
            </w:r>
          </w:p>
        </w:tc>
        <w:tc>
          <w:tcPr>
            <w:tcW w:type="dxa" w:w="6336"/>
            <w:vAlign w:val="top"/>
          </w:tcPr>
          <w:p>
            <w:pPr>
              <w:spacing w:after="0" w:line="240" w:lineRule="auto"/>
            </w:pPr>
            <w:r/>
            <w:r>
              <w:rPr>
                <w:b w:val="0"/>
                <w:sz w:val="18"/>
              </w:rPr>
              <w:t>driverSalaryAnnual x employerContributionRate</w:t>
            </w:r>
          </w:p>
        </w:tc>
      </w:tr>
      <w:tr>
        <w:tc>
          <w:tcPr>
            <w:tcW w:type="dxa" w:w="3312"/>
            <w:vAlign w:val="top"/>
          </w:tcPr>
          <w:p>
            <w:pPr>
              <w:spacing w:after="0" w:line="240" w:lineRule="auto"/>
            </w:pPr>
            <w:r/>
            <w:r>
              <w:rPr>
                <w:b w:val="0"/>
                <w:sz w:val="18"/>
              </w:rPr>
              <w:t>annualPerDiem</w:t>
            </w:r>
          </w:p>
        </w:tc>
        <w:tc>
          <w:tcPr>
            <w:tcW w:type="dxa" w:w="6336"/>
            <w:vAlign w:val="top"/>
          </w:tcPr>
          <w:p>
            <w:pPr>
              <w:spacing w:after="0" w:line="240" w:lineRule="auto"/>
            </w:pPr>
            <w:r/>
            <w:r>
              <w:rPr>
                <w:b w:val="0"/>
                <w:sz w:val="18"/>
              </w:rPr>
              <w:t>driverPerDiemDaily x operatingDaysPerYear</w:t>
            </w:r>
          </w:p>
        </w:tc>
      </w:tr>
      <w:tr>
        <w:tc>
          <w:tcPr>
            <w:tcW w:type="dxa" w:w="3312"/>
            <w:vAlign w:val="top"/>
          </w:tcPr>
          <w:p>
            <w:pPr>
              <w:spacing w:after="0" w:line="240" w:lineRule="auto"/>
            </w:pPr>
            <w:r/>
            <w:r>
              <w:rPr>
                <w:b w:val="0"/>
                <w:sz w:val="18"/>
              </w:rPr>
              <w:t>driverAnnualCost</w:t>
            </w:r>
          </w:p>
        </w:tc>
        <w:tc>
          <w:tcPr>
            <w:tcW w:type="dxa" w:w="6336"/>
            <w:vAlign w:val="top"/>
          </w:tcPr>
          <w:p>
            <w:pPr>
              <w:spacing w:after="0" w:line="240" w:lineRule="auto"/>
            </w:pPr>
            <w:r/>
            <w:r>
              <w:rPr>
                <w:b w:val="0"/>
                <w:sz w:val="18"/>
              </w:rPr>
              <w:t>driverSalaryAnnual + employerContributionAnnual + annualPerDiem</w:t>
            </w:r>
          </w:p>
        </w:tc>
      </w:tr>
      <w:tr>
        <w:tc>
          <w:tcPr>
            <w:tcW w:type="dxa" w:w="3312"/>
            <w:vAlign w:val="top"/>
          </w:tcPr>
          <w:p>
            <w:pPr>
              <w:spacing w:after="0" w:line="240" w:lineRule="auto"/>
            </w:pPr>
            <w:r/>
            <w:r>
              <w:rPr>
                <w:b w:val="0"/>
                <w:sz w:val="18"/>
              </w:rPr>
              <w:t>vehicleFixedAnnualCost</w:t>
            </w:r>
          </w:p>
        </w:tc>
        <w:tc>
          <w:tcPr>
            <w:tcW w:type="dxa" w:w="6336"/>
            <w:vAlign w:val="top"/>
          </w:tcPr>
          <w:p>
            <w:pPr>
              <w:spacing w:after="0" w:line="240" w:lineRule="auto"/>
            </w:pPr>
            <w:r/>
            <w:r>
              <w:rPr>
                <w:b w:val="0"/>
                <w:sz w:val="18"/>
              </w:rPr>
              <w:t>ownershipOrLeasingAnnual + insuranceAnnual + vehicleTaxAnnual</w:t>
            </w:r>
          </w:p>
        </w:tc>
      </w:tr>
      <w:tr>
        <w:tc>
          <w:tcPr>
            <w:tcW w:type="dxa" w:w="3312"/>
            <w:vAlign w:val="top"/>
          </w:tcPr>
          <w:p>
            <w:pPr>
              <w:spacing w:after="0" w:line="240" w:lineRule="auto"/>
            </w:pPr>
            <w:r/>
            <w:r>
              <w:rPr>
                <w:b w:val="0"/>
                <w:sz w:val="18"/>
              </w:rPr>
              <w:t>totalAnnualCost</w:t>
            </w:r>
          </w:p>
        </w:tc>
        <w:tc>
          <w:tcPr>
            <w:tcW w:type="dxa" w:w="6336"/>
            <w:vAlign w:val="top"/>
          </w:tcPr>
          <w:p>
            <w:pPr>
              <w:spacing w:after="0" w:line="240" w:lineRule="auto"/>
            </w:pPr>
            <w:r/>
            <w:r>
              <w:rPr>
                <w:b w:val="0"/>
                <w:sz w:val="18"/>
              </w:rPr>
              <w:t>variableAnnualCost + driverAnnualCost + vehicleFixedAnnualCost + structuralAnnualCost</w:t>
            </w:r>
          </w:p>
        </w:tc>
      </w:tr>
      <w:tr>
        <w:tc>
          <w:tcPr>
            <w:tcW w:type="dxa" w:w="3312"/>
            <w:vAlign w:val="top"/>
          </w:tcPr>
          <w:p>
            <w:pPr>
              <w:spacing w:after="0" w:line="240" w:lineRule="auto"/>
            </w:pPr>
            <w:r/>
            <w:r>
              <w:rPr>
                <w:b w:val="0"/>
                <w:sz w:val="18"/>
              </w:rPr>
              <w:t>breakEvenPerLoadedKm</w:t>
            </w:r>
          </w:p>
        </w:tc>
        <w:tc>
          <w:tcPr>
            <w:tcW w:type="dxa" w:w="6336"/>
            <w:vAlign w:val="top"/>
          </w:tcPr>
          <w:p>
            <w:pPr>
              <w:spacing w:after="0" w:line="240" w:lineRule="auto"/>
            </w:pPr>
            <w:r/>
            <w:r>
              <w:rPr>
                <w:b w:val="0"/>
                <w:sz w:val="18"/>
              </w:rPr>
              <w:t>totalAnnualCost / loadedKmYear</w:t>
            </w:r>
          </w:p>
        </w:tc>
      </w:tr>
      <w:tr>
        <w:tc>
          <w:tcPr>
            <w:tcW w:type="dxa" w:w="3312"/>
            <w:vAlign w:val="top"/>
          </w:tcPr>
          <w:p>
            <w:pPr>
              <w:spacing w:after="0" w:line="240" w:lineRule="auto"/>
            </w:pPr>
            <w:r/>
            <w:r>
              <w:rPr>
                <w:b w:val="0"/>
                <w:sz w:val="18"/>
              </w:rPr>
              <w:t>breakEvenPerTonneKm</w:t>
            </w:r>
          </w:p>
        </w:tc>
        <w:tc>
          <w:tcPr>
            <w:tcW w:type="dxa" w:w="6336"/>
            <w:vAlign w:val="top"/>
          </w:tcPr>
          <w:p>
            <w:pPr>
              <w:spacing w:after="0" w:line="240" w:lineRule="auto"/>
            </w:pPr>
            <w:r/>
            <w:r>
              <w:rPr>
                <w:b w:val="0"/>
                <w:sz w:val="18"/>
              </w:rPr>
              <w:t>totalAnnualCost / annualTonneKm</w:t>
            </w:r>
          </w:p>
        </w:tc>
      </w:tr>
      <w:tr>
        <w:tc>
          <w:tcPr>
            <w:tcW w:type="dxa" w:w="3312"/>
            <w:vAlign w:val="top"/>
          </w:tcPr>
          <w:p>
            <w:pPr>
              <w:spacing w:after="0" w:line="240" w:lineRule="auto"/>
            </w:pPr>
            <w:r/>
            <w:r>
              <w:rPr>
                <w:b w:val="0"/>
                <w:sz w:val="18"/>
              </w:rPr>
              <w:t>customerRateExclVat</w:t>
            </w:r>
          </w:p>
        </w:tc>
        <w:tc>
          <w:tcPr>
            <w:tcW w:type="dxa" w:w="6336"/>
            <w:vAlign w:val="top"/>
          </w:tcPr>
          <w:p>
            <w:pPr>
              <w:spacing w:after="0" w:line="240" w:lineRule="auto"/>
            </w:pPr>
            <w:r/>
            <w:r>
              <w:rPr>
                <w:b w:val="0"/>
                <w:sz w:val="18"/>
              </w:rPr>
              <w:t>breakEvenPerLoadedKm x (1 + markupPercentage)</w:t>
            </w:r>
          </w:p>
        </w:tc>
      </w:tr>
      <w:tr>
        <w:tc>
          <w:tcPr>
            <w:tcW w:type="dxa" w:w="3312"/>
            <w:vAlign w:val="top"/>
          </w:tcPr>
          <w:p>
            <w:pPr>
              <w:spacing w:after="0" w:line="240" w:lineRule="auto"/>
            </w:pPr>
            <w:r/>
            <w:r>
              <w:rPr>
                <w:b w:val="0"/>
                <w:sz w:val="18"/>
              </w:rPr>
              <w:t>customerRateInclVat</w:t>
            </w:r>
          </w:p>
        </w:tc>
        <w:tc>
          <w:tcPr>
            <w:tcW w:type="dxa" w:w="6336"/>
            <w:vAlign w:val="top"/>
          </w:tcPr>
          <w:p>
            <w:pPr>
              <w:spacing w:after="0" w:line="240" w:lineRule="auto"/>
            </w:pPr>
            <w:r/>
            <w:r>
              <w:rPr>
                <w:b w:val="0"/>
                <w:sz w:val="18"/>
              </w:rPr>
              <w:t>customerRateExclVat x (1 + vatRate)</w:t>
            </w:r>
          </w:p>
        </w:tc>
      </w:tr>
      <w:tr>
        <w:tc>
          <w:tcPr>
            <w:tcW w:type="dxa" w:w="3312"/>
            <w:vAlign w:val="top"/>
          </w:tcPr>
          <w:p>
            <w:pPr>
              <w:spacing w:after="0" w:line="240" w:lineRule="auto"/>
            </w:pPr>
            <w:r/>
            <w:r>
              <w:rPr>
                <w:b w:val="0"/>
                <w:sz w:val="18"/>
              </w:rPr>
              <w:t>annualRevenueExclVat</w:t>
            </w:r>
          </w:p>
        </w:tc>
        <w:tc>
          <w:tcPr>
            <w:tcW w:type="dxa" w:w="6336"/>
            <w:vAlign w:val="top"/>
          </w:tcPr>
          <w:p>
            <w:pPr>
              <w:spacing w:after="0" w:line="240" w:lineRule="auto"/>
            </w:pPr>
            <w:r/>
            <w:r>
              <w:rPr>
                <w:b w:val="0"/>
                <w:sz w:val="18"/>
              </w:rPr>
              <w:t>customerRateExclVat x loadedKmYear</w:t>
            </w:r>
          </w:p>
        </w:tc>
      </w:tr>
      <w:tr>
        <w:tc>
          <w:tcPr>
            <w:tcW w:type="dxa" w:w="3312"/>
            <w:vAlign w:val="top"/>
          </w:tcPr>
          <w:p>
            <w:pPr>
              <w:spacing w:after="0" w:line="240" w:lineRule="auto"/>
            </w:pPr>
            <w:r/>
            <w:r>
              <w:rPr>
                <w:b w:val="0"/>
                <w:sz w:val="18"/>
              </w:rPr>
              <w:t>vatCollected</w:t>
            </w:r>
          </w:p>
        </w:tc>
        <w:tc>
          <w:tcPr>
            <w:tcW w:type="dxa" w:w="6336"/>
            <w:vAlign w:val="top"/>
          </w:tcPr>
          <w:p>
            <w:pPr>
              <w:spacing w:after="0" w:line="240" w:lineRule="auto"/>
            </w:pPr>
            <w:r/>
            <w:r>
              <w:rPr>
                <w:b w:val="0"/>
                <w:sz w:val="18"/>
              </w:rPr>
              <w:t>annualRevenueExclVat x vatRate</w:t>
            </w:r>
          </w:p>
        </w:tc>
      </w:tr>
      <w:tr>
        <w:tc>
          <w:tcPr>
            <w:tcW w:type="dxa" w:w="3312"/>
            <w:vAlign w:val="top"/>
          </w:tcPr>
          <w:p>
            <w:pPr>
              <w:spacing w:after="0" w:line="240" w:lineRule="auto"/>
            </w:pPr>
            <w:r/>
            <w:r>
              <w:rPr>
                <w:b w:val="0"/>
                <w:sz w:val="18"/>
              </w:rPr>
              <w:t>invoiceValueInclVat</w:t>
            </w:r>
          </w:p>
        </w:tc>
        <w:tc>
          <w:tcPr>
            <w:tcW w:type="dxa" w:w="6336"/>
            <w:vAlign w:val="top"/>
          </w:tcPr>
          <w:p>
            <w:pPr>
              <w:spacing w:after="0" w:line="240" w:lineRule="auto"/>
            </w:pPr>
            <w:r/>
            <w:r>
              <w:rPr>
                <w:b w:val="0"/>
                <w:sz w:val="18"/>
              </w:rPr>
              <w:t>annualRevenueExclVat + vatCollected</w:t>
            </w:r>
          </w:p>
        </w:tc>
      </w:tr>
      <w:tr>
        <w:tc>
          <w:tcPr>
            <w:tcW w:type="dxa" w:w="3312"/>
            <w:vAlign w:val="top"/>
          </w:tcPr>
          <w:p>
            <w:pPr>
              <w:spacing w:after="0" w:line="240" w:lineRule="auto"/>
            </w:pPr>
            <w:r/>
            <w:r>
              <w:rPr>
                <w:b w:val="0"/>
                <w:sz w:val="18"/>
              </w:rPr>
              <w:t>ebitBeforeTax</w:t>
            </w:r>
          </w:p>
        </w:tc>
        <w:tc>
          <w:tcPr>
            <w:tcW w:type="dxa" w:w="6336"/>
            <w:vAlign w:val="top"/>
          </w:tcPr>
          <w:p>
            <w:pPr>
              <w:spacing w:after="0" w:line="240" w:lineRule="auto"/>
            </w:pPr>
            <w:r/>
            <w:r>
              <w:rPr>
                <w:b w:val="0"/>
                <w:sz w:val="18"/>
              </w:rPr>
              <w:t>annualRevenueExclVat - totalAnnualCost</w:t>
            </w:r>
          </w:p>
        </w:tc>
      </w:tr>
      <w:tr>
        <w:tc>
          <w:tcPr>
            <w:tcW w:type="dxa" w:w="3312"/>
            <w:vAlign w:val="top"/>
          </w:tcPr>
          <w:p>
            <w:pPr>
              <w:spacing w:after="0" w:line="240" w:lineRule="auto"/>
            </w:pPr>
            <w:r/>
            <w:r>
              <w:rPr>
                <w:b w:val="0"/>
                <w:sz w:val="18"/>
              </w:rPr>
              <w:t>businessTax</w:t>
            </w:r>
          </w:p>
        </w:tc>
        <w:tc>
          <w:tcPr>
            <w:tcW w:type="dxa" w:w="6336"/>
            <w:vAlign w:val="top"/>
          </w:tcPr>
          <w:p>
            <w:pPr>
              <w:spacing w:after="0" w:line="240" w:lineRule="auto"/>
            </w:pPr>
            <w:r/>
            <w:r>
              <w:rPr>
                <w:b w:val="0"/>
                <w:sz w:val="18"/>
              </w:rPr>
              <w:t>max(0, ebitBeforeTax x effectiveBusinessTaxRate)</w:t>
            </w:r>
          </w:p>
        </w:tc>
      </w:tr>
      <w:tr>
        <w:tc>
          <w:tcPr>
            <w:tcW w:type="dxa" w:w="3312"/>
            <w:vAlign w:val="top"/>
          </w:tcPr>
          <w:p>
            <w:pPr>
              <w:spacing w:after="0" w:line="240" w:lineRule="auto"/>
            </w:pPr>
            <w:r/>
            <w:r>
              <w:rPr>
                <w:b w:val="0"/>
                <w:sz w:val="18"/>
              </w:rPr>
              <w:t>profitAfterTax</w:t>
            </w:r>
          </w:p>
        </w:tc>
        <w:tc>
          <w:tcPr>
            <w:tcW w:type="dxa" w:w="6336"/>
            <w:vAlign w:val="top"/>
          </w:tcPr>
          <w:p>
            <w:pPr>
              <w:spacing w:after="0" w:line="240" w:lineRule="auto"/>
            </w:pPr>
            <w:r/>
            <w:r>
              <w:rPr>
                <w:b w:val="0"/>
                <w:sz w:val="18"/>
              </w:rPr>
              <w:t>ebitBeforeTax - businessTax</w:t>
            </w:r>
          </w:p>
        </w:tc>
      </w:tr>
      <w:tr>
        <w:tc>
          <w:tcPr>
            <w:tcW w:type="dxa" w:w="3312"/>
            <w:vAlign w:val="top"/>
          </w:tcPr>
          <w:p>
            <w:pPr>
              <w:spacing w:after="0" w:line="240" w:lineRule="auto"/>
            </w:pPr>
            <w:r/>
            <w:r>
              <w:rPr>
                <w:b w:val="0"/>
                <w:sz w:val="18"/>
              </w:rPr>
              <w:t>afterTaxMargin</w:t>
            </w:r>
          </w:p>
        </w:tc>
        <w:tc>
          <w:tcPr>
            <w:tcW w:type="dxa" w:w="6336"/>
            <w:vAlign w:val="top"/>
          </w:tcPr>
          <w:p>
            <w:pPr>
              <w:spacing w:after="0" w:line="240" w:lineRule="auto"/>
            </w:pPr>
            <w:r/>
            <w:r>
              <w:rPr>
                <w:b w:val="0"/>
                <w:sz w:val="18"/>
              </w:rPr>
              <w:t>profitAfterTax / annualRevenueExclVat</w:t>
            </w:r>
          </w:p>
        </w:tc>
      </w:tr>
    </w:tbl>
    <w:p/>
    <w:p>
      <w:pPr>
        <w:pStyle w:val="Heading2"/>
      </w:pPr>
      <w:r>
        <w:t>6.3 Validation rules</w:t>
      </w:r>
    </w:p>
    <w:tbl>
      <w:tblPr>
        <w:tblStyle w:val="LightList-Accent1"/>
        <w:tblW w:type="auto" w:w="0"/>
        <w:jc w:val="center"/>
        <w:tblLook w:firstColumn="1" w:firstRow="1" w:lastColumn="0" w:lastRow="0" w:noHBand="0" w:noVBand="1" w:val="04A0"/>
      </w:tblPr>
      <w:tblGrid>
        <w:gridCol w:w="5040"/>
        <w:gridCol w:w="5040"/>
      </w:tblGrid>
      <w:tr>
        <w:tc>
          <w:tcPr>
            <w:tcW w:type="dxa" w:w="3168"/>
            <w:shd w:fill="D9EAF7"/>
            <w:vAlign w:val="center"/>
          </w:tcPr>
          <w:p>
            <w:pPr>
              <w:spacing w:after="0" w:line="240" w:lineRule="auto"/>
            </w:pPr>
            <w:r/>
            <w:r>
              <w:rPr>
                <w:b/>
                <w:sz w:val="18"/>
              </w:rPr>
              <w:t>Field or condition</w:t>
            </w:r>
          </w:p>
        </w:tc>
        <w:tc>
          <w:tcPr>
            <w:tcW w:type="dxa" w:w="6480"/>
            <w:shd w:fill="D9EAF7"/>
            <w:vAlign w:val="center"/>
          </w:tcPr>
          <w:p>
            <w:pPr>
              <w:spacing w:after="0" w:line="240" w:lineRule="auto"/>
            </w:pPr>
            <w:r/>
            <w:r>
              <w:rPr>
                <w:b/>
                <w:sz w:val="18"/>
              </w:rPr>
              <w:t>Rule</w:t>
            </w:r>
          </w:p>
        </w:tc>
      </w:tr>
      <w:tr>
        <w:tc>
          <w:tcPr>
            <w:tcW w:type="dxa" w:w="3168"/>
            <w:vAlign w:val="top"/>
          </w:tcPr>
          <w:p>
            <w:pPr>
              <w:spacing w:after="0" w:line="240" w:lineRule="auto"/>
            </w:pPr>
            <w:r/>
            <w:r>
              <w:rPr>
                <w:b w:val="0"/>
                <w:sz w:val="18"/>
              </w:rPr>
              <w:t>dailyKm</w:t>
            </w:r>
          </w:p>
        </w:tc>
        <w:tc>
          <w:tcPr>
            <w:tcW w:type="dxa" w:w="6480"/>
            <w:vAlign w:val="top"/>
          </w:tcPr>
          <w:p>
            <w:pPr>
              <w:spacing w:after="0" w:line="240" w:lineRule="auto"/>
            </w:pPr>
            <w:r/>
            <w:r>
              <w:rPr>
                <w:b w:val="0"/>
                <w:sz w:val="18"/>
              </w:rPr>
              <w:t>Must be greater than zero.</w:t>
            </w:r>
          </w:p>
        </w:tc>
      </w:tr>
      <w:tr>
        <w:tc>
          <w:tcPr>
            <w:tcW w:type="dxa" w:w="3168"/>
            <w:vAlign w:val="top"/>
          </w:tcPr>
          <w:p>
            <w:pPr>
              <w:spacing w:after="0" w:line="240" w:lineRule="auto"/>
            </w:pPr>
            <w:r/>
            <w:r>
              <w:rPr>
                <w:b w:val="0"/>
                <w:sz w:val="18"/>
              </w:rPr>
              <w:t>operatingDaysPerYear</w:t>
            </w:r>
          </w:p>
        </w:tc>
        <w:tc>
          <w:tcPr>
            <w:tcW w:type="dxa" w:w="6480"/>
            <w:vAlign w:val="top"/>
          </w:tcPr>
          <w:p>
            <w:pPr>
              <w:spacing w:after="0" w:line="240" w:lineRule="auto"/>
            </w:pPr>
            <w:r/>
            <w:r>
              <w:rPr>
                <w:b w:val="0"/>
                <w:sz w:val="18"/>
              </w:rPr>
              <w:t>Must be greater than zero.</w:t>
            </w:r>
          </w:p>
        </w:tc>
      </w:tr>
      <w:tr>
        <w:tc>
          <w:tcPr>
            <w:tcW w:type="dxa" w:w="3168"/>
            <w:vAlign w:val="top"/>
          </w:tcPr>
          <w:p>
            <w:pPr>
              <w:spacing w:after="0" w:line="240" w:lineRule="auto"/>
            </w:pPr>
            <w:r/>
            <w:r>
              <w:rPr>
                <w:b w:val="0"/>
                <w:sz w:val="18"/>
              </w:rPr>
              <w:t>loadFactor</w:t>
            </w:r>
          </w:p>
        </w:tc>
        <w:tc>
          <w:tcPr>
            <w:tcW w:type="dxa" w:w="6480"/>
            <w:vAlign w:val="top"/>
          </w:tcPr>
          <w:p>
            <w:pPr>
              <w:spacing w:after="0" w:line="240" w:lineRule="auto"/>
            </w:pPr>
            <w:r/>
            <w:r>
              <w:rPr>
                <w:b w:val="0"/>
                <w:sz w:val="18"/>
              </w:rPr>
              <w:t>Must be between 0 and 1.</w:t>
            </w:r>
          </w:p>
        </w:tc>
      </w:tr>
      <w:tr>
        <w:tc>
          <w:tcPr>
            <w:tcW w:type="dxa" w:w="3168"/>
            <w:vAlign w:val="top"/>
          </w:tcPr>
          <w:p>
            <w:pPr>
              <w:spacing w:after="0" w:line="240" w:lineRule="auto"/>
            </w:pPr>
            <w:r/>
            <w:r>
              <w:rPr>
                <w:b w:val="0"/>
                <w:sz w:val="18"/>
              </w:rPr>
              <w:t>payloadCapacityTons</w:t>
            </w:r>
          </w:p>
        </w:tc>
        <w:tc>
          <w:tcPr>
            <w:tcW w:type="dxa" w:w="6480"/>
            <w:vAlign w:val="top"/>
          </w:tcPr>
          <w:p>
            <w:pPr>
              <w:spacing w:after="0" w:line="240" w:lineRule="auto"/>
            </w:pPr>
            <w:r/>
            <w:r>
              <w:rPr>
                <w:b w:val="0"/>
                <w:sz w:val="18"/>
              </w:rPr>
              <w:t>Must be greater than zero.</w:t>
            </w:r>
          </w:p>
        </w:tc>
      </w:tr>
      <w:tr>
        <w:tc>
          <w:tcPr>
            <w:tcW w:type="dxa" w:w="3168"/>
            <w:vAlign w:val="top"/>
          </w:tcPr>
          <w:p>
            <w:pPr>
              <w:spacing w:after="0" w:line="240" w:lineRule="auto"/>
            </w:pPr>
            <w:r/>
            <w:r>
              <w:rPr>
                <w:b w:val="0"/>
                <w:sz w:val="18"/>
              </w:rPr>
              <w:t>payloadUtilisation</w:t>
            </w:r>
          </w:p>
        </w:tc>
        <w:tc>
          <w:tcPr>
            <w:tcW w:type="dxa" w:w="6480"/>
            <w:vAlign w:val="top"/>
          </w:tcPr>
          <w:p>
            <w:pPr>
              <w:spacing w:after="0" w:line="240" w:lineRule="auto"/>
            </w:pPr>
            <w:r/>
            <w:r>
              <w:rPr>
                <w:b w:val="0"/>
                <w:sz w:val="18"/>
              </w:rPr>
              <w:t>Must be between 0 and 1.</w:t>
            </w:r>
          </w:p>
        </w:tc>
      </w:tr>
      <w:tr>
        <w:tc>
          <w:tcPr>
            <w:tcW w:type="dxa" w:w="3168"/>
            <w:vAlign w:val="top"/>
          </w:tcPr>
          <w:p>
            <w:pPr>
              <w:spacing w:after="0" w:line="240" w:lineRule="auto"/>
            </w:pPr>
            <w:r/>
            <w:r>
              <w:rPr>
                <w:b w:val="0"/>
                <w:sz w:val="18"/>
              </w:rPr>
              <w:t>fuelConsumptionLPer100Km</w:t>
            </w:r>
          </w:p>
        </w:tc>
        <w:tc>
          <w:tcPr>
            <w:tcW w:type="dxa" w:w="6480"/>
            <w:vAlign w:val="top"/>
          </w:tcPr>
          <w:p>
            <w:pPr>
              <w:spacing w:after="0" w:line="240" w:lineRule="auto"/>
            </w:pPr>
            <w:r/>
            <w:r>
              <w:rPr>
                <w:b w:val="0"/>
                <w:sz w:val="18"/>
              </w:rPr>
              <w:t>Must be greater than zero.</w:t>
            </w:r>
          </w:p>
        </w:tc>
      </w:tr>
      <w:tr>
        <w:tc>
          <w:tcPr>
            <w:tcW w:type="dxa" w:w="3168"/>
            <w:vAlign w:val="top"/>
          </w:tcPr>
          <w:p>
            <w:pPr>
              <w:spacing w:after="0" w:line="240" w:lineRule="auto"/>
            </w:pPr>
            <w:r/>
            <w:r>
              <w:rPr>
                <w:b w:val="0"/>
                <w:sz w:val="18"/>
              </w:rPr>
              <w:t>fuelPricePerLiter</w:t>
            </w:r>
          </w:p>
        </w:tc>
        <w:tc>
          <w:tcPr>
            <w:tcW w:type="dxa" w:w="6480"/>
            <w:vAlign w:val="top"/>
          </w:tcPr>
          <w:p>
            <w:pPr>
              <w:spacing w:after="0" w:line="240" w:lineRule="auto"/>
            </w:pPr>
            <w:r/>
            <w:r>
              <w:rPr>
                <w:b w:val="0"/>
                <w:sz w:val="18"/>
              </w:rPr>
              <w:t>Must be greater than zero.</w:t>
            </w:r>
          </w:p>
        </w:tc>
      </w:tr>
      <w:tr>
        <w:tc>
          <w:tcPr>
            <w:tcW w:type="dxa" w:w="3168"/>
            <w:vAlign w:val="top"/>
          </w:tcPr>
          <w:p>
            <w:pPr>
              <w:spacing w:after="0" w:line="240" w:lineRule="auto"/>
            </w:pPr>
            <w:r/>
            <w:r>
              <w:rPr>
                <w:b w:val="0"/>
                <w:sz w:val="18"/>
              </w:rPr>
              <w:t>tax rates</w:t>
            </w:r>
          </w:p>
        </w:tc>
        <w:tc>
          <w:tcPr>
            <w:tcW w:type="dxa" w:w="6480"/>
            <w:vAlign w:val="top"/>
          </w:tcPr>
          <w:p>
            <w:pPr>
              <w:spacing w:after="0" w:line="240" w:lineRule="auto"/>
            </w:pPr>
            <w:r/>
            <w:r>
              <w:rPr>
                <w:b w:val="0"/>
                <w:sz w:val="18"/>
              </w:rPr>
              <w:t>Must be between 0 and 1 unless an admin override explicitly allows another structure.</w:t>
            </w:r>
          </w:p>
        </w:tc>
      </w:tr>
      <w:tr>
        <w:tc>
          <w:tcPr>
            <w:tcW w:type="dxa" w:w="3168"/>
            <w:vAlign w:val="top"/>
          </w:tcPr>
          <w:p>
            <w:pPr>
              <w:spacing w:after="0" w:line="240" w:lineRule="auto"/>
            </w:pPr>
            <w:r/>
            <w:r>
              <w:rPr>
                <w:b w:val="0"/>
                <w:sz w:val="18"/>
              </w:rPr>
              <w:t>markupPercentage</w:t>
            </w:r>
          </w:p>
        </w:tc>
        <w:tc>
          <w:tcPr>
            <w:tcW w:type="dxa" w:w="6480"/>
            <w:vAlign w:val="top"/>
          </w:tcPr>
          <w:p>
            <w:pPr>
              <w:spacing w:after="0" w:line="240" w:lineRule="auto"/>
            </w:pPr>
            <w:r/>
            <w:r>
              <w:rPr>
                <w:b w:val="0"/>
                <w:sz w:val="18"/>
              </w:rPr>
              <w:t>Cannot be negative.</w:t>
            </w:r>
          </w:p>
        </w:tc>
      </w:tr>
      <w:tr>
        <w:tc>
          <w:tcPr>
            <w:tcW w:type="dxa" w:w="3168"/>
            <w:vAlign w:val="top"/>
          </w:tcPr>
          <w:p>
            <w:pPr>
              <w:spacing w:after="0" w:line="240" w:lineRule="auto"/>
            </w:pPr>
            <w:r/>
            <w:r>
              <w:rPr>
                <w:b w:val="0"/>
                <w:sz w:val="18"/>
              </w:rPr>
              <w:t>loadedKmYear</w:t>
            </w:r>
          </w:p>
        </w:tc>
        <w:tc>
          <w:tcPr>
            <w:tcW w:type="dxa" w:w="6480"/>
            <w:vAlign w:val="top"/>
          </w:tcPr>
          <w:p>
            <w:pPr>
              <w:spacing w:after="0" w:line="240" w:lineRule="auto"/>
            </w:pPr>
            <w:r/>
            <w:r>
              <w:rPr>
                <w:b w:val="0"/>
                <w:sz w:val="18"/>
              </w:rPr>
              <w:t>Must be greater than zero before break-even is calculated.</w:t>
            </w:r>
          </w:p>
        </w:tc>
      </w:tr>
      <w:tr>
        <w:tc>
          <w:tcPr>
            <w:tcW w:type="dxa" w:w="3168"/>
            <w:vAlign w:val="top"/>
          </w:tcPr>
          <w:p>
            <w:pPr>
              <w:spacing w:after="0" w:line="240" w:lineRule="auto"/>
            </w:pPr>
            <w:r/>
            <w:r>
              <w:rPr>
                <w:b w:val="0"/>
                <w:sz w:val="18"/>
              </w:rPr>
              <w:t>annualTonneKm</w:t>
            </w:r>
          </w:p>
        </w:tc>
        <w:tc>
          <w:tcPr>
            <w:tcW w:type="dxa" w:w="6480"/>
            <w:vAlign w:val="top"/>
          </w:tcPr>
          <w:p>
            <w:pPr>
              <w:spacing w:after="0" w:line="240" w:lineRule="auto"/>
            </w:pPr>
            <w:r/>
            <w:r>
              <w:rPr>
                <w:b w:val="0"/>
                <w:sz w:val="18"/>
              </w:rPr>
              <w:t>Must be greater than zero before tonne-km break-even is calculated.</w:t>
            </w:r>
          </w:p>
        </w:tc>
      </w:tr>
    </w:tbl>
    <w:p/>
    <w:p>
      <w:pPr>
        <w:pStyle w:val="Heading1"/>
      </w:pPr>
      <w:r>
        <w:t>7. Data model and PostgreSQL schema</w:t>
      </w:r>
    </w:p>
    <w:p>
      <w:r>
        <w:t>The database should store reference data, user input data, computed result data and generated pricing scenario data. This supports auditability and later charts.</w:t>
      </w:r>
    </w:p>
    <w:p>
      <w:pPr>
        <w:pStyle w:val="Heading2"/>
      </w:pPr>
      <w:r>
        <w:t>7.1 Entity overview</w:t>
      </w:r>
    </w:p>
    <w:tbl>
      <w:tblPr>
        <w:tblStyle w:val="LightList-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line="240" w:lineRule="auto"/>
            </w:pPr>
            <w:r/>
            <w:r>
              <w:rPr>
                <w:b/>
                <w:sz w:val="18"/>
              </w:rPr>
              <w:t>Table</w:t>
            </w:r>
          </w:p>
        </w:tc>
        <w:tc>
          <w:tcPr>
            <w:tcW w:type="dxa" w:w="6768"/>
            <w:shd w:fill="D9EAF7"/>
            <w:vAlign w:val="center"/>
          </w:tcPr>
          <w:p>
            <w:pPr>
              <w:spacing w:after="0" w:line="240" w:lineRule="auto"/>
            </w:pPr>
            <w:r/>
            <w:r>
              <w:rPr>
                <w:b/>
                <w:sz w:val="18"/>
              </w:rPr>
              <w:t>Purpose</w:t>
            </w:r>
          </w:p>
        </w:tc>
      </w:tr>
      <w:tr>
        <w:tc>
          <w:tcPr>
            <w:tcW w:type="dxa" w:w="2880"/>
            <w:vAlign w:val="top"/>
          </w:tcPr>
          <w:p>
            <w:pPr>
              <w:spacing w:after="0" w:line="240" w:lineRule="auto"/>
            </w:pPr>
            <w:r/>
            <w:r>
              <w:rPr>
                <w:b w:val="0"/>
                <w:sz w:val="18"/>
              </w:rPr>
              <w:t>countries</w:t>
            </w:r>
          </w:p>
        </w:tc>
        <w:tc>
          <w:tcPr>
            <w:tcW w:type="dxa" w:w="6768"/>
            <w:vAlign w:val="top"/>
          </w:tcPr>
          <w:p>
            <w:pPr>
              <w:spacing w:after="0" w:line="240" w:lineRule="auto"/>
            </w:pPr>
            <w:r/>
            <w:r>
              <w:rPr>
                <w:b w:val="0"/>
                <w:sz w:val="18"/>
              </w:rPr>
              <w:t>Stores country / jurisdiction codes, names and currencies.</w:t>
            </w:r>
          </w:p>
        </w:tc>
      </w:tr>
      <w:tr>
        <w:tc>
          <w:tcPr>
            <w:tcW w:type="dxa" w:w="2880"/>
            <w:vAlign w:val="top"/>
          </w:tcPr>
          <w:p>
            <w:pPr>
              <w:spacing w:after="0" w:line="240" w:lineRule="auto"/>
            </w:pPr>
            <w:r/>
            <w:r>
              <w:rPr>
                <w:b w:val="0"/>
                <w:sz w:val="18"/>
              </w:rPr>
              <w:t>company_types</w:t>
            </w:r>
          </w:p>
        </w:tc>
        <w:tc>
          <w:tcPr>
            <w:tcW w:type="dxa" w:w="6768"/>
            <w:vAlign w:val="top"/>
          </w:tcPr>
          <w:p>
            <w:pPr>
              <w:spacing w:after="0" w:line="240" w:lineRule="auto"/>
            </w:pPr>
            <w:r/>
            <w:r>
              <w:rPr>
                <w:b w:val="0"/>
                <w:sz w:val="18"/>
              </w:rPr>
              <w:t>Stores company legal forms by country.</w:t>
            </w:r>
          </w:p>
        </w:tc>
      </w:tr>
      <w:tr>
        <w:tc>
          <w:tcPr>
            <w:tcW w:type="dxa" w:w="2880"/>
            <w:vAlign w:val="top"/>
          </w:tcPr>
          <w:p>
            <w:pPr>
              <w:spacing w:after="0" w:line="240" w:lineRule="auto"/>
            </w:pPr>
            <w:r/>
            <w:r>
              <w:rPr>
                <w:b w:val="0"/>
                <w:sz w:val="18"/>
              </w:rPr>
              <w:t>business_models</w:t>
            </w:r>
          </w:p>
        </w:tc>
        <w:tc>
          <w:tcPr>
            <w:tcW w:type="dxa" w:w="6768"/>
            <w:vAlign w:val="top"/>
          </w:tcPr>
          <w:p>
            <w:pPr>
              <w:spacing w:after="0" w:line="240" w:lineRule="auto"/>
            </w:pPr>
            <w:r/>
            <w:r>
              <w:rPr>
                <w:b w:val="0"/>
                <w:sz w:val="18"/>
              </w:rPr>
              <w:t>Stores operating models such as fleet operator or owner-operator.</w:t>
            </w:r>
          </w:p>
        </w:tc>
      </w:tr>
      <w:tr>
        <w:tc>
          <w:tcPr>
            <w:tcW w:type="dxa" w:w="2880"/>
            <w:vAlign w:val="top"/>
          </w:tcPr>
          <w:p>
            <w:pPr>
              <w:spacing w:after="0" w:line="240" w:lineRule="auto"/>
            </w:pPr>
            <w:r/>
            <w:r>
              <w:rPr>
                <w:b w:val="0"/>
                <w:sz w:val="18"/>
              </w:rPr>
              <w:t>tax_rules</w:t>
            </w:r>
          </w:p>
        </w:tc>
        <w:tc>
          <w:tcPr>
            <w:tcW w:type="dxa" w:w="6768"/>
            <w:vAlign w:val="top"/>
          </w:tcPr>
          <w:p>
            <w:pPr>
              <w:spacing w:after="0" w:line="240" w:lineRule="auto"/>
            </w:pPr>
            <w:r/>
            <w:r>
              <w:rPr>
                <w:b w:val="0"/>
                <w:sz w:val="18"/>
              </w:rPr>
              <w:t>Stores country and company-type tax defaults.</w:t>
            </w:r>
          </w:p>
        </w:tc>
      </w:tr>
      <w:tr>
        <w:tc>
          <w:tcPr>
            <w:tcW w:type="dxa" w:w="2880"/>
            <w:vAlign w:val="top"/>
          </w:tcPr>
          <w:p>
            <w:pPr>
              <w:spacing w:after="0" w:line="240" w:lineRule="auto"/>
            </w:pPr>
            <w:r/>
            <w:r>
              <w:rPr>
                <w:b w:val="0"/>
                <w:sz w:val="18"/>
              </w:rPr>
              <w:t>vehicle_classes</w:t>
            </w:r>
          </w:p>
        </w:tc>
        <w:tc>
          <w:tcPr>
            <w:tcW w:type="dxa" w:w="6768"/>
            <w:vAlign w:val="top"/>
          </w:tcPr>
          <w:p>
            <w:pPr>
              <w:spacing w:after="0" w:line="240" w:lineRule="auto"/>
            </w:pPr>
            <w:r/>
            <w:r>
              <w:rPr>
                <w:b w:val="0"/>
                <w:sz w:val="18"/>
              </w:rPr>
              <w:t>Stores vehicle class reference data.</w:t>
            </w:r>
          </w:p>
        </w:tc>
      </w:tr>
      <w:tr>
        <w:tc>
          <w:tcPr>
            <w:tcW w:type="dxa" w:w="2880"/>
            <w:vAlign w:val="top"/>
          </w:tcPr>
          <w:p>
            <w:pPr>
              <w:spacing w:after="0" w:line="240" w:lineRule="auto"/>
            </w:pPr>
            <w:r/>
            <w:r>
              <w:rPr>
                <w:b w:val="0"/>
                <w:sz w:val="18"/>
              </w:rPr>
              <w:t>calculation_runs</w:t>
            </w:r>
          </w:p>
        </w:tc>
        <w:tc>
          <w:tcPr>
            <w:tcW w:type="dxa" w:w="6768"/>
            <w:vAlign w:val="top"/>
          </w:tcPr>
          <w:p>
            <w:pPr>
              <w:spacing w:after="0" w:line="240" w:lineRule="auto"/>
            </w:pPr>
            <w:r/>
            <w:r>
              <w:rPr>
                <w:b w:val="0"/>
                <w:sz w:val="18"/>
              </w:rPr>
              <w:t>Stores the exact user inputs for a calculation.</w:t>
            </w:r>
          </w:p>
        </w:tc>
      </w:tr>
      <w:tr>
        <w:tc>
          <w:tcPr>
            <w:tcW w:type="dxa" w:w="2880"/>
            <w:vAlign w:val="top"/>
          </w:tcPr>
          <w:p>
            <w:pPr>
              <w:spacing w:after="0" w:line="240" w:lineRule="auto"/>
            </w:pPr>
            <w:r/>
            <w:r>
              <w:rPr>
                <w:b w:val="0"/>
                <w:sz w:val="18"/>
              </w:rPr>
              <w:t>calculation_results</w:t>
            </w:r>
          </w:p>
        </w:tc>
        <w:tc>
          <w:tcPr>
            <w:tcW w:type="dxa" w:w="6768"/>
            <w:vAlign w:val="top"/>
          </w:tcPr>
          <w:p>
            <w:pPr>
              <w:spacing w:after="0" w:line="240" w:lineRule="auto"/>
            </w:pPr>
            <w:r/>
            <w:r>
              <w:rPr>
                <w:b w:val="0"/>
                <w:sz w:val="18"/>
              </w:rPr>
              <w:t>Stores the computed results for a saved run.</w:t>
            </w:r>
          </w:p>
        </w:tc>
      </w:tr>
      <w:tr>
        <w:tc>
          <w:tcPr>
            <w:tcW w:type="dxa" w:w="2880"/>
            <w:vAlign w:val="top"/>
          </w:tcPr>
          <w:p>
            <w:pPr>
              <w:spacing w:after="0" w:line="240" w:lineRule="auto"/>
            </w:pPr>
            <w:r/>
            <w:r>
              <w:rPr>
                <w:b w:val="0"/>
                <w:sz w:val="18"/>
              </w:rPr>
              <w:t>pricing_scenarios</w:t>
            </w:r>
          </w:p>
        </w:tc>
        <w:tc>
          <w:tcPr>
            <w:tcW w:type="dxa" w:w="6768"/>
            <w:vAlign w:val="top"/>
          </w:tcPr>
          <w:p>
            <w:pPr>
              <w:spacing w:after="0" w:line="240" w:lineRule="auto"/>
            </w:pPr>
            <w:r/>
            <w:r>
              <w:rPr>
                <w:b w:val="0"/>
                <w:sz w:val="18"/>
              </w:rPr>
              <w:t>Stores generated markup scenarios for a run.</w:t>
            </w:r>
          </w:p>
        </w:tc>
      </w:tr>
    </w:tbl>
    <w:p/>
    <w:p>
      <w:pPr>
        <w:pStyle w:val="Heading2"/>
      </w:pPr>
      <w:r>
        <w:t>7.2 SQL schema draft</w:t>
      </w:r>
    </w:p>
    <w:p>
      <w:pPr>
        <w:pStyle w:val="CodeBlock"/>
      </w:pPr>
      <w:r>
        <w:rPr>
          <w:rFonts w:ascii="Courier New" w:hAnsi="Courier New" w:eastAsia="Courier New"/>
          <w:sz w:val="16"/>
        </w:rPr>
        <w:t>CREATE TABLE countries (</w:t>
        <w:br/>
        <w:t xml:space="preserve">    id SERIAL PRIMARY KEY,</w:t>
        <w:br/>
        <w:t xml:space="preserve">    code VARCHAR(10) UNIQUE NOT NULL,</w:t>
        <w:br/>
        <w:t xml:space="preserve">    name VARCHAR(100) NOT NULL,</w:t>
        <w:br/>
        <w:t xml:space="preserve">    currency VARCHAR(10) NOT NULL,</w:t>
        <w:br/>
        <w:t xml:space="preserve">    created_at TIMESTAMP DEFAULT NOW()</w:t>
        <w:br/>
        <w:t>);</w:t>
        <w:br/>
        <w:br/>
        <w:t>CREATE TABLE company_types (</w:t>
        <w:br/>
        <w:t xml:space="preserve">    id SERIAL PRIMARY KEY,</w:t>
        <w:br/>
        <w:t xml:space="preserve">    country_id INTEGER NOT NULL REFERENCES countries(id),</w:t>
        <w:br/>
        <w:t xml:space="preserve">    name VARCHAR(100) NOT NULL,</w:t>
        <w:br/>
        <w:t xml:space="preserve">    description TEXT,</w:t>
        <w:br/>
        <w:t xml:space="preserve">    created_at TIMESTAMP DEFAULT NOW(),</w:t>
        <w:br/>
        <w:t xml:space="preserve">    UNIQUE(country_id, name)</w:t>
        <w:br/>
        <w:t>);</w:t>
        <w:br/>
        <w:br/>
        <w:t>CREATE TABLE business_models (</w:t>
        <w:br/>
        <w:t xml:space="preserve">    id SERIAL PRIMARY KEY,</w:t>
        <w:br/>
        <w:t xml:space="preserve">    name VARCHAR(100) UNIQUE NOT NULL,</w:t>
        <w:br/>
        <w:t xml:space="preserve">    description TEXT,</w:t>
        <w:br/>
        <w:t xml:space="preserve">    created_at TIMESTAMP DEFAULT NOW()</w:t>
        <w:br/>
        <w:t>);</w:t>
        <w:br/>
        <w:br/>
        <w:t>CREATE TABLE tax_rules (</w:t>
        <w:br/>
        <w:t xml:space="preserve">    id SERIAL PRIMARY KEY,</w:t>
        <w:br/>
        <w:t xml:space="preserve">    country_id INTEGER NOT NULL REFERENCES countries(id),</w:t>
        <w:br/>
        <w:t xml:space="preserve">    company_type_id INTEGER NOT NULL REFERENCES company_types(id),</w:t>
        <w:br/>
        <w:t xml:space="preserve">    vat_rate NUMERIC(8,4) NOT NULL,</w:t>
        <w:br/>
        <w:t xml:space="preserve">    corporate_tax_rate NUMERIC(8,4) NOT NULL,</w:t>
        <w:br/>
        <w:t xml:space="preserve">    local_trade_tax_rate NUMERIC(8,4) DEFAULT 0,</w:t>
        <w:br/>
        <w:t xml:space="preserve">    effective_business_tax_rate NUMERIC(8,4) NOT NULL,</w:t>
        <w:br/>
        <w:t xml:space="preserve">    employer_contribution_rate NUMERIC(8,4) DEFAULT 0,</w:t>
        <w:br/>
        <w:t xml:space="preserve">    employee_contribution_rate NUMERIC(8,4) DEFAULT 0,</w:t>
        <w:br/>
        <w:t xml:space="preserve">    vehicle_tax_default_annual NUMERIC(12,2) DEFAULT 0,</w:t>
        <w:br/>
        <w:t xml:space="preserve">    rule_note TEXT,</w:t>
        <w:br/>
        <w:t xml:space="preserve">    source_as_of DATE,</w:t>
        <w:br/>
        <w:t xml:space="preserve">    created_at TIMESTAMP DEFAULT NOW(),</w:t>
        <w:br/>
        <w:t xml:space="preserve">    UNIQUE(country_id, company_type_id)</w:t>
        <w:br/>
        <w:t>);</w:t>
      </w:r>
    </w:p>
    <w:p>
      <w:pPr>
        <w:pStyle w:val="CodeBlock"/>
      </w:pPr>
      <w:r>
        <w:rPr>
          <w:rFonts w:ascii="Courier New" w:hAnsi="Courier New" w:eastAsia="Courier New"/>
          <w:sz w:val="16"/>
        </w:rPr>
        <w:t>CREATE TABLE vehicle_classes (</w:t>
        <w:br/>
        <w:t xml:space="preserve">    id SERIAL PRIMARY KEY,</w:t>
        <w:br/>
        <w:t xml:space="preserve">    code VARCHAR(50) UNIQUE NOT NULL,</w:t>
        <w:br/>
        <w:t xml:space="preserve">    name VARCHAR(100) NOT NULL,</w:t>
        <w:br/>
        <w:t xml:space="preserve">    gross_weight_tons NUMERIC(10,2),</w:t>
        <w:br/>
        <w:t xml:space="preserve">    payload_capacity_tons NUMERIC(10,2),</w:t>
        <w:br/>
        <w:t xml:space="preserve">    typical_payload_utilisation NUMERIC(8,4),</w:t>
        <w:br/>
        <w:t xml:space="preserve">    typical_fuel_l_per_100km NUMERIC(10,2),</w:t>
        <w:br/>
        <w:t xml:space="preserve">    annual_fixed_cost_proxy NUMERIC(12,2),</w:t>
        <w:br/>
        <w:t xml:space="preserve">    regulatory_note TEXT,</w:t>
        <w:br/>
        <w:t xml:space="preserve">    created_at TIMESTAMP DEFAULT NOW()</w:t>
        <w:br/>
        <w:t>);</w:t>
        <w:br/>
        <w:br/>
        <w:t>CREATE TABLE calculation_runs (</w:t>
        <w:br/>
        <w:t xml:space="preserve">    id SERIAL PRIMARY KEY,</w:t>
        <w:br/>
        <w:t xml:space="preserve">    run_name VARCHAR(150),</w:t>
        <w:br/>
        <w:t xml:space="preserve">    country_id INTEGER REFERENCES countries(id),</w:t>
        <w:br/>
        <w:t xml:space="preserve">    company_type_id INTEGER REFERENCES company_types(id),</w:t>
        <w:br/>
        <w:t xml:space="preserve">    business_model_id INTEGER REFERENCES business_models(id),</w:t>
        <w:br/>
        <w:t xml:space="preserve">    vehicle_class_id INTEGER REFERENCES vehicle_classes(id),</w:t>
        <w:br/>
        <w:t xml:space="preserve">    daily_km NUMERIC(12,2) NOT NULL,</w:t>
        <w:br/>
        <w:t xml:space="preserve">    operating_days_per_year NUMERIC(12,2) NOT NULL,</w:t>
        <w:br/>
        <w:t xml:space="preserve">    load_factor NUMERIC(8,4) NOT NULL,</w:t>
        <w:br/>
        <w:t xml:space="preserve">    payload_capacity_tons NUMERIC(10,2) NOT NULL,</w:t>
        <w:br/>
        <w:t xml:space="preserve">    payload_utilisation NUMERIC(8,4) NOT NULL,</w:t>
        <w:br/>
        <w:t xml:space="preserve">    fuel_consumption_l_per_100km NUMERIC(10,2) NOT NULL,</w:t>
        <w:br/>
        <w:t xml:space="preserve">    fuel_price_per_liter NUMERIC(10,4) NOT NULL,</w:t>
        <w:br/>
        <w:t xml:space="preserve">    tyres_annual_cost NUMERIC(12,2) DEFAULT 0,</w:t>
        <w:br/>
        <w:t xml:space="preserve">    maintenance_annual_cost NUMERIC(12,2) DEFAULT 0,</w:t>
        <w:br/>
        <w:t xml:space="preserve">    road_fees_annual_cost NUMERIC(12,2) DEFAULT 0,</w:t>
        <w:br/>
        <w:t xml:space="preserve">    driver_salary_annual NUMERIC(12,2) DEFAULT 0,</w:t>
        <w:br/>
        <w:t xml:space="preserve">    driver_per_diem_daily NUMERIC(12,2) DEFAULT 0,</w:t>
        <w:br/>
        <w:t xml:space="preserve">    ownership_or_leasing_annual NUMERIC(12,2) DEFAULT 0,</w:t>
        <w:br/>
        <w:t xml:space="preserve">    insurance_annual NUMERIC(12,2) DEFAULT 0,</w:t>
        <w:br/>
        <w:t xml:space="preserve">    vehicle_tax_annual NUMERIC(12,2) DEFAULT 0,</w:t>
        <w:br/>
        <w:t xml:space="preserve">    structural_indirect_costs_annual NUMERIC(12,2) DEFAULT 0,</w:t>
        <w:br/>
        <w:t xml:space="preserve">    markup_percentage NUMERIC(8,4) DEFAULT 0,</w:t>
        <w:br/>
        <w:t xml:space="preserve">    target_after_tax_margin NUMERIC(8,4) DEFAULT 0,</w:t>
        <w:br/>
        <w:t xml:space="preserve">    created_at TIMESTAMP DEFAULT NOW()</w:t>
        <w:br/>
        <w:t>);</w:t>
      </w:r>
    </w:p>
    <w:p>
      <w:pPr>
        <w:pStyle w:val="CodeBlock"/>
      </w:pPr>
      <w:r>
        <w:rPr>
          <w:rFonts w:ascii="Courier New" w:hAnsi="Courier New" w:eastAsia="Courier New"/>
          <w:sz w:val="16"/>
        </w:rPr>
        <w:t>CREATE TABLE calculation_results (</w:t>
        <w:br/>
        <w:t xml:space="preserve">    id SERIAL PRIMARY KEY,</w:t>
        <w:br/>
        <w:t xml:space="preserve">    calculation_run_id INTEGER NOT NULL REFERENCES calculation_runs(id) ON DELETE CASCADE,</w:t>
        <w:br/>
        <w:t xml:space="preserve">    annual_total_km NUMERIC(14,2) NOT NULL,</w:t>
        <w:br/>
        <w:t xml:space="preserve">    loaded_km_year NUMERIC(14,2) NOT NULL,</w:t>
        <w:br/>
        <w:t xml:space="preserve">    effective_payload_tons NUMERIC(10,2) NOT NULL,</w:t>
        <w:br/>
        <w:t xml:space="preserve">    annual_tonne_km NUMERIC(16,2) NOT NULL,</w:t>
        <w:br/>
        <w:t xml:space="preserve">    variable_cost_per_km NUMERIC(12,4) NOT NULL,</w:t>
        <w:br/>
        <w:t xml:space="preserve">    variable_annual_cost NUMERIC(14,2) NOT NULL,</w:t>
        <w:br/>
        <w:t xml:space="preserve">    driver_annual_cost NUMERIC(14,2) NOT NULL,</w:t>
        <w:br/>
        <w:t xml:space="preserve">    vehicle_fixed_annual_cost NUMERIC(14,2) NOT NULL,</w:t>
        <w:br/>
        <w:t xml:space="preserve">    total_annual_cost NUMERIC(14,2) NOT NULL,</w:t>
        <w:br/>
        <w:t xml:space="preserve">    break_even_per_loaded_km NUMERIC(12,4) NOT NULL,</w:t>
        <w:br/>
        <w:t xml:space="preserve">    break_even_per_tonne_km NUMERIC(12,4) NOT NULL,</w:t>
        <w:br/>
        <w:t xml:space="preserve">    customer_rate_excl_vat NUMERIC(12,4) NOT NULL,</w:t>
        <w:br/>
        <w:t xml:space="preserve">    customer_rate_incl_vat NUMERIC(12,4) NOT NULL,</w:t>
        <w:br/>
        <w:t xml:space="preserve">    annual_revenue_excl_vat NUMERIC(14,2) NOT NULL,</w:t>
        <w:br/>
        <w:t xml:space="preserve">    vat_collected NUMERIC(14,2) NOT NULL,</w:t>
        <w:br/>
        <w:t xml:space="preserve">    invoice_value_incl_vat NUMERIC(14,2) NOT NULL,</w:t>
        <w:br/>
        <w:t xml:space="preserve">    ebit_before_tax NUMERIC(14,2) NOT NULL,</w:t>
        <w:br/>
        <w:t xml:space="preserve">    business_tax NUMERIC(14,2) NOT NULL,</w:t>
        <w:br/>
        <w:t xml:space="preserve">    profit_after_tax NUMERIC(14,2) NOT NULL,</w:t>
        <w:br/>
        <w:t xml:space="preserve">    after_tax_margin NUMERIC(12,4) NOT NULL,</w:t>
        <w:br/>
        <w:t xml:space="preserve">    created_at TIMESTAMP DEFAULT NOW()</w:t>
        <w:br/>
        <w:t>);</w:t>
      </w:r>
    </w:p>
    <w:p>
      <w:pPr>
        <w:pStyle w:val="Heading1"/>
      </w:pPr>
      <w:r>
        <w:t>8. Backend API specification</w:t>
      </w:r>
    </w:p>
    <w:p>
      <w:r>
        <w:t>The backend should expose REST endpoints for reference data, tax cascade, calculation preview, saved runs, pricing scenarios and sensitivity analysis.</w:t>
      </w:r>
    </w:p>
    <w:tbl>
      <w:tblPr>
        <w:tblStyle w:val="LightList-Accent1"/>
        <w:tblW w:type="auto" w:w="0"/>
        <w:jc w:val="center"/>
        <w:tblLook w:firstColumn="1" w:firstRow="1" w:lastColumn="0" w:lastRow="0" w:noHBand="0" w:noVBand="1" w:val="04A0"/>
      </w:tblPr>
      <w:tblGrid>
        <w:gridCol w:w="3360"/>
        <w:gridCol w:w="3360"/>
        <w:gridCol w:w="3360"/>
      </w:tblGrid>
      <w:tr>
        <w:tc>
          <w:tcPr>
            <w:tcW w:type="dxa" w:w="1152"/>
            <w:shd w:fill="D9EAF7"/>
            <w:vAlign w:val="center"/>
          </w:tcPr>
          <w:p>
            <w:pPr>
              <w:spacing w:after="0" w:line="240" w:lineRule="auto"/>
            </w:pPr>
            <w:r/>
            <w:r>
              <w:rPr>
                <w:b/>
                <w:sz w:val="18"/>
              </w:rPr>
              <w:t>Method</w:t>
            </w:r>
          </w:p>
        </w:tc>
        <w:tc>
          <w:tcPr>
            <w:tcW w:type="dxa" w:w="3600"/>
            <w:shd w:fill="D9EAF7"/>
            <w:vAlign w:val="center"/>
          </w:tcPr>
          <w:p>
            <w:pPr>
              <w:spacing w:after="0" w:line="240" w:lineRule="auto"/>
            </w:pPr>
            <w:r/>
            <w:r>
              <w:rPr>
                <w:b/>
                <w:sz w:val="18"/>
              </w:rPr>
              <w:t>Endpoint</w:t>
            </w:r>
          </w:p>
        </w:tc>
        <w:tc>
          <w:tcPr>
            <w:tcW w:type="dxa" w:w="4896"/>
            <w:shd w:fill="D9EAF7"/>
            <w:vAlign w:val="center"/>
          </w:tcPr>
          <w:p>
            <w:pPr>
              <w:spacing w:after="0" w:line="240" w:lineRule="auto"/>
            </w:pPr>
            <w:r/>
            <w:r>
              <w:rPr>
                <w:b/>
                <w:sz w:val="18"/>
              </w:rPr>
              <w:t>Purpose</w:t>
            </w:r>
          </w:p>
        </w:tc>
      </w:tr>
      <w:tr>
        <w:tc>
          <w:tcPr>
            <w:tcW w:type="dxa" w:w="1152"/>
            <w:vAlign w:val="top"/>
          </w:tcPr>
          <w:p>
            <w:pPr>
              <w:spacing w:after="0" w:line="240" w:lineRule="auto"/>
            </w:pPr>
            <w:r/>
            <w:r>
              <w:rPr>
                <w:b w:val="0"/>
                <w:sz w:val="18"/>
              </w:rPr>
              <w:t>GET</w:t>
            </w:r>
          </w:p>
        </w:tc>
        <w:tc>
          <w:tcPr>
            <w:tcW w:type="dxa" w:w="3600"/>
            <w:vAlign w:val="top"/>
          </w:tcPr>
          <w:p>
            <w:pPr>
              <w:spacing w:after="0" w:line="240" w:lineRule="auto"/>
            </w:pPr>
            <w:r/>
            <w:r>
              <w:rPr>
                <w:b w:val="0"/>
                <w:sz w:val="18"/>
              </w:rPr>
              <w:t>/api/countries</w:t>
            </w:r>
          </w:p>
        </w:tc>
        <w:tc>
          <w:tcPr>
            <w:tcW w:type="dxa" w:w="4896"/>
            <w:vAlign w:val="top"/>
          </w:tcPr>
          <w:p>
            <w:pPr>
              <w:spacing w:after="0" w:line="240" w:lineRule="auto"/>
            </w:pPr>
            <w:r/>
            <w:r>
              <w:rPr>
                <w:b w:val="0"/>
                <w:sz w:val="18"/>
              </w:rPr>
              <w:t>Return countries / jurisdictions.</w:t>
            </w:r>
          </w:p>
        </w:tc>
      </w:tr>
      <w:tr>
        <w:tc>
          <w:tcPr>
            <w:tcW w:type="dxa" w:w="1152"/>
            <w:vAlign w:val="top"/>
          </w:tcPr>
          <w:p>
            <w:pPr>
              <w:spacing w:after="0" w:line="240" w:lineRule="auto"/>
            </w:pPr>
            <w:r/>
            <w:r>
              <w:rPr>
                <w:b w:val="0"/>
                <w:sz w:val="18"/>
              </w:rPr>
              <w:t>GET</w:t>
            </w:r>
          </w:p>
        </w:tc>
        <w:tc>
          <w:tcPr>
            <w:tcW w:type="dxa" w:w="3600"/>
            <w:vAlign w:val="top"/>
          </w:tcPr>
          <w:p>
            <w:pPr>
              <w:spacing w:after="0" w:line="240" w:lineRule="auto"/>
            </w:pPr>
            <w:r/>
            <w:r>
              <w:rPr>
                <w:b w:val="0"/>
                <w:sz w:val="18"/>
              </w:rPr>
              <w:t>/api/countries/:countryId/company-types</w:t>
            </w:r>
          </w:p>
        </w:tc>
        <w:tc>
          <w:tcPr>
            <w:tcW w:type="dxa" w:w="4896"/>
            <w:vAlign w:val="top"/>
          </w:tcPr>
          <w:p>
            <w:pPr>
              <w:spacing w:after="0" w:line="240" w:lineRule="auto"/>
            </w:pPr>
            <w:r/>
            <w:r>
              <w:rPr>
                <w:b w:val="0"/>
                <w:sz w:val="18"/>
              </w:rPr>
              <w:t>Return company types for a selected country.</w:t>
            </w:r>
          </w:p>
        </w:tc>
      </w:tr>
      <w:tr>
        <w:tc>
          <w:tcPr>
            <w:tcW w:type="dxa" w:w="1152"/>
            <w:vAlign w:val="top"/>
          </w:tcPr>
          <w:p>
            <w:pPr>
              <w:spacing w:after="0" w:line="240" w:lineRule="auto"/>
            </w:pPr>
            <w:r/>
            <w:r>
              <w:rPr>
                <w:b w:val="0"/>
                <w:sz w:val="18"/>
              </w:rPr>
              <w:t>GET</w:t>
            </w:r>
          </w:p>
        </w:tc>
        <w:tc>
          <w:tcPr>
            <w:tcW w:type="dxa" w:w="3600"/>
            <w:vAlign w:val="top"/>
          </w:tcPr>
          <w:p>
            <w:pPr>
              <w:spacing w:after="0" w:line="240" w:lineRule="auto"/>
            </w:pPr>
            <w:r/>
            <w:r>
              <w:rPr>
                <w:b w:val="0"/>
                <w:sz w:val="18"/>
              </w:rPr>
              <w:t>/api/business-models</w:t>
            </w:r>
          </w:p>
        </w:tc>
        <w:tc>
          <w:tcPr>
            <w:tcW w:type="dxa" w:w="4896"/>
            <w:vAlign w:val="top"/>
          </w:tcPr>
          <w:p>
            <w:pPr>
              <w:spacing w:after="0" w:line="240" w:lineRule="auto"/>
            </w:pPr>
            <w:r/>
            <w:r>
              <w:rPr>
                <w:b w:val="0"/>
                <w:sz w:val="18"/>
              </w:rPr>
              <w:t>Return operating models.</w:t>
            </w:r>
          </w:p>
        </w:tc>
      </w:tr>
      <w:tr>
        <w:tc>
          <w:tcPr>
            <w:tcW w:type="dxa" w:w="1152"/>
            <w:vAlign w:val="top"/>
          </w:tcPr>
          <w:p>
            <w:pPr>
              <w:spacing w:after="0" w:line="240" w:lineRule="auto"/>
            </w:pPr>
            <w:r/>
            <w:r>
              <w:rPr>
                <w:b w:val="0"/>
                <w:sz w:val="18"/>
              </w:rPr>
              <w:t>GET</w:t>
            </w:r>
          </w:p>
        </w:tc>
        <w:tc>
          <w:tcPr>
            <w:tcW w:type="dxa" w:w="3600"/>
            <w:vAlign w:val="top"/>
          </w:tcPr>
          <w:p>
            <w:pPr>
              <w:spacing w:after="0" w:line="240" w:lineRule="auto"/>
            </w:pPr>
            <w:r/>
            <w:r>
              <w:rPr>
                <w:b w:val="0"/>
                <w:sz w:val="18"/>
              </w:rPr>
              <w:t>/api/vehicle-classes</w:t>
            </w:r>
          </w:p>
        </w:tc>
        <w:tc>
          <w:tcPr>
            <w:tcW w:type="dxa" w:w="4896"/>
            <w:vAlign w:val="top"/>
          </w:tcPr>
          <w:p>
            <w:pPr>
              <w:spacing w:after="0" w:line="240" w:lineRule="auto"/>
            </w:pPr>
            <w:r/>
            <w:r>
              <w:rPr>
                <w:b w:val="0"/>
                <w:sz w:val="18"/>
              </w:rPr>
              <w:t>Return vehicle reference classes.</w:t>
            </w:r>
          </w:p>
        </w:tc>
      </w:tr>
      <w:tr>
        <w:tc>
          <w:tcPr>
            <w:tcW w:type="dxa" w:w="1152"/>
            <w:vAlign w:val="top"/>
          </w:tcPr>
          <w:p>
            <w:pPr>
              <w:spacing w:after="0" w:line="240" w:lineRule="auto"/>
            </w:pPr>
            <w:r/>
            <w:r>
              <w:rPr>
                <w:b w:val="0"/>
                <w:sz w:val="18"/>
              </w:rPr>
              <w:t>GET</w:t>
            </w:r>
          </w:p>
        </w:tc>
        <w:tc>
          <w:tcPr>
            <w:tcW w:type="dxa" w:w="3600"/>
            <w:vAlign w:val="top"/>
          </w:tcPr>
          <w:p>
            <w:pPr>
              <w:spacing w:after="0" w:line="240" w:lineRule="auto"/>
            </w:pPr>
            <w:r/>
            <w:r>
              <w:rPr>
                <w:b w:val="0"/>
                <w:sz w:val="18"/>
              </w:rPr>
              <w:t>/api/tax-profile?countryId=&amp;companyTypeId=</w:t>
            </w:r>
          </w:p>
        </w:tc>
        <w:tc>
          <w:tcPr>
            <w:tcW w:type="dxa" w:w="4896"/>
            <w:vAlign w:val="top"/>
          </w:tcPr>
          <w:p>
            <w:pPr>
              <w:spacing w:after="0" w:line="240" w:lineRule="auto"/>
            </w:pPr>
            <w:r/>
            <w:r>
              <w:rPr>
                <w:b w:val="0"/>
                <w:sz w:val="18"/>
              </w:rPr>
              <w:t>Return prefilled tax profile.</w:t>
            </w:r>
          </w:p>
        </w:tc>
      </w:tr>
      <w:tr>
        <w:tc>
          <w:tcPr>
            <w:tcW w:type="dxa" w:w="1152"/>
            <w:vAlign w:val="top"/>
          </w:tcPr>
          <w:p>
            <w:pPr>
              <w:spacing w:after="0" w:line="240" w:lineRule="auto"/>
            </w:pPr>
            <w:r/>
            <w:r>
              <w:rPr>
                <w:b w:val="0"/>
                <w:sz w:val="18"/>
              </w:rPr>
              <w:t>POST</w:t>
            </w:r>
          </w:p>
        </w:tc>
        <w:tc>
          <w:tcPr>
            <w:tcW w:type="dxa" w:w="3600"/>
            <w:vAlign w:val="top"/>
          </w:tcPr>
          <w:p>
            <w:pPr>
              <w:spacing w:after="0" w:line="240" w:lineRule="auto"/>
            </w:pPr>
            <w:r/>
            <w:r>
              <w:rPr>
                <w:b w:val="0"/>
                <w:sz w:val="18"/>
              </w:rPr>
              <w:t>/api/calculations/preview</w:t>
            </w:r>
          </w:p>
        </w:tc>
        <w:tc>
          <w:tcPr>
            <w:tcW w:type="dxa" w:w="4896"/>
            <w:vAlign w:val="top"/>
          </w:tcPr>
          <w:p>
            <w:pPr>
              <w:spacing w:after="0" w:line="240" w:lineRule="auto"/>
            </w:pPr>
            <w:r/>
            <w:r>
              <w:rPr>
                <w:b w:val="0"/>
                <w:sz w:val="18"/>
              </w:rPr>
              <w:t>Calculate without saving.</w:t>
            </w:r>
          </w:p>
        </w:tc>
      </w:tr>
      <w:tr>
        <w:tc>
          <w:tcPr>
            <w:tcW w:type="dxa" w:w="1152"/>
            <w:vAlign w:val="top"/>
          </w:tcPr>
          <w:p>
            <w:pPr>
              <w:spacing w:after="0" w:line="240" w:lineRule="auto"/>
            </w:pPr>
            <w:r/>
            <w:r>
              <w:rPr>
                <w:b w:val="0"/>
                <w:sz w:val="18"/>
              </w:rPr>
              <w:t>POST</w:t>
            </w:r>
          </w:p>
        </w:tc>
        <w:tc>
          <w:tcPr>
            <w:tcW w:type="dxa" w:w="3600"/>
            <w:vAlign w:val="top"/>
          </w:tcPr>
          <w:p>
            <w:pPr>
              <w:spacing w:after="0" w:line="240" w:lineRule="auto"/>
            </w:pPr>
            <w:r/>
            <w:r>
              <w:rPr>
                <w:b w:val="0"/>
                <w:sz w:val="18"/>
              </w:rPr>
              <w:t>/api/calculations</w:t>
            </w:r>
          </w:p>
        </w:tc>
        <w:tc>
          <w:tcPr>
            <w:tcW w:type="dxa" w:w="4896"/>
            <w:vAlign w:val="top"/>
          </w:tcPr>
          <w:p>
            <w:pPr>
              <w:spacing w:after="0" w:line="240" w:lineRule="auto"/>
            </w:pPr>
            <w:r/>
            <w:r>
              <w:rPr>
                <w:b w:val="0"/>
                <w:sz w:val="18"/>
              </w:rPr>
              <w:t>Calculate and save the run.</w:t>
            </w:r>
          </w:p>
        </w:tc>
      </w:tr>
      <w:tr>
        <w:tc>
          <w:tcPr>
            <w:tcW w:type="dxa" w:w="1152"/>
            <w:vAlign w:val="top"/>
          </w:tcPr>
          <w:p>
            <w:pPr>
              <w:spacing w:after="0" w:line="240" w:lineRule="auto"/>
            </w:pPr>
            <w:r/>
            <w:r>
              <w:rPr>
                <w:b w:val="0"/>
                <w:sz w:val="18"/>
              </w:rPr>
              <w:t>GET</w:t>
            </w:r>
          </w:p>
        </w:tc>
        <w:tc>
          <w:tcPr>
            <w:tcW w:type="dxa" w:w="3600"/>
            <w:vAlign w:val="top"/>
          </w:tcPr>
          <w:p>
            <w:pPr>
              <w:spacing w:after="0" w:line="240" w:lineRule="auto"/>
            </w:pPr>
            <w:r/>
            <w:r>
              <w:rPr>
                <w:b w:val="0"/>
                <w:sz w:val="18"/>
              </w:rPr>
              <w:t>/api/calculations</w:t>
            </w:r>
          </w:p>
        </w:tc>
        <w:tc>
          <w:tcPr>
            <w:tcW w:type="dxa" w:w="4896"/>
            <w:vAlign w:val="top"/>
          </w:tcPr>
          <w:p>
            <w:pPr>
              <w:spacing w:after="0" w:line="240" w:lineRule="auto"/>
            </w:pPr>
            <w:r/>
            <w:r>
              <w:rPr>
                <w:b w:val="0"/>
                <w:sz w:val="18"/>
              </w:rPr>
              <w:t>Return saved runs with filters.</w:t>
            </w:r>
          </w:p>
        </w:tc>
      </w:tr>
      <w:tr>
        <w:tc>
          <w:tcPr>
            <w:tcW w:type="dxa" w:w="1152"/>
            <w:vAlign w:val="top"/>
          </w:tcPr>
          <w:p>
            <w:pPr>
              <w:spacing w:after="0" w:line="240" w:lineRule="auto"/>
            </w:pPr>
            <w:r/>
            <w:r>
              <w:rPr>
                <w:b w:val="0"/>
                <w:sz w:val="18"/>
              </w:rPr>
              <w:t>GET</w:t>
            </w:r>
          </w:p>
        </w:tc>
        <w:tc>
          <w:tcPr>
            <w:tcW w:type="dxa" w:w="3600"/>
            <w:vAlign w:val="top"/>
          </w:tcPr>
          <w:p>
            <w:pPr>
              <w:spacing w:after="0" w:line="240" w:lineRule="auto"/>
            </w:pPr>
            <w:r/>
            <w:r>
              <w:rPr>
                <w:b w:val="0"/>
                <w:sz w:val="18"/>
              </w:rPr>
              <w:t>/api/calculations/:id</w:t>
            </w:r>
          </w:p>
        </w:tc>
        <w:tc>
          <w:tcPr>
            <w:tcW w:type="dxa" w:w="4896"/>
            <w:vAlign w:val="top"/>
          </w:tcPr>
          <w:p>
            <w:pPr>
              <w:spacing w:after="0" w:line="240" w:lineRule="auto"/>
            </w:pPr>
            <w:r/>
            <w:r>
              <w:rPr>
                <w:b w:val="0"/>
                <w:sz w:val="18"/>
              </w:rPr>
              <w:t>Return one saved run with inputs and results.</w:t>
            </w:r>
          </w:p>
        </w:tc>
      </w:tr>
      <w:tr>
        <w:tc>
          <w:tcPr>
            <w:tcW w:type="dxa" w:w="1152"/>
            <w:vAlign w:val="top"/>
          </w:tcPr>
          <w:p>
            <w:pPr>
              <w:spacing w:after="0" w:line="240" w:lineRule="auto"/>
            </w:pPr>
            <w:r/>
            <w:r>
              <w:rPr>
                <w:b w:val="0"/>
                <w:sz w:val="18"/>
              </w:rPr>
              <w:t>DELETE</w:t>
            </w:r>
          </w:p>
        </w:tc>
        <w:tc>
          <w:tcPr>
            <w:tcW w:type="dxa" w:w="3600"/>
            <w:vAlign w:val="top"/>
          </w:tcPr>
          <w:p>
            <w:pPr>
              <w:spacing w:after="0" w:line="240" w:lineRule="auto"/>
            </w:pPr>
            <w:r/>
            <w:r>
              <w:rPr>
                <w:b w:val="0"/>
                <w:sz w:val="18"/>
              </w:rPr>
              <w:t>/api/calculations/:id</w:t>
            </w:r>
          </w:p>
        </w:tc>
        <w:tc>
          <w:tcPr>
            <w:tcW w:type="dxa" w:w="4896"/>
            <w:vAlign w:val="top"/>
          </w:tcPr>
          <w:p>
            <w:pPr>
              <w:spacing w:after="0" w:line="240" w:lineRule="auto"/>
            </w:pPr>
            <w:r/>
            <w:r>
              <w:rPr>
                <w:b w:val="0"/>
                <w:sz w:val="18"/>
              </w:rPr>
              <w:t>Delete one saved run.</w:t>
            </w:r>
          </w:p>
        </w:tc>
      </w:tr>
      <w:tr>
        <w:tc>
          <w:tcPr>
            <w:tcW w:type="dxa" w:w="1152"/>
            <w:vAlign w:val="top"/>
          </w:tcPr>
          <w:p>
            <w:pPr>
              <w:spacing w:after="0" w:line="240" w:lineRule="auto"/>
            </w:pPr>
            <w:r/>
            <w:r>
              <w:rPr>
                <w:b w:val="0"/>
                <w:sz w:val="18"/>
              </w:rPr>
              <w:t>POST</w:t>
            </w:r>
          </w:p>
        </w:tc>
        <w:tc>
          <w:tcPr>
            <w:tcW w:type="dxa" w:w="3600"/>
            <w:vAlign w:val="top"/>
          </w:tcPr>
          <w:p>
            <w:pPr>
              <w:spacing w:after="0" w:line="240" w:lineRule="auto"/>
            </w:pPr>
            <w:r/>
            <w:r>
              <w:rPr>
                <w:b w:val="0"/>
                <w:sz w:val="18"/>
              </w:rPr>
              <w:t>/api/pricing-scenarios/preview</w:t>
            </w:r>
          </w:p>
        </w:tc>
        <w:tc>
          <w:tcPr>
            <w:tcW w:type="dxa" w:w="4896"/>
            <w:vAlign w:val="top"/>
          </w:tcPr>
          <w:p>
            <w:pPr>
              <w:spacing w:after="0" w:line="240" w:lineRule="auto"/>
            </w:pPr>
            <w:r/>
            <w:r>
              <w:rPr>
                <w:b w:val="0"/>
                <w:sz w:val="18"/>
              </w:rPr>
              <w:t>Generate markup scenarios from break-even.</w:t>
            </w:r>
          </w:p>
        </w:tc>
      </w:tr>
      <w:tr>
        <w:tc>
          <w:tcPr>
            <w:tcW w:type="dxa" w:w="1152"/>
            <w:vAlign w:val="top"/>
          </w:tcPr>
          <w:p>
            <w:pPr>
              <w:spacing w:after="0" w:line="240" w:lineRule="auto"/>
            </w:pPr>
            <w:r/>
            <w:r>
              <w:rPr>
                <w:b w:val="0"/>
                <w:sz w:val="18"/>
              </w:rPr>
              <w:t>POST</w:t>
            </w:r>
          </w:p>
        </w:tc>
        <w:tc>
          <w:tcPr>
            <w:tcW w:type="dxa" w:w="3600"/>
            <w:vAlign w:val="top"/>
          </w:tcPr>
          <w:p>
            <w:pPr>
              <w:spacing w:after="0" w:line="240" w:lineRule="auto"/>
            </w:pPr>
            <w:r/>
            <w:r>
              <w:rPr>
                <w:b w:val="0"/>
                <w:sz w:val="18"/>
              </w:rPr>
              <w:t>/api/sensitivity/preview</w:t>
            </w:r>
          </w:p>
        </w:tc>
        <w:tc>
          <w:tcPr>
            <w:tcW w:type="dxa" w:w="4896"/>
            <w:vAlign w:val="top"/>
          </w:tcPr>
          <w:p>
            <w:pPr>
              <w:spacing w:after="0" w:line="240" w:lineRule="auto"/>
            </w:pPr>
            <w:r/>
            <w:r>
              <w:rPr>
                <w:b w:val="0"/>
                <w:sz w:val="18"/>
              </w:rPr>
              <w:t>Generate sensitivity tables and chart data.</w:t>
            </w:r>
          </w:p>
        </w:tc>
      </w:tr>
    </w:tbl>
    <w:p/>
    <w:p>
      <w:pPr>
        <w:pStyle w:val="Heading2"/>
      </w:pPr>
      <w:r>
        <w:t>8.1 Sample calculation preview request</w:t>
      </w:r>
    </w:p>
    <w:p>
      <w:pPr>
        <w:pStyle w:val="CodeBlock"/>
      </w:pPr>
      <w:r>
        <w:rPr>
          <w:rFonts w:ascii="Courier New" w:hAnsi="Courier New" w:eastAsia="Courier New"/>
          <w:sz w:val="16"/>
        </w:rPr>
        <w:t>POST /api/calculations/preview</w:t>
        <w:br/>
        <w:t>Content-Type: application/json</w:t>
        <w:br/>
        <w:br/>
        <w:t>{</w:t>
        <w:br/>
        <w:t xml:space="preserve">  "dailyKm": 450,</w:t>
        <w:br/>
        <w:t xml:space="preserve">  "operatingDaysPerYear": 240,</w:t>
        <w:br/>
        <w:t xml:space="preserve">  "loadFactor": 0.85,</w:t>
        <w:br/>
        <w:t xml:space="preserve">  "payloadCapacityTons": 24,</w:t>
        <w:br/>
        <w:t xml:space="preserve">  "payloadUtilisation": 0.9,</w:t>
        <w:br/>
        <w:t xml:space="preserve">  "fuelConsumptionLPer100Km": 29,</w:t>
        <w:br/>
        <w:t xml:space="preserve">  "fuelPricePerLiter": 1.55,</w:t>
        <w:br/>
        <w:t xml:space="preserve">  "tyresAnnualCost": 4500,</w:t>
        <w:br/>
        <w:t xml:space="preserve">  "maintenanceAnnualCost": 9500,</w:t>
        <w:br/>
        <w:t xml:space="preserve">  "roadFeesAnnualCost": 18000,</w:t>
        <w:br/>
        <w:t xml:space="preserve">  "driverSalaryAnnual": 36000,</w:t>
        <w:br/>
        <w:t xml:space="preserve">  "driverPerDiemDaily": 35,</w:t>
        <w:br/>
        <w:t xml:space="preserve">  "ownershipOrLeasingAnnual": 32000,</w:t>
        <w:br/>
        <w:t xml:space="preserve">  "insuranceAnnual": 4800,</w:t>
        <w:br/>
        <w:t xml:space="preserve">  "vehicleTaxAnnual": 1200,</w:t>
        <w:br/>
        <w:t xml:space="preserve">  "structuralIndirectCostsAnnual": 15000,</w:t>
        <w:br/>
        <w:t xml:space="preserve">  "employerContributionRate": 0.21,</w:t>
        <w:br/>
        <w:t xml:space="preserve">  "vatRate": 0.20,</w:t>
        <w:br/>
        <w:t xml:space="preserve">  "effectiveBusinessTaxRate": 0.23,</w:t>
        <w:br/>
        <w:t xml:space="preserve">  "markupPercentage": 0.15</w:t>
        <w:br/>
        <w:t>}</w:t>
      </w:r>
    </w:p>
    <w:p>
      <w:pPr>
        <w:pStyle w:val="Heading1"/>
      </w:pPr>
      <w:r>
        <w:t>9. Frontend structure and UX requirements</w:t>
      </w:r>
    </w:p>
    <w:p>
      <w:r>
        <w:t>The frontend should follow a guided workflow, with input pages separated from calculated output pages. Computed values should be visibly read-only. Editable fields should be visually highlighted and validation errors should appear beside the field, not only after submission.</w:t>
      </w:r>
    </w:p>
    <w:tbl>
      <w:tblPr>
        <w:tblStyle w:val="LightList-Accent1"/>
        <w:tblW w:type="auto" w:w="0"/>
        <w:jc w:val="center"/>
        <w:tblLook w:firstColumn="1" w:firstRow="1" w:lastColumn="0" w:lastRow="0" w:noHBand="0" w:noVBand="1" w:val="04A0"/>
      </w:tblPr>
      <w:tblGrid>
        <w:gridCol w:w="3360"/>
        <w:gridCol w:w="3360"/>
        <w:gridCol w:w="3360"/>
      </w:tblGrid>
      <w:tr>
        <w:tc>
          <w:tcPr>
            <w:tcW w:type="dxa" w:w="2592"/>
            <w:shd w:fill="D9EAF7"/>
            <w:vAlign w:val="center"/>
          </w:tcPr>
          <w:p>
            <w:pPr>
              <w:spacing w:after="0" w:line="240" w:lineRule="auto"/>
            </w:pPr>
            <w:r/>
            <w:r>
              <w:rPr>
                <w:b/>
                <w:sz w:val="18"/>
              </w:rPr>
              <w:t>Route</w:t>
            </w:r>
          </w:p>
        </w:tc>
        <w:tc>
          <w:tcPr>
            <w:tcW w:type="dxa" w:w="3456"/>
            <w:shd w:fill="D9EAF7"/>
            <w:vAlign w:val="center"/>
          </w:tcPr>
          <w:p>
            <w:pPr>
              <w:spacing w:after="0" w:line="240" w:lineRule="auto"/>
            </w:pPr>
            <w:r/>
            <w:r>
              <w:rPr>
                <w:b/>
                <w:sz w:val="18"/>
              </w:rPr>
              <w:t>Page</w:t>
            </w:r>
          </w:p>
        </w:tc>
        <w:tc>
          <w:tcPr>
            <w:tcW w:type="dxa" w:w="3600"/>
            <w:shd w:fill="D9EAF7"/>
            <w:vAlign w:val="center"/>
          </w:tcPr>
          <w:p>
            <w:pPr>
              <w:spacing w:after="0" w:line="240" w:lineRule="auto"/>
            </w:pPr>
            <w:r/>
            <w:r>
              <w:rPr>
                <w:b/>
                <w:sz w:val="18"/>
              </w:rPr>
              <w:t>Editable?</w:t>
            </w:r>
          </w:p>
        </w:tc>
      </w:tr>
      <w:tr>
        <w:tc>
          <w:tcPr>
            <w:tcW w:type="dxa" w:w="2592"/>
            <w:vAlign w:val="top"/>
          </w:tcPr>
          <w:p>
            <w:pPr>
              <w:spacing w:after="0" w:line="240" w:lineRule="auto"/>
            </w:pPr>
            <w:r/>
            <w:r>
              <w:rPr>
                <w:b w:val="0"/>
                <w:sz w:val="18"/>
              </w:rPr>
              <w:t>/</w:t>
            </w:r>
          </w:p>
        </w:tc>
        <w:tc>
          <w:tcPr>
            <w:tcW w:type="dxa" w:w="3456"/>
            <w:vAlign w:val="top"/>
          </w:tcPr>
          <w:p>
            <w:pPr>
              <w:spacing w:after="0" w:line="240" w:lineRule="auto"/>
            </w:pPr>
            <w:r/>
            <w:r>
              <w:rPr>
                <w:b w:val="0"/>
                <w:sz w:val="18"/>
              </w:rPr>
              <w:t>Dashboard / Start Here</w:t>
            </w:r>
          </w:p>
        </w:tc>
        <w:tc>
          <w:tcPr>
            <w:tcW w:type="dxa" w:w="3600"/>
            <w:vAlign w:val="top"/>
          </w:tcPr>
          <w:p>
            <w:pPr>
              <w:spacing w:after="0" w:line="240" w:lineRule="auto"/>
            </w:pPr>
            <w:r/>
            <w:r>
              <w:rPr>
                <w:b w:val="0"/>
                <w:sz w:val="18"/>
              </w:rPr>
              <w:t>Mostly read-only; navigation actions.</w:t>
            </w:r>
          </w:p>
        </w:tc>
      </w:tr>
      <w:tr>
        <w:tc>
          <w:tcPr>
            <w:tcW w:type="dxa" w:w="2592"/>
            <w:vAlign w:val="top"/>
          </w:tcPr>
          <w:p>
            <w:pPr>
              <w:spacing w:after="0" w:line="240" w:lineRule="auto"/>
            </w:pPr>
            <w:r/>
            <w:r>
              <w:rPr>
                <w:b w:val="0"/>
                <w:sz w:val="18"/>
              </w:rPr>
              <w:t>/company-tax-profile</w:t>
            </w:r>
          </w:p>
        </w:tc>
        <w:tc>
          <w:tcPr>
            <w:tcW w:type="dxa" w:w="3456"/>
            <w:vAlign w:val="top"/>
          </w:tcPr>
          <w:p>
            <w:pPr>
              <w:spacing w:after="0" w:line="240" w:lineRule="auto"/>
            </w:pPr>
            <w:r/>
            <w:r>
              <w:rPr>
                <w:b w:val="0"/>
                <w:sz w:val="18"/>
              </w:rPr>
              <w:t>Company &amp; Tax Profile</w:t>
            </w:r>
          </w:p>
        </w:tc>
        <w:tc>
          <w:tcPr>
            <w:tcW w:type="dxa" w:w="3600"/>
            <w:vAlign w:val="top"/>
          </w:tcPr>
          <w:p>
            <w:pPr>
              <w:spacing w:after="0" w:line="240" w:lineRule="auto"/>
            </w:pPr>
            <w:r/>
            <w:r>
              <w:rPr>
                <w:b w:val="0"/>
                <w:sz w:val="18"/>
              </w:rPr>
              <w:t>Country, company type, business model, number of trucks.</w:t>
            </w:r>
          </w:p>
        </w:tc>
      </w:tr>
      <w:tr>
        <w:tc>
          <w:tcPr>
            <w:tcW w:type="dxa" w:w="2592"/>
            <w:vAlign w:val="top"/>
          </w:tcPr>
          <w:p>
            <w:pPr>
              <w:spacing w:after="0" w:line="240" w:lineRule="auto"/>
            </w:pPr>
            <w:r/>
            <w:r>
              <w:rPr>
                <w:b w:val="0"/>
                <w:sz w:val="18"/>
              </w:rPr>
              <w:t>/inputs</w:t>
            </w:r>
          </w:p>
        </w:tc>
        <w:tc>
          <w:tcPr>
            <w:tcW w:type="dxa" w:w="3456"/>
            <w:vAlign w:val="top"/>
          </w:tcPr>
          <w:p>
            <w:pPr>
              <w:spacing w:after="0" w:line="240" w:lineRule="auto"/>
            </w:pPr>
            <w:r/>
            <w:r>
              <w:rPr>
                <w:b w:val="0"/>
                <w:sz w:val="18"/>
              </w:rPr>
              <w:t>Transport Inputs</w:t>
            </w:r>
          </w:p>
        </w:tc>
        <w:tc>
          <w:tcPr>
            <w:tcW w:type="dxa" w:w="3600"/>
            <w:vAlign w:val="top"/>
          </w:tcPr>
          <w:p>
            <w:pPr>
              <w:spacing w:after="0" w:line="240" w:lineRule="auto"/>
            </w:pPr>
            <w:r/>
            <w:r>
              <w:rPr>
                <w:b w:val="0"/>
                <w:sz w:val="18"/>
              </w:rPr>
              <w:t>Operational and cost assumptions.</w:t>
            </w:r>
          </w:p>
        </w:tc>
      </w:tr>
      <w:tr>
        <w:tc>
          <w:tcPr>
            <w:tcW w:type="dxa" w:w="2592"/>
            <w:vAlign w:val="top"/>
          </w:tcPr>
          <w:p>
            <w:pPr>
              <w:spacing w:after="0" w:line="240" w:lineRule="auto"/>
            </w:pPr>
            <w:r/>
            <w:r>
              <w:rPr>
                <w:b w:val="0"/>
                <w:sz w:val="18"/>
              </w:rPr>
              <w:t>/engine</w:t>
            </w:r>
          </w:p>
        </w:tc>
        <w:tc>
          <w:tcPr>
            <w:tcW w:type="dxa" w:w="3456"/>
            <w:vAlign w:val="top"/>
          </w:tcPr>
          <w:p>
            <w:pPr>
              <w:spacing w:after="0" w:line="240" w:lineRule="auto"/>
            </w:pPr>
            <w:r/>
            <w:r>
              <w:rPr>
                <w:b w:val="0"/>
                <w:sz w:val="18"/>
              </w:rPr>
              <w:t>Break-even Results</w:t>
            </w:r>
          </w:p>
        </w:tc>
        <w:tc>
          <w:tcPr>
            <w:tcW w:type="dxa" w:w="3600"/>
            <w:vAlign w:val="top"/>
          </w:tcPr>
          <w:p>
            <w:pPr>
              <w:spacing w:after="0" w:line="240" w:lineRule="auto"/>
            </w:pPr>
            <w:r/>
            <w:r>
              <w:rPr>
                <w:b w:val="0"/>
                <w:sz w:val="18"/>
              </w:rPr>
              <w:t>Read-only.</w:t>
            </w:r>
          </w:p>
        </w:tc>
      </w:tr>
      <w:tr>
        <w:tc>
          <w:tcPr>
            <w:tcW w:type="dxa" w:w="2592"/>
            <w:vAlign w:val="top"/>
          </w:tcPr>
          <w:p>
            <w:pPr>
              <w:spacing w:after="0" w:line="240" w:lineRule="auto"/>
            </w:pPr>
            <w:r/>
            <w:r>
              <w:rPr>
                <w:b w:val="0"/>
                <w:sz w:val="18"/>
              </w:rPr>
              <w:t>/pricing</w:t>
            </w:r>
          </w:p>
        </w:tc>
        <w:tc>
          <w:tcPr>
            <w:tcW w:type="dxa" w:w="3456"/>
            <w:vAlign w:val="top"/>
          </w:tcPr>
          <w:p>
            <w:pPr>
              <w:spacing w:after="0" w:line="240" w:lineRule="auto"/>
            </w:pPr>
            <w:r/>
            <w:r>
              <w:rPr>
                <w:b w:val="0"/>
                <w:sz w:val="18"/>
              </w:rPr>
              <w:t>Pricing Scenarios</w:t>
            </w:r>
          </w:p>
        </w:tc>
        <w:tc>
          <w:tcPr>
            <w:tcW w:type="dxa" w:w="3600"/>
            <w:vAlign w:val="top"/>
          </w:tcPr>
          <w:p>
            <w:pPr>
              <w:spacing w:after="0" w:line="240" w:lineRule="auto"/>
            </w:pPr>
            <w:r/>
            <w:r>
              <w:rPr>
                <w:b w:val="0"/>
                <w:sz w:val="18"/>
              </w:rPr>
              <w:t>Markup selection and scenario percentages.</w:t>
            </w:r>
          </w:p>
        </w:tc>
      </w:tr>
      <w:tr>
        <w:tc>
          <w:tcPr>
            <w:tcW w:type="dxa" w:w="2592"/>
            <w:vAlign w:val="top"/>
          </w:tcPr>
          <w:p>
            <w:pPr>
              <w:spacing w:after="0" w:line="240" w:lineRule="auto"/>
            </w:pPr>
            <w:r/>
            <w:r>
              <w:rPr>
                <w:b w:val="0"/>
                <w:sz w:val="18"/>
              </w:rPr>
              <w:t>/sensitivity</w:t>
            </w:r>
          </w:p>
        </w:tc>
        <w:tc>
          <w:tcPr>
            <w:tcW w:type="dxa" w:w="3456"/>
            <w:vAlign w:val="top"/>
          </w:tcPr>
          <w:p>
            <w:pPr>
              <w:spacing w:after="0" w:line="240" w:lineRule="auto"/>
            </w:pPr>
            <w:r/>
            <w:r>
              <w:rPr>
                <w:b w:val="0"/>
                <w:sz w:val="18"/>
              </w:rPr>
              <w:t>Sensitivity</w:t>
            </w:r>
          </w:p>
        </w:tc>
        <w:tc>
          <w:tcPr>
            <w:tcW w:type="dxa" w:w="3600"/>
            <w:vAlign w:val="top"/>
          </w:tcPr>
          <w:p>
            <w:pPr>
              <w:spacing w:after="0" w:line="240" w:lineRule="auto"/>
            </w:pPr>
            <w:r/>
            <w:r>
              <w:rPr>
                <w:b w:val="0"/>
                <w:sz w:val="18"/>
              </w:rPr>
              <w:t>Scenario ranges and selected profile.</w:t>
            </w:r>
          </w:p>
        </w:tc>
      </w:tr>
      <w:tr>
        <w:tc>
          <w:tcPr>
            <w:tcW w:type="dxa" w:w="2592"/>
            <w:vAlign w:val="top"/>
          </w:tcPr>
          <w:p>
            <w:pPr>
              <w:spacing w:after="0" w:line="240" w:lineRule="auto"/>
            </w:pPr>
            <w:r/>
            <w:r>
              <w:rPr>
                <w:b w:val="0"/>
                <w:sz w:val="18"/>
              </w:rPr>
              <w:t>/vehicle-classes</w:t>
            </w:r>
          </w:p>
        </w:tc>
        <w:tc>
          <w:tcPr>
            <w:tcW w:type="dxa" w:w="3456"/>
            <w:vAlign w:val="top"/>
          </w:tcPr>
          <w:p>
            <w:pPr>
              <w:spacing w:after="0" w:line="240" w:lineRule="auto"/>
            </w:pPr>
            <w:r/>
            <w:r>
              <w:rPr>
                <w:b w:val="0"/>
                <w:sz w:val="18"/>
              </w:rPr>
              <w:t>Vehicle Classes</w:t>
            </w:r>
          </w:p>
        </w:tc>
        <w:tc>
          <w:tcPr>
            <w:tcW w:type="dxa" w:w="3600"/>
            <w:vAlign w:val="top"/>
          </w:tcPr>
          <w:p>
            <w:pPr>
              <w:spacing w:after="0" w:line="240" w:lineRule="auto"/>
            </w:pPr>
            <w:r/>
            <w:r>
              <w:rPr>
                <w:b w:val="0"/>
                <w:sz w:val="18"/>
              </w:rPr>
              <w:t>Read-only for normal user; editable in admin mode later.</w:t>
            </w:r>
          </w:p>
        </w:tc>
      </w:tr>
      <w:tr>
        <w:tc>
          <w:tcPr>
            <w:tcW w:type="dxa" w:w="2592"/>
            <w:vAlign w:val="top"/>
          </w:tcPr>
          <w:p>
            <w:pPr>
              <w:spacing w:after="0" w:line="240" w:lineRule="auto"/>
            </w:pPr>
            <w:r/>
            <w:r>
              <w:rPr>
                <w:b w:val="0"/>
                <w:sz w:val="18"/>
              </w:rPr>
              <w:t>/history</w:t>
            </w:r>
          </w:p>
        </w:tc>
        <w:tc>
          <w:tcPr>
            <w:tcW w:type="dxa" w:w="3456"/>
            <w:vAlign w:val="top"/>
          </w:tcPr>
          <w:p>
            <w:pPr>
              <w:spacing w:after="0" w:line="240" w:lineRule="auto"/>
            </w:pPr>
            <w:r/>
            <w:r>
              <w:rPr>
                <w:b w:val="0"/>
                <w:sz w:val="18"/>
              </w:rPr>
              <w:t>Saved Runs</w:t>
            </w:r>
          </w:p>
        </w:tc>
        <w:tc>
          <w:tcPr>
            <w:tcW w:type="dxa" w:w="3600"/>
            <w:vAlign w:val="top"/>
          </w:tcPr>
          <w:p>
            <w:pPr>
              <w:spacing w:after="0" w:line="240" w:lineRule="auto"/>
            </w:pPr>
            <w:r/>
            <w:r>
              <w:rPr>
                <w:b w:val="0"/>
                <w:sz w:val="18"/>
              </w:rPr>
              <w:t>Open, duplicate, compare, delete.</w:t>
            </w:r>
          </w:p>
        </w:tc>
      </w:tr>
    </w:tbl>
    <w:p/>
    <w:p>
      <w:pPr>
        <w:pStyle w:val="Heading2"/>
      </w:pPr>
      <w:r>
        <w:t>9.1 UX rules</w:t>
      </w:r>
    </w:p>
    <w:p>
      <w:pPr>
        <w:pStyle w:val="ListBullet"/>
      </w:pPr>
      <w:r>
        <w:t>Use a clear filling sequence: Company &amp; Tax Profile -&gt; Inputs -&gt; Engine -&gt; Pricing -&gt; Sensitivity.</w:t>
      </w:r>
    </w:p>
    <w:p>
      <w:pPr>
        <w:pStyle w:val="ListBullet"/>
      </w:pPr>
      <w:r>
        <w:t>Only editable fields should look editable.</w:t>
      </w:r>
    </w:p>
    <w:p>
      <w:pPr>
        <w:pStyle w:val="ListBullet"/>
      </w:pPr>
      <w:r>
        <w:t>Computed fields should have a read-only visual treatment.</w:t>
      </w:r>
    </w:p>
    <w:p>
      <w:pPr>
        <w:pStyle w:val="ListBullet"/>
      </w:pPr>
      <w:r>
        <w:t>Show annual km and loaded km as live previews on the Inputs page.</w:t>
      </w:r>
    </w:p>
    <w:p>
      <w:pPr>
        <w:pStyle w:val="ListBullet"/>
      </w:pPr>
      <w:r>
        <w:t>Show break-even before customer rate.</w:t>
      </w:r>
    </w:p>
    <w:p>
      <w:pPr>
        <w:pStyle w:val="ListBullet"/>
      </w:pPr>
      <w:r>
        <w:t>Show customer rate excluding VAT and invoice rate including VAT side by side.</w:t>
      </w:r>
    </w:p>
    <w:p>
      <w:pPr>
        <w:pStyle w:val="ListBullet"/>
      </w:pPr>
      <w:r>
        <w:t>Display a warning that a 10 percent markup over break-even is not the same as a 10 percent EBIT margin.</w:t>
      </w:r>
    </w:p>
    <w:p>
      <w:pPr>
        <w:pStyle w:val="ListBullet"/>
      </w:pPr>
      <w:r>
        <w:t>Use charts for sensitivity, but always include the numeric table for auditability.</w:t>
      </w:r>
    </w:p>
    <w:p>
      <w:pPr>
        <w:pStyle w:val="Heading1"/>
      </w:pPr>
      <w:r>
        <w:t>10. Validation, controls and auditability</w:t>
      </w:r>
    </w:p>
    <w:p>
      <w:r>
        <w:t>The webapp must protect the engine from accidental manipulation. In Excel this was achieved by locking computed cells. In the webapp the equivalent control is to make calculated fields read-only and centralise all formula logic in the backend.</w:t>
      </w:r>
    </w:p>
    <w:tbl>
      <w:tblPr>
        <w:tblStyle w:val="LightList-Accent1"/>
        <w:tblW w:type="auto" w:w="0"/>
        <w:jc w:val="center"/>
        <w:tblLook w:firstColumn="1" w:firstRow="1" w:lastColumn="0" w:lastRow="0" w:noHBand="0" w:noVBand="1" w:val="04A0"/>
      </w:tblPr>
      <w:tblGrid>
        <w:gridCol w:w="5040"/>
        <w:gridCol w:w="5040"/>
      </w:tblGrid>
      <w:tr>
        <w:tc>
          <w:tcPr>
            <w:tcW w:type="dxa" w:w="3168"/>
            <w:shd w:fill="D9EAF7"/>
            <w:vAlign w:val="center"/>
          </w:tcPr>
          <w:p>
            <w:pPr>
              <w:spacing w:after="0" w:line="240" w:lineRule="auto"/>
            </w:pPr>
            <w:r/>
            <w:r>
              <w:rPr>
                <w:b/>
                <w:sz w:val="18"/>
              </w:rPr>
              <w:t>Control</w:t>
            </w:r>
          </w:p>
        </w:tc>
        <w:tc>
          <w:tcPr>
            <w:tcW w:type="dxa" w:w="6480"/>
            <w:shd w:fill="D9EAF7"/>
            <w:vAlign w:val="center"/>
          </w:tcPr>
          <w:p>
            <w:pPr>
              <w:spacing w:after="0" w:line="240" w:lineRule="auto"/>
            </w:pPr>
            <w:r/>
            <w:r>
              <w:rPr>
                <w:b/>
                <w:sz w:val="18"/>
              </w:rPr>
              <w:t>Implementation</w:t>
            </w:r>
          </w:p>
        </w:tc>
      </w:tr>
      <w:tr>
        <w:tc>
          <w:tcPr>
            <w:tcW w:type="dxa" w:w="3168"/>
            <w:vAlign w:val="top"/>
          </w:tcPr>
          <w:p>
            <w:pPr>
              <w:spacing w:after="0" w:line="240" w:lineRule="auto"/>
            </w:pPr>
            <w:r/>
            <w:r>
              <w:rPr>
                <w:b w:val="0"/>
                <w:sz w:val="18"/>
              </w:rPr>
              <w:t>Computed field protection</w:t>
            </w:r>
          </w:p>
        </w:tc>
        <w:tc>
          <w:tcPr>
            <w:tcW w:type="dxa" w:w="6480"/>
            <w:vAlign w:val="top"/>
          </w:tcPr>
          <w:p>
            <w:pPr>
              <w:spacing w:after="0" w:line="240" w:lineRule="auto"/>
            </w:pPr>
            <w:r/>
            <w:r>
              <w:rPr>
                <w:b w:val="0"/>
                <w:sz w:val="18"/>
              </w:rPr>
              <w:t>Computed values are never editable in the UI.</w:t>
            </w:r>
          </w:p>
        </w:tc>
      </w:tr>
      <w:tr>
        <w:tc>
          <w:tcPr>
            <w:tcW w:type="dxa" w:w="3168"/>
            <w:vAlign w:val="top"/>
          </w:tcPr>
          <w:p>
            <w:pPr>
              <w:spacing w:after="0" w:line="240" w:lineRule="auto"/>
            </w:pPr>
            <w:r/>
            <w:r>
              <w:rPr>
                <w:b w:val="0"/>
                <w:sz w:val="18"/>
              </w:rPr>
              <w:t>Input validation</w:t>
            </w:r>
          </w:p>
        </w:tc>
        <w:tc>
          <w:tcPr>
            <w:tcW w:type="dxa" w:w="6480"/>
            <w:vAlign w:val="top"/>
          </w:tcPr>
          <w:p>
            <w:pPr>
              <w:spacing w:after="0" w:line="240" w:lineRule="auto"/>
            </w:pPr>
            <w:r/>
            <w:r>
              <w:rPr>
                <w:b w:val="0"/>
                <w:sz w:val="18"/>
              </w:rPr>
              <w:t>Frontend validation for user feedback; backend validation for authority.</w:t>
            </w:r>
          </w:p>
        </w:tc>
      </w:tr>
      <w:tr>
        <w:tc>
          <w:tcPr>
            <w:tcW w:type="dxa" w:w="3168"/>
            <w:vAlign w:val="top"/>
          </w:tcPr>
          <w:p>
            <w:pPr>
              <w:spacing w:after="0" w:line="240" w:lineRule="auto"/>
            </w:pPr>
            <w:r/>
            <w:r>
              <w:rPr>
                <w:b w:val="0"/>
                <w:sz w:val="18"/>
              </w:rPr>
              <w:t>Formula control</w:t>
            </w:r>
          </w:p>
        </w:tc>
        <w:tc>
          <w:tcPr>
            <w:tcW w:type="dxa" w:w="6480"/>
            <w:vAlign w:val="top"/>
          </w:tcPr>
          <w:p>
            <w:pPr>
              <w:spacing w:after="0" w:line="240" w:lineRule="auto"/>
            </w:pPr>
            <w:r/>
            <w:r>
              <w:rPr>
                <w:b w:val="0"/>
                <w:sz w:val="18"/>
              </w:rPr>
              <w:t>All core formulas live in services/calculationEngine.js.</w:t>
            </w:r>
          </w:p>
        </w:tc>
      </w:tr>
      <w:tr>
        <w:tc>
          <w:tcPr>
            <w:tcW w:type="dxa" w:w="3168"/>
            <w:vAlign w:val="top"/>
          </w:tcPr>
          <w:p>
            <w:pPr>
              <w:spacing w:after="0" w:line="240" w:lineRule="auto"/>
            </w:pPr>
            <w:r/>
            <w:r>
              <w:rPr>
                <w:b w:val="0"/>
                <w:sz w:val="18"/>
              </w:rPr>
              <w:t>Auditability</w:t>
            </w:r>
          </w:p>
        </w:tc>
        <w:tc>
          <w:tcPr>
            <w:tcW w:type="dxa" w:w="6480"/>
            <w:vAlign w:val="top"/>
          </w:tcPr>
          <w:p>
            <w:pPr>
              <w:spacing w:after="0" w:line="240" w:lineRule="auto"/>
            </w:pPr>
            <w:r/>
            <w:r>
              <w:rPr>
                <w:b w:val="0"/>
                <w:sz w:val="18"/>
              </w:rPr>
              <w:t>Save exact inputs and exact outputs per calculation run.</w:t>
            </w:r>
          </w:p>
        </w:tc>
      </w:tr>
      <w:tr>
        <w:tc>
          <w:tcPr>
            <w:tcW w:type="dxa" w:w="3168"/>
            <w:vAlign w:val="top"/>
          </w:tcPr>
          <w:p>
            <w:pPr>
              <w:spacing w:after="0" w:line="240" w:lineRule="auto"/>
            </w:pPr>
            <w:r/>
            <w:r>
              <w:rPr>
                <w:b w:val="0"/>
                <w:sz w:val="18"/>
              </w:rPr>
              <w:t>Reference data governance</w:t>
            </w:r>
          </w:p>
        </w:tc>
        <w:tc>
          <w:tcPr>
            <w:tcW w:type="dxa" w:w="6480"/>
            <w:vAlign w:val="top"/>
          </w:tcPr>
          <w:p>
            <w:pPr>
              <w:spacing w:after="0" w:line="240" w:lineRule="auto"/>
            </w:pPr>
            <w:r/>
            <w:r>
              <w:rPr>
                <w:b w:val="0"/>
                <w:sz w:val="18"/>
              </w:rPr>
              <w:t>Tax rules and vehicle classes are maintained as source-controlled data.</w:t>
            </w:r>
          </w:p>
        </w:tc>
      </w:tr>
      <w:tr>
        <w:tc>
          <w:tcPr>
            <w:tcW w:type="dxa" w:w="3168"/>
            <w:vAlign w:val="top"/>
          </w:tcPr>
          <w:p>
            <w:pPr>
              <w:spacing w:after="0" w:line="240" w:lineRule="auto"/>
            </w:pPr>
            <w:r/>
            <w:r>
              <w:rPr>
                <w:b w:val="0"/>
                <w:sz w:val="18"/>
              </w:rPr>
              <w:t>Tax disclaimer</w:t>
            </w:r>
          </w:p>
        </w:tc>
        <w:tc>
          <w:tcPr>
            <w:tcW w:type="dxa" w:w="6480"/>
            <w:vAlign w:val="top"/>
          </w:tcPr>
          <w:p>
            <w:pPr>
              <w:spacing w:after="0" w:line="240" w:lineRule="auto"/>
            </w:pPr>
            <w:r/>
            <w:r>
              <w:rPr>
                <w:b w:val="0"/>
                <w:sz w:val="18"/>
              </w:rPr>
              <w:t>Tax values are modelling defaults and must be maintained for legal accuracy.</w:t>
            </w:r>
          </w:p>
        </w:tc>
      </w:tr>
      <w:tr>
        <w:tc>
          <w:tcPr>
            <w:tcW w:type="dxa" w:w="3168"/>
            <w:vAlign w:val="top"/>
          </w:tcPr>
          <w:p>
            <w:pPr>
              <w:spacing w:after="0" w:line="240" w:lineRule="auto"/>
            </w:pPr>
            <w:r/>
            <w:r>
              <w:rPr>
                <w:b w:val="0"/>
                <w:sz w:val="18"/>
              </w:rPr>
              <w:t>Reproducibility</w:t>
            </w:r>
          </w:p>
        </w:tc>
        <w:tc>
          <w:tcPr>
            <w:tcW w:type="dxa" w:w="6480"/>
            <w:vAlign w:val="top"/>
          </w:tcPr>
          <w:p>
            <w:pPr>
              <w:spacing w:after="0" w:line="240" w:lineRule="auto"/>
            </w:pPr>
            <w:r/>
            <w:r>
              <w:rPr>
                <w:b w:val="0"/>
                <w:sz w:val="18"/>
              </w:rPr>
              <w:t>Same input and same tax profile return same result.</w:t>
            </w:r>
          </w:p>
        </w:tc>
      </w:tr>
    </w:tbl>
    <w:p/>
    <w:p>
      <w:pPr>
        <w:pStyle w:val="Heading1"/>
      </w:pPr>
      <w:r>
        <w:t>11. Security, deployment and operations</w:t>
      </w:r>
    </w:p>
    <w:p>
      <w:pPr>
        <w:pStyle w:val="Heading2"/>
      </w:pPr>
      <w:r>
        <w:t>11.1 Target stack</w:t>
      </w:r>
    </w:p>
    <w:tbl>
      <w:tblPr>
        <w:tblStyle w:val="LightList-Accent1"/>
        <w:tblW w:type="auto" w:w="0"/>
        <w:jc w:val="center"/>
        <w:tblLook w:firstColumn="1" w:firstRow="1" w:lastColumn="0" w:lastRow="0" w:noHBand="0" w:noVBand="1" w:val="04A0"/>
      </w:tblPr>
      <w:tblGrid>
        <w:gridCol w:w="5040"/>
        <w:gridCol w:w="5040"/>
      </w:tblGrid>
      <w:tr>
        <w:tc>
          <w:tcPr>
            <w:tcW w:type="dxa" w:w="2592"/>
            <w:shd w:fill="D9EAF7"/>
            <w:vAlign w:val="center"/>
          </w:tcPr>
          <w:p>
            <w:pPr>
              <w:spacing w:after="0" w:line="240" w:lineRule="auto"/>
            </w:pPr>
            <w:r/>
            <w:r>
              <w:rPr>
                <w:b/>
                <w:sz w:val="18"/>
              </w:rPr>
              <w:t>Layer</w:t>
            </w:r>
          </w:p>
        </w:tc>
        <w:tc>
          <w:tcPr>
            <w:tcW w:type="dxa" w:w="7056"/>
            <w:shd w:fill="D9EAF7"/>
            <w:vAlign w:val="center"/>
          </w:tcPr>
          <w:p>
            <w:pPr>
              <w:spacing w:after="0" w:line="240" w:lineRule="auto"/>
            </w:pPr>
            <w:r/>
            <w:r>
              <w:rPr>
                <w:b/>
                <w:sz w:val="18"/>
              </w:rPr>
              <w:t>Recommended technology</w:t>
            </w:r>
          </w:p>
        </w:tc>
      </w:tr>
      <w:tr>
        <w:tc>
          <w:tcPr>
            <w:tcW w:type="dxa" w:w="2592"/>
            <w:vAlign w:val="top"/>
          </w:tcPr>
          <w:p>
            <w:pPr>
              <w:spacing w:after="0" w:line="240" w:lineRule="auto"/>
            </w:pPr>
            <w:r/>
            <w:r>
              <w:rPr>
                <w:b w:val="0"/>
                <w:sz w:val="18"/>
              </w:rPr>
              <w:t>Frontend</w:t>
            </w:r>
          </w:p>
        </w:tc>
        <w:tc>
          <w:tcPr>
            <w:tcW w:type="dxa" w:w="7056"/>
            <w:vAlign w:val="top"/>
          </w:tcPr>
          <w:p>
            <w:pPr>
              <w:spacing w:after="0" w:line="240" w:lineRule="auto"/>
            </w:pPr>
            <w:r/>
            <w:r>
              <w:rPr>
                <w:b w:val="0"/>
                <w:sz w:val="18"/>
              </w:rPr>
              <w:t>React with Vite</w:t>
            </w:r>
          </w:p>
        </w:tc>
      </w:tr>
      <w:tr>
        <w:tc>
          <w:tcPr>
            <w:tcW w:type="dxa" w:w="2592"/>
            <w:vAlign w:val="top"/>
          </w:tcPr>
          <w:p>
            <w:pPr>
              <w:spacing w:after="0" w:line="240" w:lineRule="auto"/>
            </w:pPr>
            <w:r/>
            <w:r>
              <w:rPr>
                <w:b w:val="0"/>
                <w:sz w:val="18"/>
              </w:rPr>
              <w:t>Backend</w:t>
            </w:r>
          </w:p>
        </w:tc>
        <w:tc>
          <w:tcPr>
            <w:tcW w:type="dxa" w:w="7056"/>
            <w:vAlign w:val="top"/>
          </w:tcPr>
          <w:p>
            <w:pPr>
              <w:spacing w:after="0" w:line="240" w:lineRule="auto"/>
            </w:pPr>
            <w:r/>
            <w:r>
              <w:rPr>
                <w:b w:val="0"/>
                <w:sz w:val="18"/>
              </w:rPr>
              <w:t>Node.js with Express</w:t>
            </w:r>
          </w:p>
        </w:tc>
      </w:tr>
      <w:tr>
        <w:tc>
          <w:tcPr>
            <w:tcW w:type="dxa" w:w="2592"/>
            <w:vAlign w:val="top"/>
          </w:tcPr>
          <w:p>
            <w:pPr>
              <w:spacing w:after="0" w:line="240" w:lineRule="auto"/>
            </w:pPr>
            <w:r/>
            <w:r>
              <w:rPr>
                <w:b w:val="0"/>
                <w:sz w:val="18"/>
              </w:rPr>
              <w:t>Database</w:t>
            </w:r>
          </w:p>
        </w:tc>
        <w:tc>
          <w:tcPr>
            <w:tcW w:type="dxa" w:w="7056"/>
            <w:vAlign w:val="top"/>
          </w:tcPr>
          <w:p>
            <w:pPr>
              <w:spacing w:after="0" w:line="240" w:lineRule="auto"/>
            </w:pPr>
            <w:r/>
            <w:r>
              <w:rPr>
                <w:b w:val="0"/>
                <w:sz w:val="18"/>
              </w:rPr>
              <w:t>PostgreSQL</w:t>
            </w:r>
          </w:p>
        </w:tc>
      </w:tr>
      <w:tr>
        <w:tc>
          <w:tcPr>
            <w:tcW w:type="dxa" w:w="2592"/>
            <w:vAlign w:val="top"/>
          </w:tcPr>
          <w:p>
            <w:pPr>
              <w:spacing w:after="0" w:line="240" w:lineRule="auto"/>
            </w:pPr>
            <w:r/>
            <w:r>
              <w:rPr>
                <w:b w:val="0"/>
                <w:sz w:val="18"/>
              </w:rPr>
              <w:t>Deployment</w:t>
            </w:r>
          </w:p>
        </w:tc>
        <w:tc>
          <w:tcPr>
            <w:tcW w:type="dxa" w:w="7056"/>
            <w:vAlign w:val="top"/>
          </w:tcPr>
          <w:p>
            <w:pPr>
              <w:spacing w:after="0" w:line="240" w:lineRule="auto"/>
            </w:pPr>
            <w:r/>
            <w:r>
              <w:rPr>
                <w:b w:val="0"/>
                <w:sz w:val="18"/>
              </w:rPr>
              <w:t>Render web service and Render PostgreSQL</w:t>
            </w:r>
          </w:p>
        </w:tc>
      </w:tr>
      <w:tr>
        <w:tc>
          <w:tcPr>
            <w:tcW w:type="dxa" w:w="2592"/>
            <w:vAlign w:val="top"/>
          </w:tcPr>
          <w:p>
            <w:pPr>
              <w:spacing w:after="0" w:line="240" w:lineRule="auto"/>
            </w:pPr>
            <w:r/>
            <w:r>
              <w:rPr>
                <w:b w:val="0"/>
                <w:sz w:val="18"/>
              </w:rPr>
              <w:t>Version control</w:t>
            </w:r>
          </w:p>
        </w:tc>
        <w:tc>
          <w:tcPr>
            <w:tcW w:type="dxa" w:w="7056"/>
            <w:vAlign w:val="top"/>
          </w:tcPr>
          <w:p>
            <w:pPr>
              <w:spacing w:after="0" w:line="240" w:lineRule="auto"/>
            </w:pPr>
            <w:r/>
            <w:r>
              <w:rPr>
                <w:b w:val="0"/>
                <w:sz w:val="18"/>
              </w:rPr>
              <w:t>GitHub main branch</w:t>
            </w:r>
          </w:p>
        </w:tc>
      </w:tr>
      <w:tr>
        <w:tc>
          <w:tcPr>
            <w:tcW w:type="dxa" w:w="2592"/>
            <w:vAlign w:val="top"/>
          </w:tcPr>
          <w:p>
            <w:pPr>
              <w:spacing w:after="0" w:line="240" w:lineRule="auto"/>
            </w:pPr>
            <w:r/>
            <w:r>
              <w:rPr>
                <w:b w:val="0"/>
                <w:sz w:val="18"/>
              </w:rPr>
              <w:t>Charts</w:t>
            </w:r>
          </w:p>
        </w:tc>
        <w:tc>
          <w:tcPr>
            <w:tcW w:type="dxa" w:w="7056"/>
            <w:vAlign w:val="top"/>
          </w:tcPr>
          <w:p>
            <w:pPr>
              <w:spacing w:after="0" w:line="240" w:lineRule="auto"/>
            </w:pPr>
            <w:r/>
            <w:r>
              <w:rPr>
                <w:b w:val="0"/>
                <w:sz w:val="18"/>
              </w:rPr>
              <w:t>Recharts or a comparable React chart library</w:t>
            </w:r>
          </w:p>
        </w:tc>
      </w:tr>
    </w:tbl>
    <w:p/>
    <w:p>
      <w:pPr>
        <w:pStyle w:val="Heading2"/>
      </w:pPr>
      <w:r>
        <w:t>11.2 Operational requirements</w:t>
      </w:r>
    </w:p>
    <w:p>
      <w:pPr>
        <w:pStyle w:val="ListBullet"/>
      </w:pPr>
      <w:r>
        <w:t>Backend must bind to process.env.PORT for Render deployment.</w:t>
      </w:r>
    </w:p>
    <w:p>
      <w:pPr>
        <w:pStyle w:val="ListBullet"/>
      </w:pPr>
      <w:r>
        <w:t>Database connection must use DATABASE_URL and SSL settings appropriate for Render PostgreSQL.</w:t>
      </w:r>
    </w:p>
    <w:p>
      <w:pPr>
        <w:pStyle w:val="ListBullet"/>
      </w:pPr>
      <w:r>
        <w:t>API base URL should be configured through frontend environment variables.</w:t>
      </w:r>
    </w:p>
    <w:p>
      <w:pPr>
        <w:pStyle w:val="ListBullet"/>
      </w:pPr>
      <w:r>
        <w:t>Health endpoint should exist for deployment verification.</w:t>
      </w:r>
    </w:p>
    <w:p>
      <w:pPr>
        <w:pStyle w:val="ListBullet"/>
      </w:pPr>
      <w:r>
        <w:t>Input and result payloads should be logged carefully without exposing sensitive data.</w:t>
      </w:r>
    </w:p>
    <w:p>
      <w:pPr>
        <w:pStyle w:val="ListBullet"/>
      </w:pPr>
      <w:r>
        <w:t>Tax-rule updates should be traceable through created_at, source_as_of and rule_note fields.</w:t>
      </w:r>
    </w:p>
    <w:p>
      <w:pPr>
        <w:pStyle w:val="Heading1"/>
      </w:pPr>
      <w:r>
        <w:t>12. Implementation roadmap</w:t>
      </w:r>
    </w:p>
    <w:tbl>
      <w:tblPr>
        <w:tblStyle w:val="LightList-Accent1"/>
        <w:tblW w:type="auto" w:w="0"/>
        <w:jc w:val="center"/>
        <w:tblLook w:firstColumn="1" w:firstRow="1" w:lastColumn="0" w:lastRow="0" w:noHBand="0" w:noVBand="1" w:val="04A0"/>
      </w:tblPr>
      <w:tblGrid>
        <w:gridCol w:w="3360"/>
        <w:gridCol w:w="3360"/>
        <w:gridCol w:w="3360"/>
      </w:tblGrid>
      <w:tr>
        <w:tc>
          <w:tcPr>
            <w:tcW w:type="dxa" w:w="1296"/>
            <w:shd w:fill="D9EAF7"/>
            <w:vAlign w:val="center"/>
          </w:tcPr>
          <w:p>
            <w:pPr>
              <w:spacing w:after="0" w:line="240" w:lineRule="auto"/>
            </w:pPr>
            <w:r/>
            <w:r>
              <w:rPr>
                <w:b/>
                <w:sz w:val="18"/>
              </w:rPr>
              <w:t>Sprint</w:t>
            </w:r>
          </w:p>
        </w:tc>
        <w:tc>
          <w:tcPr>
            <w:tcW w:type="dxa" w:w="3312"/>
            <w:shd w:fill="D9EAF7"/>
            <w:vAlign w:val="center"/>
          </w:tcPr>
          <w:p>
            <w:pPr>
              <w:spacing w:after="0" w:line="240" w:lineRule="auto"/>
            </w:pPr>
            <w:r/>
            <w:r>
              <w:rPr>
                <w:b/>
                <w:sz w:val="18"/>
              </w:rPr>
              <w:t>Objective</w:t>
            </w:r>
          </w:p>
        </w:tc>
        <w:tc>
          <w:tcPr>
            <w:tcW w:type="dxa" w:w="5040"/>
            <w:shd w:fill="D9EAF7"/>
            <w:vAlign w:val="center"/>
          </w:tcPr>
          <w:p>
            <w:pPr>
              <w:spacing w:after="0" w:line="240" w:lineRule="auto"/>
            </w:pPr>
            <w:r/>
            <w:r>
              <w:rPr>
                <w:b/>
                <w:sz w:val="18"/>
              </w:rPr>
              <w:t>Deliverable</w:t>
            </w:r>
          </w:p>
        </w:tc>
      </w:tr>
      <w:tr>
        <w:tc>
          <w:tcPr>
            <w:tcW w:type="dxa" w:w="1296"/>
            <w:vAlign w:val="top"/>
          </w:tcPr>
          <w:p>
            <w:pPr>
              <w:spacing w:after="0" w:line="240" w:lineRule="auto"/>
            </w:pPr>
            <w:r/>
            <w:r>
              <w:rPr>
                <w:b w:val="0"/>
                <w:sz w:val="18"/>
              </w:rPr>
              <w:t>1</w:t>
            </w:r>
          </w:p>
        </w:tc>
        <w:tc>
          <w:tcPr>
            <w:tcW w:type="dxa" w:w="3312"/>
            <w:vAlign w:val="top"/>
          </w:tcPr>
          <w:p>
            <w:pPr>
              <w:spacing w:after="0" w:line="240" w:lineRule="auto"/>
            </w:pPr>
            <w:r/>
            <w:r>
              <w:rPr>
                <w:b w:val="0"/>
                <w:sz w:val="18"/>
              </w:rPr>
              <w:t>Backend calculation engine</w:t>
            </w:r>
          </w:p>
        </w:tc>
        <w:tc>
          <w:tcPr>
            <w:tcW w:type="dxa" w:w="5040"/>
            <w:vAlign w:val="top"/>
          </w:tcPr>
          <w:p>
            <w:pPr>
              <w:spacing w:after="0" w:line="240" w:lineRule="auto"/>
            </w:pPr>
            <w:r/>
            <w:r>
              <w:rPr>
                <w:b w:val="0"/>
                <w:sz w:val="18"/>
              </w:rPr>
              <w:t>POST /api/calculations/preview with validation and sample payload test.</w:t>
            </w:r>
          </w:p>
        </w:tc>
      </w:tr>
      <w:tr>
        <w:tc>
          <w:tcPr>
            <w:tcW w:type="dxa" w:w="1296"/>
            <w:vAlign w:val="top"/>
          </w:tcPr>
          <w:p>
            <w:pPr>
              <w:spacing w:after="0" w:line="240" w:lineRule="auto"/>
            </w:pPr>
            <w:r/>
            <w:r>
              <w:rPr>
                <w:b w:val="0"/>
                <w:sz w:val="18"/>
              </w:rPr>
              <w:t>2</w:t>
            </w:r>
          </w:p>
        </w:tc>
        <w:tc>
          <w:tcPr>
            <w:tcW w:type="dxa" w:w="3312"/>
            <w:vAlign w:val="top"/>
          </w:tcPr>
          <w:p>
            <w:pPr>
              <w:spacing w:after="0" w:line="240" w:lineRule="auto"/>
            </w:pPr>
            <w:r/>
            <w:r>
              <w:rPr>
                <w:b w:val="0"/>
                <w:sz w:val="18"/>
              </w:rPr>
              <w:t>Database foundation</w:t>
            </w:r>
          </w:p>
        </w:tc>
        <w:tc>
          <w:tcPr>
            <w:tcW w:type="dxa" w:w="5040"/>
            <w:vAlign w:val="top"/>
          </w:tcPr>
          <w:p>
            <w:pPr>
              <w:spacing w:after="0" w:line="240" w:lineRule="auto"/>
            </w:pPr>
            <w:r/>
            <w:r>
              <w:rPr>
                <w:b w:val="0"/>
                <w:sz w:val="18"/>
              </w:rPr>
              <w:t>PostgreSQL schema, seed countries, company types, business models and vehicle classes.</w:t>
            </w:r>
          </w:p>
        </w:tc>
      </w:tr>
      <w:tr>
        <w:tc>
          <w:tcPr>
            <w:tcW w:type="dxa" w:w="1296"/>
            <w:vAlign w:val="top"/>
          </w:tcPr>
          <w:p>
            <w:pPr>
              <w:spacing w:after="0" w:line="240" w:lineRule="auto"/>
            </w:pPr>
            <w:r/>
            <w:r>
              <w:rPr>
                <w:b w:val="0"/>
                <w:sz w:val="18"/>
              </w:rPr>
              <w:t>3</w:t>
            </w:r>
          </w:p>
        </w:tc>
        <w:tc>
          <w:tcPr>
            <w:tcW w:type="dxa" w:w="3312"/>
            <w:vAlign w:val="top"/>
          </w:tcPr>
          <w:p>
            <w:pPr>
              <w:spacing w:after="0" w:line="240" w:lineRule="auto"/>
            </w:pPr>
            <w:r/>
            <w:r>
              <w:rPr>
                <w:b w:val="0"/>
                <w:sz w:val="18"/>
              </w:rPr>
              <w:t>Reference and tax cascade APIs</w:t>
            </w:r>
          </w:p>
        </w:tc>
        <w:tc>
          <w:tcPr>
            <w:tcW w:type="dxa" w:w="5040"/>
            <w:vAlign w:val="top"/>
          </w:tcPr>
          <w:p>
            <w:pPr>
              <w:spacing w:after="0" w:line="240" w:lineRule="auto"/>
            </w:pPr>
            <w:r/>
            <w:r>
              <w:rPr>
                <w:b w:val="0"/>
                <w:sz w:val="18"/>
              </w:rPr>
              <w:t>Country dropdown, company-type dropdown and tax-profile endpoint.</w:t>
            </w:r>
          </w:p>
        </w:tc>
      </w:tr>
      <w:tr>
        <w:tc>
          <w:tcPr>
            <w:tcW w:type="dxa" w:w="1296"/>
            <w:vAlign w:val="top"/>
          </w:tcPr>
          <w:p>
            <w:pPr>
              <w:spacing w:after="0" w:line="240" w:lineRule="auto"/>
            </w:pPr>
            <w:r/>
            <w:r>
              <w:rPr>
                <w:b w:val="0"/>
                <w:sz w:val="18"/>
              </w:rPr>
              <w:t>4</w:t>
            </w:r>
          </w:p>
        </w:tc>
        <w:tc>
          <w:tcPr>
            <w:tcW w:type="dxa" w:w="3312"/>
            <w:vAlign w:val="top"/>
          </w:tcPr>
          <w:p>
            <w:pPr>
              <w:spacing w:after="0" w:line="240" w:lineRule="auto"/>
            </w:pPr>
            <w:r/>
            <w:r>
              <w:rPr>
                <w:b w:val="0"/>
                <w:sz w:val="18"/>
              </w:rPr>
              <w:t>Frontend skeleton</w:t>
            </w:r>
          </w:p>
        </w:tc>
        <w:tc>
          <w:tcPr>
            <w:tcW w:type="dxa" w:w="5040"/>
            <w:vAlign w:val="top"/>
          </w:tcPr>
          <w:p>
            <w:pPr>
              <w:spacing w:after="0" w:line="240" w:lineRule="auto"/>
            </w:pPr>
            <w:r/>
            <w:r>
              <w:rPr>
                <w:b w:val="0"/>
                <w:sz w:val="18"/>
              </w:rPr>
              <w:t>React routing, Start Here page and shared layout.</w:t>
            </w:r>
          </w:p>
        </w:tc>
      </w:tr>
      <w:tr>
        <w:tc>
          <w:tcPr>
            <w:tcW w:type="dxa" w:w="1296"/>
            <w:vAlign w:val="top"/>
          </w:tcPr>
          <w:p>
            <w:pPr>
              <w:spacing w:after="0" w:line="240" w:lineRule="auto"/>
            </w:pPr>
            <w:r/>
            <w:r>
              <w:rPr>
                <w:b w:val="0"/>
                <w:sz w:val="18"/>
              </w:rPr>
              <w:t>5</w:t>
            </w:r>
          </w:p>
        </w:tc>
        <w:tc>
          <w:tcPr>
            <w:tcW w:type="dxa" w:w="3312"/>
            <w:vAlign w:val="top"/>
          </w:tcPr>
          <w:p>
            <w:pPr>
              <w:spacing w:after="0" w:line="240" w:lineRule="auto"/>
            </w:pPr>
            <w:r/>
            <w:r>
              <w:rPr>
                <w:b w:val="0"/>
                <w:sz w:val="18"/>
              </w:rPr>
              <w:t>Company &amp; Tax Profile page</w:t>
            </w:r>
          </w:p>
        </w:tc>
        <w:tc>
          <w:tcPr>
            <w:tcW w:type="dxa" w:w="5040"/>
            <w:vAlign w:val="top"/>
          </w:tcPr>
          <w:p>
            <w:pPr>
              <w:spacing w:after="0" w:line="240" w:lineRule="auto"/>
            </w:pPr>
            <w:r/>
            <w:r>
              <w:rPr>
                <w:b w:val="0"/>
                <w:sz w:val="18"/>
              </w:rPr>
              <w:t>Cascade fields and read-only tax defaults.</w:t>
            </w:r>
          </w:p>
        </w:tc>
      </w:tr>
      <w:tr>
        <w:tc>
          <w:tcPr>
            <w:tcW w:type="dxa" w:w="1296"/>
            <w:vAlign w:val="top"/>
          </w:tcPr>
          <w:p>
            <w:pPr>
              <w:spacing w:after="0" w:line="240" w:lineRule="auto"/>
            </w:pPr>
            <w:r/>
            <w:r>
              <w:rPr>
                <w:b w:val="0"/>
                <w:sz w:val="18"/>
              </w:rPr>
              <w:t>6</w:t>
            </w:r>
          </w:p>
        </w:tc>
        <w:tc>
          <w:tcPr>
            <w:tcW w:type="dxa" w:w="3312"/>
            <w:vAlign w:val="top"/>
          </w:tcPr>
          <w:p>
            <w:pPr>
              <w:spacing w:after="0" w:line="240" w:lineRule="auto"/>
            </w:pPr>
            <w:r/>
            <w:r>
              <w:rPr>
                <w:b w:val="0"/>
                <w:sz w:val="18"/>
              </w:rPr>
              <w:t>Transport Inputs page</w:t>
            </w:r>
          </w:p>
        </w:tc>
        <w:tc>
          <w:tcPr>
            <w:tcW w:type="dxa" w:w="5040"/>
            <w:vAlign w:val="top"/>
          </w:tcPr>
          <w:p>
            <w:pPr>
              <w:spacing w:after="0" w:line="240" w:lineRule="auto"/>
            </w:pPr>
            <w:r/>
            <w:r>
              <w:rPr>
                <w:b w:val="0"/>
                <w:sz w:val="18"/>
              </w:rPr>
              <w:t>Operational input form with live computed previews.</w:t>
            </w:r>
          </w:p>
        </w:tc>
      </w:tr>
      <w:tr>
        <w:tc>
          <w:tcPr>
            <w:tcW w:type="dxa" w:w="1296"/>
            <w:vAlign w:val="top"/>
          </w:tcPr>
          <w:p>
            <w:pPr>
              <w:spacing w:after="0" w:line="240" w:lineRule="auto"/>
            </w:pPr>
            <w:r/>
            <w:r>
              <w:rPr>
                <w:b w:val="0"/>
                <w:sz w:val="18"/>
              </w:rPr>
              <w:t>7</w:t>
            </w:r>
          </w:p>
        </w:tc>
        <w:tc>
          <w:tcPr>
            <w:tcW w:type="dxa" w:w="3312"/>
            <w:vAlign w:val="top"/>
          </w:tcPr>
          <w:p>
            <w:pPr>
              <w:spacing w:after="0" w:line="240" w:lineRule="auto"/>
            </w:pPr>
            <w:r/>
            <w:r>
              <w:rPr>
                <w:b w:val="0"/>
                <w:sz w:val="18"/>
              </w:rPr>
              <w:t>Break-even and Pricing pages</w:t>
            </w:r>
          </w:p>
        </w:tc>
        <w:tc>
          <w:tcPr>
            <w:tcW w:type="dxa" w:w="5040"/>
            <w:vAlign w:val="top"/>
          </w:tcPr>
          <w:p>
            <w:pPr>
              <w:spacing w:after="0" w:line="240" w:lineRule="auto"/>
            </w:pPr>
            <w:r/>
            <w:r>
              <w:rPr>
                <w:b w:val="0"/>
                <w:sz w:val="18"/>
              </w:rPr>
              <w:t>Result cards, pricing table and after-tax view.</w:t>
            </w:r>
          </w:p>
        </w:tc>
      </w:tr>
      <w:tr>
        <w:tc>
          <w:tcPr>
            <w:tcW w:type="dxa" w:w="1296"/>
            <w:vAlign w:val="top"/>
          </w:tcPr>
          <w:p>
            <w:pPr>
              <w:spacing w:after="0" w:line="240" w:lineRule="auto"/>
            </w:pPr>
            <w:r/>
            <w:r>
              <w:rPr>
                <w:b w:val="0"/>
                <w:sz w:val="18"/>
              </w:rPr>
              <w:t>8</w:t>
            </w:r>
          </w:p>
        </w:tc>
        <w:tc>
          <w:tcPr>
            <w:tcW w:type="dxa" w:w="3312"/>
            <w:vAlign w:val="top"/>
          </w:tcPr>
          <w:p>
            <w:pPr>
              <w:spacing w:after="0" w:line="240" w:lineRule="auto"/>
            </w:pPr>
            <w:r/>
            <w:r>
              <w:rPr>
                <w:b w:val="0"/>
                <w:sz w:val="18"/>
              </w:rPr>
              <w:t>Sensitivity module</w:t>
            </w:r>
          </w:p>
        </w:tc>
        <w:tc>
          <w:tcPr>
            <w:tcW w:type="dxa" w:w="5040"/>
            <w:vAlign w:val="top"/>
          </w:tcPr>
          <w:p>
            <w:pPr>
              <w:spacing w:after="0" w:line="240" w:lineRule="auto"/>
            </w:pPr>
            <w:r/>
            <w:r>
              <w:rPr>
                <w:b w:val="0"/>
                <w:sz w:val="18"/>
              </w:rPr>
              <w:t>Vehicle, payload and markup sensitivity tables and charts.</w:t>
            </w:r>
          </w:p>
        </w:tc>
      </w:tr>
      <w:tr>
        <w:tc>
          <w:tcPr>
            <w:tcW w:type="dxa" w:w="1296"/>
            <w:vAlign w:val="top"/>
          </w:tcPr>
          <w:p>
            <w:pPr>
              <w:spacing w:after="0" w:line="240" w:lineRule="auto"/>
            </w:pPr>
            <w:r/>
            <w:r>
              <w:rPr>
                <w:b w:val="0"/>
                <w:sz w:val="18"/>
              </w:rPr>
              <w:t>9</w:t>
            </w:r>
          </w:p>
        </w:tc>
        <w:tc>
          <w:tcPr>
            <w:tcW w:type="dxa" w:w="3312"/>
            <w:vAlign w:val="top"/>
          </w:tcPr>
          <w:p>
            <w:pPr>
              <w:spacing w:after="0" w:line="240" w:lineRule="auto"/>
            </w:pPr>
            <w:r/>
            <w:r>
              <w:rPr>
                <w:b w:val="0"/>
                <w:sz w:val="18"/>
              </w:rPr>
              <w:t>Saved runs</w:t>
            </w:r>
          </w:p>
        </w:tc>
        <w:tc>
          <w:tcPr>
            <w:tcW w:type="dxa" w:w="5040"/>
            <w:vAlign w:val="top"/>
          </w:tcPr>
          <w:p>
            <w:pPr>
              <w:spacing w:after="0" w:line="240" w:lineRule="auto"/>
            </w:pPr>
            <w:r/>
            <w:r>
              <w:rPr>
                <w:b w:val="0"/>
                <w:sz w:val="18"/>
              </w:rPr>
              <w:t>Save, open, duplicate, compare and delete calculation runs.</w:t>
            </w:r>
          </w:p>
        </w:tc>
      </w:tr>
      <w:tr>
        <w:tc>
          <w:tcPr>
            <w:tcW w:type="dxa" w:w="1296"/>
            <w:vAlign w:val="top"/>
          </w:tcPr>
          <w:p>
            <w:pPr>
              <w:spacing w:after="0" w:line="240" w:lineRule="auto"/>
            </w:pPr>
            <w:r/>
            <w:r>
              <w:rPr>
                <w:b w:val="0"/>
                <w:sz w:val="18"/>
              </w:rPr>
              <w:t>10</w:t>
            </w:r>
          </w:p>
        </w:tc>
        <w:tc>
          <w:tcPr>
            <w:tcW w:type="dxa" w:w="3312"/>
            <w:vAlign w:val="top"/>
          </w:tcPr>
          <w:p>
            <w:pPr>
              <w:spacing w:after="0" w:line="240" w:lineRule="auto"/>
            </w:pPr>
            <w:r/>
            <w:r>
              <w:rPr>
                <w:b w:val="0"/>
                <w:sz w:val="18"/>
              </w:rPr>
              <w:t>Hardening and deployment</w:t>
            </w:r>
          </w:p>
        </w:tc>
        <w:tc>
          <w:tcPr>
            <w:tcW w:type="dxa" w:w="5040"/>
            <w:vAlign w:val="top"/>
          </w:tcPr>
          <w:p>
            <w:pPr>
              <w:spacing w:after="0" w:line="240" w:lineRule="auto"/>
            </w:pPr>
            <w:r/>
            <w:r>
              <w:rPr>
                <w:b w:val="0"/>
                <w:sz w:val="18"/>
              </w:rPr>
              <w:t>Validation, QA, Render deployment and documentation update.</w:t>
            </w:r>
          </w:p>
        </w:tc>
      </w:tr>
    </w:tbl>
    <w:p/>
    <w:p>
      <w:pPr>
        <w:pStyle w:val="Heading1"/>
      </w:pPr>
      <w:r>
        <w:t>13. Acceptance criteria</w:t>
      </w:r>
    </w:p>
    <w:tbl>
      <w:tblPr>
        <w:tblStyle w:val="LightList-Accent1"/>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line="240" w:lineRule="auto"/>
            </w:pPr>
            <w:r/>
            <w:r>
              <w:rPr>
                <w:b/>
                <w:sz w:val="18"/>
              </w:rPr>
              <w:t>Area</w:t>
            </w:r>
          </w:p>
        </w:tc>
        <w:tc>
          <w:tcPr>
            <w:tcW w:type="dxa" w:w="6768"/>
            <w:shd w:fill="D9EAF7"/>
            <w:vAlign w:val="center"/>
          </w:tcPr>
          <w:p>
            <w:pPr>
              <w:spacing w:after="0" w:line="240" w:lineRule="auto"/>
            </w:pPr>
            <w:r/>
            <w:r>
              <w:rPr>
                <w:b/>
                <w:sz w:val="18"/>
              </w:rPr>
              <w:t>Acceptance criteria</w:t>
            </w:r>
          </w:p>
        </w:tc>
      </w:tr>
      <w:tr>
        <w:tc>
          <w:tcPr>
            <w:tcW w:type="dxa" w:w="2880"/>
            <w:vAlign w:val="top"/>
          </w:tcPr>
          <w:p>
            <w:pPr>
              <w:spacing w:after="0" w:line="240" w:lineRule="auto"/>
            </w:pPr>
            <w:r/>
            <w:r>
              <w:rPr>
                <w:b w:val="0"/>
                <w:sz w:val="18"/>
              </w:rPr>
              <w:t>Calculation engine</w:t>
            </w:r>
          </w:p>
        </w:tc>
        <w:tc>
          <w:tcPr>
            <w:tcW w:type="dxa" w:w="6768"/>
            <w:vAlign w:val="top"/>
          </w:tcPr>
          <w:p>
            <w:pPr>
              <w:spacing w:after="0" w:line="240" w:lineRule="auto"/>
            </w:pPr>
            <w:r/>
            <w:r>
              <w:rPr>
                <w:b w:val="0"/>
                <w:sz w:val="18"/>
              </w:rPr>
              <w:t>Returns expected annual km, loaded km, break-even and after-tax margin for the sample payload.</w:t>
            </w:r>
          </w:p>
        </w:tc>
      </w:tr>
      <w:tr>
        <w:tc>
          <w:tcPr>
            <w:tcW w:type="dxa" w:w="2880"/>
            <w:vAlign w:val="top"/>
          </w:tcPr>
          <w:p>
            <w:pPr>
              <w:spacing w:after="0" w:line="240" w:lineRule="auto"/>
            </w:pPr>
            <w:r/>
            <w:r>
              <w:rPr>
                <w:b w:val="0"/>
                <w:sz w:val="18"/>
              </w:rPr>
              <w:t>Business logic</w:t>
            </w:r>
          </w:p>
        </w:tc>
        <w:tc>
          <w:tcPr>
            <w:tcW w:type="dxa" w:w="6768"/>
            <w:vAlign w:val="top"/>
          </w:tcPr>
          <w:p>
            <w:pPr>
              <w:spacing w:after="0" w:line="240" w:lineRule="auto"/>
            </w:pPr>
            <w:r/>
            <w:r>
              <w:rPr>
                <w:b w:val="0"/>
                <w:sz w:val="18"/>
              </w:rPr>
              <w:t>Customer rate is not a manual input; it is generated from break-even and markup.</w:t>
            </w:r>
          </w:p>
        </w:tc>
      </w:tr>
      <w:tr>
        <w:tc>
          <w:tcPr>
            <w:tcW w:type="dxa" w:w="2880"/>
            <w:vAlign w:val="top"/>
          </w:tcPr>
          <w:p>
            <w:pPr>
              <w:spacing w:after="0" w:line="240" w:lineRule="auto"/>
            </w:pPr>
            <w:r/>
            <w:r>
              <w:rPr>
                <w:b w:val="0"/>
                <w:sz w:val="18"/>
              </w:rPr>
              <w:t>Tax logic</w:t>
            </w:r>
          </w:p>
        </w:tc>
        <w:tc>
          <w:tcPr>
            <w:tcW w:type="dxa" w:w="6768"/>
            <w:vAlign w:val="top"/>
          </w:tcPr>
          <w:p>
            <w:pPr>
              <w:spacing w:after="0" w:line="240" w:lineRule="auto"/>
            </w:pPr>
            <w:r/>
            <w:r>
              <w:rPr>
                <w:b w:val="0"/>
                <w:sz w:val="18"/>
              </w:rPr>
              <w:t>Country and company type prefill tax profile values.</w:t>
            </w:r>
          </w:p>
        </w:tc>
      </w:tr>
      <w:tr>
        <w:tc>
          <w:tcPr>
            <w:tcW w:type="dxa" w:w="2880"/>
            <w:vAlign w:val="top"/>
          </w:tcPr>
          <w:p>
            <w:pPr>
              <w:spacing w:after="0" w:line="240" w:lineRule="auto"/>
            </w:pPr>
            <w:r/>
            <w:r>
              <w:rPr>
                <w:b w:val="0"/>
                <w:sz w:val="18"/>
              </w:rPr>
              <w:t>VAT treatment</w:t>
            </w:r>
          </w:p>
        </w:tc>
        <w:tc>
          <w:tcPr>
            <w:tcW w:type="dxa" w:w="6768"/>
            <w:vAlign w:val="top"/>
          </w:tcPr>
          <w:p>
            <w:pPr>
              <w:spacing w:after="0" w:line="240" w:lineRule="auto"/>
            </w:pPr>
            <w:r/>
            <w:r>
              <w:rPr>
                <w:b w:val="0"/>
                <w:sz w:val="18"/>
              </w:rPr>
              <w:t>VAT is shown as invoice value and is not counted as profit.</w:t>
            </w:r>
          </w:p>
        </w:tc>
      </w:tr>
      <w:tr>
        <w:tc>
          <w:tcPr>
            <w:tcW w:type="dxa" w:w="2880"/>
            <w:vAlign w:val="top"/>
          </w:tcPr>
          <w:p>
            <w:pPr>
              <w:spacing w:after="0" w:line="240" w:lineRule="auto"/>
            </w:pPr>
            <w:r/>
            <w:r>
              <w:rPr>
                <w:b w:val="0"/>
                <w:sz w:val="18"/>
              </w:rPr>
              <w:t>UX flow</w:t>
            </w:r>
          </w:p>
        </w:tc>
        <w:tc>
          <w:tcPr>
            <w:tcW w:type="dxa" w:w="6768"/>
            <w:vAlign w:val="top"/>
          </w:tcPr>
          <w:p>
            <w:pPr>
              <w:spacing w:after="0" w:line="240" w:lineRule="auto"/>
            </w:pPr>
            <w:r/>
            <w:r>
              <w:rPr>
                <w:b w:val="0"/>
                <w:sz w:val="18"/>
              </w:rPr>
              <w:t>User can complete the model in the correct order without editing computed fields.</w:t>
            </w:r>
          </w:p>
        </w:tc>
      </w:tr>
      <w:tr>
        <w:tc>
          <w:tcPr>
            <w:tcW w:type="dxa" w:w="2880"/>
            <w:vAlign w:val="top"/>
          </w:tcPr>
          <w:p>
            <w:pPr>
              <w:spacing w:after="0" w:line="240" w:lineRule="auto"/>
            </w:pPr>
            <w:r/>
            <w:r>
              <w:rPr>
                <w:b w:val="0"/>
                <w:sz w:val="18"/>
              </w:rPr>
              <w:t>Sensitivity</w:t>
            </w:r>
          </w:p>
        </w:tc>
        <w:tc>
          <w:tcPr>
            <w:tcW w:type="dxa" w:w="6768"/>
            <w:vAlign w:val="top"/>
          </w:tcPr>
          <w:p>
            <w:pPr>
              <w:spacing w:after="0" w:line="240" w:lineRule="auto"/>
            </w:pPr>
            <w:r/>
            <w:r>
              <w:rPr>
                <w:b w:val="0"/>
                <w:sz w:val="18"/>
              </w:rPr>
              <w:t>User can compare vehicle classes and payload utilisation effects.</w:t>
            </w:r>
          </w:p>
        </w:tc>
      </w:tr>
      <w:tr>
        <w:tc>
          <w:tcPr>
            <w:tcW w:type="dxa" w:w="2880"/>
            <w:vAlign w:val="top"/>
          </w:tcPr>
          <w:p>
            <w:pPr>
              <w:spacing w:after="0" w:line="240" w:lineRule="auto"/>
            </w:pPr>
            <w:r/>
            <w:r>
              <w:rPr>
                <w:b w:val="0"/>
                <w:sz w:val="18"/>
              </w:rPr>
              <w:t>Persistence</w:t>
            </w:r>
          </w:p>
        </w:tc>
        <w:tc>
          <w:tcPr>
            <w:tcW w:type="dxa" w:w="6768"/>
            <w:vAlign w:val="top"/>
          </w:tcPr>
          <w:p>
            <w:pPr>
              <w:spacing w:after="0" w:line="240" w:lineRule="auto"/>
            </w:pPr>
            <w:r/>
            <w:r>
              <w:rPr>
                <w:b w:val="0"/>
                <w:sz w:val="18"/>
              </w:rPr>
              <w:t>Saved runs store both input assumptions and calculated outputs.</w:t>
            </w:r>
          </w:p>
        </w:tc>
      </w:tr>
      <w:tr>
        <w:tc>
          <w:tcPr>
            <w:tcW w:type="dxa" w:w="2880"/>
            <w:vAlign w:val="top"/>
          </w:tcPr>
          <w:p>
            <w:pPr>
              <w:spacing w:after="0" w:line="240" w:lineRule="auto"/>
            </w:pPr>
            <w:r/>
            <w:r>
              <w:rPr>
                <w:b w:val="0"/>
                <w:sz w:val="18"/>
              </w:rPr>
              <w:t>Deployment</w:t>
            </w:r>
          </w:p>
        </w:tc>
        <w:tc>
          <w:tcPr>
            <w:tcW w:type="dxa" w:w="6768"/>
            <w:vAlign w:val="top"/>
          </w:tcPr>
          <w:p>
            <w:pPr>
              <w:spacing w:after="0" w:line="240" w:lineRule="auto"/>
            </w:pPr>
            <w:r/>
            <w:r>
              <w:rPr>
                <w:b w:val="0"/>
                <w:sz w:val="18"/>
              </w:rPr>
              <w:t>Backend and frontend deploy successfully and health checks pass.</w:t>
            </w:r>
          </w:p>
        </w:tc>
      </w:tr>
    </w:tbl>
    <w:p/>
    <w:p>
      <w:pPr>
        <w:pStyle w:val="Heading1"/>
      </w:pPr>
      <w:r>
        <w:t>14. Appendices</w:t>
      </w:r>
    </w:p>
    <w:p>
      <w:pPr>
        <w:pStyle w:val="Heading2"/>
      </w:pPr>
      <w:r>
        <w:t>14.1 Backend folder structure</w:t>
      </w:r>
    </w:p>
    <w:p>
      <w:pPr>
        <w:pStyle w:val="CodeBlock"/>
      </w:pPr>
      <w:r>
        <w:rPr>
          <w:rFonts w:ascii="Courier New" w:hAnsi="Courier New" w:eastAsia="Courier New"/>
          <w:sz w:val="16"/>
        </w:rPr>
        <w:t>backend/</w:t>
        <w:br/>
        <w:t xml:space="preserve">  server.js</w:t>
        <w:br/>
        <w:t xml:space="preserve">  db.js</w:t>
        <w:br/>
        <w:t xml:space="preserve">  routes/</w:t>
        <w:br/>
        <w:t xml:space="preserve">    referenceRoutes.js</w:t>
        <w:br/>
        <w:t xml:space="preserve">    taxProfileRoutes.js</w:t>
        <w:br/>
        <w:t xml:space="preserve">    calculationRoutes.js</w:t>
        <w:br/>
        <w:t xml:space="preserve">    pricingScenarioRoutes.js</w:t>
        <w:br/>
        <w:t xml:space="preserve">    sensitivityRoutes.js</w:t>
        <w:br/>
        <w:t xml:space="preserve">  services/</w:t>
        <w:br/>
        <w:t xml:space="preserve">    taxProfileService.js</w:t>
        <w:br/>
        <w:t xml:space="preserve">    calculationEngine.js</w:t>
        <w:br/>
        <w:t xml:space="preserve">    pricingScenarioEngine.js</w:t>
        <w:br/>
        <w:t xml:space="preserve">    sensitivityEngine.js</w:t>
        <w:br/>
        <w:t xml:space="preserve">  repositories/</w:t>
        <w:br/>
        <w:t xml:space="preserve">    referenceRepository.js</w:t>
        <w:br/>
        <w:t xml:space="preserve">    taxRulesRepository.js</w:t>
        <w:br/>
        <w:t xml:space="preserve">    calculationRepository.js</w:t>
        <w:br/>
        <w:t xml:space="preserve">  utils/</w:t>
        <w:br/>
        <w:t xml:space="preserve">    numberUtils.js</w:t>
      </w:r>
    </w:p>
    <w:p>
      <w:pPr>
        <w:pStyle w:val="Heading2"/>
      </w:pPr>
      <w:r>
        <w:t>14.2 Frontend folder structure</w:t>
      </w:r>
    </w:p>
    <w:p>
      <w:pPr>
        <w:pStyle w:val="CodeBlock"/>
      </w:pPr>
      <w:r>
        <w:rPr>
          <w:rFonts w:ascii="Courier New" w:hAnsi="Courier New" w:eastAsia="Courier New"/>
          <w:sz w:val="16"/>
        </w:rPr>
        <w:t>frontend/</w:t>
        <w:br/>
        <w:t xml:space="preserve">  src/</w:t>
        <w:br/>
        <w:t xml:space="preserve">    App.jsx</w:t>
        <w:br/>
        <w:t xml:space="preserve">    main.jsx</w:t>
        <w:br/>
        <w:t xml:space="preserve">    api/</w:t>
        <w:br/>
        <w:t xml:space="preserve">      client.js</w:t>
        <w:br/>
        <w:t xml:space="preserve">      calculationsApi.js</w:t>
        <w:br/>
        <w:t xml:space="preserve">      referenceApi.js</w:t>
        <w:br/>
        <w:t xml:space="preserve">    components/</w:t>
        <w:br/>
        <w:t xml:space="preserve">      Layout.jsx</w:t>
        <w:br/>
        <w:t xml:space="preserve">      ResultCard.jsx</w:t>
        <w:br/>
        <w:t xml:space="preserve">      InputField.jsx</w:t>
        <w:br/>
        <w:t xml:space="preserve">      ScenarioTable.jsx</w:t>
        <w:br/>
        <w:t xml:space="preserve">      SensitivityChart.jsx</w:t>
        <w:br/>
        <w:t xml:space="preserve">    pages/</w:t>
        <w:br/>
        <w:t xml:space="preserve">      Dashboard.jsx</w:t>
        <w:br/>
        <w:t xml:space="preserve">      CompanyTaxProfile.jsx</w:t>
        <w:br/>
        <w:t xml:space="preserve">      TransportInputs.jsx</w:t>
        <w:br/>
        <w:t xml:space="preserve">      BreakEvenResults.jsx</w:t>
        <w:br/>
        <w:t xml:space="preserve">      PricingScenarios.jsx</w:t>
        <w:br/>
        <w:t xml:space="preserve">      Sensitivity.jsx</w:t>
        <w:br/>
        <w:t xml:space="preserve">      VehicleClasses.jsx</w:t>
        <w:br/>
        <w:t xml:space="preserve">      History.jsx</w:t>
        <w:br/>
        <w:t xml:space="preserve">    utils/</w:t>
        <w:br/>
        <w:t xml:space="preserve">      formatters.js</w:t>
        <w:br/>
        <w:t xml:space="preserve">      validation.js</w:t>
      </w:r>
    </w:p>
    <w:p>
      <w:pPr>
        <w:pStyle w:val="Heading2"/>
      </w:pPr>
      <w:r>
        <w:t>14.3 First backend test command</w:t>
      </w:r>
    </w:p>
    <w:p>
      <w:pPr>
        <w:pStyle w:val="CodeBlock"/>
      </w:pPr>
      <w:r>
        <w:rPr>
          <w:rFonts w:ascii="Courier New" w:hAnsi="Courier New" w:eastAsia="Courier New"/>
          <w:sz w:val="16"/>
        </w:rPr>
        <w:t>curl -X POST http://localhost:3000/api/calculations/preview   -H "Content-Type: application/json"   -d '{</w:t>
        <w:br/>
        <w:t xml:space="preserve">    "dailyKm": 450,</w:t>
        <w:br/>
        <w:t xml:space="preserve">    "operatingDaysPerYear": 240,</w:t>
        <w:br/>
        <w:t xml:space="preserve">    "loadFactor": 0.85,</w:t>
        <w:br/>
        <w:t xml:space="preserve">    "payloadCapacityTons": 24,</w:t>
        <w:br/>
        <w:t xml:space="preserve">    "payloadUtilisation": 0.9,</w:t>
        <w:br/>
        <w:t xml:space="preserve">    "fuelConsumptionLPer100Km": 29,</w:t>
        <w:br/>
        <w:t xml:space="preserve">    "fuelPricePerLiter": 1.55,</w:t>
        <w:br/>
        <w:t xml:space="preserve">    "tyresAnnualCost": 4500,</w:t>
        <w:br/>
        <w:t xml:space="preserve">    "maintenanceAnnualCost": 9500,</w:t>
        <w:br/>
        <w:t xml:space="preserve">    "roadFeesAnnualCost": 18000,</w:t>
        <w:br/>
        <w:t xml:space="preserve">    "driverSalaryAnnual": 36000,</w:t>
        <w:br/>
        <w:t xml:space="preserve">    "driverPerDiemDaily": 35,</w:t>
        <w:br/>
        <w:t xml:space="preserve">    "ownershipOrLeasingAnnual": 32000,</w:t>
        <w:br/>
        <w:t xml:space="preserve">    "insuranceAnnual": 4800,</w:t>
        <w:br/>
        <w:t xml:space="preserve">    "vehicleTaxAnnual": 1200,</w:t>
        <w:br/>
        <w:t xml:space="preserve">    "structuralIndirectCostsAnnual": 15000,</w:t>
        <w:br/>
        <w:t xml:space="preserve">    "employerContributionRate": 0.21,</w:t>
        <w:br/>
        <w:t xml:space="preserve">    "vatRate": 0.20,</w:t>
        <w:br/>
        <w:t xml:space="preserve">    "effectiveBusinessTaxRate": 0.23,</w:t>
        <w:br/>
        <w:t xml:space="preserve">    "markupPercentage": 0.15</w:t>
        <w:br/>
        <w:t xml:space="preserve">  }'</w:t>
      </w:r>
    </w:p>
    <w:p>
      <w:pPr>
        <w:pStyle w:val="Heading2"/>
      </w:pPr>
      <w:r>
        <w:t>14.4 Key modelling notes</w:t>
      </w:r>
    </w:p>
    <w:p>
      <w:pPr>
        <w:pStyle w:val="ListBullet"/>
      </w:pPr>
      <w:r>
        <w:t>Break-even is operational and pre-pricing.</w:t>
      </w:r>
    </w:p>
    <w:p>
      <w:pPr>
        <w:pStyle w:val="ListBullet"/>
      </w:pPr>
      <w:r>
        <w:t>Pricing scenarios are commercial layers above break-even.</w:t>
      </w:r>
    </w:p>
    <w:p>
      <w:pPr>
        <w:pStyle w:val="ListBullet"/>
      </w:pPr>
      <w:r>
        <w:t>VAT is cash/invoice value, not profit.</w:t>
      </w:r>
    </w:p>
    <w:p>
      <w:pPr>
        <w:pStyle w:val="ListBullet"/>
      </w:pPr>
      <w:r>
        <w:t>Business tax applies to positive EBIT only in the simplified model.</w:t>
      </w:r>
    </w:p>
    <w:p>
      <w:pPr>
        <w:pStyle w:val="ListBullet"/>
      </w:pPr>
      <w:r>
        <w:t>Vehicle tax is indicative and must be refined by vehicle-specific legal rules.</w:t>
      </w:r>
    </w:p>
    <w:p>
      <w:pPr>
        <w:pStyle w:val="ListBullet"/>
      </w:pPr>
      <w:r>
        <w:t>Payroll contribution rules are country and company-type defaults, not payroll advice.</w:t>
      </w:r>
    </w:p>
    <w:p>
      <w:pPr>
        <w:pStyle w:val="ListBullet"/>
      </w:pPr>
      <w:r>
        <w:t>Tonne-km logic is essential when comparing vans, rigid trucks and articulated trucks.</w:t>
      </w:r>
    </w:p>
    <w:p>
      <w:pPr>
        <w:pStyle w:val="Heading2"/>
      </w:pPr>
      <w:r>
        <w:t>14.5 Immediate next implementation step</w:t>
      </w:r>
    </w:p>
    <w:p>
      <w:r>
        <w:t>The immediate next step is to create the backend Sprint 1 files, run the calculation preview endpoint locally, compare the output with the Excel workbook and commit the backend calculation engine to the repository. After that, the database schema and seed data should be introduced.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working blueprint - Version 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Transport Break-even Engine WebApp -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3B38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16" w:right="216"/>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